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00" w:lineRule="exact"/>
        <w:jc w:val="center"/>
        <w:rPr>
          <w:rFonts w:ascii="方正小标宋_GBK" w:hAnsi="方正小标宋_GBK" w:eastAsia="方正小标宋_GBK"/>
          <w:b/>
          <w:color w:val="auto"/>
          <w:sz w:val="44"/>
          <w:szCs w:val="44"/>
          <w:highlight w:val="none"/>
        </w:rPr>
      </w:pPr>
      <w:bookmarkStart w:id="205" w:name="_GoBack"/>
      <w:r>
        <w:rPr>
          <w:color w:val="auto"/>
          <w:highlight w:val="none"/>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108585</wp:posOffset>
            </wp:positionV>
            <wp:extent cx="1144905" cy="898525"/>
            <wp:effectExtent l="19050" t="0" r="0" b="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15" cstate="print"/>
                    <a:srcRect/>
                    <a:stretch>
                      <a:fillRect/>
                    </a:stretch>
                  </pic:blipFill>
                  <pic:spPr>
                    <a:xfrm>
                      <a:off x="0" y="0"/>
                      <a:ext cx="1144905" cy="898525"/>
                    </a:xfrm>
                    <a:prstGeom prst="rect">
                      <a:avLst/>
                    </a:prstGeom>
                    <a:noFill/>
                    <a:ln w="9525">
                      <a:noFill/>
                      <a:miter lim="800000"/>
                      <a:headEnd/>
                      <a:tailEnd/>
                    </a:ln>
                  </pic:spPr>
                </pic:pic>
              </a:graphicData>
            </a:graphic>
          </wp:anchor>
        </w:drawing>
      </w:r>
    </w:p>
    <w:p>
      <w:pPr>
        <w:spacing w:line="600" w:lineRule="exact"/>
        <w:jc w:val="center"/>
        <w:rPr>
          <w:rFonts w:ascii="方正小标宋_GBK" w:hAnsi="方正小标宋_GBK" w:eastAsia="方正小标宋_GBK"/>
          <w:b/>
          <w:color w:val="auto"/>
          <w:sz w:val="44"/>
          <w:szCs w:val="44"/>
          <w:highlight w:val="none"/>
        </w:rPr>
      </w:pPr>
    </w:p>
    <w:p>
      <w:pPr>
        <w:spacing w:line="600" w:lineRule="exact"/>
        <w:jc w:val="center"/>
        <w:rPr>
          <w:rFonts w:hAnsi="宋体" w:cs="宋体"/>
          <w:b/>
          <w:color w:val="auto"/>
          <w:sz w:val="32"/>
          <w:szCs w:val="32"/>
          <w:highlight w:val="none"/>
        </w:rPr>
      </w:pPr>
    </w:p>
    <w:p>
      <w:pPr>
        <w:spacing w:line="600" w:lineRule="exact"/>
        <w:jc w:val="center"/>
        <w:rPr>
          <w:rFonts w:hAnsi="宋体" w:cs="宋体"/>
          <w:b/>
          <w:color w:val="auto"/>
          <w:sz w:val="32"/>
          <w:szCs w:val="32"/>
          <w:highlight w:val="none"/>
        </w:rPr>
      </w:pPr>
      <w:r>
        <w:rPr>
          <w:rFonts w:hint="eastAsia" w:hAnsi="宋体" w:cs="宋体"/>
          <w:b/>
          <w:color w:val="auto"/>
          <w:sz w:val="32"/>
          <w:szCs w:val="32"/>
          <w:highlight w:val="none"/>
        </w:rPr>
        <w:t>项目编号：scby-cd-zc-2021206</w:t>
      </w:r>
    </w:p>
    <w:p>
      <w:pPr>
        <w:pStyle w:val="2"/>
        <w:rPr>
          <w:color w:val="auto"/>
          <w:highlight w:val="none"/>
        </w:rPr>
      </w:pPr>
    </w:p>
    <w:p>
      <w:pPr>
        <w:pStyle w:val="2"/>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成都市殡仪馆磨盘山公墓安防系统改造采购项目</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spacing w:line="360" w:lineRule="auto"/>
        <w:jc w:val="center"/>
        <w:rPr>
          <w:rFonts w:hAnsi="宋体"/>
          <w:b/>
          <w:color w:val="auto"/>
          <w:sz w:val="96"/>
          <w:szCs w:val="96"/>
          <w:highlight w:val="none"/>
        </w:rPr>
      </w:pPr>
      <w:r>
        <w:rPr>
          <w:rFonts w:hAnsi="宋体"/>
          <w:b/>
          <w:color w:val="auto"/>
          <w:sz w:val="96"/>
          <w:szCs w:val="96"/>
          <w:highlight w:val="none"/>
        </w:rPr>
        <w:t>竞争性磋商文件</w:t>
      </w:r>
    </w:p>
    <w:p>
      <w:pPr>
        <w:spacing w:line="360" w:lineRule="auto"/>
        <w:ind w:firstLine="414" w:firstLineChars="148"/>
        <w:rPr>
          <w:rFonts w:hAnsi="宋体"/>
          <w:color w:val="auto"/>
          <w:sz w:val="28"/>
          <w:szCs w:val="28"/>
          <w:highlight w:val="none"/>
        </w:rPr>
      </w:pPr>
    </w:p>
    <w:p>
      <w:pPr>
        <w:pStyle w:val="2"/>
        <w:rPr>
          <w:rFonts w:hAnsi="宋体"/>
          <w:color w:val="auto"/>
          <w:sz w:val="28"/>
          <w:szCs w:val="28"/>
          <w:highlight w:val="none"/>
        </w:rPr>
      </w:pPr>
    </w:p>
    <w:p>
      <w:pPr>
        <w:pStyle w:val="2"/>
        <w:rPr>
          <w:rFonts w:hAnsi="宋体"/>
          <w:color w:val="auto"/>
          <w:sz w:val="28"/>
          <w:szCs w:val="28"/>
          <w:highlight w:val="none"/>
        </w:rPr>
      </w:pPr>
    </w:p>
    <w:p>
      <w:pPr>
        <w:pStyle w:val="2"/>
        <w:rPr>
          <w:rFonts w:hAnsi="宋体"/>
          <w:color w:val="auto"/>
          <w:sz w:val="28"/>
          <w:szCs w:val="28"/>
          <w:highlight w:val="none"/>
        </w:rPr>
      </w:pPr>
    </w:p>
    <w:p>
      <w:pPr>
        <w:spacing w:line="500" w:lineRule="exact"/>
        <w:ind w:firstLine="475" w:firstLineChars="148"/>
        <w:jc w:val="center"/>
        <w:rPr>
          <w:rFonts w:hAnsi="宋体"/>
          <w:b/>
          <w:color w:val="auto"/>
          <w:sz w:val="32"/>
          <w:szCs w:val="32"/>
          <w:highlight w:val="none"/>
        </w:rPr>
      </w:pPr>
    </w:p>
    <w:p>
      <w:pPr>
        <w:spacing w:line="500" w:lineRule="exact"/>
        <w:ind w:firstLine="475" w:firstLineChars="148"/>
        <w:jc w:val="center"/>
        <w:rPr>
          <w:rFonts w:hAnsi="宋体"/>
          <w:b/>
          <w:color w:val="auto"/>
          <w:sz w:val="32"/>
          <w:szCs w:val="32"/>
          <w:highlight w:val="none"/>
        </w:rPr>
      </w:pPr>
      <w:r>
        <w:rPr>
          <w:rFonts w:hint="eastAsia" w:hAnsi="宋体"/>
          <w:b/>
          <w:color w:val="auto"/>
          <w:sz w:val="32"/>
          <w:szCs w:val="32"/>
          <w:highlight w:val="none"/>
        </w:rPr>
        <w:t xml:space="preserve">成都市殡仪馆 </w:t>
      </w:r>
    </w:p>
    <w:p>
      <w:pPr>
        <w:spacing w:line="500" w:lineRule="exact"/>
        <w:ind w:firstLine="475" w:firstLineChars="148"/>
        <w:jc w:val="center"/>
        <w:rPr>
          <w:rFonts w:hAnsi="宋体"/>
          <w:b/>
          <w:color w:val="auto"/>
          <w:sz w:val="32"/>
          <w:szCs w:val="32"/>
          <w:highlight w:val="none"/>
        </w:rPr>
      </w:pPr>
      <w:r>
        <w:rPr>
          <w:rFonts w:hint="eastAsia" w:hAnsi="宋体"/>
          <w:b/>
          <w:color w:val="auto"/>
          <w:sz w:val="32"/>
          <w:szCs w:val="32"/>
          <w:highlight w:val="none"/>
        </w:rPr>
        <w:t>四川标源招标代理有限公司</w:t>
      </w:r>
    </w:p>
    <w:p>
      <w:pPr>
        <w:spacing w:line="500" w:lineRule="exact"/>
        <w:ind w:firstLine="475" w:firstLineChars="148"/>
        <w:jc w:val="center"/>
        <w:rPr>
          <w:rFonts w:hAnsi="宋体"/>
          <w:b/>
          <w:color w:val="auto"/>
          <w:sz w:val="32"/>
          <w:szCs w:val="32"/>
          <w:highlight w:val="none"/>
        </w:rPr>
      </w:pPr>
      <w:r>
        <w:rPr>
          <w:rFonts w:hint="eastAsia" w:hAnsi="宋体"/>
          <w:b/>
          <w:color w:val="auto"/>
          <w:sz w:val="32"/>
          <w:szCs w:val="32"/>
          <w:highlight w:val="none"/>
        </w:rPr>
        <w:t>共同编制</w:t>
      </w:r>
    </w:p>
    <w:p>
      <w:pPr>
        <w:spacing w:line="500" w:lineRule="exact"/>
        <w:ind w:firstLine="475" w:firstLineChars="148"/>
        <w:jc w:val="center"/>
        <w:rPr>
          <w:rFonts w:hAnsi="宋体"/>
          <w:b/>
          <w:color w:val="auto"/>
          <w:sz w:val="32"/>
          <w:szCs w:val="32"/>
          <w:highlight w:val="none"/>
        </w:rPr>
      </w:pPr>
      <w:r>
        <w:rPr>
          <w:rFonts w:hint="eastAsia" w:hAnsi="宋体"/>
          <w:b/>
          <w:color w:val="auto"/>
          <w:sz w:val="32"/>
          <w:szCs w:val="32"/>
          <w:highlight w:val="none"/>
        </w:rPr>
        <w:t>中国·四川·（成都）</w:t>
      </w:r>
      <w:r>
        <w:rPr>
          <w:rFonts w:hint="eastAsia" w:hAnsi="宋体"/>
          <w:b/>
          <w:color w:val="auto"/>
          <w:sz w:val="32"/>
          <w:szCs w:val="32"/>
          <w:highlight w:val="none"/>
        </w:rPr>
        <w:tab/>
      </w:r>
    </w:p>
    <w:p>
      <w:pPr>
        <w:spacing w:line="500" w:lineRule="exact"/>
        <w:ind w:firstLine="475" w:firstLineChars="148"/>
        <w:jc w:val="center"/>
        <w:rPr>
          <w:rFonts w:hAnsi="宋体"/>
          <w:b/>
          <w:color w:val="auto"/>
          <w:sz w:val="32"/>
          <w:szCs w:val="32"/>
          <w:highlight w:val="none"/>
        </w:rPr>
      </w:pPr>
      <w:r>
        <w:rPr>
          <w:rFonts w:hint="eastAsia" w:hAnsi="宋体"/>
          <w:b/>
          <w:color w:val="auto"/>
          <w:sz w:val="32"/>
          <w:szCs w:val="32"/>
          <w:highlight w:val="none"/>
        </w:rPr>
        <w:t>二0二一年六月</w:t>
      </w:r>
    </w:p>
    <w:p>
      <w:pPr>
        <w:spacing w:line="360" w:lineRule="auto"/>
        <w:jc w:val="center"/>
        <w:rPr>
          <w:rFonts w:hAnsi="宋体"/>
          <w:b/>
          <w:color w:val="auto"/>
          <w:sz w:val="36"/>
          <w:szCs w:val="28"/>
          <w:highlight w:val="none"/>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361" w:right="1361" w:bottom="1417" w:left="1474" w:header="851" w:footer="992" w:gutter="0"/>
          <w:pgNumType w:start="1"/>
          <w:cols w:space="720" w:num="1"/>
          <w:titlePg/>
          <w:docGrid w:type="lines" w:linePitch="326" w:charSpace="0"/>
        </w:sectPr>
      </w:pPr>
    </w:p>
    <w:p>
      <w:pPr>
        <w:spacing w:line="360" w:lineRule="auto"/>
        <w:jc w:val="center"/>
        <w:rPr>
          <w:rFonts w:hAnsi="宋体"/>
          <w:b/>
          <w:color w:val="auto"/>
          <w:sz w:val="36"/>
          <w:szCs w:val="28"/>
          <w:highlight w:val="none"/>
        </w:rPr>
      </w:pPr>
      <w:r>
        <w:rPr>
          <w:rFonts w:hAnsi="宋体"/>
          <w:b/>
          <w:color w:val="auto"/>
          <w:sz w:val="36"/>
          <w:szCs w:val="28"/>
          <w:highlight w:val="none"/>
        </w:rPr>
        <w:t>目     录</w:t>
      </w:r>
    </w:p>
    <w:p>
      <w:pPr>
        <w:pStyle w:val="30"/>
        <w:tabs>
          <w:tab w:val="right" w:leader="dot" w:pos="9071"/>
        </w:tabs>
        <w:rPr>
          <w:color w:val="auto"/>
          <w:sz w:val="28"/>
          <w:szCs w:val="28"/>
          <w:highlight w:val="none"/>
        </w:rPr>
      </w:pPr>
      <w:r>
        <w:rPr>
          <w:rFonts w:hAnsi="宋体"/>
          <w:b w:val="0"/>
          <w:bCs w:val="0"/>
          <w:color w:val="auto"/>
          <w:sz w:val="28"/>
          <w:szCs w:val="28"/>
          <w:highlight w:val="none"/>
        </w:rPr>
        <w:fldChar w:fldCharType="begin"/>
      </w:r>
      <w:r>
        <w:rPr>
          <w:rFonts w:hAnsi="宋体"/>
          <w:b w:val="0"/>
          <w:bCs w:val="0"/>
          <w:color w:val="auto"/>
          <w:sz w:val="28"/>
          <w:szCs w:val="28"/>
          <w:highlight w:val="none"/>
        </w:rPr>
        <w:instrText xml:space="preserve">TOC \o "1-1" \h \u </w:instrText>
      </w:r>
      <w:r>
        <w:rPr>
          <w:rFonts w:hAnsi="宋体"/>
          <w:b w:val="0"/>
          <w:bCs w:val="0"/>
          <w:color w:val="auto"/>
          <w:sz w:val="28"/>
          <w:szCs w:val="28"/>
          <w:highlight w:val="none"/>
        </w:rPr>
        <w:fldChar w:fldCharType="separate"/>
      </w:r>
      <w:r>
        <w:rPr>
          <w:color w:val="auto"/>
          <w:highlight w:val="none"/>
        </w:rPr>
        <w:fldChar w:fldCharType="begin"/>
      </w:r>
      <w:r>
        <w:rPr>
          <w:color w:val="auto"/>
          <w:highlight w:val="none"/>
        </w:rPr>
        <w:instrText xml:space="preserve"> HYPERLINK \l "_Toc5703" </w:instrText>
      </w:r>
      <w:r>
        <w:rPr>
          <w:color w:val="auto"/>
          <w:highlight w:val="none"/>
        </w:rPr>
        <w:fldChar w:fldCharType="separate"/>
      </w:r>
      <w:r>
        <w:rPr>
          <w:rFonts w:hAnsi="宋体"/>
          <w:color w:val="auto"/>
          <w:sz w:val="28"/>
          <w:szCs w:val="28"/>
          <w:highlight w:val="none"/>
        </w:rPr>
        <w:t>第一章竞争性磋商邀请公告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_Toc5703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"_Toc11450" </w:instrText>
      </w:r>
      <w:r>
        <w:rPr>
          <w:color w:val="auto"/>
          <w:highlight w:val="none"/>
        </w:rPr>
        <w:fldChar w:fldCharType="separate"/>
      </w:r>
      <w:r>
        <w:rPr>
          <w:rFonts w:hAnsi="宋体"/>
          <w:color w:val="auto"/>
          <w:sz w:val="28"/>
          <w:szCs w:val="28"/>
          <w:highlight w:val="none"/>
        </w:rPr>
        <w:t>第二章  磋商须知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_Toc11450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"_Toc1134" </w:instrText>
      </w:r>
      <w:r>
        <w:rPr>
          <w:color w:val="auto"/>
          <w:highlight w:val="none"/>
        </w:rPr>
        <w:fldChar w:fldCharType="separate"/>
      </w:r>
      <w:r>
        <w:rPr>
          <w:rFonts w:hAnsi="宋体"/>
          <w:color w:val="auto"/>
          <w:kern w:val="44"/>
          <w:sz w:val="28"/>
          <w:szCs w:val="28"/>
          <w:highlight w:val="none"/>
        </w:rPr>
        <w:t>第三章  供应商资格证明文件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_Toc1134 \h </w:instrText>
      </w:r>
      <w:r>
        <w:rPr>
          <w:color w:val="auto"/>
          <w:sz w:val="28"/>
          <w:szCs w:val="28"/>
          <w:highlight w:val="none"/>
        </w:rPr>
        <w:fldChar w:fldCharType="separate"/>
      </w:r>
      <w:r>
        <w:rPr>
          <w:color w:val="auto"/>
          <w:sz w:val="28"/>
          <w:szCs w:val="28"/>
          <w:highlight w:val="none"/>
        </w:rPr>
        <w:t>17</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"_Toc11606" </w:instrText>
      </w:r>
      <w:r>
        <w:rPr>
          <w:color w:val="auto"/>
          <w:highlight w:val="none"/>
        </w:rPr>
        <w:fldChar w:fldCharType="separate"/>
      </w:r>
      <w:r>
        <w:rPr>
          <w:rFonts w:hAnsi="宋体"/>
          <w:color w:val="auto"/>
          <w:sz w:val="28"/>
          <w:szCs w:val="28"/>
          <w:highlight w:val="none"/>
        </w:rPr>
        <w:t>第</w:t>
      </w:r>
      <w:r>
        <w:rPr>
          <w:rFonts w:hint="eastAsia" w:hAnsi="宋体"/>
          <w:color w:val="auto"/>
          <w:sz w:val="28"/>
          <w:szCs w:val="28"/>
          <w:highlight w:val="none"/>
        </w:rPr>
        <w:t>四</w:t>
      </w:r>
      <w:r>
        <w:rPr>
          <w:rFonts w:hAnsi="宋体"/>
          <w:color w:val="auto"/>
          <w:sz w:val="28"/>
          <w:szCs w:val="28"/>
          <w:highlight w:val="none"/>
        </w:rPr>
        <w:t>章</w:t>
      </w:r>
      <w:r>
        <w:rPr>
          <w:rFonts w:hint="eastAsia" w:hAnsi="宋体"/>
          <w:color w:val="auto"/>
          <w:sz w:val="28"/>
          <w:szCs w:val="28"/>
          <w:highlight w:val="none"/>
        </w:rPr>
        <w:t xml:space="preserve">  服务要求、商务条件说明</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_Toc11606 \h </w:instrText>
      </w:r>
      <w:r>
        <w:rPr>
          <w:color w:val="auto"/>
          <w:sz w:val="28"/>
          <w:szCs w:val="28"/>
          <w:highlight w:val="none"/>
        </w:rPr>
        <w:fldChar w:fldCharType="separate"/>
      </w:r>
      <w:r>
        <w:rPr>
          <w:color w:val="auto"/>
          <w:sz w:val="28"/>
          <w:szCs w:val="28"/>
          <w:highlight w:val="none"/>
        </w:rPr>
        <w:t>19</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"_Toc24321" </w:instrText>
      </w:r>
      <w:r>
        <w:rPr>
          <w:color w:val="auto"/>
          <w:highlight w:val="none"/>
        </w:rPr>
        <w:fldChar w:fldCharType="separate"/>
      </w:r>
      <w:r>
        <w:rPr>
          <w:rFonts w:hAnsi="宋体"/>
          <w:color w:val="auto"/>
          <w:sz w:val="28"/>
          <w:szCs w:val="28"/>
          <w:highlight w:val="none"/>
        </w:rPr>
        <w:t>第五章  磋商程序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_Toc24321 \h </w:instrText>
      </w:r>
      <w:r>
        <w:rPr>
          <w:color w:val="auto"/>
          <w:sz w:val="28"/>
          <w:szCs w:val="28"/>
          <w:highlight w:val="none"/>
        </w:rPr>
        <w:fldChar w:fldCharType="separate"/>
      </w:r>
      <w:r>
        <w:rPr>
          <w:color w:val="auto"/>
          <w:sz w:val="28"/>
          <w:szCs w:val="28"/>
          <w:highlight w:val="none"/>
        </w:rPr>
        <w:t>41</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"_Toc20360" </w:instrText>
      </w:r>
      <w:r>
        <w:rPr>
          <w:color w:val="auto"/>
          <w:highlight w:val="none"/>
        </w:rPr>
        <w:fldChar w:fldCharType="separate"/>
      </w:r>
      <w:r>
        <w:rPr>
          <w:rFonts w:hint="eastAsia" w:hAnsi="宋体"/>
          <w:color w:val="auto"/>
          <w:sz w:val="28"/>
          <w:szCs w:val="28"/>
          <w:highlight w:val="none"/>
        </w:rPr>
        <w:t>第六章  合同草案条款（参考文本）</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_Toc20360 \h </w:instrText>
      </w:r>
      <w:r>
        <w:rPr>
          <w:color w:val="auto"/>
          <w:sz w:val="28"/>
          <w:szCs w:val="28"/>
          <w:highlight w:val="none"/>
        </w:rPr>
        <w:fldChar w:fldCharType="separate"/>
      </w:r>
      <w:r>
        <w:rPr>
          <w:color w:val="auto"/>
          <w:sz w:val="28"/>
          <w:szCs w:val="28"/>
          <w:highlight w:val="none"/>
        </w:rPr>
        <w:t>53</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"_Toc3406" </w:instrText>
      </w:r>
      <w:r>
        <w:rPr>
          <w:color w:val="auto"/>
          <w:highlight w:val="none"/>
        </w:rPr>
        <w:fldChar w:fldCharType="separate"/>
      </w:r>
      <w:r>
        <w:rPr>
          <w:rFonts w:hAnsi="宋体"/>
          <w:color w:val="auto"/>
          <w:kern w:val="44"/>
          <w:sz w:val="28"/>
          <w:szCs w:val="28"/>
          <w:highlight w:val="none"/>
        </w:rPr>
        <w:t>第七章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_Toc3406 \h </w:instrText>
      </w:r>
      <w:r>
        <w:rPr>
          <w:color w:val="auto"/>
          <w:sz w:val="28"/>
          <w:szCs w:val="28"/>
          <w:highlight w:val="none"/>
        </w:rPr>
        <w:fldChar w:fldCharType="separate"/>
      </w:r>
      <w:r>
        <w:rPr>
          <w:color w:val="auto"/>
          <w:sz w:val="28"/>
          <w:szCs w:val="28"/>
          <w:highlight w:val="none"/>
        </w:rPr>
        <w:t>57</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"_Toc1564" </w:instrText>
      </w:r>
      <w:r>
        <w:rPr>
          <w:color w:val="auto"/>
          <w:highlight w:val="none"/>
        </w:rPr>
        <w:fldChar w:fldCharType="separate"/>
      </w:r>
      <w:r>
        <w:rPr>
          <w:rFonts w:hint="eastAsia"/>
          <w:color w:val="auto"/>
          <w:sz w:val="28"/>
          <w:szCs w:val="28"/>
          <w:highlight w:val="none"/>
        </w:rPr>
        <w:t>第八章  报价表（第    次）</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_Toc1564 \h </w:instrText>
      </w:r>
      <w:r>
        <w:rPr>
          <w:color w:val="auto"/>
          <w:sz w:val="28"/>
          <w:szCs w:val="28"/>
          <w:highlight w:val="none"/>
        </w:rPr>
        <w:fldChar w:fldCharType="separate"/>
      </w:r>
      <w:r>
        <w:rPr>
          <w:color w:val="auto"/>
          <w:sz w:val="28"/>
          <w:szCs w:val="28"/>
          <w:highlight w:val="none"/>
        </w:rPr>
        <w:t>75</w:t>
      </w:r>
      <w:r>
        <w:rPr>
          <w:color w:val="auto"/>
          <w:sz w:val="28"/>
          <w:szCs w:val="28"/>
          <w:highlight w:val="none"/>
        </w:rPr>
        <w:fldChar w:fldCharType="end"/>
      </w:r>
      <w:r>
        <w:rPr>
          <w:color w:val="auto"/>
          <w:sz w:val="28"/>
          <w:szCs w:val="28"/>
          <w:highlight w:val="none"/>
        </w:rPr>
        <w:fldChar w:fldCharType="end"/>
      </w:r>
    </w:p>
    <w:p>
      <w:pPr>
        <w:pStyle w:val="30"/>
        <w:tabs>
          <w:tab w:val="right" w:leader="dot" w:pos="9071"/>
        </w:tabs>
        <w:rPr>
          <w:color w:val="auto"/>
          <w:sz w:val="28"/>
          <w:szCs w:val="28"/>
          <w:highlight w:val="none"/>
        </w:rPr>
      </w:pPr>
      <w:r>
        <w:rPr>
          <w:color w:val="auto"/>
          <w:highlight w:val="none"/>
        </w:rPr>
        <w:fldChar w:fldCharType="begin"/>
      </w:r>
      <w:r>
        <w:rPr>
          <w:color w:val="auto"/>
          <w:highlight w:val="none"/>
        </w:rPr>
        <w:instrText xml:space="preserve"> HYPERLINK \l "_Toc9408" </w:instrText>
      </w:r>
      <w:r>
        <w:rPr>
          <w:color w:val="auto"/>
          <w:highlight w:val="none"/>
        </w:rPr>
        <w:fldChar w:fldCharType="separate"/>
      </w:r>
      <w:r>
        <w:rPr>
          <w:rFonts w:hint="eastAsia"/>
          <w:color w:val="auto"/>
          <w:sz w:val="28"/>
          <w:szCs w:val="28"/>
          <w:highlight w:val="none"/>
        </w:rPr>
        <w:t>附件一：报名登记表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_Toc9408 \h </w:instrText>
      </w:r>
      <w:r>
        <w:rPr>
          <w:color w:val="auto"/>
          <w:sz w:val="28"/>
          <w:szCs w:val="28"/>
          <w:highlight w:val="none"/>
        </w:rPr>
        <w:fldChar w:fldCharType="separate"/>
      </w:r>
      <w:r>
        <w:rPr>
          <w:color w:val="auto"/>
          <w:sz w:val="28"/>
          <w:szCs w:val="28"/>
          <w:highlight w:val="none"/>
        </w:rPr>
        <w:t>76</w:t>
      </w:r>
      <w:r>
        <w:rPr>
          <w:color w:val="auto"/>
          <w:sz w:val="28"/>
          <w:szCs w:val="28"/>
          <w:highlight w:val="none"/>
        </w:rPr>
        <w:fldChar w:fldCharType="end"/>
      </w:r>
      <w:r>
        <w:rPr>
          <w:color w:val="auto"/>
          <w:sz w:val="28"/>
          <w:szCs w:val="28"/>
          <w:highlight w:val="none"/>
        </w:rPr>
        <w:fldChar w:fldCharType="end"/>
      </w:r>
    </w:p>
    <w:p>
      <w:pPr>
        <w:autoSpaceDE w:val="0"/>
        <w:autoSpaceDN w:val="0"/>
        <w:snapToGrid w:val="0"/>
        <w:spacing w:before="100" w:beforeAutospacing="1" w:after="100" w:afterAutospacing="1" w:line="360" w:lineRule="auto"/>
        <w:rPr>
          <w:rFonts w:hAnsi="宋体"/>
          <w:b/>
          <w:bCs/>
          <w:color w:val="auto"/>
          <w:highlight w:val="none"/>
        </w:rPr>
      </w:pPr>
      <w:r>
        <w:rPr>
          <w:rFonts w:hAnsi="宋体"/>
          <w:bCs/>
          <w:color w:val="auto"/>
          <w:sz w:val="28"/>
          <w:szCs w:val="28"/>
          <w:highlight w:val="none"/>
        </w:rPr>
        <w:fldChar w:fldCharType="end"/>
      </w:r>
    </w:p>
    <w:p>
      <w:pPr>
        <w:spacing w:line="360" w:lineRule="auto"/>
        <w:rPr>
          <w:rFonts w:hAnsi="宋体"/>
          <w:b/>
          <w:color w:val="auto"/>
          <w:sz w:val="36"/>
          <w:szCs w:val="28"/>
          <w:highlight w:val="none"/>
        </w:rPr>
      </w:pPr>
    </w:p>
    <w:p>
      <w:pPr>
        <w:spacing w:line="360" w:lineRule="auto"/>
        <w:rPr>
          <w:rFonts w:hAnsi="宋体"/>
          <w:color w:val="auto"/>
          <w:sz w:val="28"/>
          <w:szCs w:val="28"/>
          <w:highlight w:val="none"/>
        </w:rPr>
        <w:sectPr>
          <w:headerReference r:id="rId9" w:type="first"/>
          <w:footerReference r:id="rId11" w:type="first"/>
          <w:footerReference r:id="rId10" w:type="default"/>
          <w:pgSz w:w="11906" w:h="16838"/>
          <w:pgMar w:top="1361" w:right="1361" w:bottom="1417" w:left="1474" w:header="851" w:footer="992" w:gutter="0"/>
          <w:pgNumType w:start="1"/>
          <w:cols w:space="720" w:num="1"/>
          <w:titlePg/>
          <w:docGrid w:type="lines" w:linePitch="326" w:charSpace="0"/>
        </w:sectPr>
      </w:pPr>
    </w:p>
    <w:p>
      <w:pPr>
        <w:pStyle w:val="3"/>
        <w:numPr>
          <w:ilvl w:val="0"/>
          <w:numId w:val="0"/>
        </w:numPr>
        <w:spacing w:before="0" w:line="480" w:lineRule="exact"/>
        <w:rPr>
          <w:rFonts w:ascii="宋体" w:hAnsi="宋体" w:eastAsia="宋体"/>
          <w:color w:val="auto"/>
          <w:sz w:val="24"/>
          <w:szCs w:val="24"/>
          <w:highlight w:val="none"/>
        </w:rPr>
      </w:pPr>
      <w:bookmarkStart w:id="0" w:name="_Toc10006"/>
      <w:bookmarkStart w:id="1" w:name="_Toc5703"/>
      <w:r>
        <w:rPr>
          <w:rFonts w:ascii="宋体" w:hAnsi="宋体" w:eastAsia="宋体"/>
          <w:color w:val="auto"/>
          <w:highlight w:val="none"/>
        </w:rPr>
        <w:t>第一章竞争性磋商邀请公告</w:t>
      </w:r>
      <w:bookmarkEnd w:id="0"/>
      <w:bookmarkEnd w:id="1"/>
    </w:p>
    <w:p>
      <w:pPr>
        <w:spacing w:line="480" w:lineRule="exact"/>
        <w:ind w:firstLine="480" w:firstLineChars="200"/>
        <w:jc w:val="both"/>
        <w:rPr>
          <w:rFonts w:hAnsi="宋体"/>
          <w:b/>
          <w:color w:val="auto"/>
          <w:sz w:val="24"/>
          <w:szCs w:val="24"/>
          <w:highlight w:val="none"/>
        </w:rPr>
      </w:pPr>
      <w:r>
        <w:rPr>
          <w:rFonts w:hint="eastAsia" w:hAnsi="宋体"/>
          <w:color w:val="auto"/>
          <w:sz w:val="24"/>
          <w:szCs w:val="24"/>
          <w:highlight w:val="none"/>
          <w:u w:val="single"/>
        </w:rPr>
        <w:t>四川标源招标代理有限公司</w:t>
      </w:r>
      <w:r>
        <w:rPr>
          <w:rFonts w:hint="eastAsia" w:hAnsi="宋体"/>
          <w:color w:val="auto"/>
          <w:sz w:val="24"/>
          <w:szCs w:val="24"/>
          <w:highlight w:val="none"/>
        </w:rPr>
        <w:t>受</w:t>
      </w:r>
      <w:r>
        <w:rPr>
          <w:rFonts w:hint="eastAsia"/>
          <w:color w:val="auto"/>
          <w:sz w:val="24"/>
          <w:highlight w:val="none"/>
          <w:u w:val="single"/>
        </w:rPr>
        <w:t>成都市殡仪馆</w:t>
      </w:r>
      <w:r>
        <w:rPr>
          <w:rFonts w:hint="eastAsia" w:hAnsi="宋体"/>
          <w:color w:val="auto"/>
          <w:sz w:val="24"/>
          <w:szCs w:val="24"/>
          <w:highlight w:val="none"/>
        </w:rPr>
        <w:t>委托，对</w:t>
      </w:r>
      <w:r>
        <w:rPr>
          <w:rFonts w:hint="eastAsia"/>
          <w:color w:val="auto"/>
          <w:sz w:val="24"/>
          <w:highlight w:val="none"/>
          <w:u w:val="single"/>
        </w:rPr>
        <w:t>成都市殡仪馆磨盘山公墓安防系统改造采购项目</w:t>
      </w:r>
      <w:r>
        <w:rPr>
          <w:rFonts w:hAnsi="宋体"/>
          <w:color w:val="auto"/>
          <w:sz w:val="24"/>
          <w:szCs w:val="24"/>
          <w:highlight w:val="none"/>
        </w:rPr>
        <w:t>采用竞争性磋商方式进行采购，特邀请合格的供应商参加该项目的竞争性磋商。</w:t>
      </w:r>
    </w:p>
    <w:p>
      <w:pPr>
        <w:numPr>
          <w:ilvl w:val="0"/>
          <w:numId w:val="7"/>
        </w:numPr>
        <w:spacing w:line="480" w:lineRule="exact"/>
        <w:ind w:firstLine="482" w:firstLineChars="200"/>
        <w:jc w:val="both"/>
        <w:rPr>
          <w:rFonts w:hAnsi="宋体"/>
          <w:b/>
          <w:color w:val="auto"/>
          <w:sz w:val="24"/>
          <w:szCs w:val="24"/>
          <w:highlight w:val="none"/>
        </w:rPr>
      </w:pPr>
      <w:r>
        <w:rPr>
          <w:rFonts w:hint="eastAsia" w:hAnsi="宋体"/>
          <w:b/>
          <w:color w:val="auto"/>
          <w:sz w:val="24"/>
          <w:szCs w:val="24"/>
          <w:highlight w:val="none"/>
        </w:rPr>
        <w:t>项目</w:t>
      </w:r>
      <w:r>
        <w:rPr>
          <w:rFonts w:hAnsi="宋体"/>
          <w:b/>
          <w:color w:val="auto"/>
          <w:sz w:val="24"/>
          <w:szCs w:val="24"/>
          <w:highlight w:val="none"/>
        </w:rPr>
        <w:t>编号：</w:t>
      </w:r>
      <w:r>
        <w:rPr>
          <w:rFonts w:hint="eastAsia" w:hAnsi="宋体"/>
          <w:b/>
          <w:color w:val="auto"/>
          <w:sz w:val="24"/>
          <w:szCs w:val="24"/>
          <w:highlight w:val="none"/>
        </w:rPr>
        <w:t>scby-cd-zc-2021206</w:t>
      </w:r>
    </w:p>
    <w:p>
      <w:pPr>
        <w:numPr>
          <w:ilvl w:val="0"/>
          <w:numId w:val="7"/>
        </w:numPr>
        <w:spacing w:line="420" w:lineRule="exact"/>
        <w:ind w:firstLine="482" w:firstLineChars="200"/>
        <w:rPr>
          <w:rFonts w:hAnsi="宋体"/>
          <w:b/>
          <w:color w:val="auto"/>
          <w:sz w:val="24"/>
          <w:szCs w:val="24"/>
          <w:highlight w:val="none"/>
        </w:rPr>
      </w:pPr>
      <w:r>
        <w:rPr>
          <w:rFonts w:hint="eastAsia" w:hAnsi="宋体"/>
          <w:b/>
          <w:color w:val="auto"/>
          <w:sz w:val="24"/>
          <w:szCs w:val="24"/>
          <w:highlight w:val="none"/>
        </w:rPr>
        <w:t>项目</w:t>
      </w:r>
      <w:r>
        <w:rPr>
          <w:rFonts w:hAnsi="宋体"/>
          <w:b/>
          <w:color w:val="auto"/>
          <w:sz w:val="24"/>
          <w:szCs w:val="24"/>
          <w:highlight w:val="none"/>
        </w:rPr>
        <w:t>名称：</w:t>
      </w:r>
      <w:r>
        <w:rPr>
          <w:rFonts w:hint="eastAsia"/>
          <w:b/>
          <w:color w:val="auto"/>
          <w:sz w:val="24"/>
          <w:highlight w:val="none"/>
        </w:rPr>
        <w:t>成都市殡仪馆磨盘山公墓安防系统改造采购项目</w:t>
      </w:r>
    </w:p>
    <w:p>
      <w:pPr>
        <w:numPr>
          <w:ilvl w:val="0"/>
          <w:numId w:val="7"/>
        </w:numPr>
        <w:spacing w:line="420" w:lineRule="exact"/>
        <w:ind w:firstLine="482" w:firstLineChars="200"/>
        <w:rPr>
          <w:rFonts w:hAnsi="宋体"/>
          <w:b/>
          <w:color w:val="auto"/>
          <w:sz w:val="24"/>
          <w:szCs w:val="24"/>
          <w:highlight w:val="none"/>
        </w:rPr>
      </w:pPr>
      <w:r>
        <w:rPr>
          <w:rFonts w:hint="eastAsia" w:hAnsi="宋体"/>
          <w:b/>
          <w:color w:val="auto"/>
          <w:sz w:val="24"/>
          <w:szCs w:val="24"/>
          <w:highlight w:val="none"/>
        </w:rPr>
        <w:t>采购</w:t>
      </w:r>
      <w:r>
        <w:rPr>
          <w:rFonts w:hAnsi="宋体"/>
          <w:b/>
          <w:color w:val="auto"/>
          <w:sz w:val="24"/>
          <w:szCs w:val="24"/>
          <w:highlight w:val="none"/>
        </w:rPr>
        <w:t>内容：</w:t>
      </w:r>
      <w:r>
        <w:rPr>
          <w:rFonts w:hint="eastAsia" w:hAnsi="宋体"/>
          <w:b/>
          <w:color w:val="auto"/>
          <w:sz w:val="24"/>
          <w:szCs w:val="24"/>
          <w:highlight w:val="none"/>
        </w:rPr>
        <w:t>本次磋商共一个包，采购磨盘山公墓安防系统改造。(具体详见第四章)</w:t>
      </w:r>
    </w:p>
    <w:p>
      <w:pPr>
        <w:spacing w:line="480" w:lineRule="exact"/>
        <w:ind w:firstLine="482" w:firstLineChars="200"/>
        <w:jc w:val="both"/>
        <w:rPr>
          <w:rFonts w:hAnsi="宋体"/>
          <w:b/>
          <w:color w:val="auto"/>
          <w:sz w:val="24"/>
          <w:szCs w:val="24"/>
          <w:highlight w:val="none"/>
        </w:rPr>
      </w:pPr>
      <w:r>
        <w:rPr>
          <w:rFonts w:hAnsi="宋体"/>
          <w:b/>
          <w:color w:val="auto"/>
          <w:sz w:val="24"/>
          <w:szCs w:val="24"/>
          <w:highlight w:val="none"/>
        </w:rPr>
        <w:t>四、资金来源：</w:t>
      </w:r>
      <w:r>
        <w:rPr>
          <w:rFonts w:hint="eastAsia" w:hAnsi="宋体"/>
          <w:b/>
          <w:color w:val="auto"/>
          <w:sz w:val="24"/>
          <w:szCs w:val="24"/>
          <w:highlight w:val="none"/>
        </w:rPr>
        <w:t>财政资金，已落实。</w:t>
      </w:r>
    </w:p>
    <w:p>
      <w:pPr>
        <w:spacing w:line="480" w:lineRule="exact"/>
        <w:ind w:firstLine="482" w:firstLineChars="200"/>
        <w:jc w:val="both"/>
        <w:rPr>
          <w:rFonts w:hAnsi="宋体"/>
          <w:b/>
          <w:color w:val="auto"/>
          <w:sz w:val="24"/>
          <w:szCs w:val="24"/>
          <w:highlight w:val="none"/>
        </w:rPr>
      </w:pPr>
      <w:r>
        <w:rPr>
          <w:rFonts w:hAnsi="宋体"/>
          <w:b/>
          <w:color w:val="auto"/>
          <w:sz w:val="24"/>
          <w:szCs w:val="24"/>
          <w:highlight w:val="none"/>
        </w:rPr>
        <w:t>五、</w:t>
      </w:r>
      <w:r>
        <w:rPr>
          <w:rFonts w:hint="eastAsia" w:hAnsi="宋体"/>
          <w:b/>
          <w:color w:val="auto"/>
          <w:sz w:val="24"/>
          <w:szCs w:val="24"/>
          <w:highlight w:val="none"/>
        </w:rPr>
        <w:t>供应商参加本次政府采购活动应具备下列条件：</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1.具备《中华人民共和国政府采购法》第二十二条规定的条件；</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1.1具备独立的承担民事责任能力；</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1.2具有良好的商业信誉和健全的财务会计制度；</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1.3有依法缴纳税收和社会保障资金的良好记录：</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1.4具有履行合同所必需的设备和专业技术能力；</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1.5</w:t>
      </w:r>
      <w:r>
        <w:rPr>
          <w:rFonts w:hint="eastAsia"/>
          <w:color w:val="auto"/>
          <w:sz w:val="24"/>
          <w:highlight w:val="none"/>
        </w:rPr>
        <w:t>参加政府采购活动前三年内，在经营活动中没有重大违法记录</w:t>
      </w:r>
      <w:r>
        <w:rPr>
          <w:rFonts w:hint="eastAsia" w:hAnsi="宋体" w:cs="宋体"/>
          <w:color w:val="auto"/>
          <w:sz w:val="24"/>
          <w:szCs w:val="22"/>
          <w:highlight w:val="none"/>
        </w:rPr>
        <w:t>。</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1.6法律、行政法规规定的其他条件。</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2.供应商未对本次采购项目提供过整体设计、规范编制或者项目管理、监理、检测等服务；</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3.单位负责人为同一人或者存在直接控股、管理关系的不同供应商，不得参加同一合同项下的政府采购活动；</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4.供应商单位及其现任法定代表人、主要负责人不得具有行贿犯罪记录；</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5.供应商“截至响应截止日未被列入失信被执行人、重大税收违法案件当事人、</w:t>
      </w:r>
      <w:r>
        <w:rPr>
          <w:rFonts w:hint="eastAsia" w:hAnsi="宋体" w:cs="宋体"/>
          <w:color w:val="auto"/>
          <w:sz w:val="24"/>
          <w:szCs w:val="24"/>
          <w:highlight w:val="none"/>
        </w:rPr>
        <w:t>政府采购严重违法失信行为记录名单</w:t>
      </w:r>
      <w:r>
        <w:rPr>
          <w:rFonts w:hint="eastAsia" w:hAnsi="宋体" w:cs="宋体"/>
          <w:color w:val="auto"/>
          <w:sz w:val="24"/>
          <w:szCs w:val="22"/>
          <w:highlight w:val="none"/>
        </w:rPr>
        <w:t>”；</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6.本项目不接受联合体磋商。</w:t>
      </w:r>
    </w:p>
    <w:p>
      <w:pPr>
        <w:spacing w:after="50" w:line="500" w:lineRule="exact"/>
        <w:ind w:firstLine="482" w:firstLineChars="200"/>
        <w:rPr>
          <w:b/>
          <w:color w:val="auto"/>
          <w:sz w:val="24"/>
          <w:highlight w:val="none"/>
        </w:rPr>
      </w:pPr>
      <w:r>
        <w:rPr>
          <w:rFonts w:hint="eastAsia"/>
          <w:b/>
          <w:color w:val="auto"/>
          <w:sz w:val="24"/>
          <w:highlight w:val="none"/>
        </w:rPr>
        <w:t>六、禁止参加本次采购活动的供应商</w:t>
      </w:r>
    </w:p>
    <w:p>
      <w:pPr>
        <w:tabs>
          <w:tab w:val="left" w:pos="7665"/>
        </w:tabs>
        <w:spacing w:line="480" w:lineRule="exact"/>
        <w:ind w:firstLine="480" w:firstLineChars="200"/>
        <w:rPr>
          <w:rFonts w:hAnsi="宋体" w:cs="宋体"/>
          <w:color w:val="auto"/>
          <w:sz w:val="24"/>
          <w:szCs w:val="22"/>
          <w:highlight w:val="none"/>
        </w:rPr>
      </w:pPr>
      <w:r>
        <w:rPr>
          <w:rFonts w:hint="eastAsia" w:hAnsi="宋体" w:cs="宋体"/>
          <w:color w:val="auto"/>
          <w:sz w:val="24"/>
          <w:szCs w:val="22"/>
          <w:highlight w:val="none"/>
        </w:rPr>
        <w:t>根据《关于在政府采购活动中查询及使用信用记录有关问题的通知》（财库〔2016〕125 号）的要求，采购代理机构将通过“信用中国”网站（www.creditchina.gov.cn）、“中国政府采购网”网站（www.ccgp.gov.cn）等渠道查询供应商在响应截止日前的信用记录并保存信用记录结果网页截图，拒绝列入失信被执行人、重大税收违法案件当事人名单、政府采购严重违法失信行为记录名单中的供应商报名参加本项目的采购活动。</w:t>
      </w:r>
    </w:p>
    <w:p>
      <w:pPr>
        <w:tabs>
          <w:tab w:val="left" w:pos="7665"/>
        </w:tabs>
        <w:spacing w:line="480" w:lineRule="exact"/>
        <w:ind w:firstLine="482" w:firstLineChars="200"/>
        <w:rPr>
          <w:rFonts w:hAnsi="宋体" w:cs="宋体"/>
          <w:color w:val="auto"/>
          <w:sz w:val="24"/>
          <w:szCs w:val="24"/>
          <w:highlight w:val="none"/>
        </w:rPr>
      </w:pPr>
      <w:r>
        <w:rPr>
          <w:rFonts w:hint="eastAsia" w:hAnsi="宋体"/>
          <w:b/>
          <w:color w:val="auto"/>
          <w:sz w:val="24"/>
          <w:szCs w:val="24"/>
          <w:highlight w:val="none"/>
        </w:rPr>
        <w:t>七</w:t>
      </w:r>
      <w:r>
        <w:rPr>
          <w:rFonts w:hAnsi="宋体"/>
          <w:b/>
          <w:color w:val="auto"/>
          <w:sz w:val="24"/>
          <w:szCs w:val="24"/>
          <w:highlight w:val="none"/>
        </w:rPr>
        <w:t>、领取竞争性磋商文件时间：</w:t>
      </w:r>
      <w:r>
        <w:rPr>
          <w:rFonts w:hint="eastAsia" w:hAnsi="宋体" w:cs="宋体"/>
          <w:color w:val="auto"/>
          <w:sz w:val="24"/>
          <w:szCs w:val="24"/>
          <w:highlight w:val="none"/>
          <w:u w:val="single"/>
        </w:rPr>
        <w:t>2021</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6</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11</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日至</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6</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21</w:t>
      </w:r>
      <w:r>
        <w:rPr>
          <w:rFonts w:hint="eastAsia" w:hAnsi="宋体" w:cs="宋体"/>
          <w:color w:val="auto"/>
          <w:sz w:val="24"/>
          <w:szCs w:val="24"/>
          <w:highlight w:val="none"/>
        </w:rPr>
        <w:t>日（每天上午9:00-12:00，下午14:00-17:00，</w:t>
      </w:r>
      <w:r>
        <w:rPr>
          <w:rFonts w:hint="eastAsia"/>
          <w:color w:val="auto"/>
          <w:sz w:val="24"/>
          <w:szCs w:val="28"/>
          <w:highlight w:val="none"/>
        </w:rPr>
        <w:t>法定节假日除外</w:t>
      </w:r>
      <w:r>
        <w:rPr>
          <w:rFonts w:hint="eastAsia" w:hAnsi="宋体" w:cs="宋体"/>
          <w:color w:val="auto"/>
          <w:sz w:val="24"/>
          <w:szCs w:val="24"/>
          <w:highlight w:val="none"/>
        </w:rPr>
        <w:t>），通过网上发售或现场购买的方式获取。如在规定时间内未领取磋商文件并登记备案的供应商均无资格参加该项目的竞争性磋商。</w:t>
      </w:r>
    </w:p>
    <w:p>
      <w:pPr>
        <w:spacing w:afterLines="50" w:line="480" w:lineRule="exact"/>
        <w:ind w:firstLine="480" w:firstLineChars="200"/>
        <w:rPr>
          <w:color w:val="auto"/>
          <w:sz w:val="24"/>
          <w:highlight w:val="none"/>
        </w:rPr>
      </w:pPr>
      <w:r>
        <w:rPr>
          <w:rFonts w:hint="eastAsia"/>
          <w:color w:val="auto"/>
          <w:sz w:val="24"/>
          <w:szCs w:val="24"/>
          <w:highlight w:val="none"/>
        </w:rPr>
        <w:t>获取磋商文件时，供应商为法人或者其他组织的，只需提供单位介绍信（格式自拟）、</w:t>
      </w:r>
      <w:r>
        <w:rPr>
          <w:rFonts w:hint="eastAsia"/>
          <w:color w:val="auto"/>
          <w:sz w:val="24"/>
          <w:highlight w:val="none"/>
        </w:rPr>
        <w:t>加盖单位鲜章的经办人身份证明复印件</w:t>
      </w:r>
      <w:r>
        <w:rPr>
          <w:rFonts w:hint="eastAsia"/>
          <w:color w:val="auto"/>
          <w:sz w:val="24"/>
          <w:szCs w:val="24"/>
          <w:highlight w:val="none"/>
        </w:rPr>
        <w:t>；供应商为自然人的，只需提供本人身份证明；</w:t>
      </w:r>
      <w:r>
        <w:rPr>
          <w:rFonts w:hint="eastAsia"/>
          <w:color w:val="auto"/>
          <w:sz w:val="24"/>
          <w:highlight w:val="none"/>
        </w:rPr>
        <w:t>供应商应提前填写《报名登记表》（格式详见附件一），</w:t>
      </w:r>
      <w:r>
        <w:rPr>
          <w:rFonts w:hint="eastAsia"/>
          <w:bCs/>
          <w:color w:val="auto"/>
          <w:sz w:val="24"/>
          <w:highlight w:val="none"/>
        </w:rPr>
        <w:t>在获取磋商文件时</w:t>
      </w:r>
      <w:r>
        <w:rPr>
          <w:rFonts w:hint="eastAsia"/>
          <w:color w:val="auto"/>
          <w:sz w:val="24"/>
          <w:highlight w:val="none"/>
        </w:rPr>
        <w:t>以扫描件形式将《报名登记表》提交代理机构，完成报名手续。</w:t>
      </w:r>
    </w:p>
    <w:p>
      <w:pPr>
        <w:spacing w:after="50" w:line="460" w:lineRule="exact"/>
        <w:ind w:firstLine="480" w:firstLineChars="200"/>
        <w:rPr>
          <w:color w:val="auto"/>
          <w:highlight w:val="none"/>
        </w:rPr>
      </w:pPr>
      <w:r>
        <w:rPr>
          <w:rFonts w:hint="eastAsia"/>
          <w:color w:val="auto"/>
          <w:sz w:val="24"/>
          <w:szCs w:val="24"/>
          <w:highlight w:val="none"/>
        </w:rPr>
        <w:t>以上资料身份证明文件现场购买时带原件查验，采购代理机构留存加盖公章的身份证明文件复印件及单位介绍信原件。</w:t>
      </w:r>
      <w:r>
        <w:rPr>
          <w:rFonts w:hint="eastAsia"/>
          <w:color w:val="auto"/>
          <w:sz w:val="24"/>
          <w:highlight w:val="none"/>
        </w:rPr>
        <w:t>供应商购买磋商文件时必须如实认真填写项目信息及供应商信息；若因供应商提供的信息错误，对自身</w:t>
      </w:r>
      <w:r>
        <w:rPr>
          <w:rFonts w:hint="eastAsia" w:hAnsi="宋体" w:cs="宋体"/>
          <w:color w:val="auto"/>
          <w:sz w:val="24"/>
          <w:szCs w:val="22"/>
          <w:highlight w:val="none"/>
        </w:rPr>
        <w:t>响应</w:t>
      </w:r>
      <w:r>
        <w:rPr>
          <w:rFonts w:hint="eastAsia"/>
          <w:color w:val="auto"/>
          <w:sz w:val="24"/>
          <w:highlight w:val="none"/>
        </w:rPr>
        <w:t>事宜造成影响的，由供应商自行承担责任。</w:t>
      </w:r>
    </w:p>
    <w:p>
      <w:pPr>
        <w:spacing w:afterLines="50" w:line="480" w:lineRule="exact"/>
        <w:ind w:firstLine="482" w:firstLineChars="200"/>
        <w:rPr>
          <w:rFonts w:hAnsi="宋体"/>
          <w:b/>
          <w:color w:val="auto"/>
          <w:sz w:val="24"/>
          <w:szCs w:val="24"/>
          <w:highlight w:val="none"/>
        </w:rPr>
      </w:pPr>
      <w:r>
        <w:rPr>
          <w:rFonts w:hint="eastAsia" w:hAnsi="宋体"/>
          <w:b/>
          <w:color w:val="auto"/>
          <w:sz w:val="24"/>
          <w:szCs w:val="24"/>
          <w:highlight w:val="none"/>
        </w:rPr>
        <w:t>八、</w:t>
      </w:r>
      <w:r>
        <w:rPr>
          <w:rFonts w:hAnsi="宋体"/>
          <w:b/>
          <w:color w:val="auto"/>
          <w:sz w:val="24"/>
          <w:szCs w:val="24"/>
          <w:highlight w:val="none"/>
        </w:rPr>
        <w:t>领取竞争性磋商文件地点：</w:t>
      </w:r>
    </w:p>
    <w:p>
      <w:pPr>
        <w:spacing w:line="440" w:lineRule="exact"/>
        <w:ind w:firstLine="480" w:firstLineChars="200"/>
        <w:rPr>
          <w:rFonts w:hAnsi="宋体" w:cs="宋体"/>
          <w:color w:val="auto"/>
          <w:sz w:val="24"/>
          <w:szCs w:val="24"/>
          <w:highlight w:val="none"/>
        </w:rPr>
      </w:pPr>
      <w:r>
        <w:rPr>
          <w:rFonts w:hint="eastAsia" w:hAnsi="宋体" w:cs="宋体"/>
          <w:color w:val="auto"/>
          <w:kern w:val="2"/>
          <w:sz w:val="24"/>
          <w:szCs w:val="22"/>
          <w:highlight w:val="none"/>
        </w:rPr>
        <w:t>1、</w:t>
      </w:r>
      <w:r>
        <w:rPr>
          <w:rFonts w:hint="eastAsia" w:hAnsi="宋体" w:cs="宋体"/>
          <w:color w:val="auto"/>
          <w:sz w:val="24"/>
          <w:szCs w:val="24"/>
          <w:highlight w:val="none"/>
        </w:rPr>
        <w:t>官网售卖：我司指定网站(http://www.biaoyuanzhaobiao.com/)标书售卖系统购买。</w:t>
      </w:r>
    </w:p>
    <w:p>
      <w:pPr>
        <w:pStyle w:val="16"/>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w:t>
      </w:r>
      <w:r>
        <w:rPr>
          <w:rFonts w:hint="eastAsia" w:hAnsi="宋体" w:cs="宋体"/>
          <w:color w:val="auto"/>
          <w:sz w:val="24"/>
          <w:szCs w:val="22"/>
          <w:highlight w:val="none"/>
        </w:rPr>
        <w:t>现场购买地址：</w:t>
      </w:r>
      <w:r>
        <w:rPr>
          <w:rFonts w:hint="eastAsia" w:hAnsi="宋体" w:cs="宋体"/>
          <w:color w:val="auto"/>
          <w:sz w:val="24"/>
          <w:szCs w:val="24"/>
          <w:highlight w:val="none"/>
        </w:rPr>
        <w:t>四川省成都市金牛区兴盛西路2号6栋B座13楼（郦湾国际酒店右侧）。</w:t>
      </w:r>
    </w:p>
    <w:p>
      <w:pPr>
        <w:spacing w:line="480" w:lineRule="exact"/>
        <w:ind w:firstLine="482" w:firstLineChars="200"/>
        <w:jc w:val="both"/>
        <w:rPr>
          <w:rFonts w:hAnsi="宋体"/>
          <w:bCs/>
          <w:color w:val="auto"/>
          <w:sz w:val="24"/>
          <w:szCs w:val="24"/>
          <w:highlight w:val="none"/>
        </w:rPr>
      </w:pPr>
      <w:r>
        <w:rPr>
          <w:rFonts w:hint="eastAsia" w:hAnsi="宋体"/>
          <w:b/>
          <w:color w:val="auto"/>
          <w:sz w:val="24"/>
          <w:szCs w:val="24"/>
          <w:highlight w:val="none"/>
        </w:rPr>
        <w:t>九</w:t>
      </w:r>
      <w:r>
        <w:rPr>
          <w:rFonts w:hAnsi="宋体"/>
          <w:b/>
          <w:color w:val="auto"/>
          <w:sz w:val="24"/>
          <w:szCs w:val="24"/>
          <w:highlight w:val="none"/>
        </w:rPr>
        <w:t>、本竞争性磋商文件售价：</w:t>
      </w:r>
      <w:r>
        <w:rPr>
          <w:rFonts w:hAnsi="宋体"/>
          <w:color w:val="auto"/>
          <w:sz w:val="24"/>
          <w:szCs w:val="24"/>
          <w:highlight w:val="none"/>
        </w:rPr>
        <w:t>人民币</w:t>
      </w:r>
      <w:r>
        <w:rPr>
          <w:rFonts w:hint="eastAsia" w:hAnsi="宋体"/>
          <w:color w:val="auto"/>
          <w:sz w:val="24"/>
          <w:szCs w:val="24"/>
          <w:highlight w:val="none"/>
        </w:rPr>
        <w:t>0</w:t>
      </w:r>
      <w:r>
        <w:rPr>
          <w:rFonts w:hAnsi="宋体"/>
          <w:color w:val="auto"/>
          <w:sz w:val="24"/>
          <w:szCs w:val="24"/>
          <w:highlight w:val="none"/>
        </w:rPr>
        <w:t>元</w:t>
      </w:r>
      <w:r>
        <w:rPr>
          <w:rFonts w:hint="eastAsia" w:hAnsi="宋体"/>
          <w:color w:val="auto"/>
          <w:sz w:val="24"/>
          <w:szCs w:val="24"/>
          <w:highlight w:val="none"/>
        </w:rPr>
        <w:t>/份</w:t>
      </w:r>
      <w:r>
        <w:rPr>
          <w:rFonts w:hAnsi="宋体"/>
          <w:color w:val="auto"/>
          <w:sz w:val="24"/>
          <w:szCs w:val="24"/>
          <w:highlight w:val="none"/>
        </w:rPr>
        <w:t>（文件售后不退，磋商资格不能转让）。</w:t>
      </w:r>
    </w:p>
    <w:p>
      <w:pPr>
        <w:spacing w:line="480" w:lineRule="exact"/>
        <w:ind w:firstLine="482" w:firstLineChars="200"/>
        <w:jc w:val="both"/>
        <w:rPr>
          <w:rFonts w:hAnsi="宋体"/>
          <w:bCs/>
          <w:color w:val="auto"/>
          <w:sz w:val="24"/>
          <w:szCs w:val="24"/>
          <w:highlight w:val="none"/>
        </w:rPr>
      </w:pPr>
      <w:r>
        <w:rPr>
          <w:rFonts w:hint="eastAsia" w:hAnsi="宋体"/>
          <w:b/>
          <w:color w:val="auto"/>
          <w:sz w:val="24"/>
          <w:szCs w:val="24"/>
          <w:highlight w:val="none"/>
        </w:rPr>
        <w:t>十</w:t>
      </w:r>
      <w:r>
        <w:rPr>
          <w:rFonts w:hAnsi="宋体"/>
          <w:b/>
          <w:color w:val="auto"/>
          <w:sz w:val="24"/>
          <w:szCs w:val="24"/>
          <w:highlight w:val="none"/>
        </w:rPr>
        <w:t>、</w:t>
      </w:r>
      <w:r>
        <w:rPr>
          <w:rFonts w:hint="eastAsia" w:hAnsi="宋体"/>
          <w:b/>
          <w:color w:val="auto"/>
          <w:sz w:val="24"/>
          <w:szCs w:val="24"/>
          <w:highlight w:val="none"/>
        </w:rPr>
        <w:t>递交竞争性磋商响应文件截止时间</w:t>
      </w:r>
      <w:r>
        <w:rPr>
          <w:rFonts w:hAnsi="宋体"/>
          <w:b/>
          <w:color w:val="auto"/>
          <w:sz w:val="24"/>
          <w:szCs w:val="24"/>
          <w:highlight w:val="none"/>
        </w:rPr>
        <w:t>：</w:t>
      </w:r>
      <w:r>
        <w:rPr>
          <w:rFonts w:hint="eastAsia" w:hAnsi="宋体" w:cs="宋体"/>
          <w:color w:val="auto"/>
          <w:sz w:val="24"/>
          <w:szCs w:val="24"/>
          <w:highlight w:val="none"/>
          <w:u w:val="single"/>
        </w:rPr>
        <w:t>2021</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6</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22</w:t>
      </w:r>
      <w:r>
        <w:rPr>
          <w:rFonts w:hint="eastAsia" w:hAnsi="宋体" w:cs="宋体"/>
          <w:color w:val="auto"/>
          <w:sz w:val="24"/>
          <w:szCs w:val="24"/>
          <w:highlight w:val="none"/>
        </w:rPr>
        <w:t>日</w:t>
      </w:r>
      <w:r>
        <w:rPr>
          <w:rFonts w:hint="eastAsia" w:hAnsi="宋体" w:cs="宋体"/>
          <w:color w:val="auto"/>
          <w:sz w:val="24"/>
          <w:szCs w:val="24"/>
          <w:highlight w:val="none"/>
          <w:lang w:val="en-US" w:eastAsia="zh-CN"/>
        </w:rPr>
        <w:t>11</w:t>
      </w:r>
      <w:r>
        <w:rPr>
          <w:rFonts w:hint="eastAsia" w:hAnsi="宋体" w:cs="宋体"/>
          <w:color w:val="auto"/>
          <w:sz w:val="24"/>
          <w:szCs w:val="24"/>
          <w:highlight w:val="none"/>
        </w:rPr>
        <w:t>:00</w:t>
      </w:r>
      <w:r>
        <w:rPr>
          <w:rFonts w:hint="eastAsia" w:hAnsi="宋体"/>
          <w:bCs/>
          <w:color w:val="auto"/>
          <w:sz w:val="24"/>
          <w:szCs w:val="24"/>
          <w:highlight w:val="none"/>
        </w:rPr>
        <w:t>（北京时间）</w:t>
      </w:r>
      <w:r>
        <w:rPr>
          <w:rFonts w:hAnsi="宋体"/>
          <w:bCs/>
          <w:color w:val="auto"/>
          <w:sz w:val="24"/>
          <w:szCs w:val="24"/>
          <w:highlight w:val="none"/>
        </w:rPr>
        <w:t>，</w:t>
      </w:r>
      <w:r>
        <w:rPr>
          <w:rFonts w:hint="eastAsia"/>
          <w:color w:val="auto"/>
          <w:sz w:val="24"/>
          <w:szCs w:val="28"/>
          <w:highlight w:val="none"/>
        </w:rPr>
        <w:t>响应文件应在开标当日磋商响应文件截止时间前送达磋商地点，本次磋商不接受以电子邮件、传真及邮寄方式递交的响应文件。逾期送达的响应文件不予接收。</w:t>
      </w:r>
    </w:p>
    <w:p>
      <w:pPr>
        <w:spacing w:line="500" w:lineRule="exact"/>
        <w:ind w:firstLine="482" w:firstLineChars="200"/>
        <w:jc w:val="both"/>
        <w:rPr>
          <w:rFonts w:hAnsi="宋体" w:cs="宋体"/>
          <w:b/>
          <w:color w:val="auto"/>
          <w:sz w:val="24"/>
          <w:szCs w:val="24"/>
          <w:highlight w:val="none"/>
        </w:rPr>
      </w:pPr>
      <w:r>
        <w:rPr>
          <w:rFonts w:hAnsi="宋体"/>
          <w:b/>
          <w:color w:val="auto"/>
          <w:sz w:val="24"/>
          <w:szCs w:val="24"/>
          <w:highlight w:val="none"/>
        </w:rPr>
        <w:t>十</w:t>
      </w:r>
      <w:r>
        <w:rPr>
          <w:rFonts w:hint="eastAsia" w:hAnsi="宋体"/>
          <w:b/>
          <w:color w:val="auto"/>
          <w:sz w:val="24"/>
          <w:szCs w:val="24"/>
          <w:highlight w:val="none"/>
        </w:rPr>
        <w:t>一</w:t>
      </w:r>
      <w:r>
        <w:rPr>
          <w:rFonts w:hAnsi="宋体"/>
          <w:b/>
          <w:color w:val="auto"/>
          <w:sz w:val="24"/>
          <w:szCs w:val="24"/>
          <w:highlight w:val="none"/>
        </w:rPr>
        <w:t>、磋商时间、地点</w:t>
      </w:r>
      <w:r>
        <w:rPr>
          <w:rFonts w:hAnsi="宋体"/>
          <w:bCs/>
          <w:color w:val="auto"/>
          <w:sz w:val="24"/>
          <w:szCs w:val="24"/>
          <w:highlight w:val="none"/>
        </w:rPr>
        <w:t>：</w:t>
      </w:r>
      <w:r>
        <w:rPr>
          <w:rFonts w:hint="eastAsia" w:hAnsi="宋体" w:cs="宋体"/>
          <w:color w:val="auto"/>
          <w:sz w:val="24"/>
          <w:szCs w:val="24"/>
          <w:highlight w:val="none"/>
          <w:u w:val="single"/>
        </w:rPr>
        <w:t>2021</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6</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22</w:t>
      </w:r>
      <w:r>
        <w:rPr>
          <w:rFonts w:hint="eastAsia" w:hAnsi="宋体" w:cs="宋体"/>
          <w:color w:val="auto"/>
          <w:sz w:val="24"/>
          <w:szCs w:val="24"/>
          <w:highlight w:val="none"/>
        </w:rPr>
        <w:t>日</w:t>
      </w:r>
      <w:r>
        <w:rPr>
          <w:rFonts w:hint="eastAsia" w:hAnsi="宋体" w:cs="宋体"/>
          <w:color w:val="auto"/>
          <w:sz w:val="24"/>
          <w:szCs w:val="24"/>
          <w:highlight w:val="none"/>
          <w:lang w:val="en-US" w:eastAsia="zh-CN"/>
        </w:rPr>
        <w:t>11</w:t>
      </w:r>
      <w:r>
        <w:rPr>
          <w:rFonts w:hint="eastAsia" w:hAnsi="宋体" w:cs="宋体"/>
          <w:color w:val="auto"/>
          <w:sz w:val="24"/>
          <w:szCs w:val="24"/>
          <w:highlight w:val="none"/>
        </w:rPr>
        <w:t xml:space="preserve"> :00</w:t>
      </w:r>
      <w:r>
        <w:rPr>
          <w:rFonts w:hint="eastAsia" w:hAnsi="宋体"/>
          <w:bCs/>
          <w:color w:val="auto"/>
          <w:sz w:val="24"/>
          <w:szCs w:val="24"/>
          <w:highlight w:val="none"/>
        </w:rPr>
        <w:t>（北京时间）</w:t>
      </w:r>
      <w:r>
        <w:rPr>
          <w:rFonts w:hAnsi="宋体"/>
          <w:bCs/>
          <w:color w:val="auto"/>
          <w:sz w:val="24"/>
          <w:szCs w:val="24"/>
          <w:highlight w:val="none"/>
        </w:rPr>
        <w:t>，</w:t>
      </w:r>
      <w:r>
        <w:rPr>
          <w:rFonts w:hint="eastAsia" w:hAnsi="宋体" w:cs="宋体"/>
          <w:bCs/>
          <w:color w:val="auto"/>
          <w:sz w:val="24"/>
          <w:szCs w:val="24"/>
          <w:highlight w:val="none"/>
        </w:rPr>
        <w:t>四川省成都市金牛区兴盛西路2号6栋B座13楼（郦湾国际酒店右侧）。</w:t>
      </w:r>
    </w:p>
    <w:p>
      <w:pPr>
        <w:spacing w:line="480" w:lineRule="exact"/>
        <w:ind w:firstLine="482" w:firstLineChars="200"/>
        <w:jc w:val="both"/>
        <w:rPr>
          <w:rFonts w:hAnsi="宋体"/>
          <w:color w:val="auto"/>
          <w:sz w:val="24"/>
          <w:szCs w:val="24"/>
          <w:highlight w:val="none"/>
        </w:rPr>
      </w:pPr>
      <w:r>
        <w:rPr>
          <w:rFonts w:hint="eastAsia" w:hAnsi="宋体"/>
          <w:b/>
          <w:color w:val="auto"/>
          <w:sz w:val="24"/>
          <w:szCs w:val="24"/>
          <w:highlight w:val="none"/>
        </w:rPr>
        <w:t>十二、</w:t>
      </w:r>
      <w:r>
        <w:rPr>
          <w:rFonts w:hint="eastAsia" w:hAnsi="宋体"/>
          <w:color w:val="auto"/>
          <w:sz w:val="24"/>
          <w:szCs w:val="24"/>
          <w:highlight w:val="none"/>
        </w:rPr>
        <w:t>本磋商邀请在四川政府采购网（</w:t>
      </w:r>
      <w:r>
        <w:rPr>
          <w:rFonts w:hint="eastAsia"/>
          <w:color w:val="auto"/>
          <w:sz w:val="24"/>
          <w:highlight w:val="none"/>
        </w:rPr>
        <w:t>www.ccgp-sichuan.gov.cn</w:t>
      </w:r>
      <w:r>
        <w:rPr>
          <w:rFonts w:hint="eastAsia" w:hAnsi="宋体"/>
          <w:color w:val="auto"/>
          <w:sz w:val="24"/>
          <w:szCs w:val="24"/>
          <w:highlight w:val="none"/>
        </w:rPr>
        <w:t>）上以公告形式发布。</w:t>
      </w:r>
    </w:p>
    <w:p>
      <w:pPr>
        <w:spacing w:line="360" w:lineRule="auto"/>
        <w:ind w:firstLine="482" w:firstLineChars="200"/>
        <w:jc w:val="both"/>
        <w:rPr>
          <w:rFonts w:hAnsi="宋体"/>
          <w:b/>
          <w:color w:val="auto"/>
          <w:sz w:val="24"/>
          <w:szCs w:val="24"/>
          <w:highlight w:val="none"/>
        </w:rPr>
      </w:pPr>
      <w:r>
        <w:rPr>
          <w:rFonts w:hAnsi="宋体"/>
          <w:b/>
          <w:color w:val="auto"/>
          <w:sz w:val="24"/>
          <w:szCs w:val="24"/>
          <w:highlight w:val="none"/>
        </w:rPr>
        <w:t>十</w:t>
      </w:r>
      <w:r>
        <w:rPr>
          <w:rFonts w:hint="eastAsia" w:hAnsi="宋体"/>
          <w:b/>
          <w:color w:val="auto"/>
          <w:sz w:val="24"/>
          <w:szCs w:val="24"/>
          <w:highlight w:val="none"/>
        </w:rPr>
        <w:t>三</w:t>
      </w:r>
      <w:r>
        <w:rPr>
          <w:rFonts w:hAnsi="宋体"/>
          <w:b/>
          <w:color w:val="auto"/>
          <w:sz w:val="24"/>
          <w:szCs w:val="24"/>
          <w:highlight w:val="none"/>
        </w:rPr>
        <w:t>、联系人及联系电话</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 购 人：</w:t>
      </w:r>
      <w:r>
        <w:rPr>
          <w:rFonts w:hint="eastAsia" w:hAnsi="宋体"/>
          <w:b/>
          <w:bCs/>
          <w:color w:val="auto"/>
          <w:sz w:val="24"/>
          <w:szCs w:val="24"/>
          <w:highlight w:val="none"/>
        </w:rPr>
        <w:t>成都市殡仪馆</w:t>
      </w:r>
    </w:p>
    <w:p>
      <w:pPr>
        <w:pStyle w:val="170"/>
        <w:ind w:firstLine="480"/>
        <w:rPr>
          <w:rFonts w:hAnsi="宋体" w:cs="宋体"/>
          <w:color w:val="auto"/>
          <w:sz w:val="24"/>
          <w:highlight w:val="none"/>
        </w:rPr>
      </w:pPr>
      <w:r>
        <w:rPr>
          <w:rFonts w:hint="eastAsia" w:hAnsi="宋体" w:cs="宋体"/>
          <w:color w:val="auto"/>
          <w:sz w:val="24"/>
          <w:highlight w:val="none"/>
        </w:rPr>
        <w:t xml:space="preserve">地    </w:t>
      </w:r>
      <w:r>
        <w:rPr>
          <w:rFonts w:hint="eastAsia" w:hAnsi="宋体" w:cs="宋体"/>
          <w:color w:val="auto"/>
          <w:kern w:val="0"/>
          <w:sz w:val="24"/>
          <w:szCs w:val="22"/>
          <w:highlight w:val="none"/>
        </w:rPr>
        <w:t>址：</w:t>
      </w:r>
      <w:r>
        <w:rPr>
          <w:rFonts w:hint="eastAsia" w:hAnsi="宋体" w:cs="宋体"/>
          <w:color w:val="auto"/>
          <w:sz w:val="24"/>
          <w:szCs w:val="24"/>
          <w:highlight w:val="none"/>
        </w:rPr>
        <w:t>四川省成都市成华区蜀陵路998号</w:t>
      </w:r>
    </w:p>
    <w:p>
      <w:pP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联 系 人：</w:t>
      </w:r>
      <w:r>
        <w:rPr>
          <w:rFonts w:hint="eastAsia" w:hAnsi="宋体"/>
          <w:color w:val="auto"/>
          <w:sz w:val="24"/>
          <w:szCs w:val="24"/>
          <w:highlight w:val="none"/>
        </w:rPr>
        <w:t>刘老师</w:t>
      </w:r>
    </w:p>
    <w:p>
      <w:pPr>
        <w:pStyle w:val="170"/>
        <w:ind w:firstLine="480"/>
        <w:rPr>
          <w:rFonts w:hAnsi="宋体" w:cs="宋体"/>
          <w:color w:val="auto"/>
          <w:sz w:val="24"/>
          <w:szCs w:val="24"/>
          <w:highlight w:val="none"/>
        </w:rPr>
      </w:pPr>
      <w:r>
        <w:rPr>
          <w:rFonts w:hint="eastAsia" w:hAnsi="宋体" w:cs="宋体"/>
          <w:color w:val="auto"/>
          <w:sz w:val="24"/>
          <w:szCs w:val="24"/>
          <w:highlight w:val="none"/>
        </w:rPr>
        <w:t>联系电话：</w:t>
      </w:r>
      <w:r>
        <w:rPr>
          <w:rFonts w:hint="eastAsia" w:hAnsi="宋体"/>
          <w:color w:val="auto"/>
          <w:sz w:val="24"/>
          <w:szCs w:val="24"/>
          <w:highlight w:val="none"/>
        </w:rPr>
        <w:t>028-83502400</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采购代理机构：四川标源招标代理有限公司</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地        址：四川省成都市金牛区兴盛西路2号6栋B座13楼（郦湾国际酒店右侧）</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邮        编：610037</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联   系   人：田女士</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项目咨询电话：028-87791929、18227601678（仅限技术咨询）</w:t>
      </w:r>
    </w:p>
    <w:p>
      <w:pPr>
        <w:pStyle w:val="2"/>
        <w:spacing w:line="360" w:lineRule="auto"/>
        <w:ind w:firstLine="480"/>
        <w:rPr>
          <w:rFonts w:ascii="宋体" w:hAnsi="宋体" w:cs="宋体"/>
          <w:color w:val="auto"/>
          <w:highlight w:val="none"/>
        </w:rPr>
      </w:pPr>
      <w:r>
        <w:rPr>
          <w:rFonts w:hint="eastAsia" w:ascii="宋体" w:hAnsi="宋体" w:cs="宋体"/>
          <w:color w:val="auto"/>
          <w:highlight w:val="none"/>
        </w:rPr>
        <w:t>标书售卖电话：028-87791929</w:t>
      </w:r>
    </w:p>
    <w:p>
      <w:pPr>
        <w:pStyle w:val="2"/>
        <w:spacing w:line="360" w:lineRule="auto"/>
        <w:ind w:firstLine="480"/>
        <w:rPr>
          <w:rFonts w:ascii="宋体" w:hAnsi="宋体" w:cs="宋体"/>
          <w:color w:val="auto"/>
          <w:highlight w:val="none"/>
        </w:rPr>
      </w:pPr>
      <w:r>
        <w:rPr>
          <w:rFonts w:hint="eastAsia" w:ascii="宋体" w:hAnsi="宋体" w:cs="宋体"/>
          <w:color w:val="auto"/>
          <w:highlight w:val="none"/>
        </w:rPr>
        <w:t>财务咨询电话（包括保证金、发票、通知书）：18180671505</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传        真：028-87791929</w:t>
      </w:r>
    </w:p>
    <w:p>
      <w:pPr>
        <w:widowControl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电  子 邮 件：2337932433@QQ.com</w:t>
      </w:r>
    </w:p>
    <w:p>
      <w:pPr>
        <w:widowControl w:val="0"/>
        <w:spacing w:line="360" w:lineRule="auto"/>
        <w:ind w:left="476" w:leftChars="140"/>
        <w:rPr>
          <w:rStyle w:val="55"/>
          <w:rFonts w:hAnsi="宋体" w:cs="宋体"/>
          <w:b w:val="0"/>
          <w:color w:val="auto"/>
          <w:sz w:val="24"/>
          <w:szCs w:val="22"/>
          <w:highlight w:val="none"/>
        </w:rPr>
      </w:pPr>
      <w:r>
        <w:rPr>
          <w:rFonts w:hint="eastAsia" w:hAnsi="宋体" w:cs="宋体"/>
          <w:color w:val="auto"/>
          <w:sz w:val="24"/>
          <w:szCs w:val="24"/>
          <w:highlight w:val="none"/>
        </w:rPr>
        <w:t>网        址：</w:t>
      </w:r>
      <w:r>
        <w:rPr>
          <w:color w:val="auto"/>
          <w:highlight w:val="none"/>
        </w:rPr>
        <w:fldChar w:fldCharType="begin"/>
      </w:r>
      <w:r>
        <w:rPr>
          <w:color w:val="auto"/>
          <w:highlight w:val="none"/>
        </w:rPr>
        <w:instrText xml:space="preserve"> HYPERLINK "http://www.biaoyuanzhaobiao.com" </w:instrText>
      </w:r>
      <w:r>
        <w:rPr>
          <w:color w:val="auto"/>
          <w:highlight w:val="none"/>
        </w:rPr>
        <w:fldChar w:fldCharType="separate"/>
      </w:r>
      <w:r>
        <w:rPr>
          <w:rStyle w:val="50"/>
          <w:rFonts w:hint="eastAsia" w:hAnsi="宋体" w:cs="宋体"/>
          <w:color w:val="auto"/>
          <w:sz w:val="24"/>
          <w:szCs w:val="24"/>
          <w:highlight w:val="none"/>
          <w:u w:val="none"/>
        </w:rPr>
        <w:t>www.biaoyuanzhaobiao.com</w:t>
      </w:r>
      <w:r>
        <w:rPr>
          <w:rStyle w:val="50"/>
          <w:rFonts w:hint="eastAsia" w:hAnsi="宋体" w:cs="宋体"/>
          <w:color w:val="auto"/>
          <w:sz w:val="24"/>
          <w:szCs w:val="24"/>
          <w:highlight w:val="none"/>
          <w:u w:val="none"/>
        </w:rPr>
        <w:fldChar w:fldCharType="end"/>
      </w:r>
      <w:r>
        <w:rPr>
          <w:rFonts w:hAnsi="宋体" w:cs="宋体"/>
          <w:color w:val="auto"/>
          <w:sz w:val="24"/>
          <w:highlight w:val="none"/>
        </w:rPr>
        <w:br w:type="textWrapping"/>
      </w:r>
      <w:r>
        <w:rPr>
          <w:rFonts w:hint="eastAsia" w:hAnsi="宋体"/>
          <w:b/>
          <w:color w:val="auto"/>
          <w:sz w:val="24"/>
          <w:szCs w:val="24"/>
          <w:highlight w:val="none"/>
        </w:rPr>
        <w:t>十四、</w:t>
      </w:r>
      <w:r>
        <w:rPr>
          <w:rFonts w:hAnsi="宋体"/>
          <w:b/>
          <w:color w:val="auto"/>
          <w:sz w:val="24"/>
          <w:szCs w:val="24"/>
          <w:highlight w:val="none"/>
        </w:rPr>
        <w:t>“政采贷”</w:t>
      </w:r>
      <w:r>
        <w:rPr>
          <w:rFonts w:hint="eastAsia" w:hAnsi="宋体"/>
          <w:b/>
          <w:color w:val="auto"/>
          <w:sz w:val="24"/>
          <w:szCs w:val="24"/>
          <w:highlight w:val="none"/>
        </w:rPr>
        <w:t>信用融资渠道</w:t>
      </w:r>
    </w:p>
    <w:p>
      <w:pPr>
        <w:spacing w:line="480" w:lineRule="exact"/>
        <w:ind w:firstLine="480" w:firstLineChars="200"/>
        <w:rPr>
          <w:rFonts w:hAnsi="宋体" w:cs="宋体"/>
          <w:color w:val="auto"/>
          <w:sz w:val="24"/>
          <w:highlight w:val="none"/>
        </w:rPr>
      </w:pPr>
      <w:r>
        <w:rPr>
          <w:rFonts w:hint="eastAsia" w:hAnsi="宋体" w:cs="宋体"/>
          <w:color w:val="auto"/>
          <w:sz w:val="24"/>
          <w:highlight w:val="none"/>
        </w:rPr>
        <w:t>根据《四川省财政厅关于推进四川省政府采购供应商信用融资工作的通知》(川财采[2018]</w:t>
      </w:r>
      <w:r>
        <w:rPr>
          <w:rStyle w:val="55"/>
          <w:rFonts w:hint="eastAsia" w:hAnsi="宋体" w:cs="宋体"/>
          <w:b w:val="0"/>
          <w:color w:val="auto"/>
          <w:sz w:val="24"/>
          <w:szCs w:val="22"/>
          <w:highlight w:val="none"/>
        </w:rPr>
        <w:t>123号文)的通知，为解决政府采购成交供应商资金不足、融资难、融资贵的问题，现有融资需求的供应商可根据四川省政府采购网公示的银行及其“政采贷”产品，自行选择符合自身情况的“政采贷”银行及其产品，凭成交通知书向银行提出贷款意向申请</w:t>
      </w:r>
    </w:p>
    <w:p>
      <w:pPr>
        <w:spacing w:line="480" w:lineRule="exact"/>
        <w:ind w:firstLine="480" w:firstLineChars="200"/>
        <w:rPr>
          <w:rFonts w:hAnsi="宋体" w:cs="宋体"/>
          <w:color w:val="auto"/>
          <w:sz w:val="24"/>
          <w:highlight w:val="none"/>
        </w:rPr>
      </w:pPr>
      <w:r>
        <w:rPr>
          <w:rFonts w:hint="eastAsia" w:hAnsi="宋体" w:cs="宋体"/>
          <w:color w:val="auto"/>
          <w:sz w:val="24"/>
          <w:highlight w:val="none"/>
        </w:rPr>
        <w:t>为有效缓解中小企业融资难、融资贵问题，成都市财政局、中国人民银行成都分行营业管理部制定了《成都市中小企业政府采购信用融资暂行办法》和《成都市级支持中小企业政府采购信用融资实施方案》（成财采[2019]17号），成都市范围内政府采购项目成交的中小微企业可向开展政府采购信用融资业务的银行提出融资申请。</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tcPr>
          <w:p>
            <w:pPr>
              <w:widowControl w:val="0"/>
              <w:spacing w:line="480" w:lineRule="exact"/>
              <w:jc w:val="center"/>
              <w:rPr>
                <w:rFonts w:hAnsi="宋体" w:cs="宋体"/>
                <w:color w:val="auto"/>
                <w:sz w:val="24"/>
                <w:highlight w:val="none"/>
              </w:rPr>
            </w:pPr>
            <w:r>
              <w:rPr>
                <w:rFonts w:hAnsi="宋体" w:cs="宋体"/>
                <w:color w:val="auto"/>
                <w:sz w:val="24"/>
                <w:highlight w:val="none"/>
              </w:rPr>
              <w:t>开展“政采贷”业务的银行名单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1.中国建设银行四川省分行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2.中国工商银行四川省分行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3.中国农业银行四川省分行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4.中国银行四川省分行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5.交通银行四川省分行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6.中国邮储银行四川省分行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7.华夏银行成都分行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8.民生银行成都分行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9.四川天府银行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10.兴业银行成都分行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11.成都银行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12.成都农村商业银行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13.上海银行成都分行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14.渤海银行成都分行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15.雅安农村商业银行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16.雅安市商业银行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17.眉山农村商业银行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18</w:t>
            </w:r>
            <w:r>
              <w:rPr>
                <w:rFonts w:hint="eastAsia" w:hAnsi="宋体" w:cs="宋体"/>
                <w:color w:val="auto"/>
                <w:sz w:val="24"/>
                <w:highlight w:val="none"/>
              </w:rPr>
              <w:t>.</w:t>
            </w:r>
            <w:r>
              <w:rPr>
                <w:rFonts w:hAnsi="宋体" w:cs="宋体"/>
                <w:color w:val="auto"/>
                <w:sz w:val="24"/>
                <w:highlight w:val="none"/>
              </w:rPr>
              <w:t>乐山市商业银行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19.乐山嘉州民富村镇银行</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20.绵阳市商业银行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21.四川省农村信用社联合社</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22.平安银行股份有限公司成都分行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23.上海浦东发展银行股份有限公司成都</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24.雅安雨城惠民村镇银行有限责任公司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tcPr>
          <w:p>
            <w:pPr>
              <w:widowControl w:val="0"/>
              <w:spacing w:line="480" w:lineRule="exact"/>
              <w:rPr>
                <w:rFonts w:hAnsi="宋体" w:cs="宋体"/>
                <w:color w:val="auto"/>
                <w:sz w:val="24"/>
                <w:highlight w:val="none"/>
              </w:rPr>
            </w:pPr>
            <w:r>
              <w:rPr>
                <w:rFonts w:hAnsi="宋体" w:cs="宋体"/>
                <w:color w:val="auto"/>
                <w:sz w:val="24"/>
                <w:highlight w:val="none"/>
              </w:rPr>
              <w:t>25.自贡银行股份有限公司</w:t>
            </w:r>
          </w:p>
        </w:tc>
        <w:tc>
          <w:tcPr>
            <w:tcW w:w="4536" w:type="dxa"/>
          </w:tcPr>
          <w:p>
            <w:pPr>
              <w:widowControl w:val="0"/>
              <w:spacing w:line="480" w:lineRule="exact"/>
              <w:rPr>
                <w:rFonts w:hAnsi="宋体" w:cs="宋体"/>
                <w:color w:val="auto"/>
                <w:sz w:val="24"/>
                <w:highlight w:val="none"/>
              </w:rPr>
            </w:pPr>
            <w:r>
              <w:rPr>
                <w:rFonts w:hAnsi="宋体" w:cs="宋体"/>
                <w:color w:val="auto"/>
                <w:sz w:val="24"/>
                <w:highlight w:val="none"/>
              </w:rPr>
              <w:t>26.宜宾市商业银行股份有限公司</w:t>
            </w:r>
          </w:p>
        </w:tc>
      </w:tr>
    </w:tbl>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3"/>
        <w:numPr>
          <w:ilvl w:val="0"/>
          <w:numId w:val="0"/>
        </w:numPr>
        <w:spacing w:before="0" w:line="480" w:lineRule="exact"/>
        <w:rPr>
          <w:rFonts w:ascii="宋体" w:hAnsi="宋体" w:eastAsia="宋体"/>
          <w:color w:val="auto"/>
          <w:highlight w:val="none"/>
        </w:rPr>
      </w:pPr>
      <w:bookmarkStart w:id="2" w:name="_Toc26171"/>
      <w:r>
        <w:rPr>
          <w:rFonts w:ascii="宋体" w:hAnsi="宋体" w:eastAsia="宋体"/>
          <w:color w:val="auto"/>
          <w:highlight w:val="none"/>
        </w:rPr>
        <w:br w:type="page"/>
      </w:r>
      <w:bookmarkStart w:id="3" w:name="_Toc11450"/>
      <w:r>
        <w:rPr>
          <w:rFonts w:ascii="宋体" w:hAnsi="宋体" w:eastAsia="宋体"/>
          <w:color w:val="auto"/>
          <w:highlight w:val="none"/>
        </w:rPr>
        <w:t>第二章  磋商须知</w:t>
      </w:r>
      <w:bookmarkEnd w:id="2"/>
      <w:bookmarkEnd w:id="3"/>
    </w:p>
    <w:p>
      <w:pPr>
        <w:pStyle w:val="4"/>
        <w:spacing w:after="0" w:line="440" w:lineRule="exact"/>
        <w:rPr>
          <w:color w:val="auto"/>
          <w:highlight w:val="none"/>
        </w:rPr>
      </w:pPr>
      <w:bookmarkStart w:id="4" w:name="_Toc209847034"/>
      <w:bookmarkStart w:id="5" w:name="_Toc430773895"/>
      <w:r>
        <w:rPr>
          <w:rFonts w:hint="eastAsia"/>
          <w:color w:val="auto"/>
          <w:highlight w:val="none"/>
        </w:rPr>
        <w:t>一、供应商磋商须知附表</w:t>
      </w:r>
      <w:bookmarkEnd w:id="4"/>
      <w:bookmarkEnd w:id="5"/>
    </w:p>
    <w:tbl>
      <w:tblPr>
        <w:tblStyle w:val="44"/>
        <w:tblW w:w="91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94"/>
        <w:gridCol w:w="1924"/>
        <w:gridCol w:w="659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15" w:hRule="exac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 xml:space="preserve">序号 </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条款名称</w:t>
            </w:r>
          </w:p>
        </w:tc>
        <w:tc>
          <w:tcPr>
            <w:tcW w:w="6598"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4"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w:t>
            </w:r>
          </w:p>
        </w:tc>
        <w:tc>
          <w:tcPr>
            <w:tcW w:w="1924" w:type="dxa"/>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采购人</w:t>
            </w:r>
          </w:p>
        </w:tc>
        <w:tc>
          <w:tcPr>
            <w:tcW w:w="6598" w:type="dxa"/>
            <w:vAlign w:val="center"/>
          </w:tcPr>
          <w:p>
            <w:pPr>
              <w:snapToGrid w:val="0"/>
              <w:spacing w:line="420" w:lineRule="exact"/>
              <w:outlineLvl w:val="5"/>
              <w:rPr>
                <w:rFonts w:hAnsi="宋体"/>
                <w:bCs/>
                <w:color w:val="auto"/>
                <w:sz w:val="24"/>
                <w:szCs w:val="24"/>
                <w:highlight w:val="none"/>
              </w:rPr>
            </w:pPr>
            <w:r>
              <w:rPr>
                <w:rFonts w:hint="eastAsia"/>
                <w:color w:val="auto"/>
                <w:sz w:val="24"/>
                <w:highlight w:val="none"/>
              </w:rPr>
              <w:t>成都市殡仪馆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3"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w:t>
            </w:r>
          </w:p>
        </w:tc>
        <w:tc>
          <w:tcPr>
            <w:tcW w:w="1924" w:type="dxa"/>
            <w:vAlign w:val="center"/>
          </w:tcPr>
          <w:p>
            <w:pPr>
              <w:spacing w:line="420" w:lineRule="exact"/>
              <w:ind w:right="289" w:rightChars="85"/>
              <w:jc w:val="center"/>
              <w:outlineLvl w:val="5"/>
              <w:rPr>
                <w:rFonts w:hAnsi="宋体"/>
                <w:bCs/>
                <w:color w:val="auto"/>
                <w:sz w:val="24"/>
                <w:szCs w:val="24"/>
                <w:highlight w:val="none"/>
              </w:rPr>
            </w:pPr>
            <w:r>
              <w:rPr>
                <w:rFonts w:hint="eastAsia" w:hAnsi="宋体"/>
                <w:bCs/>
                <w:color w:val="auto"/>
                <w:sz w:val="24"/>
                <w:szCs w:val="24"/>
                <w:highlight w:val="none"/>
              </w:rPr>
              <w:t>采购代理机构</w:t>
            </w:r>
          </w:p>
        </w:tc>
        <w:tc>
          <w:tcPr>
            <w:tcW w:w="6598" w:type="dxa"/>
            <w:vAlign w:val="center"/>
          </w:tcPr>
          <w:p>
            <w:pPr>
              <w:snapToGrid w:val="0"/>
              <w:spacing w:line="420" w:lineRule="exact"/>
              <w:outlineLvl w:val="5"/>
              <w:rPr>
                <w:rFonts w:hAnsi="宋体"/>
                <w:bCs/>
                <w:color w:val="auto"/>
                <w:sz w:val="24"/>
                <w:szCs w:val="24"/>
                <w:highlight w:val="none"/>
              </w:rPr>
            </w:pPr>
            <w:r>
              <w:rPr>
                <w:rFonts w:hint="eastAsia" w:hAnsi="宋体"/>
                <w:bCs/>
                <w:color w:val="auto"/>
                <w:sz w:val="24"/>
                <w:szCs w:val="24"/>
                <w:highlight w:val="none"/>
              </w:rPr>
              <w:t>四川标源招标代理有限公司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0"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3</w:t>
            </w:r>
          </w:p>
        </w:tc>
        <w:tc>
          <w:tcPr>
            <w:tcW w:w="1924" w:type="dxa"/>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项目名称</w:t>
            </w:r>
          </w:p>
        </w:tc>
        <w:tc>
          <w:tcPr>
            <w:tcW w:w="6598" w:type="dxa"/>
            <w:vAlign w:val="center"/>
          </w:tcPr>
          <w:p>
            <w:pPr>
              <w:snapToGrid w:val="0"/>
              <w:spacing w:line="420" w:lineRule="exact"/>
              <w:outlineLvl w:val="5"/>
              <w:rPr>
                <w:rFonts w:hAnsi="宋体"/>
                <w:bCs/>
                <w:color w:val="auto"/>
                <w:sz w:val="24"/>
                <w:szCs w:val="24"/>
                <w:highlight w:val="none"/>
              </w:rPr>
            </w:pPr>
            <w:r>
              <w:rPr>
                <w:rFonts w:hint="eastAsia"/>
                <w:color w:val="auto"/>
                <w:sz w:val="24"/>
                <w:highlight w:val="none"/>
              </w:rPr>
              <w:t>成都市殡仪馆磨盘山公墓安防系统改造采购项目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450"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4</w:t>
            </w:r>
          </w:p>
        </w:tc>
        <w:tc>
          <w:tcPr>
            <w:tcW w:w="1924" w:type="dxa"/>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项目编号</w:t>
            </w:r>
          </w:p>
        </w:tc>
        <w:tc>
          <w:tcPr>
            <w:tcW w:w="6598" w:type="dxa"/>
            <w:vAlign w:val="center"/>
          </w:tcPr>
          <w:p>
            <w:pPr>
              <w:snapToGrid w:val="0"/>
              <w:spacing w:line="420" w:lineRule="exact"/>
              <w:outlineLvl w:val="5"/>
              <w:rPr>
                <w:rFonts w:hAnsi="宋体"/>
                <w:bCs/>
                <w:color w:val="auto"/>
                <w:sz w:val="24"/>
                <w:szCs w:val="24"/>
                <w:highlight w:val="none"/>
              </w:rPr>
            </w:pPr>
            <w:r>
              <w:rPr>
                <w:rFonts w:hint="eastAsia" w:hAnsi="宋体"/>
                <w:bCs/>
                <w:color w:val="auto"/>
                <w:sz w:val="24"/>
                <w:szCs w:val="24"/>
                <w:highlight w:val="none"/>
              </w:rPr>
              <w:t>scby-cd-zc-2021206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450"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5</w:t>
            </w:r>
          </w:p>
        </w:tc>
        <w:tc>
          <w:tcPr>
            <w:tcW w:w="1924" w:type="dxa"/>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资金来源</w:t>
            </w:r>
          </w:p>
        </w:tc>
        <w:tc>
          <w:tcPr>
            <w:tcW w:w="6598" w:type="dxa"/>
            <w:vAlign w:val="center"/>
          </w:tcPr>
          <w:p>
            <w:pPr>
              <w:snapToGrid w:val="0"/>
              <w:spacing w:line="420" w:lineRule="exact"/>
              <w:outlineLvl w:val="5"/>
              <w:rPr>
                <w:rFonts w:hAnsi="宋体"/>
                <w:bCs/>
                <w:color w:val="auto"/>
                <w:sz w:val="24"/>
                <w:szCs w:val="24"/>
                <w:highlight w:val="none"/>
              </w:rPr>
            </w:pPr>
            <w:r>
              <w:rPr>
                <w:rFonts w:hint="eastAsia" w:hAnsi="宋体"/>
                <w:bCs/>
                <w:color w:val="auto"/>
                <w:sz w:val="24"/>
                <w:szCs w:val="24"/>
                <w:highlight w:val="none"/>
              </w:rPr>
              <w:t>财政资金，已落实。</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cantSplit/>
          <w:trHeight w:val="585" w:hRule="atLeast"/>
          <w:jc w:val="center"/>
        </w:trPr>
        <w:tc>
          <w:tcPr>
            <w:tcW w:w="594" w:type="dxa"/>
            <w:vMerge w:val="restart"/>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6</w:t>
            </w:r>
          </w:p>
        </w:tc>
        <w:tc>
          <w:tcPr>
            <w:tcW w:w="1924" w:type="dxa"/>
            <w:tcBorders>
              <w:bottom w:val="single" w:color="auto" w:sz="4" w:space="0"/>
            </w:tcBorders>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采购预算</w:t>
            </w:r>
          </w:p>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（实质性要求）</w:t>
            </w:r>
          </w:p>
        </w:tc>
        <w:tc>
          <w:tcPr>
            <w:tcW w:w="6598" w:type="dxa"/>
            <w:tcBorders>
              <w:bottom w:val="single" w:color="auto" w:sz="4" w:space="0"/>
            </w:tcBorders>
            <w:vAlign w:val="center"/>
          </w:tcPr>
          <w:p>
            <w:pPr>
              <w:snapToGrid w:val="0"/>
              <w:spacing w:line="420" w:lineRule="exact"/>
              <w:outlineLvl w:val="5"/>
              <w:rPr>
                <w:color w:val="auto"/>
                <w:sz w:val="24"/>
                <w:szCs w:val="24"/>
                <w:highlight w:val="none"/>
              </w:rPr>
            </w:pPr>
            <w:r>
              <w:rPr>
                <w:rFonts w:hint="eastAsia"/>
                <w:color w:val="auto"/>
                <w:sz w:val="24"/>
                <w:szCs w:val="24"/>
                <w:highlight w:val="none"/>
              </w:rPr>
              <w:t>采购预算：</w:t>
            </w:r>
            <w:r>
              <w:rPr>
                <w:rFonts w:hint="eastAsia" w:hAnsi="宋体"/>
                <w:color w:val="auto"/>
                <w:sz w:val="24"/>
                <w:szCs w:val="24"/>
                <w:highlight w:val="none"/>
              </w:rPr>
              <w:t>142万元；</w:t>
            </w:r>
          </w:p>
          <w:p>
            <w:pPr>
              <w:pStyle w:val="2"/>
              <w:rPr>
                <w:color w:val="auto"/>
                <w:highlight w:val="none"/>
              </w:rPr>
            </w:pPr>
            <w:r>
              <w:rPr>
                <w:rFonts w:hint="eastAsia" w:hAnsi="宋体"/>
                <w:color w:val="auto"/>
                <w:highlight w:val="none"/>
              </w:rPr>
              <w:t>超过采购预算的报价为无效报价。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cantSplit/>
          <w:trHeight w:val="965" w:hRule="atLeast"/>
          <w:jc w:val="center"/>
        </w:trPr>
        <w:tc>
          <w:tcPr>
            <w:tcW w:w="594" w:type="dxa"/>
            <w:vMerge w:val="continue"/>
            <w:vAlign w:val="center"/>
          </w:tcPr>
          <w:p>
            <w:pPr>
              <w:spacing w:line="440" w:lineRule="exact"/>
              <w:jc w:val="center"/>
              <w:outlineLvl w:val="5"/>
              <w:rPr>
                <w:rFonts w:hAnsi="宋体"/>
                <w:bCs/>
                <w:color w:val="auto"/>
                <w:sz w:val="24"/>
                <w:szCs w:val="24"/>
                <w:highlight w:val="none"/>
              </w:rPr>
            </w:pPr>
          </w:p>
        </w:tc>
        <w:tc>
          <w:tcPr>
            <w:tcW w:w="1924" w:type="dxa"/>
            <w:tcBorders>
              <w:top w:val="single" w:color="auto" w:sz="4" w:space="0"/>
            </w:tcBorders>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最高限价</w:t>
            </w:r>
          </w:p>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（实质性要求）</w:t>
            </w:r>
          </w:p>
        </w:tc>
        <w:tc>
          <w:tcPr>
            <w:tcW w:w="6598" w:type="dxa"/>
            <w:tcBorders>
              <w:top w:val="single" w:color="auto" w:sz="4" w:space="0"/>
            </w:tcBorders>
          </w:tcPr>
          <w:p>
            <w:pPr>
              <w:pStyle w:val="290"/>
              <w:spacing w:line="360" w:lineRule="auto"/>
              <w:jc w:val="both"/>
              <w:rPr>
                <w:rFonts w:ascii="宋体" w:hAnsi="宋体" w:cs="宋体"/>
                <w:color w:val="auto"/>
                <w:highlight w:val="none"/>
              </w:rPr>
            </w:pPr>
            <w:r>
              <w:rPr>
                <w:rFonts w:hint="eastAsia" w:ascii="宋体" w:hAnsi="宋体" w:cs="宋体"/>
                <w:color w:val="auto"/>
                <w:highlight w:val="none"/>
              </w:rPr>
              <w:t>最高限价：138.7万元；</w:t>
            </w:r>
          </w:p>
          <w:p>
            <w:pPr>
              <w:pStyle w:val="290"/>
              <w:spacing w:line="360" w:lineRule="auto"/>
              <w:jc w:val="both"/>
              <w:rPr>
                <w:rFonts w:hAnsi="宋体"/>
                <w:color w:val="auto"/>
                <w:highlight w:val="none"/>
              </w:rPr>
            </w:pPr>
            <w:r>
              <w:rPr>
                <w:rFonts w:hint="eastAsia" w:ascii="宋体" w:hAnsi="宋体" w:cs="宋体"/>
                <w:color w:val="auto"/>
                <w:highlight w:val="none"/>
              </w:rPr>
              <w:t>超过最高限价的报价为无效报价。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cantSplit/>
          <w:trHeight w:val="965" w:hRule="atLeast"/>
          <w:jc w:val="center"/>
        </w:trPr>
        <w:tc>
          <w:tcPr>
            <w:tcW w:w="594" w:type="dxa"/>
            <w:vMerge w:val="continue"/>
            <w:vAlign w:val="center"/>
          </w:tcPr>
          <w:p>
            <w:pPr>
              <w:spacing w:line="440" w:lineRule="exact"/>
              <w:jc w:val="center"/>
              <w:outlineLvl w:val="5"/>
              <w:rPr>
                <w:rFonts w:hAnsi="宋体"/>
                <w:bCs/>
                <w:color w:val="auto"/>
                <w:sz w:val="24"/>
                <w:szCs w:val="24"/>
                <w:highlight w:val="none"/>
              </w:rPr>
            </w:pPr>
          </w:p>
        </w:tc>
        <w:tc>
          <w:tcPr>
            <w:tcW w:w="1924" w:type="dxa"/>
            <w:tcBorders>
              <w:top w:val="single" w:color="auto" w:sz="4" w:space="0"/>
            </w:tcBorders>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是否专门面向中小企业（实质性要求）</w:t>
            </w:r>
          </w:p>
        </w:tc>
        <w:tc>
          <w:tcPr>
            <w:tcW w:w="6598" w:type="dxa"/>
            <w:tcBorders>
              <w:top w:val="single" w:color="auto" w:sz="4" w:space="0"/>
            </w:tcBorders>
            <w:vAlign w:val="center"/>
          </w:tcPr>
          <w:p>
            <w:pPr>
              <w:pStyle w:val="290"/>
              <w:spacing w:line="360" w:lineRule="auto"/>
              <w:jc w:val="center"/>
              <w:rPr>
                <w:rFonts w:ascii="宋体" w:hAnsi="宋体" w:cs="宋体"/>
                <w:color w:val="auto"/>
                <w:highlight w:val="none"/>
              </w:rPr>
            </w:pPr>
            <w:r>
              <w:rPr>
                <w:rFonts w:hint="eastAsia" w:cs="Times New Roman"/>
                <w:bCs/>
                <w:color w:val="auto"/>
                <w:highlight w:val="none"/>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cantSplit/>
          <w:trHeight w:val="965" w:hRule="atLeast"/>
          <w:jc w:val="center"/>
        </w:trPr>
        <w:tc>
          <w:tcPr>
            <w:tcW w:w="594" w:type="dxa"/>
            <w:vMerge w:val="restart"/>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7</w:t>
            </w:r>
          </w:p>
        </w:tc>
        <w:tc>
          <w:tcPr>
            <w:tcW w:w="1924" w:type="dxa"/>
            <w:tcBorders>
              <w:top w:val="single" w:color="auto" w:sz="4" w:space="0"/>
            </w:tcBorders>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采购类别</w:t>
            </w:r>
          </w:p>
        </w:tc>
        <w:tc>
          <w:tcPr>
            <w:tcW w:w="6598" w:type="dxa"/>
            <w:tcBorders>
              <w:top w:val="single" w:color="auto" w:sz="4" w:space="0"/>
            </w:tcBorders>
            <w:vAlign w:val="center"/>
          </w:tcPr>
          <w:p>
            <w:pPr>
              <w:pStyle w:val="290"/>
              <w:spacing w:line="480" w:lineRule="exact"/>
              <w:ind w:left="38"/>
              <w:rPr>
                <w:rFonts w:cs="Times New Roman"/>
                <w:bCs/>
                <w:color w:val="auto"/>
                <w:highlight w:val="none"/>
              </w:rPr>
            </w:pPr>
            <w:r>
              <w:rPr>
                <w:rFonts w:hint="eastAsia" w:cs="Times New Roman"/>
                <w:bCs/>
                <w:color w:val="auto"/>
                <w:highlight w:val="none"/>
              </w:rPr>
              <w:t>货物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cantSplit/>
          <w:trHeight w:val="965" w:hRule="atLeast"/>
          <w:jc w:val="center"/>
        </w:trPr>
        <w:tc>
          <w:tcPr>
            <w:tcW w:w="594" w:type="dxa"/>
            <w:vMerge w:val="continue"/>
            <w:vAlign w:val="center"/>
          </w:tcPr>
          <w:p>
            <w:pPr>
              <w:spacing w:line="440" w:lineRule="exact"/>
              <w:jc w:val="center"/>
              <w:outlineLvl w:val="5"/>
              <w:rPr>
                <w:rFonts w:hAnsi="宋体"/>
                <w:bCs/>
                <w:color w:val="auto"/>
                <w:sz w:val="24"/>
                <w:szCs w:val="24"/>
                <w:highlight w:val="none"/>
              </w:rPr>
            </w:pPr>
          </w:p>
        </w:tc>
        <w:tc>
          <w:tcPr>
            <w:tcW w:w="1924" w:type="dxa"/>
            <w:tcBorders>
              <w:top w:val="single" w:color="auto" w:sz="4" w:space="0"/>
            </w:tcBorders>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所属行业</w:t>
            </w:r>
          </w:p>
        </w:tc>
        <w:tc>
          <w:tcPr>
            <w:tcW w:w="6598" w:type="dxa"/>
            <w:tcBorders>
              <w:top w:val="single" w:color="auto" w:sz="4" w:space="0"/>
            </w:tcBorders>
            <w:vAlign w:val="center"/>
          </w:tcPr>
          <w:p>
            <w:pPr>
              <w:pStyle w:val="290"/>
              <w:spacing w:line="480" w:lineRule="exact"/>
              <w:rPr>
                <w:rFonts w:cs="Times New Roman"/>
                <w:bCs/>
                <w:color w:val="auto"/>
                <w:highlight w:val="none"/>
              </w:rPr>
            </w:pPr>
            <w:r>
              <w:rPr>
                <w:rFonts w:hint="eastAsia" w:cs="Times New Roman"/>
                <w:bCs/>
                <w:color w:val="auto"/>
                <w:highlight w:val="none"/>
              </w:rPr>
              <w:t>工业（制造业）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450"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8</w:t>
            </w:r>
          </w:p>
        </w:tc>
        <w:tc>
          <w:tcPr>
            <w:tcW w:w="1924" w:type="dxa"/>
            <w:vAlign w:val="center"/>
          </w:tcPr>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低于成本价不正当竞争预防措施</w:t>
            </w:r>
          </w:p>
          <w:p>
            <w:pPr>
              <w:spacing w:line="420" w:lineRule="exact"/>
              <w:jc w:val="center"/>
              <w:outlineLvl w:val="5"/>
              <w:rPr>
                <w:rFonts w:hAnsi="宋体"/>
                <w:bCs/>
                <w:color w:val="auto"/>
                <w:sz w:val="24"/>
                <w:szCs w:val="24"/>
                <w:highlight w:val="none"/>
              </w:rPr>
            </w:pPr>
            <w:r>
              <w:rPr>
                <w:rFonts w:hint="eastAsia" w:hAnsi="宋体"/>
                <w:bCs/>
                <w:color w:val="auto"/>
                <w:sz w:val="24"/>
                <w:szCs w:val="24"/>
                <w:highlight w:val="none"/>
              </w:rPr>
              <w:t>（实质性要求）</w:t>
            </w:r>
          </w:p>
        </w:tc>
        <w:tc>
          <w:tcPr>
            <w:tcW w:w="6598" w:type="dxa"/>
            <w:vAlign w:val="center"/>
          </w:tcPr>
          <w:p>
            <w:pPr>
              <w:snapToGrid w:val="0"/>
              <w:spacing w:line="440" w:lineRule="exact"/>
              <w:ind w:firstLine="480" w:firstLineChars="200"/>
              <w:outlineLvl w:val="5"/>
              <w:rPr>
                <w:rFonts w:hAnsi="宋体"/>
                <w:bCs/>
                <w:color w:val="auto"/>
                <w:sz w:val="24"/>
                <w:szCs w:val="24"/>
                <w:highlight w:val="none"/>
              </w:rPr>
            </w:pPr>
            <w:r>
              <w:rPr>
                <w:rFonts w:hint="eastAsia" w:hAnsi="宋体"/>
                <w:bCs/>
                <w:color w:val="auto"/>
                <w:sz w:val="24"/>
                <w:szCs w:val="24"/>
                <w:highlight w:val="none"/>
              </w:rPr>
              <w:t>在磋商过程中，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响应处理。供应商书面说明应当按照国家财务会计制度的规定要求，逐项就供应商提供的服务的主营业务成本（应根据供应商企业类型予以区别）、税金及附加、销售费用、管理费用、财务费用等成本构成事项详细陈述。</w:t>
            </w:r>
          </w:p>
          <w:p>
            <w:pPr>
              <w:snapToGrid w:val="0"/>
              <w:spacing w:line="420" w:lineRule="exact"/>
              <w:ind w:firstLine="360" w:firstLineChars="150"/>
              <w:outlineLvl w:val="5"/>
              <w:rPr>
                <w:rFonts w:hAnsi="宋体"/>
                <w:bCs/>
                <w:color w:val="auto"/>
                <w:sz w:val="24"/>
                <w:szCs w:val="24"/>
                <w:highlight w:val="none"/>
              </w:rPr>
            </w:pPr>
            <w:r>
              <w:rPr>
                <w:rFonts w:hint="eastAsia" w:hAnsi="宋体"/>
                <w:bCs/>
                <w:color w:val="auto"/>
                <w:sz w:val="24"/>
                <w:szCs w:val="24"/>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snapToGrid w:val="0"/>
              <w:spacing w:line="420" w:lineRule="exact"/>
              <w:ind w:firstLine="240" w:firstLineChars="100"/>
              <w:outlineLvl w:val="5"/>
              <w:rPr>
                <w:rFonts w:hAnsi="宋体"/>
                <w:bCs/>
                <w:color w:val="auto"/>
                <w:sz w:val="24"/>
                <w:szCs w:val="24"/>
                <w:highlight w:val="none"/>
              </w:rPr>
            </w:pPr>
            <w:r>
              <w:rPr>
                <w:rFonts w:hint="eastAsia" w:hAnsi="宋体"/>
                <w:bCs/>
                <w:color w:val="auto"/>
                <w:sz w:val="24"/>
                <w:szCs w:val="24"/>
                <w:highlight w:val="none"/>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0"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9</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采购方式</w:t>
            </w:r>
          </w:p>
        </w:tc>
        <w:tc>
          <w:tcPr>
            <w:tcW w:w="6598" w:type="dxa"/>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9" w:hRule="atLeast"/>
          <w:jc w:val="center"/>
        </w:trPr>
        <w:tc>
          <w:tcPr>
            <w:tcW w:w="594" w:type="dxa"/>
            <w:tcBorders>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10</w:t>
            </w:r>
          </w:p>
        </w:tc>
        <w:tc>
          <w:tcPr>
            <w:tcW w:w="1924" w:type="dxa"/>
            <w:tcBorders>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评标方法</w:t>
            </w:r>
          </w:p>
        </w:tc>
        <w:tc>
          <w:tcPr>
            <w:tcW w:w="6598" w:type="dxa"/>
            <w:tcBorders>
              <w:bottom w:val="single" w:color="auto" w:sz="4" w:space="0"/>
            </w:tcBorders>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9" w:hRule="atLeast"/>
          <w:jc w:val="center"/>
        </w:trPr>
        <w:tc>
          <w:tcPr>
            <w:tcW w:w="594" w:type="dxa"/>
            <w:vMerge w:val="restart"/>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11</w:t>
            </w:r>
          </w:p>
        </w:tc>
        <w:tc>
          <w:tcPr>
            <w:tcW w:w="1924" w:type="dxa"/>
            <w:tcBorders>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小微企业价格扣除</w:t>
            </w:r>
          </w:p>
        </w:tc>
        <w:tc>
          <w:tcPr>
            <w:tcW w:w="6598" w:type="dxa"/>
            <w:tcBorders>
              <w:bottom w:val="single" w:color="auto" w:sz="4" w:space="0"/>
            </w:tcBorders>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1、根据《政府采购促进中小企业发展管理办法》（财库〔2020〕46号）的规定，对小型和微型企业产品的价格给予10%的价格扣除，用扣除后的价格参与评审。</w:t>
            </w:r>
          </w:p>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2、参加政府采购活动的中小微企业应当提供《中小企业声明函》原件。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9" w:hRule="atLeast"/>
          <w:jc w:val="center"/>
        </w:trPr>
        <w:tc>
          <w:tcPr>
            <w:tcW w:w="594" w:type="dxa"/>
            <w:vMerge w:val="continue"/>
            <w:vAlign w:val="center"/>
          </w:tcPr>
          <w:p>
            <w:pPr>
              <w:spacing w:line="440" w:lineRule="exact"/>
              <w:jc w:val="center"/>
              <w:outlineLvl w:val="5"/>
              <w:rPr>
                <w:rFonts w:hAnsi="宋体"/>
                <w:bCs/>
                <w:color w:val="auto"/>
                <w:sz w:val="24"/>
                <w:szCs w:val="24"/>
                <w:highlight w:val="none"/>
              </w:rPr>
            </w:pPr>
          </w:p>
        </w:tc>
        <w:tc>
          <w:tcPr>
            <w:tcW w:w="1924" w:type="dxa"/>
            <w:tcBorders>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监狱企业</w:t>
            </w:r>
          </w:p>
        </w:tc>
        <w:tc>
          <w:tcPr>
            <w:tcW w:w="6598" w:type="dxa"/>
            <w:tcBorders>
              <w:bottom w:val="single" w:color="auto" w:sz="4" w:space="0"/>
            </w:tcBorders>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1、</w:t>
            </w:r>
            <w:r>
              <w:rPr>
                <w:rFonts w:hAnsi="宋体"/>
                <w:bCs/>
                <w:color w:val="auto"/>
                <w:sz w:val="24"/>
                <w:szCs w:val="24"/>
                <w:highlight w:val="none"/>
              </w:rPr>
              <w:t>根据</w:t>
            </w:r>
            <w:r>
              <w:rPr>
                <w:rFonts w:hint="eastAsia" w:hAnsi="宋体"/>
                <w:bCs/>
                <w:color w:val="auto"/>
                <w:sz w:val="24"/>
                <w:szCs w:val="24"/>
                <w:highlight w:val="none"/>
              </w:rPr>
              <w:t>《关于政府采购支持监狱企业发展有关问题的通知》（财库</w:t>
            </w:r>
            <w:r>
              <w:rPr>
                <w:rFonts w:hAnsi="宋体"/>
                <w:bCs/>
                <w:color w:val="auto"/>
                <w:sz w:val="24"/>
                <w:szCs w:val="24"/>
                <w:highlight w:val="none"/>
              </w:rPr>
              <w:t>[2014]68号）的规定</w:t>
            </w:r>
            <w:r>
              <w:rPr>
                <w:rFonts w:hint="eastAsia" w:hAnsi="宋体"/>
                <w:bCs/>
                <w:color w:val="auto"/>
                <w:sz w:val="24"/>
                <w:szCs w:val="24"/>
                <w:highlight w:val="none"/>
              </w:rPr>
              <w:t>，对监狱企业的最后报价</w:t>
            </w:r>
            <w:r>
              <w:rPr>
                <w:rFonts w:hAnsi="宋体"/>
                <w:bCs/>
                <w:color w:val="auto"/>
                <w:sz w:val="24"/>
                <w:szCs w:val="24"/>
                <w:highlight w:val="none"/>
              </w:rPr>
              <w:t>给予</w:t>
            </w:r>
            <w:r>
              <w:rPr>
                <w:rFonts w:hint="eastAsia" w:hAnsi="宋体"/>
                <w:bCs/>
                <w:color w:val="auto"/>
                <w:sz w:val="24"/>
                <w:szCs w:val="24"/>
                <w:highlight w:val="none"/>
              </w:rPr>
              <w:t>10</w:t>
            </w:r>
            <w:r>
              <w:rPr>
                <w:rFonts w:hAnsi="宋体"/>
                <w:bCs/>
                <w:color w:val="auto"/>
                <w:sz w:val="24"/>
                <w:szCs w:val="24"/>
                <w:highlight w:val="none"/>
              </w:rPr>
              <w:t>%的价格扣除，用扣除后的价格参与评</w:t>
            </w:r>
            <w:r>
              <w:rPr>
                <w:rFonts w:hint="eastAsia" w:hAnsi="宋体"/>
                <w:bCs/>
                <w:color w:val="auto"/>
                <w:sz w:val="24"/>
                <w:szCs w:val="24"/>
                <w:highlight w:val="none"/>
              </w:rPr>
              <w:t>审。</w:t>
            </w:r>
          </w:p>
          <w:p>
            <w:pPr>
              <w:spacing w:line="480" w:lineRule="exact"/>
              <w:ind w:right="170" w:rightChars="50"/>
              <w:rPr>
                <w:rFonts w:hAnsi="宋体"/>
                <w:bCs/>
                <w:color w:val="auto"/>
                <w:sz w:val="24"/>
                <w:szCs w:val="24"/>
                <w:highlight w:val="none"/>
              </w:rPr>
            </w:pPr>
            <w:r>
              <w:rPr>
                <w:rFonts w:hint="eastAsia" w:hAnsi="宋体"/>
                <w:bCs/>
                <w:color w:val="auto"/>
                <w:sz w:val="24"/>
                <w:szCs w:val="24"/>
                <w:highlight w:val="none"/>
              </w:rPr>
              <w:t>2、参加</w:t>
            </w:r>
            <w:r>
              <w:rPr>
                <w:rFonts w:hint="eastAsia" w:hAnsi="宋体" w:cs="宋体"/>
                <w:color w:val="auto"/>
                <w:sz w:val="24"/>
                <w:szCs w:val="24"/>
                <w:highlight w:val="none"/>
              </w:rPr>
              <w:t>政府采购活动的</w:t>
            </w:r>
            <w:r>
              <w:rPr>
                <w:rFonts w:hint="eastAsia" w:hAnsi="宋体"/>
                <w:bCs/>
                <w:color w:val="auto"/>
                <w:sz w:val="24"/>
                <w:szCs w:val="24"/>
                <w:highlight w:val="none"/>
              </w:rPr>
              <w:t>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09" w:hRule="atLeast"/>
          <w:jc w:val="center"/>
        </w:trPr>
        <w:tc>
          <w:tcPr>
            <w:tcW w:w="594" w:type="dxa"/>
            <w:vMerge w:val="continue"/>
            <w:vAlign w:val="center"/>
          </w:tcPr>
          <w:p>
            <w:pPr>
              <w:spacing w:line="440" w:lineRule="exact"/>
              <w:jc w:val="center"/>
              <w:outlineLvl w:val="5"/>
              <w:rPr>
                <w:rFonts w:hAnsi="宋体"/>
                <w:bCs/>
                <w:color w:val="auto"/>
                <w:sz w:val="24"/>
                <w:szCs w:val="24"/>
                <w:highlight w:val="none"/>
              </w:rPr>
            </w:pPr>
          </w:p>
        </w:tc>
        <w:tc>
          <w:tcPr>
            <w:tcW w:w="1924" w:type="dxa"/>
            <w:tcBorders>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残疾人福利性单位</w:t>
            </w:r>
          </w:p>
        </w:tc>
        <w:tc>
          <w:tcPr>
            <w:tcW w:w="6598" w:type="dxa"/>
            <w:tcBorders>
              <w:bottom w:val="single" w:color="auto" w:sz="4" w:space="0"/>
            </w:tcBorders>
            <w:vAlign w:val="center"/>
          </w:tcPr>
          <w:p>
            <w:pPr>
              <w:snapToGrid w:val="0"/>
              <w:spacing w:line="440" w:lineRule="exact"/>
              <w:outlineLvl w:val="5"/>
              <w:rPr>
                <w:rFonts w:hAnsi="宋体"/>
                <w:bCs/>
                <w:color w:val="auto"/>
                <w:sz w:val="24"/>
                <w:szCs w:val="24"/>
                <w:highlight w:val="none"/>
              </w:rPr>
            </w:pPr>
            <w:r>
              <w:rPr>
                <w:rFonts w:hAnsi="宋体"/>
                <w:bCs/>
                <w:color w:val="auto"/>
                <w:sz w:val="24"/>
                <w:szCs w:val="24"/>
                <w:highlight w:val="none"/>
              </w:rPr>
              <w:t>1、根据《</w:t>
            </w:r>
            <w:r>
              <w:rPr>
                <w:rFonts w:hint="eastAsia" w:hAnsi="宋体"/>
                <w:bCs/>
                <w:color w:val="auto"/>
                <w:sz w:val="24"/>
                <w:szCs w:val="24"/>
                <w:highlight w:val="none"/>
              </w:rPr>
              <w:t>三部门联合发布关于促进残疾人就业政府采购政策的通知</w:t>
            </w:r>
            <w:r>
              <w:rPr>
                <w:rFonts w:hAnsi="宋体"/>
                <w:bCs/>
                <w:color w:val="auto"/>
                <w:sz w:val="24"/>
                <w:szCs w:val="24"/>
                <w:highlight w:val="none"/>
              </w:rPr>
              <w:t>》（财库[2017]141号）的规定，</w:t>
            </w:r>
            <w:r>
              <w:rPr>
                <w:rFonts w:hint="eastAsia" w:hAnsi="宋体"/>
                <w:bCs/>
                <w:color w:val="auto"/>
                <w:sz w:val="24"/>
                <w:szCs w:val="24"/>
                <w:highlight w:val="none"/>
              </w:rPr>
              <w:t>残疾人福利性单位视同小型和微型企业，对残疾人福利性单位的最后价格</w:t>
            </w:r>
            <w:r>
              <w:rPr>
                <w:rFonts w:hAnsi="宋体"/>
                <w:bCs/>
                <w:color w:val="auto"/>
                <w:sz w:val="24"/>
                <w:szCs w:val="24"/>
                <w:highlight w:val="none"/>
              </w:rPr>
              <w:t>给予</w:t>
            </w:r>
            <w:r>
              <w:rPr>
                <w:rFonts w:hint="eastAsia" w:hAnsi="宋体"/>
                <w:bCs/>
                <w:color w:val="auto"/>
                <w:sz w:val="24"/>
                <w:szCs w:val="24"/>
                <w:highlight w:val="none"/>
              </w:rPr>
              <w:t>10</w:t>
            </w:r>
            <w:r>
              <w:rPr>
                <w:rFonts w:hAnsi="宋体"/>
                <w:bCs/>
                <w:color w:val="auto"/>
                <w:sz w:val="24"/>
                <w:szCs w:val="24"/>
                <w:highlight w:val="none"/>
              </w:rPr>
              <w:t>%的价格扣除，用扣除后的价格参与评</w:t>
            </w:r>
            <w:r>
              <w:rPr>
                <w:rFonts w:hint="eastAsia" w:hAnsi="宋体"/>
                <w:bCs/>
                <w:color w:val="auto"/>
                <w:sz w:val="24"/>
                <w:szCs w:val="24"/>
                <w:highlight w:val="none"/>
              </w:rPr>
              <w:t>审</w:t>
            </w:r>
            <w:r>
              <w:rPr>
                <w:rFonts w:hAnsi="宋体"/>
                <w:bCs/>
                <w:color w:val="auto"/>
                <w:sz w:val="24"/>
                <w:szCs w:val="24"/>
                <w:highlight w:val="none"/>
              </w:rPr>
              <w:t>。</w:t>
            </w:r>
          </w:p>
          <w:p>
            <w:pPr>
              <w:snapToGrid w:val="0"/>
              <w:spacing w:line="440" w:lineRule="exact"/>
              <w:outlineLvl w:val="5"/>
              <w:rPr>
                <w:rFonts w:hAnsi="宋体"/>
                <w:bCs/>
                <w:color w:val="auto"/>
                <w:sz w:val="24"/>
                <w:szCs w:val="24"/>
                <w:highlight w:val="none"/>
              </w:rPr>
            </w:pPr>
            <w:r>
              <w:rPr>
                <w:rFonts w:hAnsi="宋体"/>
                <w:bCs/>
                <w:color w:val="auto"/>
                <w:sz w:val="24"/>
                <w:szCs w:val="24"/>
                <w:highlight w:val="none"/>
              </w:rPr>
              <w:t>2、参加政府采购活动的</w:t>
            </w:r>
            <w:r>
              <w:rPr>
                <w:rFonts w:hint="eastAsia" w:hAnsi="宋体"/>
                <w:bCs/>
                <w:color w:val="auto"/>
                <w:sz w:val="24"/>
                <w:szCs w:val="24"/>
                <w:highlight w:val="none"/>
              </w:rPr>
              <w:t>残疾人福利性单位</w:t>
            </w:r>
            <w:r>
              <w:rPr>
                <w:rFonts w:hAnsi="宋体"/>
                <w:bCs/>
                <w:color w:val="auto"/>
                <w:sz w:val="24"/>
                <w:szCs w:val="24"/>
                <w:highlight w:val="none"/>
              </w:rPr>
              <w:t>应当提供《</w:t>
            </w:r>
            <w:r>
              <w:rPr>
                <w:rFonts w:hint="eastAsia" w:hAnsi="宋体"/>
                <w:bCs/>
                <w:color w:val="auto"/>
                <w:sz w:val="24"/>
                <w:szCs w:val="24"/>
                <w:highlight w:val="none"/>
              </w:rPr>
              <w:t>残疾人福利性单位</w:t>
            </w:r>
            <w:r>
              <w:rPr>
                <w:rFonts w:hAnsi="宋体"/>
                <w:bCs/>
                <w:color w:val="auto"/>
                <w:sz w:val="24"/>
                <w:szCs w:val="24"/>
                <w:highlight w:val="none"/>
              </w:rPr>
              <w:t>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2"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12</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联合体磋商</w:t>
            </w:r>
          </w:p>
        </w:tc>
        <w:tc>
          <w:tcPr>
            <w:tcW w:w="6598" w:type="dxa"/>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本项目不接受联合体磋商。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2"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13</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考察现场、标前答疑会</w:t>
            </w:r>
          </w:p>
        </w:tc>
        <w:tc>
          <w:tcPr>
            <w:tcW w:w="6598" w:type="dxa"/>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采购单位认为有必要，另行书面通知。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02"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14</w:t>
            </w:r>
          </w:p>
        </w:tc>
        <w:tc>
          <w:tcPr>
            <w:tcW w:w="1924" w:type="dxa"/>
            <w:vAlign w:val="bottom"/>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供应商对磋商文件提出质疑的时间</w:t>
            </w:r>
          </w:p>
        </w:tc>
        <w:tc>
          <w:tcPr>
            <w:tcW w:w="6598" w:type="dxa"/>
            <w:vAlign w:val="center"/>
          </w:tcPr>
          <w:p>
            <w:pPr>
              <w:spacing w:line="440" w:lineRule="exact"/>
              <w:outlineLvl w:val="5"/>
              <w:rPr>
                <w:rFonts w:hAnsi="宋体"/>
                <w:bCs/>
                <w:color w:val="auto"/>
                <w:sz w:val="24"/>
                <w:szCs w:val="24"/>
                <w:highlight w:val="none"/>
              </w:rPr>
            </w:pPr>
            <w:r>
              <w:rPr>
                <w:rFonts w:hint="eastAsia" w:hAnsi="宋体"/>
                <w:bCs/>
                <w:color w:val="auto"/>
                <w:sz w:val="24"/>
                <w:szCs w:val="24"/>
                <w:highlight w:val="none"/>
              </w:rPr>
              <w:t>严格按国家和财政部相关规定执行。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95" w:hRule="exac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15</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构成磋商文件的其他文件</w:t>
            </w:r>
          </w:p>
        </w:tc>
        <w:tc>
          <w:tcPr>
            <w:tcW w:w="6598" w:type="dxa"/>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磋商文件的澄清、修改书及有关补充通知为磋商文件的有效组成部分。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63" w:hRule="exac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16</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磋商有效期</w:t>
            </w:r>
          </w:p>
        </w:tc>
        <w:tc>
          <w:tcPr>
            <w:tcW w:w="6598" w:type="dxa"/>
            <w:vAlign w:val="center"/>
          </w:tcPr>
          <w:p>
            <w:pPr>
              <w:snapToGrid w:val="0"/>
              <w:spacing w:line="440" w:lineRule="exact"/>
              <w:outlineLvl w:val="5"/>
              <w:rPr>
                <w:rFonts w:hAnsi="宋体"/>
                <w:bCs/>
                <w:color w:val="auto"/>
                <w:sz w:val="24"/>
                <w:szCs w:val="24"/>
                <w:highlight w:val="none"/>
              </w:rPr>
            </w:pPr>
            <w:r>
              <w:rPr>
                <w:rFonts w:hint="eastAsia" w:hAnsi="宋体"/>
                <w:color w:val="auto"/>
                <w:sz w:val="24"/>
                <w:highlight w:val="none"/>
              </w:rPr>
              <w:t>递交磋商响应文件截止之日起90天</w:t>
            </w:r>
            <w:r>
              <w:rPr>
                <w:rFonts w:hint="eastAsia" w:hAnsi="宋体"/>
                <w:bCs/>
                <w:color w:val="auto"/>
                <w:sz w:val="24"/>
                <w:szCs w:val="24"/>
                <w:highlight w:val="none"/>
              </w:rPr>
              <w:t>。</w:t>
            </w:r>
          </w:p>
          <w:p>
            <w:pPr>
              <w:snapToGrid w:val="0"/>
              <w:spacing w:line="440" w:lineRule="exact"/>
              <w:ind w:firstLine="240" w:firstLineChars="100"/>
              <w:jc w:val="center"/>
              <w:outlineLvl w:val="5"/>
              <w:rPr>
                <w:rFonts w:hAnsi="宋体"/>
                <w:bCs/>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68" w:hRule="atLeast"/>
          <w:jc w:val="center"/>
        </w:trPr>
        <w:tc>
          <w:tcPr>
            <w:tcW w:w="594" w:type="dxa"/>
            <w:tcBorders>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17</w:t>
            </w:r>
          </w:p>
        </w:tc>
        <w:tc>
          <w:tcPr>
            <w:tcW w:w="1924" w:type="dxa"/>
            <w:tcBorders>
              <w:bottom w:val="single" w:color="auto" w:sz="4" w:space="0"/>
            </w:tcBorders>
            <w:vAlign w:val="center"/>
          </w:tcPr>
          <w:p>
            <w:pPr>
              <w:spacing w:line="440" w:lineRule="exact"/>
              <w:jc w:val="center"/>
              <w:outlineLvl w:val="5"/>
              <w:rPr>
                <w:rFonts w:hAnsi="宋体" w:cs="宋体"/>
                <w:bCs/>
                <w:color w:val="auto"/>
                <w:sz w:val="24"/>
                <w:szCs w:val="24"/>
                <w:highlight w:val="none"/>
              </w:rPr>
            </w:pPr>
            <w:r>
              <w:rPr>
                <w:rFonts w:hint="eastAsia" w:hAnsi="宋体" w:cs="宋体"/>
                <w:bCs/>
                <w:color w:val="auto"/>
                <w:sz w:val="24"/>
                <w:szCs w:val="24"/>
                <w:highlight w:val="none"/>
              </w:rPr>
              <w:t>磋商保证金</w:t>
            </w:r>
          </w:p>
        </w:tc>
        <w:tc>
          <w:tcPr>
            <w:tcW w:w="6598" w:type="dxa"/>
            <w:tcBorders>
              <w:bottom w:val="single" w:color="auto" w:sz="4" w:space="0"/>
            </w:tcBorders>
            <w:vAlign w:val="center"/>
          </w:tcPr>
          <w:p>
            <w:pPr>
              <w:snapToGrid w:val="0"/>
              <w:spacing w:line="480" w:lineRule="exact"/>
              <w:rPr>
                <w:rFonts w:hAnsi="宋体" w:cs="宋体"/>
                <w:color w:val="auto"/>
                <w:highlight w:val="none"/>
              </w:rPr>
            </w:pPr>
            <w:r>
              <w:rPr>
                <w:rFonts w:hint="eastAsia" w:hAnsi="宋体" w:cs="宋体"/>
                <w:color w:val="auto"/>
                <w:sz w:val="24"/>
                <w:szCs w:val="24"/>
                <w:highlight w:val="none"/>
              </w:rPr>
              <w:t>根据《四川省财政厅关于进一步做好疫情防控期间政府采购工作有关事项的通知》（川财采 [2020]28 号）文件要求，本项目不收取磋商保证金。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594" w:type="dxa"/>
            <w:tcBorders>
              <w:top w:val="single" w:color="auto" w:sz="4" w:space="0"/>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18</w:t>
            </w:r>
          </w:p>
        </w:tc>
        <w:tc>
          <w:tcPr>
            <w:tcW w:w="1924" w:type="dxa"/>
            <w:tcBorders>
              <w:top w:val="single" w:color="auto" w:sz="4" w:space="0"/>
              <w:bottom w:val="single" w:color="auto" w:sz="4" w:space="0"/>
            </w:tcBorders>
            <w:vAlign w:val="center"/>
          </w:tcPr>
          <w:p>
            <w:pPr>
              <w:pStyle w:val="290"/>
              <w:spacing w:line="440" w:lineRule="exact"/>
              <w:jc w:val="center"/>
              <w:rPr>
                <w:rFonts w:cs="Times New Roman"/>
                <w:bCs/>
                <w:color w:val="auto"/>
                <w:highlight w:val="none"/>
              </w:rPr>
            </w:pPr>
            <w:r>
              <w:rPr>
                <w:rFonts w:hint="eastAsia" w:hAnsi="宋体"/>
                <w:bCs/>
                <w:color w:val="auto"/>
                <w:highlight w:val="none"/>
              </w:rPr>
              <w:t>磋商</w:t>
            </w:r>
            <w:r>
              <w:rPr>
                <w:rFonts w:hint="eastAsia" w:cs="Times New Roman"/>
                <w:bCs/>
                <w:color w:val="auto"/>
                <w:highlight w:val="none"/>
              </w:rPr>
              <w:t>文件、评审工作咨询</w:t>
            </w:r>
          </w:p>
        </w:tc>
        <w:tc>
          <w:tcPr>
            <w:tcW w:w="6598" w:type="dxa"/>
            <w:tcBorders>
              <w:top w:val="single" w:color="auto" w:sz="4" w:space="0"/>
              <w:bottom w:val="single" w:color="auto" w:sz="4" w:space="0"/>
            </w:tcBorders>
            <w:vAlign w:val="center"/>
          </w:tcPr>
          <w:p>
            <w:pPr>
              <w:snapToGrid w:val="0"/>
              <w:spacing w:line="440" w:lineRule="exact"/>
              <w:ind w:right="170" w:rightChars="50"/>
              <w:jc w:val="both"/>
              <w:rPr>
                <w:rFonts w:hAnsi="宋体"/>
                <w:bCs/>
                <w:color w:val="auto"/>
                <w:sz w:val="24"/>
                <w:szCs w:val="24"/>
                <w:highlight w:val="none"/>
              </w:rPr>
            </w:pPr>
            <w:r>
              <w:rPr>
                <w:rFonts w:hint="eastAsia" w:hAnsi="宋体"/>
                <w:bCs/>
                <w:color w:val="auto"/>
                <w:sz w:val="24"/>
                <w:szCs w:val="24"/>
                <w:highlight w:val="none"/>
                <w:lang w:val="zh-CN"/>
              </w:rPr>
              <w:t>联系人：田</w:t>
            </w:r>
            <w:r>
              <w:rPr>
                <w:rFonts w:hint="eastAsia" w:hAnsi="宋体"/>
                <w:bCs/>
                <w:color w:val="auto"/>
                <w:sz w:val="24"/>
                <w:szCs w:val="24"/>
                <w:highlight w:val="none"/>
              </w:rPr>
              <w:t>女士</w:t>
            </w:r>
            <w:r>
              <w:rPr>
                <w:rFonts w:hint="eastAsia" w:hAnsi="宋体"/>
                <w:bCs/>
                <w:color w:val="auto"/>
                <w:sz w:val="24"/>
                <w:szCs w:val="24"/>
                <w:highlight w:val="none"/>
                <w:lang w:val="zh-CN"/>
              </w:rPr>
              <w:t>。    联系电话：</w:t>
            </w:r>
            <w:r>
              <w:rPr>
                <w:rFonts w:hint="eastAsia" w:hAnsi="宋体"/>
                <w:bCs/>
                <w:color w:val="auto"/>
                <w:sz w:val="24"/>
                <w:szCs w:val="24"/>
                <w:highlight w:val="none"/>
              </w:rPr>
              <w:t>028-87582997</w:t>
            </w:r>
            <w:r>
              <w:rPr>
                <w:rFonts w:hint="eastAsia" w:hAnsi="宋体"/>
                <w:bCs/>
                <w:color w:val="auto"/>
                <w:sz w:val="24"/>
                <w:szCs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25" w:hRule="atLeast"/>
          <w:jc w:val="center"/>
        </w:trPr>
        <w:tc>
          <w:tcPr>
            <w:tcW w:w="594" w:type="dxa"/>
            <w:tcBorders>
              <w:top w:val="single" w:color="auto" w:sz="4" w:space="0"/>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19</w:t>
            </w:r>
          </w:p>
        </w:tc>
        <w:tc>
          <w:tcPr>
            <w:tcW w:w="1924" w:type="dxa"/>
            <w:tcBorders>
              <w:top w:val="single" w:color="auto" w:sz="4" w:space="0"/>
              <w:bottom w:val="single" w:color="auto" w:sz="4" w:space="0"/>
            </w:tcBorders>
            <w:vAlign w:val="center"/>
          </w:tcPr>
          <w:p>
            <w:pPr>
              <w:pStyle w:val="290"/>
              <w:spacing w:line="440" w:lineRule="exact"/>
              <w:ind w:left="96"/>
              <w:jc w:val="center"/>
              <w:rPr>
                <w:rFonts w:hAnsi="宋体"/>
                <w:bCs/>
                <w:color w:val="auto"/>
                <w:highlight w:val="none"/>
              </w:rPr>
            </w:pPr>
            <w:r>
              <w:rPr>
                <w:rFonts w:hint="eastAsia" w:cs="Times New Roman"/>
                <w:bCs/>
                <w:color w:val="auto"/>
                <w:highlight w:val="none"/>
              </w:rPr>
              <w:t>履约保证金</w:t>
            </w:r>
          </w:p>
        </w:tc>
        <w:tc>
          <w:tcPr>
            <w:tcW w:w="6598" w:type="dxa"/>
            <w:tcBorders>
              <w:top w:val="single" w:color="auto" w:sz="4" w:space="0"/>
              <w:bottom w:val="single" w:color="auto" w:sz="4" w:space="0"/>
            </w:tcBorders>
            <w:vAlign w:val="center"/>
          </w:tcPr>
          <w:p>
            <w:pPr>
              <w:snapToGrid w:val="0"/>
              <w:spacing w:line="440" w:lineRule="exact"/>
              <w:ind w:right="170" w:rightChars="50"/>
              <w:jc w:val="both"/>
              <w:rPr>
                <w:color w:val="auto"/>
                <w:highlight w:val="none"/>
                <w:lang w:val="zh-CN"/>
              </w:rPr>
            </w:pPr>
            <w:r>
              <w:rPr>
                <w:rFonts w:hint="eastAsia" w:hAnsi="宋体" w:cs="宋体"/>
                <w:bCs/>
                <w:color w:val="auto"/>
                <w:sz w:val="24"/>
                <w:szCs w:val="24"/>
                <w:highlight w:val="none"/>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5" w:hRule="atLeast"/>
          <w:jc w:val="center"/>
        </w:trPr>
        <w:tc>
          <w:tcPr>
            <w:tcW w:w="594" w:type="dxa"/>
            <w:tcBorders>
              <w:top w:val="single" w:color="auto" w:sz="4" w:space="0"/>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20</w:t>
            </w:r>
          </w:p>
        </w:tc>
        <w:tc>
          <w:tcPr>
            <w:tcW w:w="1924" w:type="dxa"/>
            <w:tcBorders>
              <w:top w:val="single" w:color="auto" w:sz="4" w:space="0"/>
              <w:bottom w:val="single" w:color="auto" w:sz="4" w:space="0"/>
            </w:tcBorders>
            <w:vAlign w:val="center"/>
          </w:tcPr>
          <w:p>
            <w:pPr>
              <w:spacing w:line="440" w:lineRule="exact"/>
              <w:ind w:left="170" w:leftChars="50" w:right="170" w:rightChars="50"/>
              <w:jc w:val="center"/>
              <w:rPr>
                <w:rFonts w:hAnsi="宋体"/>
                <w:bCs/>
                <w:color w:val="auto"/>
                <w:sz w:val="24"/>
                <w:szCs w:val="24"/>
                <w:highlight w:val="none"/>
              </w:rPr>
            </w:pPr>
            <w:r>
              <w:rPr>
                <w:rFonts w:hint="eastAsia" w:hAnsi="宋体"/>
                <w:bCs/>
                <w:color w:val="auto"/>
                <w:sz w:val="24"/>
                <w:szCs w:val="24"/>
                <w:highlight w:val="none"/>
              </w:rPr>
              <w:t>成交通知书</w:t>
            </w:r>
          </w:p>
          <w:p>
            <w:pPr>
              <w:spacing w:line="440" w:lineRule="exact"/>
              <w:ind w:left="170" w:leftChars="50" w:right="170" w:rightChars="50"/>
              <w:jc w:val="center"/>
              <w:rPr>
                <w:rFonts w:hAnsi="宋体"/>
                <w:bCs/>
                <w:color w:val="auto"/>
                <w:sz w:val="24"/>
                <w:szCs w:val="24"/>
                <w:highlight w:val="none"/>
              </w:rPr>
            </w:pPr>
            <w:r>
              <w:rPr>
                <w:rFonts w:hint="eastAsia" w:hAnsi="宋体"/>
                <w:bCs/>
                <w:color w:val="auto"/>
                <w:sz w:val="24"/>
                <w:szCs w:val="24"/>
                <w:highlight w:val="none"/>
              </w:rPr>
              <w:t>领取</w:t>
            </w:r>
          </w:p>
        </w:tc>
        <w:tc>
          <w:tcPr>
            <w:tcW w:w="6598" w:type="dxa"/>
            <w:tcBorders>
              <w:top w:val="single" w:color="auto" w:sz="4" w:space="0"/>
              <w:bottom w:val="single" w:color="auto" w:sz="4" w:space="0"/>
            </w:tcBorders>
            <w:vAlign w:val="center"/>
          </w:tcPr>
          <w:p>
            <w:pPr>
              <w:tabs>
                <w:tab w:val="left" w:pos="7665"/>
              </w:tabs>
              <w:snapToGrid w:val="0"/>
              <w:spacing w:line="440" w:lineRule="exact"/>
              <w:rPr>
                <w:rFonts w:hAnsi="宋体"/>
                <w:bCs/>
                <w:color w:val="auto"/>
                <w:sz w:val="24"/>
                <w:szCs w:val="24"/>
                <w:highlight w:val="none"/>
              </w:rPr>
            </w:pPr>
            <w:r>
              <w:rPr>
                <w:rFonts w:hint="eastAsia" w:hAnsi="宋体"/>
                <w:bCs/>
                <w:color w:val="auto"/>
                <w:sz w:val="24"/>
                <w:szCs w:val="24"/>
                <w:highlight w:val="none"/>
              </w:rPr>
              <w:t>结果公告在四川政府采购网上公告后，成交供应商凭有效身份证明证件（单位介绍信和个人身份证）到采购代理机构处领取成交通知书。</w:t>
            </w:r>
          </w:p>
          <w:p>
            <w:pPr>
              <w:snapToGrid w:val="0"/>
              <w:spacing w:line="440" w:lineRule="exact"/>
              <w:rPr>
                <w:rFonts w:hAnsi="宋体"/>
                <w:bCs/>
                <w:color w:val="auto"/>
                <w:sz w:val="24"/>
                <w:szCs w:val="24"/>
                <w:highlight w:val="none"/>
                <w:lang w:val="zh-CN"/>
              </w:rPr>
            </w:pPr>
            <w:r>
              <w:rPr>
                <w:rFonts w:hint="eastAsia" w:hAnsi="宋体"/>
                <w:bCs/>
                <w:color w:val="auto"/>
                <w:sz w:val="24"/>
                <w:szCs w:val="24"/>
                <w:highlight w:val="none"/>
                <w:lang w:val="zh-CN"/>
              </w:rPr>
              <w:t>联系人：樊</w:t>
            </w:r>
            <w:r>
              <w:rPr>
                <w:rFonts w:hint="eastAsia" w:hAnsi="宋体"/>
                <w:bCs/>
                <w:color w:val="auto"/>
                <w:sz w:val="24"/>
                <w:szCs w:val="24"/>
                <w:highlight w:val="none"/>
              </w:rPr>
              <w:t>女士</w:t>
            </w:r>
            <w:r>
              <w:rPr>
                <w:rFonts w:hint="eastAsia" w:hAnsi="宋体"/>
                <w:bCs/>
                <w:color w:val="auto"/>
                <w:sz w:val="24"/>
                <w:szCs w:val="24"/>
                <w:highlight w:val="none"/>
                <w:lang w:val="zh-CN"/>
              </w:rPr>
              <w:t>。</w:t>
            </w:r>
          </w:p>
          <w:p>
            <w:pPr>
              <w:snapToGrid w:val="0"/>
              <w:spacing w:line="440" w:lineRule="exact"/>
              <w:rPr>
                <w:rFonts w:hAnsi="宋体"/>
                <w:bCs/>
                <w:color w:val="auto"/>
                <w:sz w:val="24"/>
                <w:szCs w:val="24"/>
                <w:highlight w:val="none"/>
                <w:lang w:val="zh-CN"/>
              </w:rPr>
            </w:pPr>
            <w:r>
              <w:rPr>
                <w:rFonts w:hint="eastAsia" w:hAnsi="宋体"/>
                <w:bCs/>
                <w:color w:val="auto"/>
                <w:sz w:val="24"/>
                <w:szCs w:val="24"/>
                <w:highlight w:val="none"/>
                <w:lang w:val="zh-CN"/>
              </w:rPr>
              <w:t>联系电话：18180671505。</w:t>
            </w:r>
          </w:p>
          <w:p>
            <w:pPr>
              <w:snapToGrid w:val="0"/>
              <w:spacing w:line="440" w:lineRule="exact"/>
              <w:rPr>
                <w:rFonts w:hAnsi="宋体"/>
                <w:bCs/>
                <w:color w:val="auto"/>
                <w:sz w:val="24"/>
                <w:szCs w:val="24"/>
                <w:highlight w:val="none"/>
                <w:lang w:val="zh-CN"/>
              </w:rPr>
            </w:pPr>
            <w:r>
              <w:rPr>
                <w:rFonts w:hint="eastAsia" w:hAnsi="宋体"/>
                <w:bCs/>
                <w:color w:val="auto"/>
                <w:sz w:val="24"/>
                <w:szCs w:val="24"/>
                <w:highlight w:val="none"/>
                <w:lang w:val="zh-CN"/>
              </w:rPr>
              <w:t>地址：</w:t>
            </w:r>
            <w:r>
              <w:rPr>
                <w:rFonts w:hint="eastAsia" w:hAnsi="宋体"/>
                <w:bCs/>
                <w:color w:val="auto"/>
                <w:sz w:val="24"/>
                <w:szCs w:val="24"/>
                <w:highlight w:val="none"/>
              </w:rPr>
              <w:t>四川省成都市金牛区兴盛西路2号6栋B座13楼（郦湾国际酒店右侧）</w:t>
            </w:r>
            <w:r>
              <w:rPr>
                <w:rFonts w:hint="eastAsia" w:hAnsi="宋体"/>
                <w:bCs/>
                <w:color w:val="auto"/>
                <w:sz w:val="24"/>
                <w:szCs w:val="24"/>
                <w:highlight w:val="none"/>
                <w:lang w:val="zh-CN"/>
              </w:rPr>
              <w:t>。</w:t>
            </w:r>
          </w:p>
          <w:p>
            <w:pPr>
              <w:tabs>
                <w:tab w:val="left" w:pos="7665"/>
              </w:tabs>
              <w:snapToGrid w:val="0"/>
              <w:spacing w:line="440" w:lineRule="exact"/>
              <w:rPr>
                <w:color w:val="auto"/>
                <w:highlight w:val="none"/>
                <w:lang w:val="zh-CN"/>
              </w:rPr>
            </w:pPr>
            <w:r>
              <w:rPr>
                <w:rFonts w:hint="eastAsia" w:hAnsi="宋体"/>
                <w:bCs/>
                <w:color w:val="auto"/>
                <w:sz w:val="24"/>
                <w:szCs w:val="24"/>
                <w:highlight w:val="none"/>
              </w:rPr>
              <w:t>注：领取成交通知书时，根据四川省财政厅关于推进四川省政府采购供应商信用融资工作的通知（川财采[2018]123号）、成都市财政局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25" w:hRule="atLeast"/>
          <w:jc w:val="center"/>
        </w:trPr>
        <w:tc>
          <w:tcPr>
            <w:tcW w:w="594" w:type="dxa"/>
            <w:tcBorders>
              <w:top w:val="single" w:color="auto" w:sz="4" w:space="0"/>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21</w:t>
            </w:r>
          </w:p>
        </w:tc>
        <w:tc>
          <w:tcPr>
            <w:tcW w:w="1924" w:type="dxa"/>
            <w:tcBorders>
              <w:top w:val="single" w:color="auto" w:sz="4" w:space="0"/>
              <w:bottom w:val="single" w:color="auto" w:sz="4" w:space="0"/>
            </w:tcBorders>
            <w:vAlign w:val="center"/>
          </w:tcPr>
          <w:p>
            <w:pPr>
              <w:pStyle w:val="290"/>
              <w:spacing w:line="440" w:lineRule="exact"/>
              <w:jc w:val="both"/>
              <w:rPr>
                <w:rFonts w:cs="Times New Roman"/>
                <w:bCs/>
                <w:color w:val="auto"/>
                <w:highlight w:val="none"/>
              </w:rPr>
            </w:pPr>
            <w:r>
              <w:rPr>
                <w:rFonts w:hint="eastAsia" w:cs="Times New Roman"/>
                <w:bCs/>
                <w:color w:val="auto"/>
                <w:highlight w:val="none"/>
              </w:rPr>
              <w:t>供应商询问、质疑</w:t>
            </w:r>
          </w:p>
        </w:tc>
        <w:tc>
          <w:tcPr>
            <w:tcW w:w="6598" w:type="dxa"/>
            <w:tcBorders>
              <w:top w:val="single" w:color="auto" w:sz="4" w:space="0"/>
              <w:bottom w:val="single" w:color="auto" w:sz="4" w:space="0"/>
            </w:tcBorders>
          </w:tcPr>
          <w:p>
            <w:pPr>
              <w:snapToGrid w:val="0"/>
              <w:spacing w:line="460" w:lineRule="exact"/>
              <w:rPr>
                <w:rFonts w:hAnsi="宋体"/>
                <w:bCs/>
                <w:color w:val="auto"/>
                <w:sz w:val="24"/>
                <w:szCs w:val="24"/>
                <w:highlight w:val="none"/>
              </w:rPr>
            </w:pPr>
            <w:r>
              <w:rPr>
                <w:rFonts w:hint="eastAsia" w:hAnsi="宋体"/>
                <w:bCs/>
                <w:color w:val="auto"/>
                <w:sz w:val="24"/>
                <w:szCs w:val="24"/>
                <w:highlight w:val="none"/>
              </w:rPr>
              <w:t>供应商询问、质疑由四川标源招标代理有限公司负责答复，</w:t>
            </w:r>
            <w:r>
              <w:rPr>
                <w:rFonts w:hint="eastAsia" w:hAnsi="宋体"/>
                <w:bCs/>
                <w:color w:val="auto"/>
                <w:sz w:val="24"/>
                <w:szCs w:val="24"/>
                <w:highlight w:val="none"/>
                <w:lang w:val="zh-CN"/>
              </w:rPr>
              <w:t>根据《中华人民共和国政府采购法》的规定，供应商质疑不得超出采购文件、采购过程、采购结果的范围。质疑时应一次性提出全部质疑事项，并附质疑书</w:t>
            </w:r>
            <w:r>
              <w:rPr>
                <w:rFonts w:hint="eastAsia" w:hAnsi="宋体"/>
                <w:bCs/>
                <w:color w:val="auto"/>
                <w:sz w:val="24"/>
                <w:szCs w:val="24"/>
                <w:highlight w:val="none"/>
              </w:rPr>
              <w:t>WORD电子文档U盘一份，以当面提交或者快递邮寄形式且收到为准，以其他形式提出的质疑均不接受和回复。</w:t>
            </w:r>
          </w:p>
          <w:p>
            <w:pPr>
              <w:snapToGrid w:val="0"/>
              <w:spacing w:line="460" w:lineRule="exact"/>
              <w:rPr>
                <w:rFonts w:hAnsi="宋体"/>
                <w:bCs/>
                <w:color w:val="auto"/>
                <w:sz w:val="24"/>
                <w:szCs w:val="24"/>
                <w:highlight w:val="none"/>
                <w:lang w:val="zh-CN"/>
              </w:rPr>
            </w:pPr>
            <w:r>
              <w:rPr>
                <w:rFonts w:hint="eastAsia" w:hAnsi="宋体"/>
                <w:bCs/>
                <w:color w:val="auto"/>
                <w:sz w:val="24"/>
                <w:szCs w:val="24"/>
                <w:highlight w:val="none"/>
                <w:lang w:val="zh-CN"/>
              </w:rPr>
              <w:t>联系人：田</w:t>
            </w:r>
            <w:r>
              <w:rPr>
                <w:rFonts w:hint="eastAsia" w:hAnsi="宋体"/>
                <w:bCs/>
                <w:color w:val="auto"/>
                <w:sz w:val="24"/>
                <w:szCs w:val="24"/>
                <w:highlight w:val="none"/>
              </w:rPr>
              <w:t>女士</w:t>
            </w:r>
            <w:r>
              <w:rPr>
                <w:rFonts w:hint="eastAsia" w:hAnsi="宋体"/>
                <w:bCs/>
                <w:color w:val="auto"/>
                <w:sz w:val="24"/>
                <w:szCs w:val="24"/>
                <w:highlight w:val="none"/>
                <w:lang w:val="zh-CN"/>
              </w:rPr>
              <w:t>。       联系电话：</w:t>
            </w:r>
            <w:r>
              <w:rPr>
                <w:rFonts w:hint="eastAsia" w:hAnsi="宋体"/>
                <w:bCs/>
                <w:color w:val="auto"/>
                <w:sz w:val="24"/>
                <w:szCs w:val="24"/>
                <w:highlight w:val="none"/>
              </w:rPr>
              <w:t>028-87582997</w:t>
            </w:r>
            <w:r>
              <w:rPr>
                <w:rFonts w:hint="eastAsia" w:hAnsi="宋体"/>
                <w:bCs/>
                <w:color w:val="auto"/>
                <w:sz w:val="24"/>
                <w:szCs w:val="24"/>
                <w:highlight w:val="none"/>
                <w:lang w:val="zh-CN"/>
              </w:rPr>
              <w:t>。</w:t>
            </w:r>
          </w:p>
          <w:p>
            <w:pPr>
              <w:pStyle w:val="2"/>
              <w:spacing w:after="0" w:line="460" w:lineRule="exact"/>
              <w:rPr>
                <w:color w:val="auto"/>
                <w:highlight w:val="none"/>
                <w:lang w:val="zh-CN"/>
              </w:rPr>
            </w:pPr>
            <w:r>
              <w:rPr>
                <w:rFonts w:hint="eastAsia" w:hAnsi="宋体"/>
                <w:bCs/>
                <w:color w:val="auto"/>
                <w:highlight w:val="none"/>
                <w:lang w:val="zh-CN"/>
              </w:rPr>
              <w:t>备注：供应商按要求报名成功并购买磋商文件的，为依法获取磋商文件的供应商，可以对该文件提出质疑。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2" w:hRule="atLeast"/>
          <w:jc w:val="center"/>
        </w:trPr>
        <w:tc>
          <w:tcPr>
            <w:tcW w:w="594" w:type="dxa"/>
            <w:tcBorders>
              <w:top w:val="single" w:color="auto" w:sz="4" w:space="0"/>
              <w:bottom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22</w:t>
            </w:r>
          </w:p>
        </w:tc>
        <w:tc>
          <w:tcPr>
            <w:tcW w:w="1924" w:type="dxa"/>
            <w:tcBorders>
              <w:top w:val="single" w:color="auto" w:sz="4" w:space="0"/>
              <w:bottom w:val="single" w:color="auto" w:sz="4" w:space="0"/>
            </w:tcBorders>
            <w:vAlign w:val="center"/>
          </w:tcPr>
          <w:p>
            <w:pPr>
              <w:pStyle w:val="290"/>
              <w:spacing w:line="440" w:lineRule="exact"/>
              <w:jc w:val="center"/>
              <w:rPr>
                <w:rFonts w:cs="Times New Roman"/>
                <w:bCs/>
                <w:color w:val="auto"/>
                <w:highlight w:val="none"/>
              </w:rPr>
            </w:pPr>
            <w:r>
              <w:rPr>
                <w:rFonts w:hint="eastAsia" w:cs="Times New Roman"/>
                <w:bCs/>
                <w:color w:val="auto"/>
                <w:highlight w:val="none"/>
              </w:rPr>
              <w:t>供应商投诉</w:t>
            </w:r>
          </w:p>
        </w:tc>
        <w:tc>
          <w:tcPr>
            <w:tcW w:w="6598" w:type="dxa"/>
            <w:tcBorders>
              <w:top w:val="single" w:color="auto" w:sz="4" w:space="0"/>
              <w:bottom w:val="single" w:color="auto" w:sz="4" w:space="0"/>
            </w:tcBorders>
            <w:vAlign w:val="center"/>
          </w:tcPr>
          <w:p>
            <w:pPr>
              <w:snapToGrid w:val="0"/>
              <w:spacing w:beforeLines="50" w:line="440" w:lineRule="exact"/>
              <w:ind w:right="170" w:rightChars="50"/>
              <w:jc w:val="both"/>
              <w:rPr>
                <w:rFonts w:hAnsi="宋体"/>
                <w:bCs/>
                <w:color w:val="auto"/>
                <w:sz w:val="24"/>
                <w:szCs w:val="24"/>
                <w:highlight w:val="none"/>
              </w:rPr>
            </w:pPr>
            <w:r>
              <w:rPr>
                <w:rFonts w:hint="eastAsia" w:hAnsi="宋体"/>
                <w:bCs/>
                <w:color w:val="auto"/>
                <w:sz w:val="24"/>
                <w:szCs w:val="24"/>
                <w:highlight w:val="none"/>
              </w:rPr>
              <w:t xml:space="preserve">投诉受理单位：本采购项目同级财政部门。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480" w:hRule="atLeast"/>
          <w:jc w:val="center"/>
        </w:trPr>
        <w:tc>
          <w:tcPr>
            <w:tcW w:w="594" w:type="dxa"/>
            <w:tcBorders>
              <w:top w:val="single" w:color="auto" w:sz="4" w:space="0"/>
            </w:tcBorders>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23</w:t>
            </w:r>
          </w:p>
        </w:tc>
        <w:tc>
          <w:tcPr>
            <w:tcW w:w="1924" w:type="dxa"/>
            <w:tcBorders>
              <w:top w:val="single" w:color="auto" w:sz="4" w:space="0"/>
            </w:tcBorders>
            <w:vAlign w:val="center"/>
          </w:tcPr>
          <w:p>
            <w:pPr>
              <w:pStyle w:val="290"/>
              <w:spacing w:line="440" w:lineRule="exact"/>
              <w:jc w:val="center"/>
              <w:rPr>
                <w:rFonts w:cs="Times New Roman"/>
                <w:bCs/>
                <w:color w:val="auto"/>
                <w:highlight w:val="none"/>
              </w:rPr>
            </w:pPr>
            <w:r>
              <w:rPr>
                <w:rFonts w:hint="eastAsia" w:cs="Times New Roman"/>
                <w:bCs/>
                <w:color w:val="auto"/>
                <w:highlight w:val="none"/>
              </w:rPr>
              <w:t>政府采购合同公告备案</w:t>
            </w:r>
          </w:p>
        </w:tc>
        <w:tc>
          <w:tcPr>
            <w:tcW w:w="6598" w:type="dxa"/>
            <w:tcBorders>
              <w:top w:val="single" w:color="auto" w:sz="4" w:space="0"/>
            </w:tcBorders>
          </w:tcPr>
          <w:p>
            <w:pPr>
              <w:pStyle w:val="290"/>
              <w:snapToGrid w:val="0"/>
              <w:spacing w:line="440" w:lineRule="exact"/>
              <w:rPr>
                <w:rFonts w:cs="Times New Roman"/>
                <w:bCs/>
                <w:color w:val="auto"/>
                <w:highlight w:val="none"/>
              </w:rPr>
            </w:pPr>
            <w:r>
              <w:rPr>
                <w:rFonts w:hint="eastAsia" w:cs="Times New Roman"/>
                <w:bCs/>
                <w:color w:val="auto"/>
                <w:highlight w:val="none"/>
              </w:rPr>
              <w:t>政府采购合同签订之日起2个工作日内，政府采购合同将在四川政府采购网公告；政府采购合同签订之日起七个工作日内，政府采购合同将向本采购项目同级财政部门备案。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15"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24</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备选磋商方案和报价</w:t>
            </w:r>
          </w:p>
        </w:tc>
        <w:tc>
          <w:tcPr>
            <w:tcW w:w="6598" w:type="dxa"/>
            <w:vAlign w:val="center"/>
          </w:tcPr>
          <w:p>
            <w:pPr>
              <w:snapToGrid w:val="0"/>
              <w:spacing w:line="440" w:lineRule="exact"/>
              <w:outlineLvl w:val="5"/>
              <w:rPr>
                <w:rFonts w:hAnsi="宋体"/>
                <w:bCs/>
                <w:color w:val="auto"/>
                <w:sz w:val="24"/>
                <w:szCs w:val="24"/>
                <w:highlight w:val="none"/>
              </w:rPr>
            </w:pPr>
            <w:r>
              <w:rPr>
                <w:rFonts w:hint="eastAsia" w:hAnsi="宋体"/>
                <w:bCs/>
                <w:color w:val="auto"/>
                <w:sz w:val="24"/>
                <w:szCs w:val="24"/>
                <w:highlight w:val="none"/>
              </w:rPr>
              <w:t>本次采购不接受备选磋商方案和多个报价。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1"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25</w:t>
            </w:r>
          </w:p>
        </w:tc>
        <w:tc>
          <w:tcPr>
            <w:tcW w:w="192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政策法规（如适用）</w:t>
            </w:r>
          </w:p>
        </w:tc>
        <w:tc>
          <w:tcPr>
            <w:tcW w:w="6598" w:type="dxa"/>
            <w:vAlign w:val="center"/>
          </w:tcPr>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1、节能、环保产品政府采购政策：</w:t>
            </w:r>
          </w:p>
          <w:p>
            <w:pPr>
              <w:snapToGrid w:val="0"/>
              <w:spacing w:line="440" w:lineRule="exact"/>
              <w:ind w:firstLine="480" w:firstLineChars="200"/>
              <w:outlineLvl w:val="5"/>
              <w:rPr>
                <w:rFonts w:hAnsi="宋体" w:cs="宋体"/>
                <w:bCs/>
                <w:color w:val="auto"/>
                <w:sz w:val="24"/>
                <w:szCs w:val="24"/>
                <w:highlight w:val="none"/>
              </w:rPr>
            </w:pPr>
            <w:r>
              <w:rPr>
                <w:rFonts w:hint="eastAsia" w:hAnsi="宋体" w:cs="宋体"/>
                <w:bCs/>
                <w:color w:val="auto"/>
                <w:sz w:val="24"/>
                <w:szCs w:val="24"/>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按照第五章《综合评分明细表》的规则进行加分。</w:t>
            </w:r>
          </w:p>
          <w:p>
            <w:pPr>
              <w:snapToGrid w:val="0"/>
              <w:spacing w:line="440" w:lineRule="exact"/>
              <w:ind w:firstLine="480" w:firstLineChars="200"/>
              <w:outlineLvl w:val="5"/>
              <w:rPr>
                <w:rFonts w:hAnsi="宋体" w:cs="宋体"/>
                <w:bCs/>
                <w:color w:val="auto"/>
                <w:sz w:val="24"/>
                <w:szCs w:val="24"/>
                <w:highlight w:val="none"/>
              </w:rPr>
            </w:pPr>
            <w:r>
              <w:rPr>
                <w:rFonts w:hint="eastAsia" w:hAnsi="宋体" w:cs="宋体"/>
                <w:bCs/>
                <w:color w:val="auto"/>
                <w:sz w:val="24"/>
                <w:szCs w:val="24"/>
                <w:highlight w:val="none"/>
              </w:rPr>
              <w:t>本项目采购的产品属于品目清单范围内强制采购的，供应商应按上述要求提供产品认证证书复印件并</w:t>
            </w:r>
            <w:r>
              <w:rPr>
                <w:rFonts w:hint="eastAsia" w:hAnsi="宋体" w:cs="宋体"/>
                <w:bCs/>
                <w:color w:val="auto"/>
                <w:sz w:val="24"/>
                <w:szCs w:val="24"/>
                <w:highlight w:val="none"/>
                <w:lang w:val="zh-CN"/>
              </w:rPr>
              <w:t>加盖供应商单位公章（鲜章）</w:t>
            </w:r>
            <w:r>
              <w:rPr>
                <w:rFonts w:hint="eastAsia" w:hAnsi="宋体" w:cs="宋体"/>
                <w:bCs/>
                <w:color w:val="auto"/>
                <w:sz w:val="24"/>
                <w:szCs w:val="24"/>
                <w:highlight w:val="none"/>
              </w:rPr>
              <w:t>，否则响应无效。</w:t>
            </w:r>
          </w:p>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napToGrid w:val="0"/>
              <w:spacing w:line="480" w:lineRule="exact"/>
              <w:outlineLvl w:val="5"/>
              <w:rPr>
                <w:rFonts w:ascii="Times New Roman"/>
                <w:color w:val="auto"/>
                <w:sz w:val="24"/>
                <w:szCs w:val="24"/>
                <w:highlight w:val="none"/>
              </w:rPr>
            </w:pPr>
            <w:r>
              <w:rPr>
                <w:rFonts w:hint="eastAsia" w:hAnsi="宋体"/>
                <w:color w:val="auto"/>
                <w:sz w:val="24"/>
                <w:szCs w:val="24"/>
                <w:highlight w:val="none"/>
              </w:rPr>
              <w:t>2、</w:t>
            </w:r>
            <w:r>
              <w:rPr>
                <w:rFonts w:hint="eastAsia" w:ascii="Times New Roman"/>
                <w:color w:val="auto"/>
                <w:sz w:val="24"/>
                <w:szCs w:val="24"/>
                <w:highlight w:val="none"/>
              </w:rPr>
              <w:t>无线局域网产品政府采购政策：</w:t>
            </w:r>
          </w:p>
          <w:p>
            <w:pPr>
              <w:snapToGrid w:val="0"/>
              <w:spacing w:line="480" w:lineRule="exact"/>
              <w:outlineLvl w:val="5"/>
              <w:rPr>
                <w:rFonts w:ascii="Times New Roman"/>
                <w:color w:val="auto"/>
                <w:sz w:val="24"/>
                <w:szCs w:val="24"/>
                <w:highlight w:val="none"/>
              </w:rPr>
            </w:pPr>
            <w:r>
              <w:rPr>
                <w:rFonts w:hint="eastAsia" w:ascii="Times New Roman"/>
                <w:color w:val="auto"/>
                <w:sz w:val="24"/>
                <w:szCs w:val="24"/>
                <w:highlight w:val="none"/>
              </w:rPr>
              <w:t>本项目采购的产品属于中国</w:t>
            </w:r>
            <w:r>
              <w:rPr>
                <w:rFonts w:ascii="Times New Roman"/>
                <w:color w:val="auto"/>
                <w:sz w:val="24"/>
                <w:szCs w:val="24"/>
                <w:highlight w:val="none"/>
              </w:rPr>
              <w:t>政府采购网公布的</w:t>
            </w:r>
            <w:r>
              <w:rPr>
                <w:rFonts w:hint="eastAsia" w:ascii="Times New Roman"/>
                <w:color w:val="auto"/>
                <w:sz w:val="24"/>
                <w:szCs w:val="24"/>
                <w:highlight w:val="none"/>
              </w:rPr>
              <w:t>《无线局域网认证产品政府采购清单》的，根据清单按照第五章《综合评分明细表》的规则进行加分。</w:t>
            </w:r>
          </w:p>
          <w:p>
            <w:pPr>
              <w:snapToGrid w:val="0"/>
              <w:spacing w:line="440" w:lineRule="exact"/>
              <w:outlineLvl w:val="5"/>
              <w:rPr>
                <w:rFonts w:hAnsi="宋体"/>
                <w:bCs/>
                <w:color w:val="auto"/>
                <w:sz w:val="24"/>
                <w:szCs w:val="24"/>
                <w:highlight w:val="none"/>
              </w:rPr>
            </w:pPr>
            <w:r>
              <w:rPr>
                <w:rFonts w:hint="eastAsia" w:hAnsi="宋体" w:cs="宋体"/>
                <w:bCs/>
                <w:color w:val="auto"/>
                <w:sz w:val="24"/>
                <w:szCs w:val="24"/>
                <w:highlight w:val="none"/>
              </w:rPr>
              <w:t>3、扶持不发达地区和少数民族地区政策，按现行有效政策执行。供应商为</w:t>
            </w:r>
            <w:r>
              <w:rPr>
                <w:rFonts w:hAnsi="宋体" w:cs="宋体"/>
                <w:bCs/>
                <w:color w:val="auto"/>
                <w:sz w:val="24"/>
                <w:szCs w:val="24"/>
                <w:highlight w:val="none"/>
              </w:rPr>
              <w:t>不发达地区和少数民族地区政策条件的,在同等条件</w:t>
            </w:r>
            <w:r>
              <w:rPr>
                <w:rFonts w:hint="eastAsia" w:hAnsi="宋体" w:cs="宋体"/>
                <w:bCs/>
                <w:color w:val="auto"/>
                <w:sz w:val="24"/>
                <w:szCs w:val="24"/>
                <w:highlight w:val="none"/>
              </w:rPr>
              <w:t>（包括但不限于）</w:t>
            </w:r>
            <w:r>
              <w:rPr>
                <w:rFonts w:hAnsi="宋体" w:cs="宋体"/>
                <w:bCs/>
                <w:color w:val="auto"/>
                <w:sz w:val="24"/>
                <w:szCs w:val="24"/>
                <w:highlight w:val="none"/>
              </w:rPr>
              <w:t>下享有优先采购的机会。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26</w:t>
            </w:r>
          </w:p>
        </w:tc>
        <w:tc>
          <w:tcPr>
            <w:tcW w:w="1924" w:type="dxa"/>
            <w:vAlign w:val="center"/>
          </w:tcPr>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国家关于政府采购进口产品的规定</w:t>
            </w:r>
          </w:p>
        </w:tc>
        <w:tc>
          <w:tcPr>
            <w:tcW w:w="6598" w:type="dxa"/>
            <w:vAlign w:val="center"/>
          </w:tcPr>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磋商文件明确规定可以采购进口产品时，仍有满足需求的国</w:t>
            </w:r>
          </w:p>
          <w:p>
            <w:pPr>
              <w:snapToGrid w:val="0"/>
              <w:spacing w:line="440" w:lineRule="exact"/>
              <w:outlineLvl w:val="5"/>
              <w:rPr>
                <w:rFonts w:hAnsi="宋体" w:cs="宋体"/>
                <w:bCs/>
                <w:color w:val="auto"/>
                <w:sz w:val="24"/>
                <w:szCs w:val="24"/>
                <w:highlight w:val="none"/>
              </w:rPr>
            </w:pPr>
            <w:r>
              <w:rPr>
                <w:rFonts w:hint="eastAsia" w:hAnsi="宋体" w:cs="宋体"/>
                <w:bCs/>
                <w:color w:val="auto"/>
                <w:sz w:val="24"/>
                <w:szCs w:val="24"/>
                <w:highlight w:val="none"/>
              </w:rPr>
              <w:t>内产品要求参与采购竞争的，不得对国内产品加以限制，应当按照公平竞争原则实施采购。磋商文件未注明允许进口产品参与响应的，凡响应进口产品的一律响应无效。磋商文件中载明“允许采购进口产品”的产品，允许国产产品参与磋商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594" w:type="dxa"/>
            <w:vAlign w:val="center"/>
          </w:tcPr>
          <w:p>
            <w:pPr>
              <w:spacing w:line="440" w:lineRule="exact"/>
              <w:jc w:val="center"/>
              <w:outlineLvl w:val="5"/>
              <w:rPr>
                <w:rFonts w:hAnsi="宋体"/>
                <w:bCs/>
                <w:color w:val="auto"/>
                <w:sz w:val="24"/>
                <w:szCs w:val="24"/>
                <w:highlight w:val="none"/>
              </w:rPr>
            </w:pPr>
            <w:r>
              <w:rPr>
                <w:rFonts w:hint="eastAsia" w:hAnsi="宋体"/>
                <w:bCs/>
                <w:color w:val="auto"/>
                <w:sz w:val="24"/>
                <w:szCs w:val="24"/>
                <w:highlight w:val="none"/>
              </w:rPr>
              <w:t>27</w:t>
            </w:r>
          </w:p>
        </w:tc>
        <w:tc>
          <w:tcPr>
            <w:tcW w:w="1924" w:type="dxa"/>
            <w:vAlign w:val="center"/>
          </w:tcPr>
          <w:p>
            <w:pPr>
              <w:pStyle w:val="290"/>
              <w:spacing w:line="500" w:lineRule="exact"/>
              <w:ind w:right="264"/>
              <w:jc w:val="center"/>
              <w:rPr>
                <w:rFonts w:ascii="Times New Roman" w:hAnsi="Times New Roman" w:cs="Times New Roman"/>
                <w:color w:val="auto"/>
                <w:szCs w:val="28"/>
                <w:highlight w:val="none"/>
              </w:rPr>
            </w:pPr>
            <w:r>
              <w:rPr>
                <w:rFonts w:hint="eastAsia" w:ascii="Times New Roman" w:hAnsi="Times New Roman" w:cs="Times New Roman"/>
                <w:color w:val="auto"/>
                <w:szCs w:val="28"/>
                <w:highlight w:val="none"/>
              </w:rPr>
              <w:t>其他</w:t>
            </w:r>
          </w:p>
        </w:tc>
        <w:tc>
          <w:tcPr>
            <w:tcW w:w="6598" w:type="dxa"/>
            <w:vAlign w:val="center"/>
          </w:tcPr>
          <w:p>
            <w:pPr>
              <w:pStyle w:val="290"/>
              <w:jc w:val="both"/>
              <w:rPr>
                <w:color w:val="auto"/>
                <w:highlight w:val="none"/>
                <w:lang w:val="zh-CN"/>
              </w:rPr>
            </w:pPr>
            <w:r>
              <w:rPr>
                <w:rFonts w:hint="eastAsia"/>
                <w:color w:val="auto"/>
                <w:highlight w:val="none"/>
                <w:lang w:val="zh-CN"/>
              </w:rPr>
              <w:t>供应商磋商须知附表与磋商文件其他描述不一致时，以供应商磋商须知附表为准。</w:t>
            </w:r>
          </w:p>
        </w:tc>
      </w:tr>
    </w:tbl>
    <w:p>
      <w:pPr>
        <w:pStyle w:val="4"/>
        <w:spacing w:after="0" w:line="440" w:lineRule="exact"/>
        <w:rPr>
          <w:color w:val="auto"/>
          <w:highlight w:val="none"/>
        </w:rPr>
      </w:pPr>
      <w:r>
        <w:rPr>
          <w:rFonts w:hint="eastAsia"/>
          <w:color w:val="auto"/>
          <w:highlight w:val="none"/>
        </w:rPr>
        <w:t>二、总则</w:t>
      </w:r>
    </w:p>
    <w:p>
      <w:pPr>
        <w:spacing w:line="480" w:lineRule="exact"/>
        <w:ind w:firstLine="482" w:firstLineChars="200"/>
        <w:rPr>
          <w:rFonts w:hAnsi="宋体"/>
          <w:b/>
          <w:bCs/>
          <w:color w:val="auto"/>
          <w:sz w:val="24"/>
          <w:szCs w:val="24"/>
          <w:highlight w:val="none"/>
        </w:rPr>
      </w:pPr>
      <w:r>
        <w:rPr>
          <w:rFonts w:hAnsi="宋体"/>
          <w:b/>
          <w:bCs/>
          <w:color w:val="auto"/>
          <w:sz w:val="24"/>
          <w:szCs w:val="24"/>
          <w:highlight w:val="none"/>
        </w:rPr>
        <w:t>1、适用范围</w:t>
      </w:r>
    </w:p>
    <w:p>
      <w:pPr>
        <w:tabs>
          <w:tab w:val="left" w:pos="7665"/>
        </w:tabs>
        <w:spacing w:line="480" w:lineRule="exact"/>
        <w:ind w:firstLine="480" w:firstLineChars="200"/>
        <w:jc w:val="both"/>
        <w:rPr>
          <w:rFonts w:hAnsi="宋体"/>
          <w:color w:val="auto"/>
          <w:sz w:val="24"/>
          <w:szCs w:val="24"/>
          <w:highlight w:val="none"/>
        </w:rPr>
      </w:pPr>
      <w:r>
        <w:rPr>
          <w:rFonts w:hAnsi="宋体"/>
          <w:color w:val="auto"/>
          <w:sz w:val="24"/>
          <w:szCs w:val="24"/>
          <w:highlight w:val="none"/>
        </w:rPr>
        <w:t>本竞争性磋商文件仅适用于本磋商邀请书中所叙述项目的采购。</w:t>
      </w:r>
    </w:p>
    <w:p>
      <w:pPr>
        <w:spacing w:line="480" w:lineRule="exact"/>
        <w:ind w:firstLine="482" w:firstLineChars="200"/>
        <w:rPr>
          <w:rFonts w:hAnsi="宋体"/>
          <w:b/>
          <w:bCs/>
          <w:color w:val="auto"/>
          <w:sz w:val="24"/>
          <w:szCs w:val="24"/>
          <w:highlight w:val="none"/>
        </w:rPr>
      </w:pPr>
      <w:r>
        <w:rPr>
          <w:rFonts w:hAnsi="宋体"/>
          <w:b/>
          <w:bCs/>
          <w:color w:val="auto"/>
          <w:sz w:val="24"/>
          <w:szCs w:val="24"/>
          <w:highlight w:val="none"/>
        </w:rPr>
        <w:t>2、定义</w:t>
      </w:r>
    </w:p>
    <w:p>
      <w:pPr>
        <w:tabs>
          <w:tab w:val="left" w:pos="7665"/>
        </w:tabs>
        <w:spacing w:line="480" w:lineRule="exact"/>
        <w:ind w:firstLine="480" w:firstLineChars="200"/>
        <w:jc w:val="both"/>
        <w:rPr>
          <w:rFonts w:hAnsi="宋体"/>
          <w:color w:val="auto"/>
          <w:sz w:val="24"/>
          <w:szCs w:val="24"/>
          <w:highlight w:val="none"/>
        </w:rPr>
      </w:pPr>
      <w:r>
        <w:rPr>
          <w:rFonts w:hAnsi="宋体"/>
          <w:color w:val="auto"/>
          <w:sz w:val="24"/>
          <w:szCs w:val="24"/>
          <w:highlight w:val="none"/>
        </w:rPr>
        <w:t>2.1“采购人”</w:t>
      </w:r>
      <w:r>
        <w:rPr>
          <w:rFonts w:hint="eastAsia" w:hAnsi="宋体"/>
          <w:color w:val="auto"/>
          <w:sz w:val="24"/>
          <w:szCs w:val="24"/>
          <w:highlight w:val="none"/>
        </w:rPr>
        <w:t>或“甲方”</w:t>
      </w:r>
      <w:r>
        <w:rPr>
          <w:rFonts w:hAnsi="宋体"/>
          <w:color w:val="auto"/>
          <w:sz w:val="24"/>
          <w:szCs w:val="24"/>
          <w:highlight w:val="none"/>
        </w:rPr>
        <w:t>系</w:t>
      </w:r>
      <w:r>
        <w:rPr>
          <w:rFonts w:hint="eastAsia"/>
          <w:color w:val="auto"/>
          <w:sz w:val="24"/>
          <w:highlight w:val="none"/>
          <w:u w:val="single"/>
        </w:rPr>
        <w:t>成都市殡仪馆</w:t>
      </w:r>
      <w:r>
        <w:rPr>
          <w:rFonts w:hint="eastAsia" w:hAnsi="宋体"/>
          <w:color w:val="auto"/>
          <w:sz w:val="24"/>
          <w:szCs w:val="24"/>
          <w:highlight w:val="none"/>
          <w:u w:val="single"/>
        </w:rPr>
        <w:t>。</w:t>
      </w:r>
    </w:p>
    <w:p>
      <w:pPr>
        <w:tabs>
          <w:tab w:val="left" w:pos="7665"/>
        </w:tabs>
        <w:spacing w:line="480" w:lineRule="exact"/>
        <w:ind w:firstLine="480" w:firstLineChars="200"/>
        <w:jc w:val="both"/>
        <w:rPr>
          <w:rFonts w:hAnsi="宋体"/>
          <w:color w:val="auto"/>
          <w:sz w:val="24"/>
          <w:szCs w:val="24"/>
          <w:highlight w:val="none"/>
        </w:rPr>
      </w:pPr>
      <w:r>
        <w:rPr>
          <w:rFonts w:hAnsi="宋体"/>
          <w:color w:val="auto"/>
          <w:sz w:val="24"/>
          <w:szCs w:val="24"/>
          <w:highlight w:val="none"/>
        </w:rPr>
        <w:t>2.2“供应商”</w:t>
      </w:r>
      <w:r>
        <w:rPr>
          <w:rFonts w:hint="eastAsia" w:hAnsi="宋体"/>
          <w:color w:val="auto"/>
          <w:sz w:val="24"/>
          <w:szCs w:val="24"/>
          <w:highlight w:val="none"/>
        </w:rPr>
        <w:t>或“乙方”</w:t>
      </w:r>
      <w:r>
        <w:rPr>
          <w:rFonts w:hAnsi="宋体"/>
          <w:color w:val="auto"/>
          <w:sz w:val="24"/>
          <w:szCs w:val="24"/>
          <w:highlight w:val="none"/>
        </w:rPr>
        <w:t>系指响应竞争性磋商文件要求，并提交</w:t>
      </w:r>
      <w:r>
        <w:rPr>
          <w:rFonts w:hint="eastAsia" w:hAnsi="宋体"/>
          <w:color w:val="auto"/>
          <w:sz w:val="24"/>
          <w:szCs w:val="24"/>
          <w:highlight w:val="none"/>
        </w:rPr>
        <w:t>响应</w:t>
      </w:r>
      <w:r>
        <w:rPr>
          <w:rFonts w:hAnsi="宋体"/>
          <w:color w:val="auto"/>
          <w:sz w:val="24"/>
          <w:szCs w:val="24"/>
          <w:highlight w:val="none"/>
        </w:rPr>
        <w:t>文件的</w:t>
      </w:r>
      <w:r>
        <w:rPr>
          <w:rFonts w:hint="eastAsia" w:hAnsi="宋体"/>
          <w:color w:val="auto"/>
          <w:sz w:val="24"/>
          <w:szCs w:val="24"/>
          <w:highlight w:val="none"/>
        </w:rPr>
        <w:t>法人、其他组织或者自然人</w:t>
      </w:r>
      <w:r>
        <w:rPr>
          <w:rFonts w:hAnsi="宋体"/>
          <w:color w:val="auto"/>
          <w:sz w:val="24"/>
          <w:szCs w:val="24"/>
          <w:highlight w:val="none"/>
        </w:rPr>
        <w:t>。</w:t>
      </w:r>
    </w:p>
    <w:p>
      <w:pPr>
        <w:tabs>
          <w:tab w:val="left" w:pos="7665"/>
        </w:tabs>
        <w:spacing w:line="480" w:lineRule="exact"/>
        <w:ind w:firstLine="480" w:firstLineChars="200"/>
        <w:jc w:val="both"/>
        <w:rPr>
          <w:rFonts w:hAnsi="宋体"/>
          <w:color w:val="auto"/>
          <w:sz w:val="24"/>
          <w:szCs w:val="24"/>
          <w:highlight w:val="none"/>
        </w:rPr>
      </w:pPr>
      <w:r>
        <w:rPr>
          <w:rFonts w:hint="eastAsia" w:hAnsi="宋体"/>
          <w:color w:val="auto"/>
          <w:sz w:val="24"/>
          <w:szCs w:val="24"/>
          <w:highlight w:val="none"/>
        </w:rPr>
        <w:t>2.3“采购代理机构”系指根据采购人的委托依法办理采购事宜的采购机构。本次竞争性磋商的采购代理机构是</w:t>
      </w:r>
      <w:r>
        <w:rPr>
          <w:rFonts w:hint="eastAsia" w:hAnsi="宋体"/>
          <w:color w:val="auto"/>
          <w:sz w:val="24"/>
          <w:szCs w:val="24"/>
          <w:highlight w:val="none"/>
          <w:u w:val="single"/>
        </w:rPr>
        <w:t>四川标源招标代理有限公司</w:t>
      </w:r>
      <w:r>
        <w:rPr>
          <w:rFonts w:hint="eastAsia" w:hAnsi="宋体"/>
          <w:color w:val="auto"/>
          <w:sz w:val="24"/>
          <w:szCs w:val="24"/>
          <w:highlight w:val="none"/>
        </w:rPr>
        <w:t>。</w:t>
      </w:r>
    </w:p>
    <w:p>
      <w:p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3、本项目</w:t>
      </w:r>
      <w:r>
        <w:rPr>
          <w:rFonts w:hAnsi="宋体"/>
          <w:b/>
          <w:bCs/>
          <w:color w:val="auto"/>
          <w:sz w:val="24"/>
          <w:szCs w:val="24"/>
          <w:highlight w:val="none"/>
        </w:rPr>
        <w:t>合格的供应商资格条件</w:t>
      </w:r>
    </w:p>
    <w:p>
      <w:pPr>
        <w:spacing w:line="480" w:lineRule="exact"/>
        <w:ind w:firstLine="480" w:firstLineChars="200"/>
        <w:jc w:val="both"/>
        <w:rPr>
          <w:rFonts w:hAnsi="宋体"/>
          <w:color w:val="auto"/>
          <w:sz w:val="24"/>
          <w:szCs w:val="24"/>
          <w:highlight w:val="none"/>
        </w:rPr>
      </w:pPr>
      <w:r>
        <w:rPr>
          <w:rFonts w:hint="eastAsia" w:hAnsi="宋体"/>
          <w:color w:val="auto"/>
          <w:sz w:val="24"/>
          <w:szCs w:val="24"/>
          <w:highlight w:val="none"/>
        </w:rPr>
        <w:t>3.1供应商应具备第一章第五条所述的资格条件；</w:t>
      </w:r>
    </w:p>
    <w:p>
      <w:pPr>
        <w:spacing w:line="480" w:lineRule="exact"/>
        <w:ind w:firstLine="480" w:firstLineChars="200"/>
        <w:jc w:val="both"/>
        <w:rPr>
          <w:rFonts w:hAnsi="宋体"/>
          <w:color w:val="auto"/>
          <w:sz w:val="24"/>
          <w:szCs w:val="24"/>
          <w:highlight w:val="none"/>
        </w:rPr>
      </w:pPr>
      <w:r>
        <w:rPr>
          <w:rFonts w:hint="eastAsia" w:hAnsi="宋体"/>
          <w:color w:val="auto"/>
          <w:sz w:val="24"/>
          <w:szCs w:val="24"/>
          <w:highlight w:val="none"/>
        </w:rPr>
        <w:t>3.2遵守国家有关的法律、法规、规章和其他政策制度；</w:t>
      </w:r>
    </w:p>
    <w:p>
      <w:pPr>
        <w:spacing w:line="480" w:lineRule="exact"/>
        <w:ind w:firstLine="480" w:firstLineChars="200"/>
        <w:jc w:val="both"/>
        <w:rPr>
          <w:rFonts w:hAnsi="宋体"/>
          <w:color w:val="auto"/>
          <w:sz w:val="24"/>
          <w:szCs w:val="24"/>
          <w:highlight w:val="none"/>
        </w:rPr>
      </w:pPr>
      <w:r>
        <w:rPr>
          <w:rFonts w:hint="eastAsia" w:hAnsi="宋体"/>
          <w:color w:val="auto"/>
          <w:sz w:val="24"/>
          <w:szCs w:val="24"/>
          <w:highlight w:val="none"/>
        </w:rPr>
        <w:t>3.3向采购代理机构购买了竞争性磋商文件并登记备案。</w:t>
      </w:r>
    </w:p>
    <w:p>
      <w:pPr>
        <w:numPr>
          <w:ilvl w:val="0"/>
          <w:numId w:val="8"/>
        </w:num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充分、公平竞争保障措施</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4.1利害关系供应商处理。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4.2前期参与供应商处理。为采购项目提供整体设计、规范编制、施工建设或者项目管理、监理、检测等服务的供应商，不得再参加该采购项目的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4.3利害关系代理人处理。2家以上的供应商不得在同一合同项下的采购项目中，同时委托同一个自然人、同一家庭的人员、同一单位的人员作为其代理人，否则，其响应文件作为无效处理。</w:t>
      </w:r>
    </w:p>
    <w:p>
      <w:p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4.4提供相同品牌产品处理。</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提供相同品牌产品处理。提供相同品牌产品的不同供应商参加同一合同项下响应的，以其中通过资格审查、符合性检查且报价最低的参加评标，报价相同的，由采购人自主采取公平、择优的方式选择确定一个参加评标的供应商，其他响应无效。</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提供相同制造厂商不同品牌产品处理。制造厂商有二个以上品牌，制造厂商与分销商或经销商或代理商同时参加响应，响应产品为不同品牌的，制造厂商响应产品所属品牌为该品牌的有效供应商，其他供应商的响应文件作为无效响应处理。制造厂商有二个以上品牌，只有分销商或经销商或代理商参加磋商，响应产品为不同品牌的，所投品牌产品以其中通过资格审查、符合性检查且报价最低的参加评标，报价相同的，由采购人自主采取公平、择优的方式选择确定一个参加评标的供应商，其他供应商的响应文件作为无效响应处理。</w:t>
      </w:r>
    </w:p>
    <w:p>
      <w:p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5、竞争性磋商采购费用</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无论竞争性磋商采购的结果如何，供应商自行承担所有与参加竞争性磋商有关的全部费用。</w:t>
      </w:r>
    </w:p>
    <w:p>
      <w:p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6、竞争性磋商文件</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6.1 竞争性磋商文件是采购人用以阐明所需提供的服务、竞争性磋商采购的程序和评定成交供应商的标准、合同草案条款等内容的文件。</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6.2 竞争性磋商文件的组成</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（1）竞争性磋商邀请公告</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（2）磋商须知</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（3）供应商资格证明文件</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（4）服务要求、商务条件说明</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（5）磋商程序</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（6）合同草案条款（参考文本）</w:t>
      </w:r>
    </w:p>
    <w:p>
      <w:pPr>
        <w:pStyle w:val="23"/>
        <w:spacing w:line="480" w:lineRule="exact"/>
        <w:ind w:firstLine="480" w:firstLineChars="200"/>
        <w:rPr>
          <w:rFonts w:hint="default" w:hAnsi="宋体"/>
          <w:color w:val="auto"/>
          <w:sz w:val="24"/>
          <w:szCs w:val="24"/>
          <w:highlight w:val="none"/>
        </w:rPr>
      </w:pPr>
      <w:r>
        <w:rPr>
          <w:rFonts w:hAnsi="宋体"/>
          <w:color w:val="auto"/>
          <w:sz w:val="24"/>
          <w:szCs w:val="24"/>
          <w:highlight w:val="none"/>
        </w:rPr>
        <w:t>（7）响应文件格式</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（8）磋商过程中形成的书面变更通知</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6</w:t>
      </w:r>
      <w:r>
        <w:rPr>
          <w:rFonts w:hAnsi="宋体"/>
          <w:color w:val="auto"/>
          <w:sz w:val="24"/>
          <w:szCs w:val="24"/>
          <w:highlight w:val="none"/>
        </w:rPr>
        <w:t>.3 供应商应详细阅读竞争性磋商文件的全部内容，并实质性响应竞争性磋商文件的要求。</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6.4 提交首次响应文件截止之日前，采购人、采购代理机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7、响应文件</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7.1 响应文件的语言及计量单位</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7.1.1 供应商提交的响应文件以及供应商与采购代理机构就有关响应的所有来往书面文件均须使用中文。响应文件中如附有外文资料，主要部分对应翻译成中文并加盖供应商公章后附在相关外文资料后面。</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7.1.2翻译的中文资料与外文资料如果出现差异和矛盾时，以中文为准。</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7.1.3如因未翻译而造成的一切后果，由供应商承担。</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7.1.4除技术规格及要求中另有规定外，本采购项下的响应均采用国家法定的计量单位。</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 xml:space="preserve">7.2 </w:t>
      </w:r>
      <w:r>
        <w:rPr>
          <w:rFonts w:hAnsi="宋体"/>
          <w:color w:val="auto"/>
          <w:sz w:val="24"/>
          <w:szCs w:val="24"/>
          <w:highlight w:val="none"/>
        </w:rPr>
        <w:t>供应商须按竞争性磋商文件的要求</w:t>
      </w:r>
      <w:r>
        <w:rPr>
          <w:rFonts w:hint="eastAsia" w:hAnsi="宋体"/>
          <w:color w:val="auto"/>
          <w:sz w:val="24"/>
          <w:szCs w:val="24"/>
          <w:highlight w:val="none"/>
        </w:rPr>
        <w:t>编制</w:t>
      </w:r>
      <w:r>
        <w:rPr>
          <w:rFonts w:hAnsi="宋体"/>
          <w:color w:val="auto"/>
          <w:sz w:val="24"/>
          <w:szCs w:val="24"/>
          <w:highlight w:val="none"/>
        </w:rPr>
        <w:t>响应文件</w:t>
      </w:r>
      <w:r>
        <w:rPr>
          <w:rFonts w:hint="eastAsia" w:hAnsi="宋体"/>
          <w:color w:val="auto"/>
          <w:sz w:val="24"/>
          <w:szCs w:val="24"/>
          <w:highlight w:val="none"/>
        </w:rPr>
        <w:t>。供应商拟将项目的非主体、非关键性工作交由他人完成的，应当在响应文件中载明。供应商编写的响应文件应包括（但不限于）下列部分：</w:t>
      </w:r>
    </w:p>
    <w:p>
      <w:pPr>
        <w:spacing w:line="480" w:lineRule="exact"/>
        <w:ind w:firstLine="480" w:firstLineChars="200"/>
        <w:rPr>
          <w:rFonts w:hAnsi="宋体"/>
          <w:color w:val="auto"/>
          <w:sz w:val="24"/>
          <w:szCs w:val="24"/>
          <w:highlight w:val="none"/>
        </w:rPr>
      </w:pPr>
      <w:r>
        <w:rPr>
          <w:rFonts w:hAnsi="宋体"/>
          <w:color w:val="auto"/>
          <w:sz w:val="24"/>
          <w:szCs w:val="24"/>
          <w:highlight w:val="none"/>
        </w:rPr>
        <w:t>文件一：资格性响应文件</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（1）法定代表人/负责人授权书或法定代表人/负责人身份证明；</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（2）供应商符合《中华人民共和国政府采购法》第二十二条规定条件的承诺函；</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（3）供应商的承诺函；</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（4）供应商基本情况表；</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（5）磋商文件要求提供的其他证明文件。</w:t>
      </w:r>
    </w:p>
    <w:p>
      <w:pPr>
        <w:spacing w:line="480" w:lineRule="exact"/>
        <w:ind w:firstLine="480" w:firstLineChars="200"/>
        <w:rPr>
          <w:rFonts w:hAnsi="宋体"/>
          <w:color w:val="auto"/>
          <w:sz w:val="24"/>
          <w:szCs w:val="24"/>
          <w:highlight w:val="none"/>
        </w:rPr>
      </w:pPr>
      <w:r>
        <w:rPr>
          <w:rFonts w:hAnsi="宋体"/>
          <w:color w:val="auto"/>
          <w:sz w:val="24"/>
          <w:szCs w:val="24"/>
          <w:highlight w:val="none"/>
        </w:rPr>
        <w:t>文件二：</w:t>
      </w:r>
      <w:r>
        <w:rPr>
          <w:rFonts w:hint="eastAsia" w:hAnsi="宋体"/>
          <w:color w:val="auto"/>
          <w:sz w:val="24"/>
          <w:szCs w:val="24"/>
          <w:highlight w:val="none"/>
        </w:rPr>
        <w:t>技术、服务性响应文件</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（1）响应函；</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（2）响应产品品牌型号；</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（3）首轮报价表；</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（4）技术服务要求响应/偏离表；</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（5）商务要求响应/偏离表；</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（6）中小企业声明函；</w:t>
      </w:r>
      <w:r>
        <w:rPr>
          <w:rFonts w:hAnsi="宋体" w:cs="宋体"/>
          <w:color w:val="auto"/>
          <w:sz w:val="24"/>
          <w:szCs w:val="24"/>
          <w:highlight w:val="none"/>
        </w:rPr>
        <w:t>（如未提供的，不影响</w:t>
      </w:r>
      <w:r>
        <w:rPr>
          <w:rFonts w:hint="eastAsia" w:hAnsi="宋体" w:cs="宋体"/>
          <w:color w:val="auto"/>
          <w:sz w:val="24"/>
          <w:szCs w:val="24"/>
          <w:highlight w:val="none"/>
        </w:rPr>
        <w:t>响应</w:t>
      </w:r>
      <w:r>
        <w:rPr>
          <w:rFonts w:hAnsi="宋体" w:cs="宋体"/>
          <w:color w:val="auto"/>
          <w:sz w:val="24"/>
          <w:szCs w:val="24"/>
          <w:highlight w:val="none"/>
        </w:rPr>
        <w:t>人</w:t>
      </w:r>
      <w:r>
        <w:rPr>
          <w:rFonts w:hint="eastAsia" w:hAnsi="宋体" w:cs="宋体"/>
          <w:color w:val="auto"/>
          <w:sz w:val="24"/>
          <w:szCs w:val="24"/>
          <w:highlight w:val="none"/>
        </w:rPr>
        <w:t>响应</w:t>
      </w:r>
      <w:r>
        <w:rPr>
          <w:rFonts w:hAnsi="宋体" w:cs="宋体"/>
          <w:color w:val="auto"/>
          <w:sz w:val="24"/>
          <w:szCs w:val="24"/>
          <w:highlight w:val="none"/>
        </w:rPr>
        <w:t>文件的有效性）</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（7）残疾人福利性单位声明函；</w:t>
      </w:r>
      <w:r>
        <w:rPr>
          <w:rFonts w:hAnsi="宋体" w:cs="宋体"/>
          <w:color w:val="auto"/>
          <w:sz w:val="24"/>
          <w:szCs w:val="24"/>
          <w:highlight w:val="none"/>
        </w:rPr>
        <w:t>（如未提供的，不影响</w:t>
      </w:r>
      <w:r>
        <w:rPr>
          <w:rFonts w:hint="eastAsia" w:hAnsi="宋体" w:cs="宋体"/>
          <w:color w:val="auto"/>
          <w:sz w:val="24"/>
          <w:szCs w:val="24"/>
          <w:highlight w:val="none"/>
        </w:rPr>
        <w:t>响应</w:t>
      </w:r>
      <w:r>
        <w:rPr>
          <w:rFonts w:hAnsi="宋体" w:cs="宋体"/>
          <w:color w:val="auto"/>
          <w:sz w:val="24"/>
          <w:szCs w:val="24"/>
          <w:highlight w:val="none"/>
        </w:rPr>
        <w:t>人</w:t>
      </w:r>
      <w:r>
        <w:rPr>
          <w:rFonts w:hint="eastAsia" w:hAnsi="宋体" w:cs="宋体"/>
          <w:color w:val="auto"/>
          <w:sz w:val="24"/>
          <w:szCs w:val="24"/>
          <w:highlight w:val="none"/>
        </w:rPr>
        <w:t>响应</w:t>
      </w:r>
      <w:r>
        <w:rPr>
          <w:rFonts w:hAnsi="宋体" w:cs="宋体"/>
          <w:color w:val="auto"/>
          <w:sz w:val="24"/>
          <w:szCs w:val="24"/>
          <w:highlight w:val="none"/>
        </w:rPr>
        <w:t>文件的有效性）</w:t>
      </w:r>
    </w:p>
    <w:p>
      <w:pPr>
        <w:spacing w:line="480" w:lineRule="exact"/>
        <w:ind w:firstLine="480" w:firstLineChars="200"/>
        <w:rPr>
          <w:rFonts w:hAnsi="宋体"/>
          <w:bCs/>
          <w:color w:val="auto"/>
          <w:sz w:val="24"/>
          <w:szCs w:val="24"/>
          <w:highlight w:val="none"/>
        </w:rPr>
      </w:pPr>
      <w:r>
        <w:rPr>
          <w:rFonts w:hint="eastAsia" w:hAnsi="宋体"/>
          <w:color w:val="auto"/>
          <w:sz w:val="24"/>
          <w:szCs w:val="24"/>
          <w:highlight w:val="none"/>
        </w:rPr>
        <w:t>（8）</w:t>
      </w:r>
      <w:r>
        <w:rPr>
          <w:rFonts w:hint="eastAsia" w:hAnsi="宋体"/>
          <w:bCs/>
          <w:color w:val="auto"/>
          <w:sz w:val="24"/>
          <w:szCs w:val="24"/>
          <w:highlight w:val="none"/>
        </w:rPr>
        <w:t>监狱企业证明材料</w:t>
      </w:r>
      <w:r>
        <w:rPr>
          <w:rFonts w:hint="eastAsia" w:hAnsi="宋体"/>
          <w:color w:val="auto"/>
          <w:sz w:val="24"/>
          <w:szCs w:val="24"/>
          <w:highlight w:val="none"/>
        </w:rPr>
        <w:t>；</w:t>
      </w:r>
      <w:r>
        <w:rPr>
          <w:rFonts w:hAnsi="宋体" w:cs="宋体"/>
          <w:color w:val="auto"/>
          <w:sz w:val="24"/>
          <w:szCs w:val="24"/>
          <w:highlight w:val="none"/>
        </w:rPr>
        <w:t>（如未提供的，不影响</w:t>
      </w:r>
      <w:r>
        <w:rPr>
          <w:rFonts w:hint="eastAsia" w:hAnsi="宋体" w:cs="宋体"/>
          <w:color w:val="auto"/>
          <w:sz w:val="24"/>
          <w:szCs w:val="24"/>
          <w:highlight w:val="none"/>
        </w:rPr>
        <w:t>响应</w:t>
      </w:r>
      <w:r>
        <w:rPr>
          <w:rFonts w:hAnsi="宋体" w:cs="宋体"/>
          <w:color w:val="auto"/>
          <w:sz w:val="24"/>
          <w:szCs w:val="24"/>
          <w:highlight w:val="none"/>
        </w:rPr>
        <w:t>人</w:t>
      </w:r>
      <w:r>
        <w:rPr>
          <w:rFonts w:hint="eastAsia" w:hAnsi="宋体" w:cs="宋体"/>
          <w:color w:val="auto"/>
          <w:sz w:val="24"/>
          <w:szCs w:val="24"/>
          <w:highlight w:val="none"/>
        </w:rPr>
        <w:t>响应</w:t>
      </w:r>
      <w:r>
        <w:rPr>
          <w:rFonts w:hAnsi="宋体" w:cs="宋体"/>
          <w:color w:val="auto"/>
          <w:sz w:val="24"/>
          <w:szCs w:val="24"/>
          <w:highlight w:val="none"/>
        </w:rPr>
        <w:t>文件的有效性）</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（9）服务计划及承诺；</w:t>
      </w:r>
    </w:p>
    <w:p>
      <w:pPr>
        <w:spacing w:line="480" w:lineRule="exact"/>
        <w:ind w:firstLine="480" w:firstLineChars="200"/>
        <w:rPr>
          <w:rFonts w:hAnsi="宋体"/>
          <w:color w:val="auto"/>
          <w:sz w:val="24"/>
          <w:szCs w:val="24"/>
          <w:highlight w:val="none"/>
        </w:rPr>
      </w:pPr>
      <w:r>
        <w:rPr>
          <w:rFonts w:hint="eastAsia" w:hAnsi="宋体"/>
          <w:color w:val="auto"/>
          <w:sz w:val="24"/>
          <w:szCs w:val="24"/>
          <w:highlight w:val="none"/>
        </w:rPr>
        <w:t>（10）磋商文件要求提供的其他相关资料。</w:t>
      </w:r>
    </w:p>
    <w:p>
      <w:p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8、报价</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8</w:t>
      </w:r>
      <w:r>
        <w:rPr>
          <w:rFonts w:ascii="宋体" w:hAnsi="宋体"/>
          <w:color w:val="auto"/>
          <w:sz w:val="24"/>
          <w:highlight w:val="none"/>
        </w:rPr>
        <w:t>.1所有报价一律以人民币报价。采购人不接受任何非人民币币种的报价。</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8</w:t>
      </w:r>
      <w:r>
        <w:rPr>
          <w:rFonts w:ascii="宋体" w:hAnsi="宋体"/>
          <w:color w:val="auto"/>
          <w:sz w:val="24"/>
          <w:highlight w:val="none"/>
        </w:rPr>
        <w:t>.2供应商报价应为完成本竞争性磋商文件中所要求的</w:t>
      </w:r>
      <w:r>
        <w:rPr>
          <w:rFonts w:hint="eastAsia" w:ascii="宋体" w:hAnsi="宋体"/>
          <w:color w:val="auto"/>
          <w:sz w:val="24"/>
          <w:highlight w:val="none"/>
        </w:rPr>
        <w:t>货物及服务</w:t>
      </w:r>
      <w:r>
        <w:rPr>
          <w:rFonts w:ascii="宋体" w:hAnsi="宋体"/>
          <w:color w:val="auto"/>
          <w:sz w:val="24"/>
          <w:highlight w:val="none"/>
        </w:rPr>
        <w:t>所应包括内容的所有价格。</w:t>
      </w:r>
    </w:p>
    <w:p>
      <w:pPr>
        <w:spacing w:line="480" w:lineRule="exact"/>
        <w:ind w:firstLine="482" w:firstLineChars="200"/>
        <w:rPr>
          <w:rFonts w:hAnsi="宋体"/>
          <w:b/>
          <w:bCs/>
          <w:color w:val="auto"/>
          <w:sz w:val="24"/>
          <w:szCs w:val="24"/>
          <w:highlight w:val="none"/>
        </w:rPr>
      </w:pPr>
      <w:r>
        <w:rPr>
          <w:rFonts w:hint="eastAsia" w:hAnsi="宋体"/>
          <w:b/>
          <w:bCs/>
          <w:color w:val="auto"/>
          <w:sz w:val="24"/>
          <w:szCs w:val="24"/>
          <w:highlight w:val="none"/>
        </w:rPr>
        <w:t>9、响应文件的递交</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9</w:t>
      </w:r>
      <w:r>
        <w:rPr>
          <w:rFonts w:ascii="宋体" w:hAnsi="宋体"/>
          <w:color w:val="auto"/>
          <w:sz w:val="24"/>
          <w:highlight w:val="none"/>
        </w:rPr>
        <w:t>.1响应文件分资格性响应文件和</w:t>
      </w:r>
      <w:r>
        <w:rPr>
          <w:rFonts w:hint="eastAsia" w:ascii="宋体" w:hAnsi="宋体"/>
          <w:color w:val="auto"/>
          <w:sz w:val="24"/>
          <w:highlight w:val="none"/>
        </w:rPr>
        <w:t>技术、服务性</w:t>
      </w:r>
      <w:r>
        <w:rPr>
          <w:rFonts w:ascii="宋体" w:hAnsi="宋体"/>
          <w:color w:val="auto"/>
          <w:sz w:val="24"/>
          <w:highlight w:val="none"/>
        </w:rPr>
        <w:t>响应文件两部分，应分册密封装订。资格性响应文件用于磋商小组资格审查，</w:t>
      </w:r>
      <w:r>
        <w:rPr>
          <w:rFonts w:hint="eastAsia" w:ascii="宋体" w:hAnsi="宋体"/>
          <w:color w:val="auto"/>
          <w:sz w:val="24"/>
          <w:highlight w:val="none"/>
        </w:rPr>
        <w:t>技术、服务性</w:t>
      </w:r>
      <w:r>
        <w:rPr>
          <w:rFonts w:ascii="宋体" w:hAnsi="宋体"/>
          <w:color w:val="auto"/>
          <w:sz w:val="24"/>
          <w:highlight w:val="none"/>
        </w:rPr>
        <w:t>响应文件用于供应商与磋商小组磋商。</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9</w:t>
      </w:r>
      <w:r>
        <w:rPr>
          <w:rFonts w:ascii="宋体" w:hAnsi="宋体"/>
          <w:color w:val="auto"/>
          <w:sz w:val="24"/>
          <w:highlight w:val="none"/>
        </w:rPr>
        <w:t>.2供应商递交的响应文件为一式三份，其中正本壹份，副本两份</w:t>
      </w:r>
      <w:r>
        <w:rPr>
          <w:rFonts w:hint="eastAsia" w:ascii="宋体" w:hAnsi="宋体"/>
          <w:color w:val="auto"/>
          <w:sz w:val="24"/>
          <w:highlight w:val="none"/>
        </w:rPr>
        <w:t>，</w:t>
      </w:r>
      <w:r>
        <w:rPr>
          <w:rFonts w:hint="eastAsia" w:hAnsi="宋体" w:cs="宋体"/>
          <w:color w:val="auto"/>
          <w:sz w:val="24"/>
          <w:highlight w:val="none"/>
        </w:rPr>
        <w:t>电子文档一份（</w:t>
      </w:r>
      <w:r>
        <w:rPr>
          <w:rFonts w:hint="eastAsia" w:ascii="宋体" w:hAnsi="宋体"/>
          <w:color w:val="auto"/>
          <w:sz w:val="24"/>
          <w:highlight w:val="none"/>
        </w:rPr>
        <w:t>电子文档为正本加盖公章后的PDF扫描件，U盘或光盘</w:t>
      </w:r>
      <w:r>
        <w:rPr>
          <w:rFonts w:hint="eastAsia" w:hAnsi="宋体" w:cs="宋体"/>
          <w:color w:val="auto"/>
          <w:sz w:val="24"/>
          <w:highlight w:val="none"/>
        </w:rPr>
        <w:t>）。</w:t>
      </w:r>
      <w:r>
        <w:rPr>
          <w:rFonts w:ascii="宋体" w:hAnsi="宋体"/>
          <w:color w:val="auto"/>
          <w:sz w:val="24"/>
          <w:highlight w:val="none"/>
        </w:rPr>
        <w:t>响应文件正本应用不褪色的墨水中文书写或打印，并装订成册。</w:t>
      </w:r>
      <w:r>
        <w:rPr>
          <w:rFonts w:hint="eastAsia" w:ascii="宋体" w:hAnsi="宋体"/>
          <w:bCs/>
          <w:color w:val="auto"/>
          <w:sz w:val="24"/>
          <w:highlight w:val="none"/>
        </w:rPr>
        <w:t>响应文件副本可采用正本的复印件。</w:t>
      </w:r>
      <w:r>
        <w:rPr>
          <w:rFonts w:ascii="宋体" w:hAnsi="宋体"/>
          <w:color w:val="auto"/>
          <w:sz w:val="24"/>
          <w:highlight w:val="none"/>
        </w:rPr>
        <w:t>并在响应文件封面标明项目名称、</w:t>
      </w:r>
      <w:r>
        <w:rPr>
          <w:rFonts w:hint="eastAsia" w:ascii="宋体" w:hAnsi="宋体"/>
          <w:color w:val="auto"/>
          <w:sz w:val="24"/>
          <w:highlight w:val="none"/>
        </w:rPr>
        <w:t>项目</w:t>
      </w:r>
      <w:r>
        <w:rPr>
          <w:rFonts w:ascii="宋体" w:hAnsi="宋体"/>
          <w:color w:val="auto"/>
          <w:sz w:val="24"/>
          <w:highlight w:val="none"/>
        </w:rPr>
        <w:t>编号、供应商名称及“正本”、“副本”字样。</w:t>
      </w:r>
      <w:r>
        <w:rPr>
          <w:rFonts w:hint="eastAsia" w:ascii="宋体" w:hAnsi="宋体"/>
          <w:color w:val="auto"/>
          <w:sz w:val="24"/>
          <w:highlight w:val="none"/>
        </w:rPr>
        <w:t>若正本和副本、电子档有不一致的内容，以正本书面响应文件为准。</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9</w:t>
      </w:r>
      <w:r>
        <w:rPr>
          <w:rFonts w:ascii="宋体" w:hAnsi="宋体"/>
          <w:color w:val="auto"/>
          <w:sz w:val="24"/>
          <w:highlight w:val="none"/>
        </w:rPr>
        <w:t>.3</w:t>
      </w:r>
      <w:r>
        <w:rPr>
          <w:rFonts w:hint="eastAsia" w:ascii="宋体" w:hAnsi="宋体"/>
          <w:color w:val="auto"/>
          <w:sz w:val="24"/>
          <w:highlight w:val="none"/>
        </w:rPr>
        <w:t>响应文件应由供应商法定代表人/单位负责人或经正式授权的供应商代表按竞争性磋商文件的要求签字或加盖公章。</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9.4本次采购要求的复印件是指对图文进行复制后的文件，包括扫描、复印、影印等方式复制的材料。</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9</w:t>
      </w:r>
      <w:r>
        <w:rPr>
          <w:rFonts w:ascii="宋体" w:hAnsi="宋体"/>
          <w:color w:val="auto"/>
          <w:sz w:val="24"/>
          <w:highlight w:val="none"/>
        </w:rPr>
        <w:t>.</w:t>
      </w:r>
      <w:r>
        <w:rPr>
          <w:rFonts w:hint="eastAsia" w:ascii="宋体" w:hAnsi="宋体"/>
          <w:color w:val="auto"/>
          <w:sz w:val="24"/>
          <w:highlight w:val="none"/>
        </w:rPr>
        <w:t>5</w:t>
      </w:r>
      <w:r>
        <w:rPr>
          <w:rFonts w:ascii="宋体" w:hAnsi="宋体"/>
          <w:color w:val="auto"/>
          <w:sz w:val="24"/>
          <w:highlight w:val="none"/>
        </w:rPr>
        <w:t>在递交响应文件截止时间后送达的任何响应文件</w:t>
      </w:r>
      <w:r>
        <w:rPr>
          <w:rFonts w:hint="eastAsia" w:ascii="宋体" w:hAnsi="宋体"/>
          <w:color w:val="auto"/>
          <w:sz w:val="24"/>
          <w:highlight w:val="none"/>
        </w:rPr>
        <w:t>将被拒绝</w:t>
      </w:r>
      <w:r>
        <w:rPr>
          <w:rFonts w:ascii="宋体" w:hAnsi="宋体"/>
          <w:color w:val="auto"/>
          <w:sz w:val="24"/>
          <w:highlight w:val="none"/>
        </w:rPr>
        <w:t>。</w:t>
      </w:r>
    </w:p>
    <w:p>
      <w:pPr>
        <w:pStyle w:val="142"/>
        <w:spacing w:line="480" w:lineRule="exact"/>
        <w:ind w:firstLine="480"/>
        <w:rPr>
          <w:rFonts w:ascii="宋体" w:hAnsi="宋体"/>
          <w:color w:val="auto"/>
          <w:sz w:val="24"/>
          <w:highlight w:val="none"/>
        </w:rPr>
      </w:pPr>
      <w:r>
        <w:rPr>
          <w:rFonts w:hint="eastAsia" w:ascii="宋体" w:hAnsi="宋体"/>
          <w:color w:val="auto"/>
          <w:sz w:val="24"/>
          <w:highlight w:val="none"/>
        </w:rPr>
        <w:t>9.6所有资格性响应文件（</w:t>
      </w:r>
      <w:r>
        <w:rPr>
          <w:rFonts w:ascii="宋体" w:hAnsi="宋体"/>
          <w:color w:val="auto"/>
          <w:sz w:val="24"/>
          <w:highlight w:val="none"/>
        </w:rPr>
        <w:t>1</w:t>
      </w:r>
      <w:r>
        <w:rPr>
          <w:rFonts w:hint="eastAsia" w:ascii="宋体" w:hAnsi="宋体"/>
          <w:color w:val="auto"/>
          <w:sz w:val="24"/>
          <w:highlight w:val="none"/>
        </w:rPr>
        <w:t>正</w:t>
      </w:r>
      <w:r>
        <w:rPr>
          <w:rFonts w:ascii="宋体" w:hAnsi="宋体"/>
          <w:color w:val="auto"/>
          <w:sz w:val="24"/>
          <w:highlight w:val="none"/>
        </w:rPr>
        <w:t>2</w:t>
      </w:r>
      <w:r>
        <w:rPr>
          <w:rFonts w:hint="eastAsia" w:ascii="宋体" w:hAnsi="宋体"/>
          <w:color w:val="auto"/>
          <w:sz w:val="24"/>
          <w:highlight w:val="none"/>
        </w:rPr>
        <w:t>副）密封在一个密封袋中，所有技术、服务性响应文件（</w:t>
      </w:r>
      <w:r>
        <w:rPr>
          <w:rFonts w:ascii="宋体" w:hAnsi="宋体"/>
          <w:color w:val="auto"/>
          <w:sz w:val="24"/>
          <w:highlight w:val="none"/>
        </w:rPr>
        <w:t>1</w:t>
      </w:r>
      <w:r>
        <w:rPr>
          <w:rFonts w:hint="eastAsia" w:ascii="宋体" w:hAnsi="宋体"/>
          <w:color w:val="auto"/>
          <w:sz w:val="24"/>
          <w:highlight w:val="none"/>
        </w:rPr>
        <w:t>正</w:t>
      </w:r>
      <w:r>
        <w:rPr>
          <w:rFonts w:ascii="宋体" w:hAnsi="宋体"/>
          <w:color w:val="auto"/>
          <w:sz w:val="24"/>
          <w:highlight w:val="none"/>
        </w:rPr>
        <w:t>2</w:t>
      </w:r>
      <w:r>
        <w:rPr>
          <w:rFonts w:hint="eastAsia" w:ascii="宋体" w:hAnsi="宋体"/>
          <w:color w:val="auto"/>
          <w:sz w:val="24"/>
          <w:highlight w:val="none"/>
        </w:rPr>
        <w:t>副）密封在一个密封袋中，电子文档单独密封在一个密封袋中递交。</w:t>
      </w:r>
    </w:p>
    <w:p>
      <w:pPr>
        <w:pStyle w:val="142"/>
        <w:spacing w:line="460" w:lineRule="exact"/>
        <w:ind w:firstLine="480"/>
        <w:rPr>
          <w:rFonts w:ascii="宋体" w:hAnsi="宋体"/>
          <w:color w:val="auto"/>
          <w:sz w:val="24"/>
          <w:highlight w:val="none"/>
        </w:rPr>
      </w:pPr>
      <w:r>
        <w:rPr>
          <w:rFonts w:hint="eastAsia" w:ascii="宋体" w:hAnsi="宋体"/>
          <w:color w:val="auto"/>
          <w:sz w:val="24"/>
          <w:highlight w:val="none"/>
        </w:rPr>
        <w:t>9.7所有外层密封袋的封口处应粘贴牢固，封条上加盖密封章（供应商公章或密封专用章）。</w:t>
      </w:r>
    </w:p>
    <w:p>
      <w:pPr>
        <w:pStyle w:val="142"/>
        <w:spacing w:line="460" w:lineRule="exact"/>
        <w:ind w:firstLine="480"/>
        <w:rPr>
          <w:rFonts w:ascii="宋体" w:hAnsi="宋体"/>
          <w:color w:val="auto"/>
          <w:sz w:val="24"/>
          <w:highlight w:val="none"/>
        </w:rPr>
      </w:pPr>
      <w:r>
        <w:rPr>
          <w:rFonts w:hint="eastAsia" w:ascii="宋体" w:hAnsi="宋体"/>
          <w:color w:val="auto"/>
          <w:sz w:val="24"/>
          <w:highlight w:val="none"/>
        </w:rPr>
        <w:t>9.8若有分包，需分包密封。</w:t>
      </w:r>
    </w:p>
    <w:p>
      <w:pPr>
        <w:spacing w:line="460" w:lineRule="exact"/>
        <w:ind w:firstLine="482" w:firstLineChars="200"/>
        <w:rPr>
          <w:rFonts w:hAnsi="宋体"/>
          <w:b/>
          <w:bCs/>
          <w:color w:val="auto"/>
          <w:sz w:val="24"/>
          <w:szCs w:val="24"/>
          <w:highlight w:val="none"/>
        </w:rPr>
      </w:pPr>
      <w:r>
        <w:rPr>
          <w:rFonts w:hint="eastAsia" w:hAnsi="宋体"/>
          <w:b/>
          <w:bCs/>
          <w:color w:val="auto"/>
          <w:sz w:val="24"/>
          <w:szCs w:val="24"/>
          <w:highlight w:val="none"/>
        </w:rPr>
        <w:t>10、磋商保证金（</w:t>
      </w:r>
      <w:r>
        <w:rPr>
          <w:rFonts w:hint="eastAsia" w:hAnsi="宋体"/>
          <w:b/>
          <w:color w:val="auto"/>
          <w:sz w:val="24"/>
          <w:highlight w:val="none"/>
        </w:rPr>
        <w:t>实质性要求</w:t>
      </w:r>
      <w:r>
        <w:rPr>
          <w:rFonts w:hint="eastAsia" w:hAnsi="宋体"/>
          <w:b/>
          <w:bCs/>
          <w:color w:val="auto"/>
          <w:sz w:val="24"/>
          <w:szCs w:val="24"/>
          <w:highlight w:val="none"/>
        </w:rPr>
        <w:t>）</w:t>
      </w:r>
    </w:p>
    <w:p>
      <w:pPr>
        <w:spacing w:line="460" w:lineRule="exact"/>
        <w:ind w:firstLine="480" w:firstLineChars="200"/>
        <w:rPr>
          <w:rFonts w:hAnsi="宋体"/>
          <w:b/>
          <w:bCs/>
          <w:color w:val="auto"/>
          <w:sz w:val="24"/>
          <w:szCs w:val="24"/>
          <w:highlight w:val="none"/>
        </w:rPr>
      </w:pPr>
      <w:r>
        <w:rPr>
          <w:rFonts w:hint="eastAsia" w:hAnsi="宋体"/>
          <w:color w:val="auto"/>
          <w:sz w:val="24"/>
          <w:szCs w:val="24"/>
          <w:highlight w:val="none"/>
        </w:rPr>
        <w:t>本项目不缴纳磋商保证金。</w:t>
      </w:r>
    </w:p>
    <w:p>
      <w:pPr>
        <w:spacing w:line="460" w:lineRule="exact"/>
        <w:ind w:firstLine="482" w:firstLineChars="200"/>
        <w:rPr>
          <w:rFonts w:hAnsi="宋体"/>
          <w:b/>
          <w:bCs/>
          <w:color w:val="auto"/>
          <w:sz w:val="24"/>
          <w:szCs w:val="24"/>
          <w:highlight w:val="none"/>
        </w:rPr>
      </w:pPr>
      <w:r>
        <w:rPr>
          <w:rFonts w:hint="eastAsia" w:hAnsi="宋体"/>
          <w:b/>
          <w:bCs/>
          <w:color w:val="auto"/>
          <w:sz w:val="24"/>
          <w:szCs w:val="24"/>
          <w:highlight w:val="none"/>
        </w:rPr>
        <w:t>11、</w:t>
      </w:r>
      <w:r>
        <w:rPr>
          <w:rFonts w:hint="eastAsia" w:hAnsi="宋体"/>
          <w:b/>
          <w:color w:val="auto"/>
          <w:sz w:val="24"/>
          <w:highlight w:val="none"/>
        </w:rPr>
        <w:t>联合体竞争性磋商（实质性要求）</w:t>
      </w:r>
    </w:p>
    <w:p>
      <w:pPr>
        <w:autoSpaceDE w:val="0"/>
        <w:autoSpaceDN w:val="0"/>
        <w:snapToGrid w:val="0"/>
        <w:spacing w:line="460" w:lineRule="exact"/>
        <w:ind w:firstLine="480" w:firstLineChars="200"/>
        <w:rPr>
          <w:rFonts w:hAnsi="宋体"/>
          <w:color w:val="auto"/>
          <w:sz w:val="24"/>
          <w:szCs w:val="24"/>
          <w:highlight w:val="none"/>
        </w:rPr>
      </w:pPr>
      <w:r>
        <w:rPr>
          <w:rFonts w:hint="eastAsia" w:hAnsi="宋体"/>
          <w:color w:val="auto"/>
          <w:sz w:val="24"/>
          <w:szCs w:val="24"/>
          <w:highlight w:val="none"/>
        </w:rPr>
        <w:t>本项目不接受联合体参与采购活动。</w:t>
      </w:r>
    </w:p>
    <w:p>
      <w:pPr>
        <w:spacing w:line="460" w:lineRule="exact"/>
        <w:ind w:firstLine="482" w:firstLineChars="200"/>
        <w:rPr>
          <w:rFonts w:hAnsi="宋体"/>
          <w:b/>
          <w:bCs/>
          <w:color w:val="auto"/>
          <w:sz w:val="24"/>
          <w:szCs w:val="24"/>
          <w:highlight w:val="none"/>
        </w:rPr>
      </w:pPr>
      <w:r>
        <w:rPr>
          <w:rFonts w:hint="eastAsia" w:hAnsi="宋体"/>
          <w:b/>
          <w:bCs/>
          <w:color w:val="auto"/>
          <w:sz w:val="24"/>
          <w:szCs w:val="24"/>
          <w:highlight w:val="none"/>
        </w:rPr>
        <w:t>12、知识产权（实质性要求）</w:t>
      </w:r>
    </w:p>
    <w:p>
      <w:pPr>
        <w:widowControl w:val="0"/>
        <w:tabs>
          <w:tab w:val="left" w:pos="0"/>
          <w:tab w:val="left" w:pos="1080"/>
        </w:tabs>
        <w:spacing w:line="460" w:lineRule="exact"/>
        <w:ind w:firstLine="480" w:firstLineChars="200"/>
        <w:jc w:val="both"/>
        <w:rPr>
          <w:rFonts w:hAnsi="宋体"/>
          <w:color w:val="auto"/>
          <w:sz w:val="24"/>
          <w:szCs w:val="24"/>
          <w:highlight w:val="none"/>
        </w:rPr>
      </w:pPr>
      <w:r>
        <w:rPr>
          <w:rFonts w:hint="eastAsia" w:hAnsi="宋体"/>
          <w:color w:val="auto"/>
          <w:sz w:val="24"/>
          <w:szCs w:val="24"/>
          <w:highlight w:val="none"/>
        </w:rPr>
        <w:t>12.1 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widowControl w:val="0"/>
        <w:tabs>
          <w:tab w:val="left" w:pos="0"/>
          <w:tab w:val="left" w:pos="1080"/>
        </w:tabs>
        <w:spacing w:line="460" w:lineRule="exact"/>
        <w:ind w:firstLine="480" w:firstLineChars="200"/>
        <w:jc w:val="both"/>
        <w:rPr>
          <w:rFonts w:hAnsi="宋体"/>
          <w:color w:val="auto"/>
          <w:sz w:val="24"/>
          <w:szCs w:val="24"/>
          <w:highlight w:val="none"/>
        </w:rPr>
      </w:pPr>
      <w:r>
        <w:rPr>
          <w:rFonts w:hint="eastAsia" w:hAnsi="宋体"/>
          <w:color w:val="auto"/>
          <w:sz w:val="24"/>
          <w:szCs w:val="24"/>
          <w:highlight w:val="none"/>
        </w:rPr>
        <w:t>12.2 采购人享有本项目实施过程中产生的知识成果及知识产权。</w:t>
      </w:r>
    </w:p>
    <w:p>
      <w:pPr>
        <w:widowControl w:val="0"/>
        <w:tabs>
          <w:tab w:val="left" w:pos="0"/>
          <w:tab w:val="left" w:pos="1080"/>
        </w:tabs>
        <w:spacing w:line="460" w:lineRule="exact"/>
        <w:ind w:firstLine="480" w:firstLineChars="200"/>
        <w:jc w:val="both"/>
        <w:rPr>
          <w:rFonts w:hAnsi="宋体"/>
          <w:color w:val="auto"/>
          <w:sz w:val="24"/>
          <w:szCs w:val="24"/>
          <w:highlight w:val="none"/>
        </w:rPr>
      </w:pPr>
      <w:r>
        <w:rPr>
          <w:rFonts w:hint="eastAsia" w:hAnsi="宋体"/>
          <w:color w:val="auto"/>
          <w:sz w:val="24"/>
          <w:szCs w:val="24"/>
          <w:highlight w:val="none"/>
        </w:rPr>
        <w:t>12.3 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pPr>
        <w:widowControl w:val="0"/>
        <w:tabs>
          <w:tab w:val="left" w:pos="0"/>
          <w:tab w:val="left" w:pos="1080"/>
        </w:tabs>
        <w:spacing w:line="460" w:lineRule="exact"/>
        <w:ind w:firstLine="480" w:firstLineChars="200"/>
        <w:jc w:val="both"/>
        <w:rPr>
          <w:rFonts w:hAnsi="宋体"/>
          <w:color w:val="auto"/>
          <w:sz w:val="24"/>
          <w:szCs w:val="24"/>
          <w:highlight w:val="none"/>
        </w:rPr>
      </w:pPr>
      <w:r>
        <w:rPr>
          <w:rFonts w:hint="eastAsia" w:hAnsi="宋体"/>
          <w:color w:val="auto"/>
          <w:sz w:val="24"/>
          <w:szCs w:val="24"/>
          <w:highlight w:val="none"/>
        </w:rPr>
        <w:t xml:space="preserve">12.4 如采用供应商所不拥有的知识产权，则在报价中必须包括合法获取该知识产权的相关费用。 </w:t>
      </w:r>
    </w:p>
    <w:p>
      <w:pPr>
        <w:spacing w:line="460" w:lineRule="exact"/>
        <w:ind w:firstLine="482" w:firstLineChars="200"/>
        <w:rPr>
          <w:rFonts w:hAnsi="宋体"/>
          <w:b/>
          <w:bCs/>
          <w:color w:val="auto"/>
          <w:sz w:val="24"/>
          <w:szCs w:val="24"/>
          <w:highlight w:val="none"/>
        </w:rPr>
      </w:pPr>
      <w:r>
        <w:rPr>
          <w:rFonts w:hint="eastAsia" w:hAnsi="宋体"/>
          <w:b/>
          <w:bCs/>
          <w:color w:val="auto"/>
          <w:sz w:val="24"/>
          <w:szCs w:val="24"/>
          <w:highlight w:val="none"/>
        </w:rPr>
        <w:t>13、确定成交候选人</w:t>
      </w:r>
    </w:p>
    <w:p>
      <w:pPr>
        <w:widowControl w:val="0"/>
        <w:tabs>
          <w:tab w:val="left" w:pos="0"/>
          <w:tab w:val="left" w:pos="1080"/>
        </w:tabs>
        <w:spacing w:line="460" w:lineRule="exact"/>
        <w:ind w:firstLine="480" w:firstLineChars="200"/>
        <w:jc w:val="both"/>
        <w:rPr>
          <w:rFonts w:hAnsi="宋体"/>
          <w:color w:val="auto"/>
          <w:sz w:val="24"/>
          <w:szCs w:val="24"/>
          <w:highlight w:val="none"/>
        </w:rPr>
      </w:pPr>
      <w:r>
        <w:rPr>
          <w:rFonts w:hAnsi="宋体"/>
          <w:color w:val="auto"/>
          <w:sz w:val="24"/>
          <w:szCs w:val="24"/>
          <w:highlight w:val="none"/>
        </w:rPr>
        <w:t>1</w:t>
      </w:r>
      <w:r>
        <w:rPr>
          <w:rFonts w:hint="eastAsia" w:hAnsi="宋体"/>
          <w:color w:val="auto"/>
          <w:sz w:val="24"/>
          <w:szCs w:val="24"/>
          <w:highlight w:val="none"/>
        </w:rPr>
        <w:t>3</w:t>
      </w:r>
      <w:r>
        <w:rPr>
          <w:rFonts w:hAnsi="宋体"/>
          <w:color w:val="auto"/>
          <w:sz w:val="24"/>
          <w:szCs w:val="24"/>
          <w:highlight w:val="none"/>
        </w:rPr>
        <w:t>.1</w:t>
      </w:r>
      <w:r>
        <w:rPr>
          <w:rFonts w:hint="eastAsia" w:hAnsi="宋体"/>
          <w:color w:val="auto"/>
          <w:sz w:val="24"/>
          <w:szCs w:val="24"/>
          <w:highlight w:val="none"/>
        </w:rPr>
        <w:t>采购代理机构应当在评审结束后</w:t>
      </w:r>
      <w:r>
        <w:rPr>
          <w:rFonts w:hAnsi="宋体"/>
          <w:color w:val="auto"/>
          <w:sz w:val="24"/>
          <w:szCs w:val="24"/>
          <w:highlight w:val="none"/>
        </w:rPr>
        <w:t>2</w:t>
      </w:r>
      <w:r>
        <w:rPr>
          <w:rFonts w:hint="eastAsia" w:hAnsi="宋体"/>
          <w:color w:val="auto"/>
          <w:sz w:val="24"/>
          <w:szCs w:val="24"/>
          <w:highlight w:val="none"/>
        </w:rPr>
        <w:t>个工作日内将评审报告送采购人确认。</w:t>
      </w:r>
    </w:p>
    <w:p>
      <w:pPr>
        <w:widowControl w:val="0"/>
        <w:tabs>
          <w:tab w:val="left" w:pos="0"/>
          <w:tab w:val="left" w:pos="1080"/>
        </w:tabs>
        <w:spacing w:line="460" w:lineRule="exact"/>
        <w:ind w:firstLine="480" w:firstLineChars="200"/>
        <w:jc w:val="both"/>
        <w:rPr>
          <w:rFonts w:hAnsi="宋体"/>
          <w:color w:val="auto"/>
          <w:sz w:val="24"/>
          <w:szCs w:val="24"/>
          <w:highlight w:val="none"/>
        </w:rPr>
      </w:pPr>
      <w:r>
        <w:rPr>
          <w:rFonts w:hAnsi="宋体"/>
          <w:color w:val="auto"/>
          <w:sz w:val="24"/>
          <w:szCs w:val="24"/>
          <w:highlight w:val="none"/>
        </w:rPr>
        <w:t>1</w:t>
      </w:r>
      <w:r>
        <w:rPr>
          <w:rFonts w:hint="eastAsia" w:hAnsi="宋体"/>
          <w:color w:val="auto"/>
          <w:sz w:val="24"/>
          <w:szCs w:val="24"/>
          <w:highlight w:val="none"/>
        </w:rPr>
        <w:t>3</w:t>
      </w:r>
      <w:r>
        <w:rPr>
          <w:rFonts w:hAnsi="宋体"/>
          <w:color w:val="auto"/>
          <w:sz w:val="24"/>
          <w:szCs w:val="24"/>
          <w:highlight w:val="none"/>
        </w:rPr>
        <w:t xml:space="preserve">.2 </w:t>
      </w:r>
      <w:r>
        <w:rPr>
          <w:rFonts w:hint="eastAsia" w:hAnsi="宋体"/>
          <w:color w:val="auto"/>
          <w:sz w:val="24"/>
          <w:szCs w:val="24"/>
          <w:highlight w:val="none"/>
        </w:rPr>
        <w:t>采购人应当在收到评审报告后</w:t>
      </w:r>
      <w:r>
        <w:rPr>
          <w:rFonts w:hAnsi="宋体"/>
          <w:color w:val="auto"/>
          <w:sz w:val="24"/>
          <w:szCs w:val="24"/>
          <w:highlight w:val="none"/>
        </w:rPr>
        <w:t>5</w:t>
      </w:r>
      <w:r>
        <w:rPr>
          <w:rFonts w:hint="eastAsia" w:hAnsi="宋体"/>
          <w:color w:val="auto"/>
          <w:sz w:val="24"/>
          <w:szCs w:val="24"/>
          <w:highlight w:val="none"/>
        </w:rPr>
        <w:t>个工作日内，从评审报告提出的成交候选人中，按照排序从高到低的原则确定成交供应商。</w:t>
      </w:r>
    </w:p>
    <w:p>
      <w:pPr>
        <w:spacing w:line="460" w:lineRule="exact"/>
        <w:ind w:firstLine="482" w:firstLineChars="200"/>
        <w:rPr>
          <w:rFonts w:hAnsi="宋体"/>
          <w:b/>
          <w:bCs/>
          <w:color w:val="auto"/>
          <w:sz w:val="24"/>
          <w:szCs w:val="24"/>
          <w:highlight w:val="none"/>
        </w:rPr>
      </w:pPr>
      <w:r>
        <w:rPr>
          <w:rFonts w:hint="eastAsia" w:hAnsi="宋体"/>
          <w:b/>
          <w:bCs/>
          <w:color w:val="auto"/>
          <w:sz w:val="24"/>
          <w:szCs w:val="24"/>
          <w:highlight w:val="none"/>
        </w:rPr>
        <w:t>14、成交通知书</w:t>
      </w:r>
    </w:p>
    <w:p>
      <w:pPr>
        <w:pStyle w:val="142"/>
        <w:spacing w:line="460" w:lineRule="exact"/>
        <w:ind w:firstLine="480"/>
        <w:rPr>
          <w:rFonts w:ascii="宋体" w:hAnsi="宋体"/>
          <w:color w:val="auto"/>
          <w:sz w:val="24"/>
          <w:highlight w:val="none"/>
        </w:rPr>
      </w:pPr>
      <w:r>
        <w:rPr>
          <w:rFonts w:hint="eastAsia" w:ascii="宋体" w:hAnsi="宋体"/>
          <w:color w:val="auto"/>
          <w:sz w:val="24"/>
          <w:highlight w:val="none"/>
        </w:rPr>
        <w:t>采购代理机构在成交供应商确定后</w:t>
      </w:r>
      <w:r>
        <w:rPr>
          <w:rFonts w:ascii="宋体" w:hAnsi="宋体"/>
          <w:color w:val="auto"/>
          <w:sz w:val="24"/>
          <w:highlight w:val="none"/>
        </w:rPr>
        <w:t>2</w:t>
      </w:r>
      <w:r>
        <w:rPr>
          <w:rFonts w:hint="eastAsia" w:ascii="宋体" w:hAnsi="宋体"/>
          <w:color w:val="auto"/>
          <w:sz w:val="24"/>
          <w:highlight w:val="none"/>
        </w:rPr>
        <w:t>个工作日内，在四川政府采购网上公告成交结果，同时向成交供应商发出成交通知书。</w:t>
      </w:r>
    </w:p>
    <w:p>
      <w:pPr>
        <w:pStyle w:val="142"/>
        <w:spacing w:line="460" w:lineRule="exact"/>
        <w:ind w:left="482" w:firstLine="0" w:firstLineChars="0"/>
        <w:rPr>
          <w:rFonts w:hAnsi="宋体"/>
          <w:b/>
          <w:color w:val="auto"/>
          <w:sz w:val="24"/>
          <w:highlight w:val="none"/>
        </w:rPr>
      </w:pPr>
      <w:bookmarkStart w:id="6" w:name="_Toc209847068"/>
      <w:bookmarkStart w:id="7" w:name="_Toc101338363"/>
      <w:bookmarkStart w:id="8" w:name="_Toc430773928"/>
      <w:bookmarkStart w:id="9" w:name="_Toc101250645"/>
      <w:bookmarkStart w:id="10" w:name="_Toc101174150"/>
      <w:r>
        <w:rPr>
          <w:rFonts w:hint="eastAsia" w:hAnsi="宋体"/>
          <w:b/>
          <w:color w:val="auto"/>
          <w:sz w:val="24"/>
          <w:highlight w:val="none"/>
        </w:rPr>
        <w:t>15、采购人增加合同标的权</w:t>
      </w:r>
      <w:bookmarkEnd w:id="6"/>
      <w:bookmarkEnd w:id="7"/>
      <w:bookmarkEnd w:id="8"/>
      <w:bookmarkEnd w:id="9"/>
      <w:bookmarkEnd w:id="10"/>
      <w:r>
        <w:rPr>
          <w:rFonts w:hint="eastAsia" w:hAnsi="宋体"/>
          <w:b/>
          <w:color w:val="auto"/>
          <w:sz w:val="24"/>
          <w:highlight w:val="none"/>
        </w:rPr>
        <w:t>利</w:t>
      </w:r>
    </w:p>
    <w:p>
      <w:pPr>
        <w:pStyle w:val="142"/>
        <w:spacing w:line="460" w:lineRule="exact"/>
        <w:ind w:firstLine="480"/>
        <w:rPr>
          <w:rFonts w:hAnsi="宋体"/>
          <w:color w:val="auto"/>
          <w:sz w:val="24"/>
          <w:highlight w:val="none"/>
        </w:rPr>
      </w:pPr>
      <w:r>
        <w:rPr>
          <w:rFonts w:hint="eastAsia" w:hAnsi="宋体"/>
          <w:color w:val="auto"/>
          <w:sz w:val="24"/>
          <w:highlight w:val="none"/>
        </w:rPr>
        <w:t>采购合同履行过程中，采购人需要追加与合同标的相同的货物/服务的，在不改变合同其他条款的前提下，可以与成交供应商协商签订补充合同，但所有补充合同的采购金额不得超过原合同采购金额的百分之十。</w:t>
      </w:r>
    </w:p>
    <w:p>
      <w:pPr>
        <w:pStyle w:val="142"/>
        <w:spacing w:line="460" w:lineRule="exact"/>
        <w:ind w:left="482" w:firstLine="0" w:firstLineChars="0"/>
        <w:rPr>
          <w:rFonts w:hAnsi="宋体"/>
          <w:b/>
          <w:color w:val="auto"/>
          <w:sz w:val="24"/>
          <w:highlight w:val="none"/>
        </w:rPr>
      </w:pPr>
      <w:r>
        <w:rPr>
          <w:rFonts w:hint="eastAsia" w:hAnsi="宋体"/>
          <w:b/>
          <w:color w:val="auto"/>
          <w:sz w:val="24"/>
          <w:highlight w:val="none"/>
        </w:rPr>
        <w:t>16、合同分包（实质性要求）（本项目不适用）</w:t>
      </w:r>
    </w:p>
    <w:p>
      <w:pPr>
        <w:pStyle w:val="142"/>
        <w:spacing w:line="460" w:lineRule="exact"/>
        <w:ind w:left="482" w:firstLine="0" w:firstLineChars="0"/>
        <w:rPr>
          <w:rFonts w:hAnsi="宋体"/>
          <w:b/>
          <w:color w:val="auto"/>
          <w:sz w:val="24"/>
          <w:highlight w:val="none"/>
        </w:rPr>
      </w:pPr>
      <w:bookmarkStart w:id="11" w:name="_Toc217446067"/>
      <w:r>
        <w:rPr>
          <w:rFonts w:hint="eastAsia" w:hAnsi="宋体"/>
          <w:color w:val="auto"/>
          <w:sz w:val="24"/>
          <w:highlight w:val="none"/>
        </w:rPr>
        <w:t>本项目不得分包。</w:t>
      </w:r>
    </w:p>
    <w:bookmarkEnd w:id="11"/>
    <w:p>
      <w:pPr>
        <w:pStyle w:val="142"/>
        <w:spacing w:line="460" w:lineRule="exact"/>
        <w:ind w:left="482" w:firstLine="0" w:firstLineChars="0"/>
        <w:rPr>
          <w:rFonts w:hAnsi="宋体"/>
          <w:b/>
          <w:color w:val="auto"/>
          <w:sz w:val="24"/>
          <w:highlight w:val="none"/>
        </w:rPr>
      </w:pPr>
      <w:r>
        <w:rPr>
          <w:rFonts w:hint="eastAsia" w:hAnsi="宋体"/>
          <w:b/>
          <w:color w:val="auto"/>
          <w:sz w:val="24"/>
          <w:highlight w:val="none"/>
        </w:rPr>
        <w:t>17、合同转包（实质性要求）</w:t>
      </w:r>
    </w:p>
    <w:p>
      <w:pPr>
        <w:pStyle w:val="142"/>
        <w:spacing w:line="460" w:lineRule="exact"/>
        <w:ind w:firstLine="480"/>
        <w:rPr>
          <w:rFonts w:hAnsi="宋体"/>
          <w:color w:val="auto"/>
          <w:sz w:val="24"/>
          <w:highlight w:val="none"/>
        </w:rPr>
      </w:pPr>
      <w:r>
        <w:rPr>
          <w:rFonts w:hint="eastAsia" w:hAnsi="宋体"/>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60" w:lineRule="exact"/>
        <w:ind w:firstLine="480" w:firstLineChars="200"/>
        <w:rPr>
          <w:rFonts w:hAnsi="宋体"/>
          <w:color w:val="auto"/>
          <w:sz w:val="24"/>
          <w:highlight w:val="none"/>
        </w:rPr>
      </w:pPr>
      <w:r>
        <w:rPr>
          <w:rFonts w:hint="eastAsia" w:hAnsi="宋体"/>
          <w:color w:val="auto"/>
          <w:sz w:val="24"/>
          <w:highlight w:val="none"/>
        </w:rPr>
        <w:t>成交供应商转包的，视同拒绝履行政府采购合同义务，将依法追究法律责任。</w:t>
      </w:r>
    </w:p>
    <w:p>
      <w:pPr>
        <w:spacing w:line="460" w:lineRule="exact"/>
        <w:ind w:firstLine="482" w:firstLineChars="200"/>
        <w:rPr>
          <w:rFonts w:hAnsi="宋体"/>
          <w:b/>
          <w:bCs/>
          <w:color w:val="auto"/>
          <w:sz w:val="24"/>
          <w:szCs w:val="24"/>
          <w:highlight w:val="none"/>
        </w:rPr>
      </w:pPr>
      <w:r>
        <w:rPr>
          <w:rFonts w:hint="eastAsia" w:hAnsi="宋体"/>
          <w:b/>
          <w:bCs/>
          <w:color w:val="auto"/>
          <w:sz w:val="24"/>
          <w:szCs w:val="24"/>
          <w:highlight w:val="none"/>
        </w:rPr>
        <w:t>18、签订合同</w:t>
      </w:r>
    </w:p>
    <w:p>
      <w:pPr>
        <w:pStyle w:val="142"/>
        <w:spacing w:line="460" w:lineRule="exact"/>
        <w:ind w:firstLine="480"/>
        <w:rPr>
          <w:rFonts w:ascii="宋体" w:hAnsi="宋体"/>
          <w:color w:val="auto"/>
          <w:sz w:val="24"/>
          <w:highlight w:val="none"/>
        </w:rPr>
      </w:pPr>
      <w:r>
        <w:rPr>
          <w:rFonts w:hint="eastAsia" w:ascii="宋体" w:hAnsi="宋体"/>
          <w:color w:val="auto"/>
          <w:sz w:val="24"/>
          <w:highlight w:val="none"/>
        </w:rPr>
        <w:t>18</w:t>
      </w:r>
      <w:r>
        <w:rPr>
          <w:rFonts w:ascii="宋体" w:hAnsi="宋体"/>
          <w:color w:val="auto"/>
          <w:sz w:val="24"/>
          <w:highlight w:val="none"/>
        </w:rPr>
        <w:t>.1成交供应商应在领取成交通知书后30日内，按照磋商文件、响应文件以及磋商过程中确定的事项与采购人签订采购合同。</w:t>
      </w:r>
    </w:p>
    <w:p>
      <w:pPr>
        <w:pStyle w:val="142"/>
        <w:spacing w:line="500" w:lineRule="exact"/>
        <w:ind w:firstLine="48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.2竞争性磋商文件、供应商提交的响应文件、供应商承诺书、成交通知书等均成为有法律约束力的合同的组成内容。</w:t>
      </w:r>
    </w:p>
    <w:p>
      <w:pPr>
        <w:pStyle w:val="142"/>
        <w:spacing w:line="500" w:lineRule="atLeast"/>
        <w:ind w:firstLine="480"/>
        <w:rPr>
          <w:rFonts w:ascii="宋体" w:hAnsi="宋体" w:cs="宋体"/>
          <w:color w:val="auto"/>
          <w:sz w:val="24"/>
          <w:highlight w:val="none"/>
        </w:rPr>
      </w:pPr>
      <w:r>
        <w:rPr>
          <w:rFonts w:hint="eastAsia" w:ascii="宋体" w:hAnsi="宋体" w:cs="宋体"/>
          <w:color w:val="auto"/>
          <w:sz w:val="24"/>
          <w:highlight w:val="none"/>
        </w:rPr>
        <w:t>18.3代理服务费：按照《四川省政府采购营商环境指标提升专项行动工作方案&gt;中“成本+合理利润”原则,本次项目招标代理服务费为15400元，由成交供应商领取成交通知书前支付至采购代理机构。</w:t>
      </w:r>
    </w:p>
    <w:p>
      <w:pPr>
        <w:pStyle w:val="290"/>
        <w:spacing w:line="500" w:lineRule="exact"/>
        <w:ind w:firstLine="480" w:firstLineChars="200"/>
        <w:jc w:val="both"/>
        <w:rPr>
          <w:rFonts w:hAnsi="宋体"/>
          <w:color w:val="auto"/>
          <w:kern w:val="2"/>
          <w:highlight w:val="none"/>
        </w:rPr>
      </w:pPr>
      <w:r>
        <w:rPr>
          <w:rFonts w:hint="eastAsia" w:hAnsi="宋体"/>
          <w:color w:val="auto"/>
          <w:kern w:val="2"/>
          <w:highlight w:val="none"/>
        </w:rPr>
        <w:t>收款单位：四川标源招标代理有限公司；</w:t>
      </w:r>
    </w:p>
    <w:p>
      <w:pPr>
        <w:pStyle w:val="290"/>
        <w:spacing w:line="500" w:lineRule="exact"/>
        <w:ind w:firstLine="480" w:firstLineChars="200"/>
        <w:jc w:val="both"/>
        <w:rPr>
          <w:rFonts w:ascii="宋体" w:hAnsi="宋体" w:cs="Times New Roman"/>
          <w:color w:val="auto"/>
          <w:kern w:val="2"/>
          <w:highlight w:val="none"/>
        </w:rPr>
      </w:pPr>
      <w:r>
        <w:rPr>
          <w:rFonts w:hint="eastAsia" w:ascii="宋体" w:hAnsi="宋体" w:cs="Times New Roman"/>
          <w:color w:val="auto"/>
          <w:kern w:val="2"/>
          <w:highlight w:val="none"/>
        </w:rPr>
        <w:t>开户行：中国工商银行成都成飞大道支行；</w:t>
      </w:r>
      <w:r>
        <w:rPr>
          <w:rFonts w:hint="eastAsia" w:ascii="宋体" w:hAnsi="宋体" w:cs="Times New Roman"/>
          <w:color w:val="auto"/>
          <w:kern w:val="2"/>
          <w:highlight w:val="none"/>
        </w:rPr>
        <w:br w:type="textWrapping"/>
      </w:r>
      <w:r>
        <w:rPr>
          <w:rFonts w:hint="eastAsia" w:ascii="宋体" w:hAnsi="宋体" w:cs="Times New Roman"/>
          <w:color w:val="auto"/>
          <w:kern w:val="2"/>
          <w:highlight w:val="none"/>
        </w:rPr>
        <w:t xml:space="preserve">    银行账号：4402070219000007820；</w:t>
      </w:r>
    </w:p>
    <w:p>
      <w:pPr>
        <w:spacing w:line="500" w:lineRule="exact"/>
        <w:ind w:firstLine="482" w:firstLineChars="200"/>
        <w:rPr>
          <w:color w:val="auto"/>
          <w:sz w:val="24"/>
          <w:szCs w:val="24"/>
          <w:highlight w:val="none"/>
        </w:rPr>
      </w:pPr>
      <w:r>
        <w:rPr>
          <w:rFonts w:hint="eastAsia" w:hAnsi="宋体"/>
          <w:b/>
          <w:bCs/>
          <w:color w:val="auto"/>
          <w:sz w:val="24"/>
          <w:szCs w:val="24"/>
          <w:highlight w:val="none"/>
          <w:lang w:val="zh-CN"/>
        </w:rPr>
        <w:t>19、验收方式：</w:t>
      </w:r>
      <w:r>
        <w:rPr>
          <w:rFonts w:hAnsi="宋体" w:cs="宋体"/>
          <w:color w:val="auto"/>
          <w:sz w:val="24"/>
          <w:szCs w:val="24"/>
          <w:highlight w:val="none"/>
        </w:rPr>
        <w:t>严格按照《中华人民共和国政府采购法》《中华人民共和国政府采购法实施条例》和《财政部关于进一步加强政府采购需求和履约验收管理的指导意见》（财库〔2016〕205号）的要求进行验收</w:t>
      </w:r>
      <w:r>
        <w:rPr>
          <w:rFonts w:hint="eastAsia"/>
          <w:color w:val="auto"/>
          <w:sz w:val="24"/>
          <w:szCs w:val="24"/>
          <w:highlight w:val="none"/>
        </w:rPr>
        <w:t>。</w:t>
      </w:r>
    </w:p>
    <w:p>
      <w:pPr>
        <w:spacing w:line="460" w:lineRule="exact"/>
        <w:ind w:firstLine="482" w:firstLineChars="200"/>
        <w:rPr>
          <w:rFonts w:hAnsi="宋体"/>
          <w:b/>
          <w:bCs/>
          <w:color w:val="auto"/>
          <w:sz w:val="24"/>
          <w:szCs w:val="24"/>
          <w:highlight w:val="none"/>
        </w:rPr>
      </w:pPr>
      <w:r>
        <w:rPr>
          <w:rFonts w:hint="eastAsia" w:hAnsi="宋体"/>
          <w:b/>
          <w:bCs/>
          <w:color w:val="auto"/>
          <w:sz w:val="24"/>
          <w:szCs w:val="24"/>
          <w:highlight w:val="none"/>
        </w:rPr>
        <w:t>20、其他</w:t>
      </w:r>
    </w:p>
    <w:p>
      <w:pPr>
        <w:spacing w:line="500" w:lineRule="exact"/>
        <w:ind w:firstLine="480" w:firstLineChars="200"/>
        <w:rPr>
          <w:color w:val="auto"/>
          <w:sz w:val="24"/>
          <w:szCs w:val="22"/>
          <w:highlight w:val="none"/>
        </w:rPr>
      </w:pPr>
      <w:r>
        <w:rPr>
          <w:rFonts w:hint="eastAsia"/>
          <w:color w:val="auto"/>
          <w:sz w:val="24"/>
          <w:highlight w:val="none"/>
        </w:rPr>
        <w:t>20.1本磋商文件中所引相关法律制度规定，在政府采购中有变化的，按照变化后的相关法律制度规定执行。本章规定的内容条款，在本项目递交响应文件截止时间届满后，因相关法律制度规定的变化导致不符合相关</w:t>
      </w:r>
      <w:r>
        <w:rPr>
          <w:rFonts w:hint="eastAsia"/>
          <w:color w:val="auto"/>
          <w:sz w:val="24"/>
          <w:szCs w:val="22"/>
          <w:highlight w:val="none"/>
        </w:rPr>
        <w:t>法律制度规定的，直接按照变化后的相关法律制度规定执行，本磋商文件不再做调整。</w:t>
      </w:r>
    </w:p>
    <w:p>
      <w:pPr>
        <w:spacing w:line="500" w:lineRule="exact"/>
        <w:ind w:firstLine="480" w:firstLineChars="200"/>
        <w:rPr>
          <w:color w:val="auto"/>
          <w:sz w:val="24"/>
          <w:szCs w:val="22"/>
          <w:highlight w:val="none"/>
        </w:rPr>
      </w:pPr>
      <w:r>
        <w:rPr>
          <w:rFonts w:hint="eastAsia"/>
          <w:color w:val="auto"/>
          <w:sz w:val="24"/>
          <w:szCs w:val="22"/>
          <w:highlight w:val="none"/>
        </w:rPr>
        <w:t>20.2本磋商文件中未引用的相关法律制度规定，按照中华人民共和国政府采购法及其实施条例，以及其他相关的法律、规章的规定执行。</w:t>
      </w:r>
    </w:p>
    <w:p>
      <w:pPr>
        <w:spacing w:line="500" w:lineRule="exact"/>
        <w:ind w:firstLine="480" w:firstLineChars="200"/>
        <w:rPr>
          <w:color w:val="auto"/>
          <w:sz w:val="24"/>
          <w:szCs w:val="22"/>
          <w:highlight w:val="none"/>
        </w:rPr>
      </w:pPr>
      <w:r>
        <w:rPr>
          <w:rFonts w:hint="eastAsia"/>
          <w:color w:val="auto"/>
          <w:sz w:val="24"/>
          <w:szCs w:val="22"/>
          <w:highlight w:val="none"/>
        </w:rPr>
        <w:t>20.3国家或行业主管部门对供应商和采购产品的技术标准、质量标准和资格资质条件等有强制性规定的，必须符合其要求。（实质性要求）</w:t>
      </w:r>
    </w:p>
    <w:p>
      <w:pPr>
        <w:spacing w:line="500" w:lineRule="exact"/>
        <w:ind w:firstLine="480" w:firstLineChars="200"/>
        <w:rPr>
          <w:color w:val="auto"/>
          <w:highlight w:val="none"/>
        </w:rPr>
      </w:pPr>
      <w:r>
        <w:rPr>
          <w:rFonts w:hint="eastAsia"/>
          <w:color w:val="auto"/>
          <w:sz w:val="24"/>
          <w:szCs w:val="22"/>
          <w:highlight w:val="none"/>
        </w:rPr>
        <w:t>20.4</w:t>
      </w:r>
      <w:r>
        <w:rPr>
          <w:rFonts w:hint="eastAsia"/>
          <w:color w:val="auto"/>
          <w:sz w:val="24"/>
          <w:highlight w:val="none"/>
        </w:rPr>
        <w:t>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凭成交通知书向银行提出贷款意向申请。银行应及时按照有关规定完成对供应商的信用审查以及开设账户等相关工作。</w:t>
      </w:r>
    </w:p>
    <w:p>
      <w:pPr>
        <w:pStyle w:val="290"/>
        <w:spacing w:line="500" w:lineRule="exact"/>
        <w:ind w:firstLine="480" w:firstLineChars="200"/>
        <w:jc w:val="both"/>
        <w:rPr>
          <w:rFonts w:ascii="宋体" w:hAnsi="宋体" w:cs="Times New Roman"/>
          <w:color w:val="auto"/>
          <w:kern w:val="2"/>
          <w:highlight w:val="none"/>
        </w:rPr>
      </w:pPr>
    </w:p>
    <w:p>
      <w:pPr>
        <w:pStyle w:val="2"/>
        <w:rPr>
          <w:color w:val="auto"/>
          <w:highlight w:val="none"/>
        </w:rPr>
      </w:pPr>
    </w:p>
    <w:p>
      <w:pPr>
        <w:rPr>
          <w:rFonts w:hAnsi="宋体"/>
          <w:b/>
          <w:bCs/>
          <w:color w:val="auto"/>
          <w:kern w:val="44"/>
          <w:sz w:val="32"/>
          <w:szCs w:val="32"/>
          <w:highlight w:val="none"/>
        </w:rPr>
      </w:pPr>
      <w:bookmarkStart w:id="12" w:name="_Toc9498"/>
      <w:bookmarkStart w:id="13" w:name="_Toc1134"/>
      <w:r>
        <w:rPr>
          <w:rFonts w:hAnsi="宋体"/>
          <w:b/>
          <w:bCs/>
          <w:color w:val="auto"/>
          <w:kern w:val="44"/>
          <w:sz w:val="32"/>
          <w:szCs w:val="32"/>
          <w:highlight w:val="none"/>
        </w:rPr>
        <w:br w:type="page"/>
      </w:r>
    </w:p>
    <w:p>
      <w:pPr>
        <w:pStyle w:val="142"/>
        <w:spacing w:line="480" w:lineRule="exact"/>
        <w:ind w:firstLine="0" w:firstLineChars="0"/>
        <w:jc w:val="center"/>
        <w:outlineLvl w:val="0"/>
        <w:rPr>
          <w:rFonts w:ascii="宋体" w:hAnsi="宋体"/>
          <w:b/>
          <w:bCs/>
          <w:color w:val="auto"/>
          <w:sz w:val="24"/>
          <w:highlight w:val="none"/>
        </w:rPr>
      </w:pPr>
      <w:r>
        <w:rPr>
          <w:rFonts w:ascii="宋体" w:hAnsi="宋体"/>
          <w:b/>
          <w:bCs/>
          <w:color w:val="auto"/>
          <w:kern w:val="44"/>
          <w:sz w:val="32"/>
          <w:szCs w:val="32"/>
          <w:highlight w:val="none"/>
        </w:rPr>
        <w:t>第三章  供应商资格证明文件</w:t>
      </w:r>
      <w:bookmarkEnd w:id="12"/>
      <w:bookmarkEnd w:id="13"/>
    </w:p>
    <w:p>
      <w:pPr>
        <w:spacing w:line="480" w:lineRule="exact"/>
        <w:ind w:firstLine="540" w:firstLineChars="192"/>
        <w:jc w:val="both"/>
        <w:rPr>
          <w:rFonts w:hAnsi="宋体"/>
          <w:b/>
          <w:color w:val="auto"/>
          <w:sz w:val="28"/>
          <w:szCs w:val="28"/>
          <w:highlight w:val="none"/>
        </w:rPr>
      </w:pPr>
      <w:r>
        <w:rPr>
          <w:rFonts w:hAnsi="宋体"/>
          <w:b/>
          <w:color w:val="auto"/>
          <w:sz w:val="28"/>
          <w:szCs w:val="28"/>
          <w:highlight w:val="none"/>
        </w:rPr>
        <w:t>一、供应商应提交的资格证明材料</w:t>
      </w:r>
    </w:p>
    <w:p>
      <w:pPr>
        <w:spacing w:line="480" w:lineRule="exact"/>
        <w:ind w:firstLine="463" w:firstLineChars="192"/>
        <w:jc w:val="both"/>
        <w:rPr>
          <w:rFonts w:hAnsi="宋体"/>
          <w:b/>
          <w:bCs/>
          <w:color w:val="auto"/>
          <w:sz w:val="24"/>
          <w:szCs w:val="24"/>
          <w:highlight w:val="none"/>
        </w:rPr>
      </w:pPr>
      <w:r>
        <w:rPr>
          <w:rFonts w:hint="eastAsia" w:hAnsi="宋体"/>
          <w:b/>
          <w:bCs/>
          <w:color w:val="auto"/>
          <w:sz w:val="24"/>
          <w:szCs w:val="24"/>
          <w:highlight w:val="none"/>
        </w:rPr>
        <w:t>（1）具有独立承担民事责任的能力。</w:t>
      </w:r>
    </w:p>
    <w:p>
      <w:pPr>
        <w:pStyle w:val="16"/>
        <w:spacing w:line="480" w:lineRule="exact"/>
        <w:ind w:firstLine="480" w:firstLineChars="200"/>
        <w:rPr>
          <w:rFonts w:hAnsi="宋体"/>
          <w:color w:val="auto"/>
          <w:sz w:val="24"/>
          <w:szCs w:val="24"/>
          <w:highlight w:val="none"/>
        </w:rPr>
      </w:pPr>
      <w:r>
        <w:rPr>
          <w:rFonts w:hint="eastAsia"/>
          <w:color w:val="auto"/>
          <w:sz w:val="24"/>
          <w:szCs w:val="24"/>
          <w:highlight w:val="none"/>
        </w:rPr>
        <w:t>（注：①供应商若为企业法人：提供“统一社会信用代码营业执照”；②若为事业法人：提供“统一社会信用代码法人登记证书”；③若为其他组织：提供“对应主管部门颁发的准许执业证明文件或营业执照”；④若为自然人：提供“身份证复印件”。</w:t>
      </w:r>
      <w:r>
        <w:rPr>
          <w:rFonts w:hint="eastAsia" w:hAnsi="宋体"/>
          <w:color w:val="auto"/>
          <w:sz w:val="24"/>
          <w:szCs w:val="24"/>
          <w:highlight w:val="none"/>
        </w:rPr>
        <w:t>⑤供应商属于银行、保险、石油石化、电力、电信、移动、联通、广电等有行业特殊情况的，可提供企业分支机构统一社会信用代码的营业执照（复印件）及其他企业分支机构证明文件，法定代表人签署和授权可由分支机构负责人签署和授权。以上均提供复印件）；</w:t>
      </w:r>
      <w:r>
        <w:rPr>
          <w:rFonts w:hint="eastAsia"/>
          <w:color w:val="auto"/>
          <w:sz w:val="24"/>
          <w:szCs w:val="24"/>
          <w:highlight w:val="none"/>
        </w:rPr>
        <w:t>）</w:t>
      </w:r>
    </w:p>
    <w:p>
      <w:pPr>
        <w:spacing w:line="480" w:lineRule="exact"/>
        <w:ind w:firstLine="463" w:firstLineChars="192"/>
        <w:jc w:val="both"/>
        <w:rPr>
          <w:rFonts w:hAnsi="宋体"/>
          <w:b/>
          <w:bCs/>
          <w:color w:val="auto"/>
          <w:sz w:val="24"/>
          <w:szCs w:val="24"/>
          <w:highlight w:val="none"/>
        </w:rPr>
      </w:pPr>
      <w:r>
        <w:rPr>
          <w:rFonts w:hint="eastAsia" w:hAnsi="宋体"/>
          <w:b/>
          <w:bCs/>
          <w:color w:val="auto"/>
          <w:sz w:val="24"/>
          <w:szCs w:val="24"/>
          <w:highlight w:val="none"/>
        </w:rPr>
        <w:t>（2）具备健全的财务会计制度的证明材料（提供承诺函并提供下列证明材料）。</w:t>
      </w:r>
    </w:p>
    <w:p>
      <w:pPr>
        <w:spacing w:line="480" w:lineRule="exact"/>
        <w:ind w:firstLine="460" w:firstLineChars="192"/>
        <w:jc w:val="both"/>
        <w:rPr>
          <w:rFonts w:hAnsi="宋体"/>
          <w:color w:val="auto"/>
          <w:sz w:val="24"/>
          <w:szCs w:val="24"/>
          <w:highlight w:val="none"/>
        </w:rPr>
      </w:pPr>
      <w:r>
        <w:rPr>
          <w:rFonts w:hint="eastAsia" w:hAnsi="宋体"/>
          <w:color w:val="auto"/>
          <w:sz w:val="24"/>
          <w:szCs w:val="24"/>
          <w:highlight w:val="none"/>
        </w:rPr>
        <w:t>｛注：①可提供2019或2020年度经审计的财务报告复印件，②也可提供2019或2020年度供应商内部的财务报表复印件，③也可提供距文件递交截止日一年内银行出具的资信证明（复印件），④供应商注册时间至文件递交截止日不足一年的，也可提供公司章程（复印件）。｝</w:t>
      </w:r>
    </w:p>
    <w:p>
      <w:pPr>
        <w:spacing w:line="480" w:lineRule="exact"/>
        <w:ind w:firstLine="463" w:firstLineChars="192"/>
        <w:jc w:val="both"/>
        <w:rPr>
          <w:rFonts w:hAnsi="宋体"/>
          <w:color w:val="auto"/>
          <w:sz w:val="24"/>
          <w:szCs w:val="24"/>
          <w:highlight w:val="none"/>
        </w:rPr>
      </w:pPr>
      <w:r>
        <w:rPr>
          <w:rFonts w:hint="eastAsia" w:hAnsi="宋体"/>
          <w:b/>
          <w:bCs/>
          <w:color w:val="auto"/>
          <w:sz w:val="24"/>
          <w:szCs w:val="24"/>
          <w:highlight w:val="none"/>
        </w:rPr>
        <w:t>（3）具备良好商业信誉的证明材料。</w:t>
      </w:r>
      <w:r>
        <w:rPr>
          <w:rFonts w:hint="eastAsia" w:hAnsi="宋体"/>
          <w:color w:val="auto"/>
          <w:sz w:val="24"/>
          <w:szCs w:val="24"/>
          <w:highlight w:val="none"/>
        </w:rPr>
        <w:t>（可提供承诺函）</w:t>
      </w:r>
    </w:p>
    <w:p>
      <w:pPr>
        <w:spacing w:line="480" w:lineRule="exact"/>
        <w:ind w:firstLine="463" w:firstLineChars="192"/>
        <w:jc w:val="both"/>
        <w:rPr>
          <w:rFonts w:hAnsi="宋体"/>
          <w:b/>
          <w:bCs/>
          <w:color w:val="auto"/>
          <w:sz w:val="24"/>
          <w:szCs w:val="24"/>
          <w:highlight w:val="none"/>
        </w:rPr>
      </w:pPr>
      <w:r>
        <w:rPr>
          <w:rFonts w:hint="eastAsia" w:hAnsi="宋体"/>
          <w:b/>
          <w:bCs/>
          <w:color w:val="auto"/>
          <w:sz w:val="24"/>
          <w:szCs w:val="24"/>
          <w:highlight w:val="none"/>
        </w:rPr>
        <w:t>（4）依法缴纳税收的证明材料。</w:t>
      </w:r>
    </w:p>
    <w:p>
      <w:pPr>
        <w:spacing w:line="480" w:lineRule="exact"/>
        <w:ind w:firstLine="460" w:firstLineChars="192"/>
        <w:jc w:val="both"/>
        <w:rPr>
          <w:rFonts w:hAnsi="宋体"/>
          <w:color w:val="auto"/>
          <w:sz w:val="24"/>
          <w:szCs w:val="24"/>
          <w:highlight w:val="none"/>
        </w:rPr>
      </w:pPr>
      <w:r>
        <w:rPr>
          <w:rFonts w:hint="eastAsia" w:hAnsi="宋体"/>
          <w:color w:val="auto"/>
          <w:sz w:val="24"/>
          <w:szCs w:val="24"/>
          <w:highlight w:val="none"/>
        </w:rPr>
        <w:t>（注：供应商提供2020年1月1日以来任意三个月的</w:t>
      </w:r>
      <w:r>
        <w:rPr>
          <w:rFonts w:hAnsi="宋体"/>
          <w:color w:val="auto"/>
          <w:sz w:val="24"/>
          <w:szCs w:val="24"/>
          <w:highlight w:val="none"/>
        </w:rPr>
        <w:t>缴纳税收的</w:t>
      </w:r>
      <w:r>
        <w:rPr>
          <w:rFonts w:hint="eastAsia" w:hAnsi="宋体"/>
          <w:color w:val="auto"/>
          <w:sz w:val="24"/>
          <w:szCs w:val="24"/>
          <w:highlight w:val="none"/>
        </w:rPr>
        <w:t>证明材料，</w:t>
      </w:r>
      <w:r>
        <w:rPr>
          <w:rFonts w:hint="eastAsia" w:hAnsi="宋体" w:cs="宋体"/>
          <w:color w:val="auto"/>
          <w:sz w:val="24"/>
          <w:szCs w:val="24"/>
          <w:highlight w:val="none"/>
          <w:lang w:val="zh-CN"/>
        </w:rPr>
        <w:t>零申报的提供税务系统网络申报或税务大厅申报零申报报表，</w:t>
      </w:r>
      <w:r>
        <w:rPr>
          <w:rFonts w:hint="eastAsia"/>
          <w:color w:val="auto"/>
          <w:sz w:val="24"/>
          <w:szCs w:val="22"/>
          <w:highlight w:val="none"/>
        </w:rPr>
        <w:t>新成立公司按实际缴纳情况提供,</w:t>
      </w:r>
      <w:r>
        <w:rPr>
          <w:rFonts w:hint="eastAsia" w:hAnsi="宋体" w:cs="宋体"/>
          <w:color w:val="auto"/>
          <w:sz w:val="24"/>
          <w:szCs w:val="24"/>
          <w:highlight w:val="none"/>
          <w:lang w:val="zh-CN"/>
        </w:rPr>
        <w:t xml:space="preserve"> 依法免税的公司须提供相应文件证明其依法免税</w:t>
      </w:r>
      <w:r>
        <w:rPr>
          <w:rFonts w:hint="eastAsia" w:hAnsi="宋体"/>
          <w:color w:val="auto"/>
          <w:sz w:val="24"/>
          <w:szCs w:val="24"/>
          <w:highlight w:val="none"/>
        </w:rPr>
        <w:t>（相关证明材料复印件加盖公章）。</w:t>
      </w:r>
    </w:p>
    <w:p>
      <w:pPr>
        <w:spacing w:line="480" w:lineRule="exact"/>
        <w:ind w:firstLine="463" w:firstLineChars="192"/>
        <w:jc w:val="both"/>
        <w:rPr>
          <w:rFonts w:hAnsi="宋体"/>
          <w:b/>
          <w:bCs/>
          <w:color w:val="auto"/>
          <w:sz w:val="24"/>
          <w:szCs w:val="24"/>
          <w:highlight w:val="none"/>
        </w:rPr>
      </w:pPr>
      <w:r>
        <w:rPr>
          <w:rFonts w:hint="eastAsia" w:hAnsi="宋体"/>
          <w:b/>
          <w:bCs/>
          <w:color w:val="auto"/>
          <w:sz w:val="24"/>
          <w:szCs w:val="24"/>
          <w:highlight w:val="none"/>
        </w:rPr>
        <w:t>（5）依法缴纳社会保障资金的证明材料。</w:t>
      </w:r>
    </w:p>
    <w:p>
      <w:pPr>
        <w:spacing w:line="480" w:lineRule="exact"/>
        <w:ind w:firstLine="460" w:firstLineChars="192"/>
        <w:jc w:val="both"/>
        <w:rPr>
          <w:rFonts w:hAnsi="宋体"/>
          <w:color w:val="auto"/>
          <w:sz w:val="24"/>
          <w:szCs w:val="24"/>
          <w:highlight w:val="none"/>
        </w:rPr>
      </w:pPr>
      <w:r>
        <w:rPr>
          <w:rFonts w:hint="eastAsia" w:hAnsi="宋体"/>
          <w:color w:val="auto"/>
          <w:sz w:val="24"/>
          <w:szCs w:val="24"/>
          <w:highlight w:val="none"/>
        </w:rPr>
        <w:t>（注：供应商提供2020年1月1日以来任意三个月的缴纳社保的证明材料，</w:t>
      </w:r>
      <w:r>
        <w:rPr>
          <w:rFonts w:hint="eastAsia"/>
          <w:color w:val="auto"/>
          <w:sz w:val="24"/>
          <w:szCs w:val="22"/>
          <w:highlight w:val="none"/>
        </w:rPr>
        <w:t>新成立公司按实际缴纳情况提供，不需要缴纳社会保障资金的公司须提供相应文件证明其不需要缴纳社会保障资金</w:t>
      </w:r>
      <w:r>
        <w:rPr>
          <w:rFonts w:hint="eastAsia" w:hAnsi="宋体"/>
          <w:color w:val="auto"/>
          <w:sz w:val="24"/>
          <w:szCs w:val="24"/>
          <w:highlight w:val="none"/>
        </w:rPr>
        <w:t>（相关证明材料复印件加盖公章）。</w:t>
      </w:r>
    </w:p>
    <w:p>
      <w:pPr>
        <w:spacing w:line="480" w:lineRule="exact"/>
        <w:ind w:firstLine="463" w:firstLineChars="192"/>
        <w:jc w:val="both"/>
        <w:rPr>
          <w:rFonts w:hAnsi="宋体"/>
          <w:color w:val="auto"/>
          <w:sz w:val="24"/>
          <w:szCs w:val="24"/>
          <w:highlight w:val="none"/>
        </w:rPr>
      </w:pPr>
      <w:r>
        <w:rPr>
          <w:rFonts w:hint="eastAsia" w:hAnsi="宋体"/>
          <w:b/>
          <w:bCs/>
          <w:color w:val="auto"/>
          <w:sz w:val="24"/>
          <w:szCs w:val="24"/>
          <w:highlight w:val="none"/>
        </w:rPr>
        <w:t>（6）具备履行合同所必需的设备和专业技术能力的证明材料。</w:t>
      </w:r>
      <w:r>
        <w:rPr>
          <w:rFonts w:hint="eastAsia" w:hAnsi="宋体"/>
          <w:color w:val="auto"/>
          <w:sz w:val="24"/>
          <w:szCs w:val="24"/>
          <w:highlight w:val="none"/>
        </w:rPr>
        <w:t>（可提供承诺函）</w:t>
      </w:r>
    </w:p>
    <w:p>
      <w:pPr>
        <w:spacing w:line="480" w:lineRule="exact"/>
        <w:ind w:firstLine="463" w:firstLineChars="192"/>
        <w:jc w:val="both"/>
        <w:rPr>
          <w:rFonts w:hAnsi="宋体"/>
          <w:b/>
          <w:bCs/>
          <w:color w:val="auto"/>
          <w:sz w:val="24"/>
          <w:szCs w:val="24"/>
          <w:highlight w:val="none"/>
        </w:rPr>
      </w:pPr>
      <w:r>
        <w:rPr>
          <w:rFonts w:hint="eastAsia" w:hAnsi="宋体"/>
          <w:b/>
          <w:bCs/>
          <w:color w:val="auto"/>
          <w:sz w:val="24"/>
          <w:szCs w:val="24"/>
          <w:highlight w:val="none"/>
        </w:rPr>
        <w:t>（7）参加本次政府采购活动前三年内，在经营活动中没有重大违法记录。</w:t>
      </w:r>
      <w:r>
        <w:rPr>
          <w:rFonts w:hint="eastAsia" w:hAnsi="宋体"/>
          <w:color w:val="auto"/>
          <w:sz w:val="24"/>
          <w:szCs w:val="24"/>
          <w:highlight w:val="none"/>
        </w:rPr>
        <w:t>（可提供承诺函）</w:t>
      </w:r>
    </w:p>
    <w:p>
      <w:pPr>
        <w:spacing w:line="360" w:lineRule="auto"/>
        <w:ind w:firstLine="463" w:firstLineChars="192"/>
        <w:jc w:val="both"/>
        <w:rPr>
          <w:rFonts w:hAnsi="宋体"/>
          <w:color w:val="auto"/>
          <w:sz w:val="24"/>
          <w:szCs w:val="24"/>
          <w:highlight w:val="none"/>
        </w:rPr>
      </w:pPr>
      <w:r>
        <w:rPr>
          <w:rFonts w:hint="eastAsia" w:hAnsi="宋体"/>
          <w:b/>
          <w:bCs/>
          <w:color w:val="auto"/>
          <w:sz w:val="24"/>
          <w:szCs w:val="24"/>
          <w:highlight w:val="none"/>
        </w:rPr>
        <w:t>（8）具备法律、行政法规规定的其他条件的证明材料。</w:t>
      </w:r>
      <w:r>
        <w:rPr>
          <w:rFonts w:hint="eastAsia" w:hAnsi="宋体"/>
          <w:color w:val="auto"/>
          <w:sz w:val="24"/>
          <w:szCs w:val="24"/>
          <w:highlight w:val="none"/>
        </w:rPr>
        <w:t>（可提供承诺函）</w:t>
      </w:r>
    </w:p>
    <w:p>
      <w:pPr>
        <w:spacing w:line="500" w:lineRule="exact"/>
        <w:ind w:firstLine="482" w:firstLineChars="200"/>
        <w:jc w:val="both"/>
        <w:rPr>
          <w:rFonts w:hAnsi="宋体" w:cs="宋体"/>
          <w:color w:val="auto"/>
          <w:sz w:val="24"/>
          <w:szCs w:val="24"/>
          <w:highlight w:val="none"/>
        </w:rPr>
      </w:pPr>
      <w:r>
        <w:rPr>
          <w:rFonts w:hint="eastAsia" w:hAnsi="宋体" w:cs="宋体"/>
          <w:b/>
          <w:bCs/>
          <w:color w:val="auto"/>
          <w:sz w:val="24"/>
          <w:szCs w:val="24"/>
          <w:highlight w:val="none"/>
        </w:rPr>
        <w:t>（</w:t>
      </w:r>
      <w:r>
        <w:rPr>
          <w:rFonts w:hAnsi="宋体" w:cs="宋体"/>
          <w:b/>
          <w:bCs/>
          <w:color w:val="auto"/>
          <w:sz w:val="24"/>
          <w:szCs w:val="24"/>
          <w:highlight w:val="none"/>
        </w:rPr>
        <w:t>9</w:t>
      </w:r>
      <w:r>
        <w:rPr>
          <w:rFonts w:hint="eastAsia" w:hAnsi="宋体" w:cs="宋体"/>
          <w:b/>
          <w:bCs/>
          <w:color w:val="auto"/>
          <w:sz w:val="24"/>
          <w:szCs w:val="24"/>
          <w:highlight w:val="none"/>
        </w:rPr>
        <w:t>）单位负责人为同一人或者存在控股、管理关系的不同供应商，不得参加同一合同项下的政府采购活动。</w:t>
      </w:r>
      <w:r>
        <w:rPr>
          <w:rFonts w:hint="eastAsia" w:hAnsi="宋体" w:cs="宋体"/>
          <w:color w:val="auto"/>
          <w:sz w:val="24"/>
          <w:szCs w:val="24"/>
          <w:highlight w:val="none"/>
        </w:rPr>
        <w:t>（提供承诺函）</w:t>
      </w:r>
    </w:p>
    <w:p>
      <w:pPr>
        <w:spacing w:line="500" w:lineRule="exact"/>
        <w:ind w:firstLine="463" w:firstLineChars="192"/>
        <w:jc w:val="both"/>
        <w:rPr>
          <w:rFonts w:hAnsi="宋体" w:cs="宋体"/>
          <w:color w:val="auto"/>
          <w:sz w:val="24"/>
          <w:szCs w:val="24"/>
          <w:highlight w:val="none"/>
        </w:rPr>
      </w:pPr>
      <w:r>
        <w:rPr>
          <w:rFonts w:hint="eastAsia" w:hAnsi="宋体" w:cs="宋体"/>
          <w:b/>
          <w:bCs/>
          <w:color w:val="auto"/>
          <w:sz w:val="24"/>
          <w:szCs w:val="24"/>
          <w:highlight w:val="none"/>
        </w:rPr>
        <w:t>（</w:t>
      </w:r>
      <w:r>
        <w:rPr>
          <w:rFonts w:hAnsi="宋体" w:cs="宋体"/>
          <w:b/>
          <w:bCs/>
          <w:color w:val="auto"/>
          <w:sz w:val="24"/>
          <w:szCs w:val="24"/>
          <w:highlight w:val="none"/>
        </w:rPr>
        <w:t>10</w:t>
      </w:r>
      <w:r>
        <w:rPr>
          <w:rFonts w:hint="eastAsia" w:hAnsi="宋体" w:cs="宋体"/>
          <w:b/>
          <w:bCs/>
          <w:color w:val="auto"/>
          <w:sz w:val="24"/>
          <w:szCs w:val="24"/>
          <w:highlight w:val="none"/>
        </w:rPr>
        <w:t>）供应商未对本次采购项目提供过整体设计、规范编制或者项目管理、监理、检测等服务。</w:t>
      </w:r>
      <w:r>
        <w:rPr>
          <w:rFonts w:hint="eastAsia" w:hAnsi="宋体" w:cs="宋体"/>
          <w:color w:val="auto"/>
          <w:sz w:val="24"/>
          <w:szCs w:val="24"/>
          <w:highlight w:val="none"/>
        </w:rPr>
        <w:t>（提供承诺函）</w:t>
      </w:r>
    </w:p>
    <w:p>
      <w:pPr>
        <w:spacing w:line="480" w:lineRule="exact"/>
        <w:ind w:firstLine="463" w:firstLineChars="192"/>
        <w:jc w:val="both"/>
        <w:rPr>
          <w:rFonts w:hAnsi="宋体"/>
          <w:b/>
          <w:bCs/>
          <w:color w:val="auto"/>
          <w:sz w:val="24"/>
          <w:szCs w:val="24"/>
          <w:highlight w:val="none"/>
        </w:rPr>
      </w:pPr>
      <w:r>
        <w:rPr>
          <w:rFonts w:hint="eastAsia" w:hAnsi="宋体"/>
          <w:b/>
          <w:bCs/>
          <w:color w:val="auto"/>
          <w:sz w:val="24"/>
          <w:szCs w:val="24"/>
          <w:highlight w:val="none"/>
        </w:rPr>
        <w:t>（11）供应商单位及其现任法定代表人、主要负责人不得具有行贿犯罪记录。</w:t>
      </w:r>
    </w:p>
    <w:p>
      <w:pPr>
        <w:spacing w:line="480" w:lineRule="exact"/>
        <w:ind w:firstLine="460" w:firstLineChars="192"/>
        <w:jc w:val="both"/>
        <w:rPr>
          <w:rFonts w:hAnsi="宋体" w:cs="宋体"/>
          <w:color w:val="auto"/>
          <w:sz w:val="24"/>
          <w:szCs w:val="24"/>
          <w:highlight w:val="none"/>
        </w:rPr>
      </w:pPr>
      <w:r>
        <w:rPr>
          <w:rFonts w:hint="eastAsia" w:hAnsi="宋体" w:cs="宋体"/>
          <w:color w:val="auto"/>
          <w:sz w:val="24"/>
          <w:szCs w:val="24"/>
          <w:highlight w:val="none"/>
        </w:rPr>
        <w:t>（注：提供承诺函，格式自拟，如果发现虚假承诺，作无效响应处理）</w:t>
      </w:r>
    </w:p>
    <w:p>
      <w:pPr>
        <w:pStyle w:val="170"/>
        <w:spacing w:line="480" w:lineRule="exact"/>
        <w:ind w:firstLine="482"/>
        <w:rPr>
          <w:rFonts w:hAnsi="宋体"/>
          <w:b/>
          <w:bCs/>
          <w:color w:val="auto"/>
          <w:sz w:val="24"/>
          <w:szCs w:val="22"/>
          <w:highlight w:val="none"/>
        </w:rPr>
      </w:pPr>
      <w:r>
        <w:rPr>
          <w:rFonts w:hint="eastAsia"/>
          <w:b/>
          <w:bCs/>
          <w:color w:val="auto"/>
          <w:sz w:val="24"/>
          <w:highlight w:val="none"/>
        </w:rPr>
        <w:t>（12）供应商“截至响应截止日未被列入失信被执行人、重大税收违法案件当事人、政府采购严重违法失信行为记录名单”。</w:t>
      </w:r>
      <w:r>
        <w:rPr>
          <w:rFonts w:hint="eastAsia"/>
          <w:color w:val="auto"/>
          <w:sz w:val="24"/>
          <w:highlight w:val="none"/>
        </w:rPr>
        <w:t>（提供承诺函）</w:t>
      </w:r>
    </w:p>
    <w:p>
      <w:pPr>
        <w:pStyle w:val="170"/>
        <w:spacing w:line="480" w:lineRule="exact"/>
        <w:ind w:firstLine="480"/>
        <w:rPr>
          <w:rFonts w:hAnsi="宋体"/>
          <w:color w:val="auto"/>
          <w:sz w:val="24"/>
          <w:szCs w:val="22"/>
          <w:highlight w:val="none"/>
        </w:rPr>
      </w:pPr>
      <w:r>
        <w:rPr>
          <w:rFonts w:hint="eastAsia" w:hAnsi="宋体"/>
          <w:color w:val="auto"/>
          <w:sz w:val="24"/>
          <w:szCs w:val="22"/>
          <w:highlight w:val="none"/>
        </w:rPr>
        <w:t>注：根据《关于在政府采购活动中查询及使用信用记录有关问题的通知》（财库〔2016〕125 号）的要求，采购代理机构将通过“信用中国”网站（www.creditchina.gov.cn）、“中国政府采购网”网站（www.ccgp.gov.cn）等渠道查询供应商在采购公告发布之日前的信用记录并保存信用记录结果网页截图，拒绝列入失信被执行人、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480" w:lineRule="exact"/>
        <w:ind w:firstLine="463" w:firstLineChars="192"/>
        <w:jc w:val="both"/>
        <w:rPr>
          <w:rFonts w:hAnsi="宋体"/>
          <w:color w:val="auto"/>
          <w:sz w:val="24"/>
          <w:szCs w:val="24"/>
          <w:highlight w:val="none"/>
        </w:rPr>
      </w:pPr>
      <w:r>
        <w:rPr>
          <w:rFonts w:hint="eastAsia" w:hAnsi="宋体"/>
          <w:b/>
          <w:bCs/>
          <w:color w:val="auto"/>
          <w:sz w:val="24"/>
          <w:szCs w:val="24"/>
          <w:highlight w:val="none"/>
        </w:rPr>
        <w:t>（13）法定代表人/负责人授权书原件</w:t>
      </w:r>
      <w:r>
        <w:rPr>
          <w:rFonts w:hint="eastAsia" w:hAnsi="宋体"/>
          <w:color w:val="auto"/>
          <w:sz w:val="24"/>
          <w:szCs w:val="24"/>
          <w:highlight w:val="none"/>
        </w:rPr>
        <w:t>(法定代表人/负责人参与磋商时不需要提供授权书，但须提供法定代表人/负责人身份证明）；</w:t>
      </w:r>
    </w:p>
    <w:p>
      <w:pPr>
        <w:spacing w:line="480" w:lineRule="exact"/>
        <w:ind w:firstLine="463" w:firstLineChars="192"/>
        <w:jc w:val="both"/>
        <w:rPr>
          <w:color w:val="auto"/>
          <w:highlight w:val="none"/>
        </w:rPr>
      </w:pPr>
      <w:r>
        <w:rPr>
          <w:rFonts w:hint="eastAsia" w:hAnsi="宋体"/>
          <w:b/>
          <w:bCs/>
          <w:color w:val="auto"/>
          <w:sz w:val="24"/>
          <w:szCs w:val="24"/>
          <w:highlight w:val="none"/>
        </w:rPr>
        <w:t>（14）法定代表人/负责人和授权代表身份证明复印件</w:t>
      </w:r>
      <w:r>
        <w:rPr>
          <w:rFonts w:hint="eastAsia" w:hAnsi="宋体"/>
          <w:color w:val="auto"/>
          <w:sz w:val="24"/>
          <w:szCs w:val="24"/>
          <w:highlight w:val="none"/>
        </w:rPr>
        <w:t>（法定代表人/负责人参与磋商时只需提供法定代表人/负责人身份证明复印件，授权代表参与磋商时需提供法定代表人/负责人和授权代表身份证明复印件，复印件均需加盖公章，身份证明文件包括居民身份证、军官证、外籍人员的护照等，身份证明文件应同时提供其在有效期的材料）。</w:t>
      </w:r>
    </w:p>
    <w:p>
      <w:pPr>
        <w:spacing w:line="480" w:lineRule="exact"/>
        <w:ind w:firstLine="463" w:firstLineChars="192"/>
        <w:jc w:val="both"/>
        <w:rPr>
          <w:rFonts w:hAnsi="宋体"/>
          <w:b/>
          <w:bCs/>
          <w:color w:val="auto"/>
          <w:sz w:val="24"/>
          <w:szCs w:val="24"/>
          <w:highlight w:val="none"/>
        </w:rPr>
      </w:pPr>
      <w:r>
        <w:rPr>
          <w:rFonts w:hAnsi="宋体"/>
          <w:b/>
          <w:bCs/>
          <w:color w:val="auto"/>
          <w:sz w:val="24"/>
          <w:szCs w:val="24"/>
          <w:highlight w:val="none"/>
        </w:rPr>
        <w:t>说明：</w:t>
      </w:r>
    </w:p>
    <w:p>
      <w:pPr>
        <w:spacing w:line="480" w:lineRule="exact"/>
        <w:ind w:firstLine="463" w:firstLineChars="192"/>
        <w:jc w:val="both"/>
        <w:rPr>
          <w:rFonts w:hAnsi="宋体"/>
          <w:b/>
          <w:bCs/>
          <w:color w:val="auto"/>
          <w:sz w:val="24"/>
          <w:szCs w:val="24"/>
          <w:highlight w:val="none"/>
        </w:rPr>
      </w:pPr>
      <w:r>
        <w:rPr>
          <w:rFonts w:hint="eastAsia" w:hAnsi="宋体"/>
          <w:b/>
          <w:bCs/>
          <w:color w:val="auto"/>
          <w:sz w:val="24"/>
          <w:szCs w:val="24"/>
          <w:highlight w:val="none"/>
        </w:rPr>
        <w:t>1</w:t>
      </w:r>
      <w:r>
        <w:rPr>
          <w:rFonts w:hAnsi="宋体"/>
          <w:b/>
          <w:bCs/>
          <w:color w:val="auto"/>
          <w:sz w:val="24"/>
          <w:szCs w:val="24"/>
          <w:highlight w:val="none"/>
        </w:rPr>
        <w:t>）供应商提供的以上资格证明材料为复印件的均应加盖供应商公章。</w:t>
      </w:r>
    </w:p>
    <w:p>
      <w:pPr>
        <w:pStyle w:val="2"/>
        <w:ind w:firstLine="482" w:firstLineChars="200"/>
        <w:rPr>
          <w:color w:val="auto"/>
          <w:highlight w:val="none"/>
        </w:rPr>
      </w:pPr>
      <w:r>
        <w:rPr>
          <w:rFonts w:hint="eastAsia" w:hAnsi="宋体"/>
          <w:b/>
          <w:bCs/>
          <w:color w:val="auto"/>
          <w:highlight w:val="none"/>
        </w:rPr>
        <w:t>2</w:t>
      </w:r>
      <w:r>
        <w:rPr>
          <w:rFonts w:hAnsi="宋体"/>
          <w:b/>
          <w:bCs/>
          <w:color w:val="auto"/>
          <w:highlight w:val="none"/>
        </w:rPr>
        <w:t>）供应商应对其所提供的资格证明材料来源的合法性、真实性负责。</w:t>
      </w:r>
    </w:p>
    <w:p>
      <w:pPr>
        <w:pStyle w:val="3"/>
        <w:numPr>
          <w:ilvl w:val="0"/>
          <w:numId w:val="0"/>
        </w:numPr>
        <w:spacing w:before="0" w:line="480" w:lineRule="exact"/>
        <w:rPr>
          <w:rFonts w:ascii="宋体" w:hAnsi="宋体" w:eastAsia="宋体"/>
          <w:color w:val="auto"/>
          <w:highlight w:val="none"/>
        </w:rPr>
      </w:pPr>
      <w:r>
        <w:rPr>
          <w:rFonts w:ascii="宋体" w:hAnsi="宋体" w:eastAsia="宋体"/>
          <w:color w:val="auto"/>
          <w:sz w:val="24"/>
          <w:szCs w:val="24"/>
          <w:highlight w:val="none"/>
        </w:rPr>
        <w:br w:type="page"/>
      </w:r>
      <w:bookmarkStart w:id="14" w:name="_Toc12484"/>
      <w:bookmarkStart w:id="15" w:name="_Toc11606"/>
      <w:r>
        <w:rPr>
          <w:rFonts w:ascii="宋体" w:hAnsi="宋体" w:eastAsia="宋体"/>
          <w:color w:val="auto"/>
          <w:highlight w:val="none"/>
        </w:rPr>
        <w:t>第</w:t>
      </w:r>
      <w:r>
        <w:rPr>
          <w:rFonts w:hint="eastAsia" w:ascii="宋体" w:hAnsi="宋体" w:eastAsia="宋体"/>
          <w:color w:val="auto"/>
          <w:highlight w:val="none"/>
        </w:rPr>
        <w:t>四</w:t>
      </w:r>
      <w:r>
        <w:rPr>
          <w:rFonts w:ascii="宋体" w:hAnsi="宋体" w:eastAsia="宋体"/>
          <w:color w:val="auto"/>
          <w:highlight w:val="none"/>
        </w:rPr>
        <w:t>章</w:t>
      </w:r>
      <w:r>
        <w:rPr>
          <w:rFonts w:hint="eastAsia" w:ascii="宋体" w:hAnsi="宋体" w:eastAsia="宋体"/>
          <w:color w:val="auto"/>
          <w:highlight w:val="none"/>
        </w:rPr>
        <w:t xml:space="preserve">  服务要求、商务条件说明</w:t>
      </w:r>
      <w:bookmarkEnd w:id="14"/>
      <w:bookmarkEnd w:id="15"/>
      <w:bookmarkStart w:id="16" w:name="_Toc257280877"/>
    </w:p>
    <w:p>
      <w:pPr>
        <w:rPr>
          <w:rFonts w:hAnsi="宋体"/>
          <w:b/>
          <w:bCs/>
          <w:color w:val="auto"/>
          <w:sz w:val="28"/>
          <w:szCs w:val="28"/>
          <w:highlight w:val="none"/>
        </w:rPr>
      </w:pPr>
      <w:r>
        <w:rPr>
          <w:rFonts w:hint="eastAsia" w:hAnsi="宋体"/>
          <w:color w:val="auto"/>
          <w:sz w:val="28"/>
          <w:szCs w:val="28"/>
          <w:highlight w:val="none"/>
        </w:rPr>
        <w:t>一、</w:t>
      </w:r>
      <w:r>
        <w:rPr>
          <w:rFonts w:hint="eastAsia" w:hAnsi="宋体"/>
          <w:b/>
          <w:bCs/>
          <w:color w:val="auto"/>
          <w:sz w:val="28"/>
          <w:szCs w:val="28"/>
          <w:highlight w:val="none"/>
        </w:rPr>
        <w:t>技术服务内容及要求</w:t>
      </w:r>
    </w:p>
    <w:bookmarkEnd w:id="16"/>
    <w:p>
      <w:pPr>
        <w:spacing w:line="480" w:lineRule="exact"/>
        <w:rPr>
          <w:rFonts w:cs="宋体"/>
          <w:b/>
          <w:bCs/>
          <w:color w:val="auto"/>
          <w:sz w:val="24"/>
          <w:highlight w:val="none"/>
        </w:rPr>
      </w:pPr>
      <w:r>
        <w:rPr>
          <w:rFonts w:hint="eastAsia" w:cs="宋体"/>
          <w:b/>
          <w:bCs/>
          <w:color w:val="auto"/>
          <w:sz w:val="24"/>
          <w:highlight w:val="none"/>
        </w:rPr>
        <w:t>（一）项目概况</w:t>
      </w:r>
    </w:p>
    <w:p>
      <w:pPr>
        <w:spacing w:line="360" w:lineRule="auto"/>
        <w:ind w:firstLine="480" w:firstLineChars="200"/>
        <w:rPr>
          <w:rFonts w:cs="宋体"/>
          <w:color w:val="auto"/>
          <w:sz w:val="24"/>
          <w:highlight w:val="none"/>
        </w:rPr>
      </w:pPr>
      <w:r>
        <w:rPr>
          <w:rFonts w:hint="eastAsia" w:cs="宋体"/>
          <w:color w:val="auto"/>
          <w:sz w:val="24"/>
          <w:highlight w:val="none"/>
        </w:rPr>
        <w:t>磨盘山公墓安防系统改造项目采购需求，主要是为磨盘山园区建立一套覆盖全墓区网络系统和安防系统，包括主要设备安装、墓区配电系统、光纤网络通讯系统、路面开挖及恢复等。</w:t>
      </w:r>
    </w:p>
    <w:p>
      <w:pPr>
        <w:spacing w:line="480" w:lineRule="exact"/>
        <w:rPr>
          <w:rFonts w:cs="宋体"/>
          <w:color w:val="auto"/>
          <w:sz w:val="24"/>
          <w:highlight w:val="none"/>
        </w:rPr>
      </w:pPr>
      <w:r>
        <w:rPr>
          <w:rFonts w:hint="eastAsia" w:cs="宋体"/>
          <w:b/>
          <w:bCs/>
          <w:color w:val="auto"/>
          <w:sz w:val="24"/>
          <w:highlight w:val="none"/>
        </w:rPr>
        <w:t>（二）采购清单及技术参数</w:t>
      </w:r>
    </w:p>
    <w:tbl>
      <w:tblPr>
        <w:tblStyle w:val="44"/>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136"/>
        <w:gridCol w:w="4830"/>
        <w:gridCol w:w="681"/>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序号</w:t>
            </w:r>
          </w:p>
        </w:tc>
        <w:tc>
          <w:tcPr>
            <w:tcW w:w="213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设备名称</w:t>
            </w:r>
          </w:p>
        </w:tc>
        <w:tc>
          <w:tcPr>
            <w:tcW w:w="483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主要技术要求</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单位</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p>
        </w:tc>
        <w:tc>
          <w:tcPr>
            <w:tcW w:w="6966" w:type="dxa"/>
            <w:gridSpan w:val="2"/>
            <w:vAlign w:val="center"/>
          </w:tcPr>
          <w:p>
            <w:pPr>
              <w:spacing w:line="480" w:lineRule="exact"/>
              <w:rPr>
                <w:rFonts w:hAnsi="宋体" w:cs="宋体"/>
                <w:b/>
                <w:bCs/>
                <w:color w:val="auto"/>
                <w:sz w:val="24"/>
                <w:highlight w:val="none"/>
              </w:rPr>
            </w:pPr>
            <w:r>
              <w:rPr>
                <w:rFonts w:hint="eastAsia" w:hAnsi="宋体" w:cs="宋体"/>
                <w:b/>
                <w:bCs/>
                <w:color w:val="auto"/>
                <w:sz w:val="24"/>
                <w:highlight w:val="none"/>
              </w:rPr>
              <w:t>1、前端设备</w:t>
            </w:r>
          </w:p>
        </w:tc>
        <w:tc>
          <w:tcPr>
            <w:tcW w:w="681" w:type="dxa"/>
            <w:vAlign w:val="center"/>
          </w:tcPr>
          <w:p>
            <w:pPr>
              <w:spacing w:line="480" w:lineRule="exact"/>
              <w:jc w:val="center"/>
              <w:rPr>
                <w:rFonts w:hAnsi="宋体" w:cs="宋体"/>
                <w:color w:val="auto"/>
                <w:sz w:val="24"/>
                <w:highlight w:val="none"/>
              </w:rPr>
            </w:pPr>
          </w:p>
        </w:tc>
        <w:tc>
          <w:tcPr>
            <w:tcW w:w="780" w:type="dxa"/>
            <w:vAlign w:val="center"/>
          </w:tcPr>
          <w:p>
            <w:pPr>
              <w:spacing w:line="480" w:lineRule="exact"/>
              <w:jc w:val="center"/>
              <w:rPr>
                <w:rFonts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智能球形摄像机</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1、像素：≥400万像素,需具有≥2个图像传感器，每个图像传感器尺寸均需＞1/1.9英寸，内置GPU芯片；最大分辨率和帧率≥2688×1520@25fps，支持H.265/H.264编码；</w:t>
            </w:r>
            <w:r>
              <w:rPr>
                <w:rFonts w:hint="eastAsia" w:hAnsi="宋体" w:cs="宋体"/>
                <w:color w:val="auto"/>
                <w:sz w:val="24"/>
                <w:highlight w:val="none"/>
              </w:rPr>
              <w:br w:type="textWrapping"/>
            </w:r>
            <w:r>
              <w:rPr>
                <w:rFonts w:hint="eastAsia" w:hAnsi="宋体" w:cs="宋体"/>
                <w:color w:val="auto"/>
                <w:sz w:val="24"/>
                <w:highlight w:val="none"/>
              </w:rPr>
              <w:t>2、需支持≥35倍光学变倍，最大焦距不小于205mm；低照度需满足彩色≤0.0005lx，黑白≤0.0001lx，支持120dB超宽动态、光学透雾、强光抑制、电子防抖；需支持水平及垂直旋转:水平≥360°旋转，垂直≥-20°~90°旋转；支持水平键控速度：0.1°-210°/s，垂直键控速度：0.1°-150°/s，速度可设；</w:t>
            </w:r>
            <w:r>
              <w:rPr>
                <w:rFonts w:hint="eastAsia" w:hAnsi="宋体" w:cs="宋体"/>
                <w:color w:val="auto"/>
                <w:sz w:val="24"/>
                <w:highlight w:val="none"/>
              </w:rPr>
              <w:br w:type="textWrapping"/>
            </w:r>
            <w:r>
              <w:rPr>
                <w:rFonts w:hint="eastAsia" w:hAnsi="宋体" w:cs="宋体"/>
                <w:color w:val="auto"/>
                <w:sz w:val="24"/>
                <w:highlight w:val="none"/>
              </w:rPr>
              <w:t>3、需支持双路视频融合功能，可分别输出黑白及彩色图像，并对视频图像进行融合输出；（提供具有CNAS或CMA标识的第三方检测机构出具的检测报告复印件并加盖供应商公章）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4、需具备接力跟踪功能，多台设备外接平台并布控成功后，当布控人脸和车牌目标经过监控区域内时，监控区域所属的设备应按照人脸和车牌目标经过顺序进行跟踪，并可通过平台持续显示视频图像；（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5、需具备遮挡跟踪功能，当设备正在跟踪的人员全身被遮挡时，设备可保持跟踪状态并持续框选提示，若4s以内被跟踪人员又出现在监控画面中，可重新开始进行水平360°跟踪；（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6、需具有≥1个RJ4510M/100M自适应以太网口、≥1对音频输入/输出接口、≥7路报警输入、≥2路报警输出；</w:t>
            </w:r>
            <w:r>
              <w:rPr>
                <w:rFonts w:hint="eastAsia" w:hAnsi="宋体" w:cs="宋体"/>
                <w:color w:val="auto"/>
                <w:sz w:val="24"/>
                <w:highlight w:val="none"/>
              </w:rPr>
              <w:br w:type="textWrapping"/>
            </w:r>
            <w:r>
              <w:rPr>
                <w:rFonts w:hint="eastAsia" w:hAnsi="宋体" w:cs="宋体"/>
                <w:color w:val="auto"/>
                <w:sz w:val="24"/>
                <w:highlight w:val="none"/>
              </w:rPr>
              <w:t>7、内置无光污染的混合补光（由红外灯和白光灯组成），补光距离≥200米，可同时开启红外灯和白光灯或仅开启白光灯进行补光，支持通过IE浏览器或客户端软件对红外灯及白光灯功率进行调节；具有智能雨刷，支持自动感应雨水并联动雨刷；工作温度≥-40℃-70℃、防护等级需≥IP66。</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球型摄像机24V专用电源</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AV220V-DC24V</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智能筒型高清网络摄像机</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双镜头智能枪式摄像机，具有≥2个镜头通道，细节通道传感器尺寸≥1/1.8英寸，≥8-32mm电动变焦镜头，最大分辨率和帧率≥2688×1520@25fps；全景通道镜头焦距＜5mm、光圈≥F1.0（即F值≤1.0），最大分辨率和帧率≥1920×1080@25fps；双通道最低照度均满足彩色≤0.0005 Lux、黑白≤0.0001 Lux；（提供产品彩页资料）</w:t>
            </w:r>
            <w:r>
              <w:rPr>
                <w:rFonts w:hint="eastAsia" w:hAnsi="宋体" w:cs="宋体"/>
                <w:color w:val="auto"/>
                <w:sz w:val="24"/>
                <w:highlight w:val="none"/>
              </w:rPr>
              <w:br w:type="textWrapping"/>
            </w:r>
            <w:r>
              <w:rPr>
                <w:rFonts w:hint="eastAsia" w:hAnsi="宋体" w:cs="宋体"/>
                <w:color w:val="auto"/>
                <w:sz w:val="24"/>
                <w:highlight w:val="none"/>
              </w:rPr>
              <w:t>2、需支持≥3种智能资源模式切换，至少包括：人脸抓拍、车辆抓拍；人脸抓拍模式最多同时检测30个人脸/帧，车辆抓拍模式支持车标、车身颜色、车型识别；</w:t>
            </w:r>
            <w:r>
              <w:rPr>
                <w:rFonts w:hint="eastAsia" w:hAnsi="宋体" w:cs="宋体"/>
                <w:color w:val="auto"/>
                <w:sz w:val="24"/>
                <w:highlight w:val="none"/>
              </w:rPr>
              <w:br w:type="textWrapping"/>
            </w:r>
            <w:r>
              <w:rPr>
                <w:rFonts w:hint="eastAsia" w:hAnsi="宋体" w:cs="宋体"/>
                <w:color w:val="auto"/>
                <w:sz w:val="24"/>
                <w:highlight w:val="none"/>
              </w:rPr>
              <w:t>★3、内置≥双镜头、≥1个GPU芯片、≥2个麦克风、≥1个扬声器，内置≥6颗混合补光灯（均由红外灯、白光灯组成），支持自动、手动亮度调节模式，在开启白光灯或混合补光灯补光时，可输出彩色视频图像；（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4、具有镜头前盖玻璃加热功能，支持手动或自动开启/关闭加热功能，可对镜头前盖玻璃加热，去除玻璃上的冰状和水状附着物；（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5、支持人脸比对功能，支持两眼瞳距≤15像素的人脸与人脸库中的人脸比对，支持实时显示比对结果，比对准确率≥99%，支持人脸比对结果统计；支持侧脸过滤功能，可过滤上下、左右角度达到预设值的人脸；（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6、具有低温低气压适应性，设备处于工作状态，在气温≤-45℃、气压≤70kPa环境下，持续≥2小时，设备状态应无变化、功能应正常；（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7、具有≥2路音频输入、1路音频输出、≥3路报警输入、≥2路报警输出接口，≥1个DC 12V 电源输出接口，≥1个存储卡插槽，≥2个内置麦克风、≥1个内置扬声器，细节通道补光距离≥50米，全景通道补光距离≥30米，防护等级≥IP67。</w:t>
            </w:r>
            <w:r>
              <w:rPr>
                <w:rFonts w:hint="eastAsia" w:hAnsi="宋体" w:cs="宋体"/>
                <w:color w:val="auto"/>
                <w:sz w:val="24"/>
                <w:highlight w:val="none"/>
              </w:rPr>
              <w:br w:type="textWrapping"/>
            </w:r>
            <w:r>
              <w:rPr>
                <w:rFonts w:hint="eastAsia" w:hAnsi="宋体" w:cs="宋体"/>
                <w:color w:val="auto"/>
                <w:sz w:val="24"/>
                <w:highlight w:val="none"/>
              </w:rPr>
              <w:t>8、其它：网络: 1个RJ45 10 M/100 M自适应以太网口、电源输出: DC12 V，200 mA，拾音器供电，使用加热器: 玻璃加热；储温湿度: -30 ℃~60 ℃，湿度小于95%（无凝结）、启动及工作温湿度: -30 ℃~60 ℃，湿度小于95%（无凝结）、供电方式: DC：12 V ± 20%；PoE：电源接口类型: 三芯接口。</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智能半球高清网络摄像机</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1、人脸抓拍：支持同时检测并且抓拍30张人脸，支持对运动人脸进行检测、跟踪、抓拍、评分、筛选输出最优的人脸抓图，支持最佳抓拍，快速抓拍；</w:t>
            </w:r>
            <w:r>
              <w:rPr>
                <w:rFonts w:hint="eastAsia" w:hAnsi="宋体" w:cs="宋体"/>
                <w:color w:val="auto"/>
                <w:sz w:val="24"/>
                <w:highlight w:val="none"/>
              </w:rPr>
              <w:br w:type="textWrapping"/>
            </w:r>
            <w:r>
              <w:rPr>
                <w:rFonts w:hint="eastAsia" w:hAnsi="宋体" w:cs="宋体"/>
                <w:color w:val="auto"/>
                <w:sz w:val="24"/>
                <w:highlight w:val="none"/>
              </w:rPr>
              <w:t>2、周界：支持区域入侵、越界侦测、进入区域、离开区域功能；支持基于具体的目标类型（人或车辆）触发的报警</w:t>
            </w:r>
            <w:r>
              <w:rPr>
                <w:rFonts w:hint="eastAsia" w:hAnsi="宋体" w:cs="宋体"/>
                <w:color w:val="auto"/>
                <w:sz w:val="24"/>
                <w:highlight w:val="none"/>
              </w:rPr>
              <w:br w:type="textWrapping"/>
            </w:r>
            <w:r>
              <w:rPr>
                <w:rFonts w:hint="eastAsia" w:hAnsi="宋体" w:cs="宋体"/>
                <w:color w:val="auto"/>
                <w:sz w:val="24"/>
                <w:highlight w:val="none"/>
              </w:rPr>
              <w:t>道路监控：支持背向行驶车辆抓拍，支持车牌、子品牌、车身颜色、车辆类型。支持行人、非机动车、机动车的混行检测，最低照度: 彩色：0.0005 Lux @（F1.2，AGC ON）；黑白：0.0001 Lux @（F1.2，AGC ON），0 Lux with IR</w:t>
            </w:r>
            <w:r>
              <w:rPr>
                <w:rFonts w:hint="eastAsia" w:hAnsi="宋体" w:cs="宋体"/>
                <w:color w:val="auto"/>
                <w:sz w:val="24"/>
                <w:highlight w:val="none"/>
              </w:rPr>
              <w:br w:type="textWrapping"/>
            </w:r>
            <w:r>
              <w:rPr>
                <w:rFonts w:hint="eastAsia" w:hAnsi="宋体" w:cs="宋体"/>
                <w:color w:val="auto"/>
                <w:sz w:val="24"/>
                <w:highlight w:val="none"/>
              </w:rPr>
              <w:t>3、调节角度: 水平：0~355°，垂直：0~75°，旋转：0~355°、宽动态: 120 dB、焦距&amp;视场角:8~32 mm：水平视场角：40.3°~14.5°，垂直视场角：22.1°~8.2°，对角线视场角：46.9°~16.5°、补光灯类型: 红外，850 nm、补光距离: 8~32 mm：普通监控：50 m，人脸抓拍/识别：7 m、防补光过曝: 支持防补光过曝开启和关闭，开启下支持自动和手动，手动支持根据距离等级控制补光灯亮度、最大图像尺寸: 2560 × 1440、视频压缩标准: H.265/H.264/MJPEG；网络存储: 支持Micro SD(即TF卡)/Micro SDHC/Micro SDXC卡（最大256 GB）断网本地存储及断网续传，NAS（NFS，SMB/CIFS均支持），支持SD卡加密及SD卡状态检测。</w:t>
            </w:r>
            <w:r>
              <w:rPr>
                <w:rFonts w:hint="eastAsia" w:hAnsi="宋体" w:cs="宋体"/>
                <w:color w:val="auto"/>
                <w:sz w:val="24"/>
                <w:highlight w:val="none"/>
              </w:rPr>
              <w:br w:type="textWrapping"/>
            </w:r>
            <w:r>
              <w:rPr>
                <w:rFonts w:hint="eastAsia" w:hAnsi="宋体" w:cs="宋体"/>
                <w:color w:val="auto"/>
                <w:sz w:val="24"/>
                <w:highlight w:val="none"/>
              </w:rPr>
              <w:t>4、网络: 1个RJ45 10 M/100 M自适应以太网口、音频: 2 路输入（Line in），1路输出（Line out），2个内置麦克风，1个内置扬声器；报警: 3路输入，2路输出（报警输入支持开关量，报警输出最大支持DC12 V，30 mA）；RS-485: 1路RS485接口。</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摄像机12V专用电源</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AV220V-DC12V</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摄像机专用支架/底坐</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规格：</w:t>
            </w:r>
            <w:r>
              <w:rPr>
                <w:rFonts w:hint="eastAsia" w:cs="宋体"/>
                <w:color w:val="auto"/>
                <w:sz w:val="24"/>
                <w:highlight w:val="none"/>
              </w:rPr>
              <w:t>≥</w:t>
            </w:r>
            <w:r>
              <w:rPr>
                <w:rFonts w:hint="eastAsia" w:hAnsi="宋体" w:cs="宋体"/>
                <w:color w:val="auto"/>
                <w:sz w:val="24"/>
                <w:highlight w:val="none"/>
              </w:rPr>
              <w:t>155mm*70mm，与枪机配套使用</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摄像机监控电源盒</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1、防水；</w:t>
            </w:r>
          </w:p>
          <w:p>
            <w:pPr>
              <w:spacing w:line="480" w:lineRule="exact"/>
              <w:rPr>
                <w:rFonts w:hAnsi="宋体" w:cs="宋体"/>
                <w:color w:val="auto"/>
                <w:sz w:val="24"/>
                <w:highlight w:val="none"/>
              </w:rPr>
            </w:pPr>
            <w:r>
              <w:rPr>
                <w:rFonts w:hint="eastAsia" w:hAnsi="宋体" w:cs="宋体"/>
                <w:color w:val="auto"/>
                <w:sz w:val="24"/>
                <w:highlight w:val="none"/>
              </w:rPr>
              <w:t>2、</w:t>
            </w:r>
            <w:r>
              <w:rPr>
                <w:rFonts w:hint="eastAsia" w:cs="宋体"/>
                <w:color w:val="auto"/>
                <w:sz w:val="24"/>
                <w:highlight w:val="none"/>
              </w:rPr>
              <w:t>规格：≥1</w:t>
            </w:r>
            <w:r>
              <w:rPr>
                <w:rFonts w:cs="宋体"/>
                <w:color w:val="auto"/>
                <w:sz w:val="24"/>
                <w:highlight w:val="none"/>
              </w:rPr>
              <w:t>33*80*33mm</w:t>
            </w:r>
            <w:r>
              <w:rPr>
                <w:rFonts w:hint="eastAsia" w:hAnsi="宋体" w:cs="宋体"/>
                <w:color w:val="auto"/>
                <w:sz w:val="24"/>
                <w:highlight w:val="none"/>
              </w:rPr>
              <w:t>。</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8</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监控立杆3.5米（地笼、避雷针、横杆支架）</w:t>
            </w:r>
          </w:p>
        </w:tc>
        <w:tc>
          <w:tcPr>
            <w:tcW w:w="4830" w:type="dxa"/>
            <w:vAlign w:val="center"/>
          </w:tcPr>
          <w:p>
            <w:pPr>
              <w:numPr>
                <w:ilvl w:val="0"/>
                <w:numId w:val="9"/>
              </w:numPr>
              <w:spacing w:line="480" w:lineRule="exact"/>
              <w:rPr>
                <w:rFonts w:hAnsi="宋体" w:cs="宋体"/>
                <w:color w:val="auto"/>
                <w:sz w:val="24"/>
                <w:highlight w:val="none"/>
              </w:rPr>
            </w:pPr>
            <w:r>
              <w:rPr>
                <w:rFonts w:hint="eastAsia" w:hAnsi="宋体" w:cs="宋体"/>
                <w:color w:val="auto"/>
                <w:sz w:val="24"/>
                <w:highlight w:val="none"/>
              </w:rPr>
              <w:t>技术要求：厚：≥2.0mm；</w:t>
            </w:r>
          </w:p>
          <w:p>
            <w:pPr>
              <w:spacing w:line="480" w:lineRule="exact"/>
              <w:rPr>
                <w:rFonts w:hAnsi="宋体" w:cs="宋体"/>
                <w:color w:val="auto"/>
                <w:sz w:val="24"/>
                <w:highlight w:val="none"/>
              </w:rPr>
            </w:pPr>
            <w:r>
              <w:rPr>
                <w:rFonts w:hint="eastAsia" w:hAnsi="宋体" w:cs="宋体"/>
                <w:color w:val="auto"/>
                <w:sz w:val="24"/>
                <w:highlight w:val="none"/>
              </w:rPr>
              <w:t>2、含避雷针、地笼、混泥土基础，3.5米高；3、要求做接地接地处理。</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9</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监控立杆监控装配箱（含配电）</w:t>
            </w:r>
          </w:p>
        </w:tc>
        <w:tc>
          <w:tcPr>
            <w:tcW w:w="4830" w:type="dxa"/>
            <w:vAlign w:val="center"/>
          </w:tcPr>
          <w:p>
            <w:pPr>
              <w:numPr>
                <w:ilvl w:val="0"/>
                <w:numId w:val="10"/>
              </w:numPr>
              <w:spacing w:line="480" w:lineRule="exact"/>
              <w:rPr>
                <w:rFonts w:hAnsi="宋体" w:cs="宋体"/>
                <w:color w:val="auto"/>
                <w:sz w:val="24"/>
                <w:highlight w:val="none"/>
              </w:rPr>
            </w:pPr>
            <w:r>
              <w:rPr>
                <w:rFonts w:hint="eastAsia" w:hAnsi="宋体" w:cs="宋体"/>
                <w:color w:val="auto"/>
                <w:sz w:val="24"/>
                <w:highlight w:val="none"/>
              </w:rPr>
              <w:t>技术要求：厚：≥1.2mm；</w:t>
            </w:r>
          </w:p>
          <w:p>
            <w:pPr>
              <w:numPr>
                <w:ilvl w:val="0"/>
                <w:numId w:val="10"/>
              </w:numPr>
              <w:spacing w:line="480" w:lineRule="exact"/>
              <w:rPr>
                <w:rFonts w:hAnsi="宋体" w:cs="宋体"/>
                <w:color w:val="auto"/>
                <w:sz w:val="24"/>
                <w:highlight w:val="none"/>
              </w:rPr>
            </w:pPr>
            <w:r>
              <w:rPr>
                <w:rFonts w:hint="eastAsia" w:hAnsi="宋体" w:cs="宋体"/>
                <w:color w:val="auto"/>
                <w:sz w:val="24"/>
                <w:highlight w:val="none"/>
              </w:rPr>
              <w:t>含32A、16A空开、8位电源插板；</w:t>
            </w:r>
          </w:p>
          <w:p>
            <w:pPr>
              <w:numPr>
                <w:ilvl w:val="0"/>
                <w:numId w:val="10"/>
              </w:numPr>
              <w:spacing w:line="480" w:lineRule="exact"/>
              <w:rPr>
                <w:rFonts w:hAnsi="宋体" w:cs="宋体"/>
                <w:color w:val="auto"/>
                <w:sz w:val="24"/>
                <w:highlight w:val="none"/>
              </w:rPr>
            </w:pPr>
            <w:r>
              <w:rPr>
                <w:rFonts w:hint="eastAsia" w:hAnsi="宋体" w:cs="宋体"/>
                <w:color w:val="auto"/>
                <w:sz w:val="24"/>
                <w:highlight w:val="none"/>
              </w:rPr>
              <w:t>含接地排，要求做接地处理；</w:t>
            </w:r>
          </w:p>
          <w:p>
            <w:pPr>
              <w:spacing w:line="480" w:lineRule="exact"/>
              <w:rPr>
                <w:rFonts w:hAnsi="宋体" w:cs="宋体"/>
                <w:color w:val="auto"/>
                <w:sz w:val="24"/>
                <w:highlight w:val="none"/>
              </w:rPr>
            </w:pPr>
            <w:r>
              <w:rPr>
                <w:rFonts w:hint="eastAsia" w:hAnsi="宋体" w:cs="宋体"/>
                <w:color w:val="auto"/>
                <w:sz w:val="24"/>
                <w:highlight w:val="none"/>
              </w:rPr>
              <w:t>4、接地排采用1*16mm²接地线引至监控立杆预埋钢筋地笼。</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10</w:t>
            </w:r>
          </w:p>
        </w:tc>
        <w:tc>
          <w:tcPr>
            <w:tcW w:w="6966" w:type="dxa"/>
            <w:gridSpan w:val="2"/>
            <w:vAlign w:val="center"/>
          </w:tcPr>
          <w:p>
            <w:pPr>
              <w:spacing w:line="480" w:lineRule="exact"/>
              <w:rPr>
                <w:rFonts w:hAnsi="宋体" w:cs="宋体"/>
                <w:b/>
                <w:bCs/>
                <w:color w:val="auto"/>
                <w:sz w:val="24"/>
                <w:highlight w:val="none"/>
              </w:rPr>
            </w:pPr>
            <w:r>
              <w:rPr>
                <w:rFonts w:hint="eastAsia" w:hAnsi="宋体" w:cs="宋体"/>
                <w:b/>
                <w:bCs/>
                <w:color w:val="auto"/>
                <w:sz w:val="24"/>
                <w:highlight w:val="none"/>
              </w:rPr>
              <w:t>2、后端存储显示设备</w:t>
            </w:r>
          </w:p>
        </w:tc>
        <w:tc>
          <w:tcPr>
            <w:tcW w:w="681" w:type="dxa"/>
            <w:vAlign w:val="center"/>
          </w:tcPr>
          <w:p>
            <w:pPr>
              <w:spacing w:line="480" w:lineRule="exact"/>
              <w:jc w:val="center"/>
              <w:rPr>
                <w:rFonts w:hAnsi="宋体" w:cs="宋体"/>
                <w:color w:val="auto"/>
                <w:sz w:val="24"/>
                <w:highlight w:val="none"/>
              </w:rPr>
            </w:pPr>
          </w:p>
        </w:tc>
        <w:tc>
          <w:tcPr>
            <w:tcW w:w="780" w:type="dxa"/>
            <w:vAlign w:val="center"/>
          </w:tcPr>
          <w:p>
            <w:pPr>
              <w:spacing w:line="480" w:lineRule="exact"/>
              <w:jc w:val="center"/>
              <w:rPr>
                <w:rFonts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网络存储设备</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1、单设备应配置≥两颗64位多核处理器，≥8GB内存，内存支持扩展到≥256GB，需配置冗余金牌电源；</w:t>
            </w:r>
            <w:r>
              <w:rPr>
                <w:rFonts w:hint="eastAsia" w:hAnsi="宋体" w:cs="宋体"/>
                <w:color w:val="auto"/>
                <w:sz w:val="24"/>
                <w:highlight w:val="none"/>
              </w:rPr>
              <w:br w:type="textWrapping"/>
            </w:r>
            <w:r>
              <w:rPr>
                <w:rFonts w:hint="eastAsia" w:hAnsi="宋体" w:cs="宋体"/>
                <w:color w:val="auto"/>
                <w:sz w:val="24"/>
                <w:highlight w:val="none"/>
              </w:rPr>
              <w:t>★2、单设备应标配≥4个千兆网口，可增扩≥2个万兆口或≥4个光纤接口，并可增扩2个SSD固态硬盘；（提供具有CNAS或CMA标识的第三方检测机构出具的检测报告复印件并加盖供应商公章）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▲3、可接入硬盘≥48块SATA/SAS硬盘、≥8GB内存，内存支持扩展到≥256GB，能提供RAID0、1、3、5、6保护，支持坏盘自动重构（提供产品彩页资料</w:t>
            </w:r>
            <w:r>
              <w:rPr>
                <w:rFonts w:hint="eastAsia" w:cs="宋体"/>
                <w:color w:val="auto"/>
                <w:sz w:val="24"/>
                <w:highlight w:val="none"/>
              </w:rPr>
              <w:t>并加盖供应商公章</w:t>
            </w:r>
            <w:r>
              <w:rPr>
                <w:rFonts w:hint="eastAsia" w:hAnsi="宋体" w:cs="宋体"/>
                <w:color w:val="auto"/>
                <w:sz w:val="24"/>
                <w:highlight w:val="none"/>
              </w:rPr>
              <w:t>）</w:t>
            </w:r>
            <w:r>
              <w:rPr>
                <w:rFonts w:hint="eastAsia" w:hAnsi="宋体" w:cs="宋体"/>
                <w:color w:val="auto"/>
                <w:sz w:val="24"/>
                <w:highlight w:val="none"/>
              </w:rPr>
              <w:br w:type="textWrapping"/>
            </w:r>
            <w:r>
              <w:rPr>
                <w:rFonts w:hint="eastAsia" w:hAnsi="宋体" w:cs="宋体"/>
                <w:color w:val="auto"/>
                <w:sz w:val="24"/>
                <w:highlight w:val="none"/>
              </w:rPr>
              <w:t>★4、可根据数据对象的重要性、访问频率等属性对数据进行自动分层存储；（提供具有CNAS或CMA标识的第三方检测机构出具的检测报告复印件并加盖供应商公章）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5、可对指定的录像段或指定事件的1个或多个前端的不同时间段的录像段添加标签，并自动备份到存档卷中，使之不会被覆盖删除；（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6、支持RTSP/ONVIF/PSIA等标准视频流传输协议，支持iSCSI、CIFS、NFS、FTP、HTTP、AFP、RSYNC等存储协议；当RAID中某块工作正常的硬盘被误拔出后，60分钟内插回，该硬盘能恢复到原RAID中，系统自动恢复工作，而且会对拔掉的硬盘进行增量数据恢复。</w:t>
            </w:r>
            <w:r>
              <w:rPr>
                <w:rFonts w:hint="eastAsia" w:hAnsi="宋体" w:cs="宋体"/>
                <w:color w:val="auto"/>
                <w:sz w:val="24"/>
                <w:highlight w:val="none"/>
              </w:rPr>
              <w:br w:type="textWrapping"/>
            </w:r>
            <w:r>
              <w:rPr>
                <w:rFonts w:hint="eastAsia" w:hAnsi="宋体" w:cs="宋体"/>
                <w:color w:val="auto"/>
                <w:sz w:val="24"/>
                <w:highlight w:val="none"/>
              </w:rPr>
              <w:t>7、在RAID内丢失2块（含）以上硬盘但至少有1块正常磁盘时，无需等待丢失盘恢复，保留的硬盘中的数据可正常读出，且新数据可正常写入；可根据事件名称查询所有相关联的不同前端或时间的录像段并进行回放和下载。</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企业级硬盘</w:t>
            </w:r>
          </w:p>
        </w:tc>
        <w:tc>
          <w:tcPr>
            <w:tcW w:w="4830" w:type="dxa"/>
            <w:vAlign w:val="center"/>
          </w:tcPr>
          <w:p>
            <w:pPr>
              <w:shd w:val="clear" w:color="auto" w:fill="FFFFFF"/>
              <w:spacing w:after="75" w:line="480" w:lineRule="exact"/>
              <w:rPr>
                <w:rFonts w:hAnsi="宋体" w:cs="宋体"/>
                <w:color w:val="auto"/>
                <w:sz w:val="24"/>
                <w:highlight w:val="none"/>
              </w:rPr>
            </w:pPr>
            <w:r>
              <w:rPr>
                <w:rFonts w:hint="eastAsia" w:hAnsi="宋体" w:cs="宋体"/>
                <w:color w:val="auto"/>
                <w:sz w:val="24"/>
                <w:highlight w:val="none"/>
              </w:rPr>
              <w:t>1、6TB、7200rpm；</w:t>
            </w:r>
          </w:p>
          <w:p>
            <w:pPr>
              <w:shd w:val="clear" w:color="auto" w:fill="FFFFFF"/>
              <w:spacing w:after="75" w:line="480" w:lineRule="exact"/>
              <w:rPr>
                <w:rFonts w:hAnsi="宋体" w:cs="宋体"/>
                <w:color w:val="auto"/>
                <w:sz w:val="24"/>
                <w:highlight w:val="none"/>
              </w:rPr>
            </w:pPr>
            <w:r>
              <w:rPr>
                <w:rFonts w:hint="eastAsia" w:hAnsi="宋体" w:cs="宋体"/>
                <w:color w:val="auto"/>
                <w:sz w:val="24"/>
                <w:highlight w:val="none"/>
              </w:rPr>
              <w:t>2、与磁盘陈列配套使用。</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13</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网络键盘</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 xml:space="preserve">技术要求：网络/串口（232/485）接入方式，4维摇杆控制，7英寸1024*600的触摸式液晶屏，音频输入/输出口，1个USB接口， 4路1080P。 </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监控综合平台软件</w:t>
            </w:r>
          </w:p>
        </w:tc>
        <w:tc>
          <w:tcPr>
            <w:tcW w:w="4830" w:type="dxa"/>
            <w:vAlign w:val="center"/>
          </w:tcPr>
          <w:p>
            <w:pPr>
              <w:numPr>
                <w:ilvl w:val="0"/>
                <w:numId w:val="11"/>
              </w:numPr>
              <w:spacing w:line="480" w:lineRule="exact"/>
              <w:rPr>
                <w:rFonts w:hAnsi="宋体" w:cs="宋体"/>
                <w:color w:val="auto"/>
                <w:sz w:val="24"/>
                <w:highlight w:val="none"/>
              </w:rPr>
            </w:pPr>
            <w:r>
              <w:rPr>
                <w:rFonts w:hint="eastAsia" w:hAnsi="宋体" w:cs="宋体"/>
                <w:color w:val="auto"/>
                <w:sz w:val="24"/>
                <w:highlight w:val="none"/>
              </w:rPr>
              <w:t>平台需支持统一的认证、授权管理机制，支持HTTPS以及密码安全加密访问认证；软件平台需支持安全防护，支持验证码、连续登陆尝试次数、用户IP地址限制等多种验证方式，支持登录密码强度提醒，用户密码强度设置；支持BS客户端、CS客户端、移动客户端（Android、iOS）视频预览，支持多浏览器实时预览；</w:t>
            </w:r>
            <w:r>
              <w:rPr>
                <w:rFonts w:hint="eastAsia" w:hAnsi="宋体" w:cs="宋体"/>
                <w:color w:val="auto"/>
                <w:sz w:val="24"/>
                <w:highlight w:val="none"/>
              </w:rPr>
              <w:br w:type="textWrapping"/>
            </w:r>
            <w:r>
              <w:rPr>
                <w:rFonts w:hint="eastAsia" w:hAnsi="宋体" w:cs="宋体"/>
                <w:color w:val="auto"/>
                <w:sz w:val="24"/>
                <w:highlight w:val="none"/>
              </w:rPr>
              <w:t>2.支持视频质量诊断，接收信号丢失、图像黑白等异常情况的报警信息；支持大屏控制：可对大屏进行1/4/9/16/25分屏、拼接、开窗、窗口漫游的操作，通过客户端支持电视墙开窗后支持分割，并可将大屏分屏配置另保存为场景；支持宿管考勤，宿管异常预警；支持访客管理，支持访客身份证人证合一验证；</w:t>
            </w:r>
            <w:r>
              <w:rPr>
                <w:rFonts w:hint="eastAsia" w:hAnsi="宋体" w:cs="宋体"/>
                <w:color w:val="auto"/>
                <w:sz w:val="24"/>
                <w:highlight w:val="none"/>
              </w:rPr>
              <w:br w:type="textWrapping"/>
            </w:r>
            <w:r>
              <w:rPr>
                <w:rFonts w:hint="eastAsia" w:hAnsi="宋体" w:cs="宋体"/>
                <w:color w:val="auto"/>
                <w:sz w:val="24"/>
                <w:highlight w:val="none"/>
              </w:rPr>
              <w:t>3.支持通过刷卡、指纹、人脸多种方式考勤，支持考勤管理及考勤数据分析、报表展示；宿管考勤支持展示人员识别及比对信息；支持在线和离线GIS地图、静态地图导入，同时支持对一个区域添加多张静态地图；</w:t>
            </w:r>
          </w:p>
          <w:p>
            <w:pPr>
              <w:spacing w:line="480" w:lineRule="exact"/>
              <w:rPr>
                <w:rFonts w:hAnsi="宋体" w:cs="宋体"/>
                <w:color w:val="auto"/>
                <w:sz w:val="24"/>
                <w:highlight w:val="none"/>
              </w:rPr>
            </w:pPr>
            <w:r>
              <w:rPr>
                <w:rFonts w:hint="eastAsia" w:hAnsi="宋体" w:cs="宋体"/>
                <w:color w:val="auto"/>
                <w:sz w:val="24"/>
                <w:highlight w:val="none"/>
              </w:rPr>
              <w:t>4.支持对重点人员、陌生人识别，处于重点人员名单内的人脸出现时，系统自动报警；</w:t>
            </w:r>
            <w:r>
              <w:rPr>
                <w:rFonts w:hint="eastAsia" w:hAnsi="宋体" w:cs="宋体"/>
                <w:color w:val="auto"/>
                <w:sz w:val="24"/>
                <w:highlight w:val="none"/>
              </w:rPr>
              <w:br w:type="textWrapping"/>
            </w:r>
            <w:r>
              <w:rPr>
                <w:rFonts w:hint="eastAsia" w:hAnsi="宋体" w:cs="宋体"/>
                <w:color w:val="auto"/>
                <w:sz w:val="24"/>
                <w:highlight w:val="none"/>
              </w:rPr>
              <w:t>5.平台软件支持以脸搜脸，对人脸图片进行检索，检索结果支持列表模式和地图模式，地图模式可以按照时间顺序形成人脸轨迹，用于描述目标人员在该区域的移动路线；支持根据项目规模和应用场景，采用分布式、负载均衡等技术，支持多级架构来进行系统平台自身规模的扩展，支持流媒体集群等；</w:t>
            </w:r>
          </w:p>
          <w:p>
            <w:pPr>
              <w:pStyle w:val="2"/>
              <w:spacing w:line="480" w:lineRule="exact"/>
              <w:rPr>
                <w:rFonts w:ascii="宋体" w:hAnsi="宋体" w:cs="宋体"/>
                <w:color w:val="auto"/>
                <w:highlight w:val="none"/>
              </w:rPr>
            </w:pPr>
            <w:r>
              <w:rPr>
                <w:rFonts w:hint="eastAsia" w:ascii="宋体" w:hAnsi="宋体" w:cs="宋体"/>
                <w:color w:val="auto"/>
                <w:highlight w:val="none"/>
              </w:rPr>
              <w:t>6.要求能接入原有监控系统、门禁系统、停车场系统进行统一管理。</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15</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监控平台处理系统</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 xml:space="preserve">1、CPU：不低于1颗 HG7163(16核，2.4GHz)；内存：≥2*16G DDR4，≥16根内存插槽，最大支持扩展至2TB </w:t>
            </w:r>
            <w:r>
              <w:rPr>
                <w:rFonts w:hint="eastAsia" w:hAnsi="宋体" w:cs="宋体"/>
                <w:color w:val="auto"/>
                <w:sz w:val="24"/>
                <w:highlight w:val="none"/>
              </w:rPr>
              <w:br w:type="textWrapping"/>
            </w:r>
            <w:r>
              <w:rPr>
                <w:rFonts w:hint="eastAsia" w:hAnsi="宋体" w:cs="宋体"/>
                <w:color w:val="auto"/>
                <w:sz w:val="24"/>
                <w:highlight w:val="none"/>
              </w:rPr>
              <w:t xml:space="preserve">2、硬盘：≥2块600G 10K 2.5英寸SAS盘 </w:t>
            </w:r>
            <w:r>
              <w:rPr>
                <w:rFonts w:hint="eastAsia" w:hAnsi="宋体" w:cs="宋体"/>
                <w:color w:val="auto"/>
                <w:sz w:val="24"/>
                <w:highlight w:val="none"/>
              </w:rPr>
              <w:br w:type="textWrapping"/>
            </w:r>
            <w:r>
              <w:rPr>
                <w:rFonts w:hint="eastAsia" w:hAnsi="宋体" w:cs="宋体"/>
                <w:color w:val="auto"/>
                <w:sz w:val="24"/>
                <w:highlight w:val="none"/>
              </w:rPr>
              <w:t xml:space="preserve">3、可选支持12块3.5寸(兼容2.5寸)热插拔SAS/SATA硬盘、可选支持2块后置2.5寸热插拔SAS/SATA硬盘、可选支持4块NVME U.2热插拔硬盘、支持1个M.2插槽、支持1个TF插槽 </w:t>
            </w:r>
            <w:r>
              <w:rPr>
                <w:rFonts w:hint="eastAsia" w:hAnsi="宋体" w:cs="宋体"/>
                <w:color w:val="auto"/>
                <w:sz w:val="24"/>
                <w:highlight w:val="none"/>
              </w:rPr>
              <w:br w:type="textWrapping"/>
            </w:r>
            <w:r>
              <w:rPr>
                <w:rFonts w:hint="eastAsia" w:hAnsi="宋体" w:cs="宋体"/>
                <w:color w:val="auto"/>
                <w:sz w:val="24"/>
                <w:highlight w:val="none"/>
              </w:rPr>
              <w:t xml:space="preserve">4、阵列卡：标配SAS_HBA卡，支持RAID 0/1/10可选RAID_2G卡，支持0/1/5/6/10/50/60，可选支持断电保护； PCIE扩展：最大可支持6个PCIe扩展插槽；网口：2个千兆电口；其他接口：1个千兆RJ-45管理接口，4个USB3.0接口，2个位于机箱后部，2个位于机箱前部 </w:t>
            </w:r>
          </w:p>
          <w:p>
            <w:pPr>
              <w:spacing w:line="480" w:lineRule="exact"/>
              <w:rPr>
                <w:rFonts w:hAnsi="宋体" w:cs="宋体"/>
                <w:color w:val="auto"/>
                <w:sz w:val="24"/>
                <w:highlight w:val="none"/>
              </w:rPr>
            </w:pPr>
            <w:r>
              <w:rPr>
                <w:rFonts w:hint="eastAsia" w:hAnsi="宋体" w:cs="宋体"/>
                <w:color w:val="auto"/>
                <w:sz w:val="24"/>
                <w:highlight w:val="none"/>
              </w:rPr>
              <w:t>5、1个VGA口，位于机箱后部；电源：标配550W（1+1）白金冗余电源。</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16</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网络解码器</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 解码设备采用嵌入式架构，专用Linux系统，机架式设计，高度≤2U</w:t>
            </w:r>
            <w:r>
              <w:rPr>
                <w:rFonts w:hint="eastAsia" w:hAnsi="宋体" w:cs="宋体"/>
                <w:color w:val="auto"/>
                <w:sz w:val="24"/>
                <w:highlight w:val="none"/>
              </w:rPr>
              <w:br w:type="textWrapping"/>
            </w:r>
            <w:r>
              <w:rPr>
                <w:rFonts w:hint="eastAsia" w:hAnsi="宋体" w:cs="宋体"/>
                <w:color w:val="auto"/>
                <w:sz w:val="24"/>
                <w:highlight w:val="none"/>
              </w:rPr>
              <w:t>2、设备具有≥1个HDMI视频输入接口，≥1个DVI-I视频输入接口、≥4个HDMI输出接口、≥4个音频输出，视频输出分辨率支持1920×1080、3840×2160；</w:t>
            </w:r>
            <w:r>
              <w:rPr>
                <w:rFonts w:hint="eastAsia" w:hAnsi="宋体" w:cs="宋体"/>
                <w:color w:val="auto"/>
                <w:sz w:val="24"/>
                <w:highlight w:val="none"/>
              </w:rPr>
              <w:br w:type="textWrapping"/>
            </w:r>
            <w:r>
              <w:rPr>
                <w:rFonts w:hint="eastAsia" w:hAnsi="宋体" w:cs="宋体"/>
                <w:color w:val="auto"/>
                <w:sz w:val="24"/>
                <w:highlight w:val="none"/>
              </w:rPr>
              <w:t>3、支持开窗、窗口漫游功能，支持1、2、4、6、8、9、10、12、16画面分割显示，可通过客户端软件将显示窗口在多个显示屏间进行拖动或跨屏显示，并可调节显示窗口大小；</w:t>
            </w:r>
            <w:r>
              <w:rPr>
                <w:rFonts w:hint="eastAsia" w:hAnsi="宋体" w:cs="宋体"/>
                <w:color w:val="auto"/>
                <w:sz w:val="24"/>
                <w:highlight w:val="none"/>
              </w:rPr>
              <w:br w:type="textWrapping"/>
            </w:r>
            <w:r>
              <w:rPr>
                <w:rFonts w:hint="eastAsia" w:hAnsi="宋体" w:cs="宋体"/>
                <w:color w:val="auto"/>
                <w:sz w:val="24"/>
                <w:highlight w:val="none"/>
              </w:rPr>
              <w:t>4. 解码能力支持≥2路8000×3000（25fps）、或≥8路3840×2160（25fps）、或≥12路为2592×1944（30fps）、或≥32路1920×1080（30fps）分辨率的H.264、H.265、MPEG4视频图像解码输出；（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5、 支持通过设备抓屏软件，将远程电脑桌面实时解码上墙显示，画面帧率应支持≥30fps，支持同时抓取≥8个任务上墙、≥8个4K信号，不消耗CPU性能，支持在电视墙进行8画面分割同时显示，支持对桌面进行整屏、单窗口、自定义区域抓屏上墙；（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6、 每个输出接口支持任意开窗、漫游，任意一路信号显示画面可进行任意漫游、缩放，可在单屏或者多屏的任意位置上叠加显示，图层最大不少于64层；（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7. 支持前端接入智能摄像机，直连前端人脸检测设备，可实时展示人脸检测结果，包括年龄、性别、是否戴眼镜等人脸属性信息，属性可直接叠加画面显示；（提供具有CNAS或CMA标识的第三方检测机构出具的检测报告复印件并加盖供应商公章）</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17</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工控主机</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1、主要技术参数：I7-8700处理器、8G内存、1T硬盘；配WIN10操作系统；机架式机箱内部结构设计，支持5个PCI/2个PCLE扩展槽，可根据需求护展，支持独立显卡、多串口卜、并口卡等扩展卡。</w:t>
            </w:r>
            <w:r>
              <w:rPr>
                <w:rFonts w:hint="eastAsia" w:hAnsi="宋体" w:cs="宋体"/>
                <w:color w:val="auto"/>
                <w:sz w:val="24"/>
                <w:highlight w:val="none"/>
              </w:rPr>
              <w:br w:type="textWrapping"/>
            </w:r>
            <w:r>
              <w:rPr>
                <w:rFonts w:hint="eastAsia" w:hAnsi="宋体" w:cs="宋体"/>
                <w:color w:val="auto"/>
                <w:sz w:val="24"/>
                <w:highlight w:val="none"/>
              </w:rPr>
              <w:t>▲2、液晶显示器：≥21寸，支持HDMI接口输入。</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18</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液晶拼接屏46寸</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1、亮度：≥700cd/m2（提供具有CNAS或CMA标识的第三方检测机构出具的检测报告复印件并加盖供应商公章）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2、对角线尺寸：≥46英寸液晶面板；背光源：直下式LED，均匀性、色彩还原性好，无黑边、暗影现象；物理分辨率：1920×1080全高清；对比度：4000:1；响应时间：8ms；点距：0.63mm（H）× 0.63mm（V）；</w:t>
            </w:r>
            <w:r>
              <w:rPr>
                <w:rFonts w:hint="eastAsia" w:hAnsi="宋体" w:cs="宋体"/>
                <w:color w:val="auto"/>
                <w:sz w:val="24"/>
                <w:highlight w:val="none"/>
              </w:rPr>
              <w:br w:type="textWrapping"/>
            </w:r>
            <w:r>
              <w:rPr>
                <w:rFonts w:hint="eastAsia" w:hAnsi="宋体" w:cs="宋体"/>
                <w:color w:val="auto"/>
                <w:sz w:val="24"/>
                <w:highlight w:val="none"/>
              </w:rPr>
              <w:t>3、双边物理拼缝隙≤1.7mm；（提供产品彩页资料）</w:t>
            </w:r>
            <w:r>
              <w:rPr>
                <w:rFonts w:hint="eastAsia" w:hAnsi="宋体" w:cs="宋体"/>
                <w:color w:val="auto"/>
                <w:sz w:val="24"/>
                <w:highlight w:val="none"/>
              </w:rPr>
              <w:br w:type="textWrapping"/>
            </w:r>
            <w:r>
              <w:rPr>
                <w:rFonts w:hint="eastAsia" w:hAnsi="宋体" w:cs="宋体"/>
                <w:color w:val="auto"/>
                <w:sz w:val="24"/>
                <w:highlight w:val="none"/>
              </w:rPr>
              <w:t>4、输入接口：HDMI/DVI/VGA/BNC×1、环通输出接口：BNC×1；控制接口：RS232(RJ45接口1入2出)、ISP TOOL（RJ45接口×1）、机身尺寸：1020.02mm(宽)×574.61mm(高)、内置视频墙功能、可分屏、任意相邻屏幕拼接、智能温控等功能；具备3D 数字梳妆滤波和3D 数字图像消除移动噪点和降噪技术，有效过滤和消除噪点；具备自动温控系统，实时调整风扇转速，降低整机温度，提高整机可靠性，确保长时间稳定运行。</w:t>
            </w:r>
            <w:r>
              <w:rPr>
                <w:rFonts w:hint="eastAsia" w:hAnsi="宋体" w:cs="宋体"/>
                <w:color w:val="auto"/>
                <w:sz w:val="24"/>
                <w:highlight w:val="none"/>
              </w:rPr>
              <w:br w:type="textWrapping"/>
            </w:r>
            <w:r>
              <w:rPr>
                <w:rFonts w:hint="eastAsia" w:hAnsi="宋体" w:cs="宋体"/>
                <w:color w:val="auto"/>
                <w:sz w:val="24"/>
                <w:highlight w:val="none"/>
              </w:rPr>
              <w:t>5、具备内置拼接功能具有强大视频处理能力的工业级控制主板，输出高品质的震撼视频画面；具备视频输入接口，VGA、DVI、HDMI、复合视频等等；全中文软件控制，界面友好，易学易用，支持各种接口矩阵联动控制；支持365天×24 小时长时间工作，寿命可达6万小时以上。</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19</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液晶拼接屏支架</w:t>
            </w:r>
          </w:p>
        </w:tc>
        <w:tc>
          <w:tcPr>
            <w:tcW w:w="4830" w:type="dxa"/>
            <w:vAlign w:val="center"/>
          </w:tcPr>
          <w:p>
            <w:pPr>
              <w:numPr>
                <w:ilvl w:val="0"/>
                <w:numId w:val="12"/>
              </w:numPr>
              <w:spacing w:line="480" w:lineRule="exact"/>
              <w:rPr>
                <w:rFonts w:hAnsi="宋体" w:cs="宋体"/>
                <w:color w:val="auto"/>
                <w:sz w:val="24"/>
                <w:highlight w:val="none"/>
              </w:rPr>
            </w:pPr>
            <w:r>
              <w:rPr>
                <w:rFonts w:hint="eastAsia" w:hAnsi="宋体" w:cs="宋体"/>
                <w:color w:val="auto"/>
                <w:sz w:val="24"/>
                <w:highlight w:val="none"/>
              </w:rPr>
              <w:t>落地安装，与液晶拼接配套使用；</w:t>
            </w:r>
          </w:p>
          <w:p>
            <w:pPr>
              <w:spacing w:line="480" w:lineRule="exact"/>
              <w:rPr>
                <w:rFonts w:hAnsi="宋体" w:cs="宋体"/>
                <w:color w:val="auto"/>
                <w:sz w:val="24"/>
                <w:highlight w:val="none"/>
              </w:rPr>
            </w:pPr>
            <w:r>
              <w:rPr>
                <w:rFonts w:hint="eastAsia" w:hAnsi="宋体" w:cs="宋体"/>
                <w:color w:val="auto"/>
                <w:sz w:val="24"/>
                <w:highlight w:val="none"/>
              </w:rPr>
              <w:t>2、能承受显示屏及其它设备相应重量。</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20</w:t>
            </w:r>
          </w:p>
        </w:tc>
        <w:tc>
          <w:tcPr>
            <w:tcW w:w="6966" w:type="dxa"/>
            <w:gridSpan w:val="2"/>
            <w:vAlign w:val="center"/>
          </w:tcPr>
          <w:p>
            <w:pPr>
              <w:spacing w:line="480" w:lineRule="exact"/>
              <w:rPr>
                <w:rFonts w:hAnsi="宋体" w:cs="宋体"/>
                <w:b/>
                <w:bCs/>
                <w:color w:val="auto"/>
                <w:sz w:val="24"/>
                <w:highlight w:val="none"/>
              </w:rPr>
            </w:pPr>
            <w:r>
              <w:rPr>
                <w:rFonts w:hint="eastAsia" w:hAnsi="宋体" w:cs="宋体"/>
                <w:b/>
                <w:bCs/>
                <w:color w:val="auto"/>
                <w:sz w:val="24"/>
                <w:highlight w:val="none"/>
              </w:rPr>
              <w:t>3、后端机房防雷配电及传输设备</w:t>
            </w:r>
          </w:p>
        </w:tc>
        <w:tc>
          <w:tcPr>
            <w:tcW w:w="681" w:type="dxa"/>
            <w:vAlign w:val="center"/>
          </w:tcPr>
          <w:p>
            <w:pPr>
              <w:spacing w:line="480" w:lineRule="exact"/>
              <w:jc w:val="center"/>
              <w:rPr>
                <w:rFonts w:hAnsi="宋体" w:cs="宋体"/>
                <w:color w:val="auto"/>
                <w:sz w:val="24"/>
                <w:highlight w:val="none"/>
              </w:rPr>
            </w:pPr>
          </w:p>
        </w:tc>
        <w:tc>
          <w:tcPr>
            <w:tcW w:w="780" w:type="dxa"/>
            <w:vAlign w:val="center"/>
          </w:tcPr>
          <w:p>
            <w:pPr>
              <w:spacing w:line="480" w:lineRule="exact"/>
              <w:jc w:val="center"/>
              <w:rPr>
                <w:rFonts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核心网络集线设备一</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1.10/100/1000Base-T自适应电口≥24个， 千兆SFP光口≥2个,支持PoE（802.3af）和PoE+（802.3at）,POE功率≥370W；（提供产品彩页资料）</w:t>
            </w:r>
            <w:r>
              <w:rPr>
                <w:rFonts w:hint="eastAsia" w:hAnsi="宋体" w:cs="宋体"/>
                <w:color w:val="auto"/>
                <w:sz w:val="24"/>
                <w:highlight w:val="none"/>
              </w:rPr>
              <w:br w:type="textWrapping"/>
            </w:r>
            <w:r>
              <w:rPr>
                <w:rFonts w:hint="eastAsia" w:hAnsi="宋体" w:cs="宋体"/>
                <w:color w:val="auto"/>
                <w:sz w:val="24"/>
                <w:highlight w:val="none"/>
              </w:rPr>
              <w:t>2.交换容量≥330Gbps；包转发率≥120Mpps；（提供产品彩页资料）</w:t>
            </w:r>
            <w:r>
              <w:rPr>
                <w:rFonts w:hint="eastAsia" w:hAnsi="宋体" w:cs="宋体"/>
                <w:color w:val="auto"/>
                <w:sz w:val="24"/>
                <w:highlight w:val="none"/>
              </w:rPr>
              <w:br w:type="textWrapping"/>
            </w:r>
            <w:r>
              <w:rPr>
                <w:rFonts w:hint="eastAsia" w:hAnsi="宋体" w:cs="宋体"/>
                <w:color w:val="auto"/>
                <w:sz w:val="24"/>
                <w:highlight w:val="none"/>
              </w:rPr>
              <w:t>3.支持MAC地址≥8K，工作温度-20℃~50℃，防雷等级≥6KV；支持POE端口智能重启识别终端流量与功率电压，终端异常自动重启端口供电；</w:t>
            </w:r>
            <w:r>
              <w:rPr>
                <w:rFonts w:hint="eastAsia" w:hAnsi="宋体" w:cs="宋体"/>
                <w:color w:val="auto"/>
                <w:sz w:val="24"/>
                <w:highlight w:val="none"/>
              </w:rPr>
              <w:br w:type="textWrapping"/>
            </w:r>
            <w:r>
              <w:rPr>
                <w:rFonts w:hint="eastAsia" w:hAnsi="宋体" w:cs="宋体"/>
                <w:color w:val="auto"/>
                <w:sz w:val="24"/>
                <w:highlight w:val="none"/>
              </w:rPr>
              <w:t>4、支持POE端口定时供电；</w:t>
            </w:r>
            <w:r>
              <w:rPr>
                <w:rFonts w:hint="eastAsia" w:hAnsi="宋体" w:cs="宋体"/>
                <w:color w:val="auto"/>
                <w:sz w:val="24"/>
                <w:highlight w:val="none"/>
              </w:rPr>
              <w:br w:type="textWrapping"/>
            </w:r>
            <w:r>
              <w:rPr>
                <w:rFonts w:hint="eastAsia" w:hAnsi="宋体" w:cs="宋体"/>
                <w:color w:val="auto"/>
                <w:sz w:val="24"/>
                <w:highlight w:val="none"/>
              </w:rPr>
              <w:t>5、支持静态路由、RIP、RIPng路由协议.支持STP/RSTP；支持 IGMP Snooping v1/v2/V3；支持端口聚合；支持端口限速；支持对组播/未知单播/广播的风暴抑制；支持端口隔离；支持G.8032以太环保护协议；支持SNMPv1/v2管理、Telnet远程维护、网管系统管理、WEB网管;支持DHCP Snooping</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核心网络集线设备二</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1.千兆SFP光口≥24个，10/100/1000Base-T以太网端口Combo≥8个，万兆SFP+光口≥4个，冗余电源；（提供产品彩页资料）</w:t>
            </w:r>
            <w:r>
              <w:rPr>
                <w:rFonts w:hint="eastAsia" w:hAnsi="宋体" w:cs="宋体"/>
                <w:color w:val="auto"/>
                <w:sz w:val="24"/>
                <w:highlight w:val="none"/>
              </w:rPr>
              <w:br w:type="textWrapping"/>
            </w:r>
            <w:r>
              <w:rPr>
                <w:rFonts w:hint="eastAsia" w:hAnsi="宋体" w:cs="宋体"/>
                <w:color w:val="auto"/>
                <w:sz w:val="24"/>
                <w:highlight w:val="none"/>
              </w:rPr>
              <w:t>2.交换容量≥598Gbps，包转发率≥222Mpps；（提供产品彩页资料）</w:t>
            </w:r>
            <w:r>
              <w:rPr>
                <w:rFonts w:hint="eastAsia" w:hAnsi="宋体" w:cs="宋体"/>
                <w:color w:val="auto"/>
                <w:sz w:val="24"/>
                <w:highlight w:val="none"/>
              </w:rPr>
              <w:br w:type="textWrapping"/>
            </w:r>
            <w:r>
              <w:rPr>
                <w:rFonts w:hint="eastAsia" w:hAnsi="宋体" w:cs="宋体"/>
                <w:color w:val="auto"/>
                <w:sz w:val="24"/>
                <w:highlight w:val="none"/>
              </w:rPr>
              <w:t>3.支持4K个VLAN，支持Voice VLAN，基于端口的VLAN，基于MAC的VLAN，支持802.1Q标准VLAN；</w:t>
            </w:r>
            <w:r>
              <w:rPr>
                <w:rFonts w:hint="eastAsia" w:hAnsi="宋体" w:cs="宋体"/>
                <w:color w:val="auto"/>
                <w:sz w:val="24"/>
                <w:highlight w:val="none"/>
              </w:rPr>
              <w:br w:type="textWrapping"/>
            </w:r>
            <w:r>
              <w:rPr>
                <w:rFonts w:hint="eastAsia" w:hAnsi="宋体" w:cs="宋体"/>
                <w:color w:val="auto"/>
                <w:sz w:val="24"/>
                <w:highlight w:val="none"/>
              </w:rPr>
              <w:t>4.支持MAC地址≥32k，工作温度-20℃~50℃；支持DHCP server、DHCP Snooping；支持L2/L3/L4线速交换；支持STP、RSTP、MSTP；支持静态聚合、动态聚合；支持IGMP Snooping、MVR；支持工业级环网协议ERPS；支持SNMP v1/v2/v3、Telnet远程维护、网管系统管理。</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23</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核心网络集线设备三</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1.交换容量≥20.8Tbps，包转发率≥2280Mpps，插槽位总数≥6，采用机箱后出风的散热架构设计；（提供产品彩页资料）</w:t>
            </w:r>
            <w:r>
              <w:rPr>
                <w:rFonts w:hint="eastAsia" w:hAnsi="宋体" w:cs="宋体"/>
                <w:color w:val="auto"/>
                <w:sz w:val="24"/>
                <w:highlight w:val="none"/>
              </w:rPr>
              <w:br w:type="textWrapping"/>
            </w:r>
            <w:r>
              <w:rPr>
                <w:rFonts w:hint="eastAsia" w:hAnsi="宋体" w:cs="宋体"/>
                <w:color w:val="auto"/>
                <w:sz w:val="24"/>
                <w:highlight w:val="none"/>
              </w:rPr>
              <w:t>2. 本次配置双主控，冗余电源，冗余风扇模块，10M/100/1000M的以太网口≥32个，千兆SFP光口≥32个，万兆SFP+光口≥16个；支持电源模块在不关闭或重启设备情况下热插拔或替换，保证业务持续稳定运行；（提供产品彩页资料）</w:t>
            </w:r>
            <w:r>
              <w:rPr>
                <w:rFonts w:hint="eastAsia" w:hAnsi="宋体" w:cs="宋体"/>
                <w:color w:val="auto"/>
                <w:sz w:val="24"/>
                <w:highlight w:val="none"/>
              </w:rPr>
              <w:br w:type="textWrapping"/>
            </w:r>
            <w:r>
              <w:rPr>
                <w:rFonts w:hint="eastAsia" w:hAnsi="宋体" w:cs="宋体"/>
                <w:color w:val="auto"/>
                <w:sz w:val="24"/>
                <w:highlight w:val="none"/>
              </w:rPr>
              <w:t>3.支持MAC地址≥32k，工作温度-20℃~50℃；支持4K VLAN，支持802.1Q标准VLAN；支持IEEE 802.1d(STP)、 802.w(RSTP)、 802.1s(MSTP) ；支持VCT，端口环路检测；支持IGMP Snooping V1,V2,V3；支持PIM-SM/DM/SSM；支持基本QinQ和灵活QinQ功能；支持端口的静态聚合、动态聚合；支持流控 flow-control；支持CLI命令行管理、Telnet远程管理、SSH 2.0；支持基于第二层、第三层和第四层的ACL，支持双向ACL；支持RIP v1/v2、OSPF、BGP； 支持SNMP V1/V2/V3、Telnet、SSHV2。</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8口全千兆网络交换机</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支持POE。</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25</w:t>
            </w:r>
          </w:p>
        </w:tc>
        <w:tc>
          <w:tcPr>
            <w:tcW w:w="213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网络管理平台及软件</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1.6个10/100/1000M 自适应RJ－45口、2个USB口；</w:t>
            </w:r>
            <w:r>
              <w:rPr>
                <w:rFonts w:hint="eastAsia" w:hAnsi="宋体" w:cs="宋体"/>
                <w:color w:val="auto"/>
                <w:sz w:val="24"/>
                <w:highlight w:val="none"/>
              </w:rPr>
              <w:br w:type="textWrapping"/>
            </w:r>
            <w:r>
              <w:rPr>
                <w:rFonts w:hint="eastAsia" w:hAnsi="宋体" w:cs="宋体"/>
                <w:color w:val="auto"/>
                <w:sz w:val="24"/>
                <w:highlight w:val="none"/>
              </w:rPr>
              <w:t>2.CPU：四核四线程主频3.7G以上，内存8G以上；</w:t>
            </w:r>
            <w:r>
              <w:rPr>
                <w:rFonts w:hint="eastAsia" w:hAnsi="宋体" w:cs="宋体"/>
                <w:color w:val="auto"/>
                <w:sz w:val="24"/>
                <w:highlight w:val="none"/>
              </w:rPr>
              <w:br w:type="textWrapping"/>
            </w:r>
            <w:r>
              <w:rPr>
                <w:rFonts w:hint="eastAsia" w:hAnsi="宋体" w:cs="宋体"/>
                <w:color w:val="auto"/>
                <w:sz w:val="24"/>
                <w:highlight w:val="none"/>
              </w:rPr>
              <w:t>3.支持基于公有云的集中网管平台，支持对主流厂商网络设备的管理；</w:t>
            </w:r>
            <w:r>
              <w:rPr>
                <w:rFonts w:hint="eastAsia" w:hAnsi="宋体" w:cs="宋体"/>
                <w:color w:val="auto"/>
                <w:sz w:val="24"/>
                <w:highlight w:val="none"/>
              </w:rPr>
              <w:br w:type="textWrapping"/>
            </w:r>
            <w:r>
              <w:rPr>
                <w:rFonts w:hint="eastAsia" w:hAnsi="宋体" w:cs="宋体"/>
                <w:color w:val="auto"/>
                <w:sz w:val="24"/>
                <w:highlight w:val="none"/>
              </w:rPr>
              <w:t>4.支持多账号管理，管理权限自定义；支持按地域、机构等条件划分层级；设备监控图表多样化、可定制；设备配置一键备份和还原；</w:t>
            </w:r>
            <w:r>
              <w:rPr>
                <w:rFonts w:hint="eastAsia" w:hAnsi="宋体" w:cs="宋体"/>
                <w:color w:val="auto"/>
                <w:sz w:val="24"/>
                <w:highlight w:val="none"/>
              </w:rPr>
              <w:br w:type="textWrapping"/>
            </w:r>
            <w:r>
              <w:rPr>
                <w:rFonts w:hint="eastAsia" w:hAnsi="宋体" w:cs="宋体"/>
                <w:color w:val="auto"/>
                <w:sz w:val="24"/>
                <w:highlight w:val="none"/>
              </w:rPr>
              <w:t>★5.支持识别终端设备（摄像头、服务器、AP等），并生成拓扑图，包括拓扑的自动发现（物理拓扑和应用拓扑）、端口、流量、丢包、链路通断、IP-MAC绑定、MQOS管理等（提供该项全部软件功能截图并加盖供应商公章）</w:t>
            </w:r>
            <w:r>
              <w:rPr>
                <w:rFonts w:hint="eastAsia" w:hAnsi="宋体" w:cs="宋体"/>
                <w:color w:val="auto"/>
                <w:sz w:val="24"/>
                <w:highlight w:val="none"/>
              </w:rPr>
              <w:br w:type="textWrapping"/>
            </w:r>
            <w:r>
              <w:rPr>
                <w:rFonts w:hint="eastAsia" w:hAnsi="宋体" w:cs="宋体"/>
                <w:color w:val="auto"/>
                <w:sz w:val="24"/>
                <w:highlight w:val="none"/>
              </w:rPr>
              <w:t>6.支持直观的真实设备面板、支持手动添加和修改，随时了解网络运行的状态。图形化显示，能让用户的管理直观，</w:t>
            </w:r>
            <w:r>
              <w:rPr>
                <w:rFonts w:hint="eastAsia" w:hAnsi="宋体" w:cs="宋体"/>
                <w:color w:val="auto"/>
                <w:sz w:val="24"/>
                <w:highlight w:val="none"/>
              </w:rPr>
              <w:br w:type="textWrapping"/>
            </w:r>
            <w:r>
              <w:rPr>
                <w:rFonts w:hint="eastAsia" w:hAnsi="宋体" w:cs="宋体"/>
                <w:color w:val="auto"/>
                <w:sz w:val="24"/>
                <w:highlight w:val="none"/>
              </w:rPr>
              <w:t>7.最大支持200个节点管理，配置100个授权；（提供承诺函）</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26</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光模块（千兆）</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接口封装：ESFP、中心波长：1310；发送光功率：-0.95~-2.5；接收灵敏度MAX值：-17。</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个</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27</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千兆光纤收发器</w:t>
            </w:r>
          </w:p>
        </w:tc>
        <w:tc>
          <w:tcPr>
            <w:tcW w:w="4830" w:type="dxa"/>
            <w:vAlign w:val="center"/>
          </w:tcPr>
          <w:p>
            <w:pPr>
              <w:numPr>
                <w:ilvl w:val="0"/>
                <w:numId w:val="13"/>
              </w:numPr>
              <w:spacing w:line="480" w:lineRule="exact"/>
              <w:rPr>
                <w:rFonts w:hAnsi="宋体" w:cs="宋体"/>
                <w:color w:val="auto"/>
                <w:sz w:val="24"/>
                <w:highlight w:val="none"/>
              </w:rPr>
            </w:pPr>
            <w:r>
              <w:rPr>
                <w:rFonts w:hint="eastAsia" w:hAnsi="宋体" w:cs="宋体"/>
                <w:color w:val="auto"/>
                <w:sz w:val="24"/>
                <w:highlight w:val="none"/>
              </w:rPr>
              <w:t>传输速率：1000bps；</w:t>
            </w:r>
          </w:p>
          <w:p>
            <w:pPr>
              <w:numPr>
                <w:ilvl w:val="0"/>
                <w:numId w:val="13"/>
              </w:numPr>
              <w:spacing w:line="480" w:lineRule="exact"/>
              <w:rPr>
                <w:rFonts w:hAnsi="宋体" w:cs="宋体"/>
                <w:color w:val="auto"/>
                <w:sz w:val="24"/>
                <w:highlight w:val="none"/>
              </w:rPr>
            </w:pPr>
            <w:r>
              <w:rPr>
                <w:rFonts w:hint="eastAsia" w:hAnsi="宋体" w:cs="宋体"/>
                <w:color w:val="auto"/>
                <w:sz w:val="24"/>
                <w:highlight w:val="none"/>
              </w:rPr>
              <w:t>支持IPv6；</w:t>
            </w:r>
          </w:p>
          <w:p>
            <w:pPr>
              <w:spacing w:line="480" w:lineRule="exact"/>
              <w:rPr>
                <w:rFonts w:hAnsi="宋体" w:cs="宋体"/>
                <w:color w:val="auto"/>
                <w:sz w:val="24"/>
                <w:highlight w:val="none"/>
              </w:rPr>
            </w:pPr>
            <w:r>
              <w:rPr>
                <w:rFonts w:hint="eastAsia" w:hAnsi="宋体" w:cs="宋体"/>
                <w:color w:val="auto"/>
                <w:sz w:val="24"/>
                <w:highlight w:val="none"/>
              </w:rPr>
              <w:t>3、电源220v。</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对</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28</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光纤收发器机槽</w:t>
            </w:r>
          </w:p>
        </w:tc>
        <w:tc>
          <w:tcPr>
            <w:tcW w:w="4830" w:type="dxa"/>
            <w:vAlign w:val="center"/>
          </w:tcPr>
          <w:p>
            <w:pPr>
              <w:numPr>
                <w:ilvl w:val="0"/>
                <w:numId w:val="14"/>
              </w:numPr>
              <w:spacing w:line="480" w:lineRule="exact"/>
              <w:rPr>
                <w:rFonts w:hAnsi="宋体" w:cs="宋体"/>
                <w:color w:val="auto"/>
                <w:sz w:val="24"/>
                <w:highlight w:val="none"/>
              </w:rPr>
            </w:pPr>
            <w:r>
              <w:rPr>
                <w:rFonts w:hint="eastAsia" w:hAnsi="宋体" w:cs="宋体"/>
                <w:color w:val="auto"/>
                <w:sz w:val="24"/>
                <w:highlight w:val="none"/>
              </w:rPr>
              <w:t>规格：14槽位；</w:t>
            </w:r>
          </w:p>
          <w:p>
            <w:pPr>
              <w:numPr>
                <w:ilvl w:val="0"/>
                <w:numId w:val="14"/>
              </w:numPr>
              <w:spacing w:line="480" w:lineRule="exact"/>
              <w:rPr>
                <w:rFonts w:hAnsi="宋体" w:cs="宋体"/>
                <w:color w:val="auto"/>
                <w:sz w:val="24"/>
                <w:highlight w:val="none"/>
              </w:rPr>
            </w:pPr>
            <w:r>
              <w:rPr>
                <w:rFonts w:hint="eastAsia" w:hAnsi="宋体" w:cs="宋体"/>
                <w:color w:val="auto"/>
                <w:sz w:val="24"/>
                <w:highlight w:val="none"/>
              </w:rPr>
              <w:t>电源220V；</w:t>
            </w:r>
          </w:p>
          <w:p>
            <w:pPr>
              <w:spacing w:line="480" w:lineRule="exact"/>
              <w:rPr>
                <w:rFonts w:hAnsi="宋体" w:cs="宋体"/>
                <w:color w:val="auto"/>
                <w:sz w:val="24"/>
                <w:highlight w:val="none"/>
              </w:rPr>
            </w:pPr>
            <w:r>
              <w:rPr>
                <w:rFonts w:hint="eastAsia" w:hAnsi="宋体" w:cs="宋体"/>
                <w:color w:val="auto"/>
                <w:sz w:val="24"/>
                <w:highlight w:val="none"/>
              </w:rPr>
              <w:t>3、与收发器配套使用。</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个</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29</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钢质网络机柜（含底坐支架）</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技术要求：网络机柜及底坐支架、前门钢化玻璃，含安装隔板、含PDU电源、含接地排等；要标使用国标机柜、能够安装下48盘位磁盘阵列及相应硬盘重量。</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30</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机柜配电单元（含液晶显示功能）</w:t>
            </w:r>
          </w:p>
        </w:tc>
        <w:tc>
          <w:tcPr>
            <w:tcW w:w="4830" w:type="dxa"/>
            <w:vAlign w:val="center"/>
          </w:tcPr>
          <w:p>
            <w:pPr>
              <w:numPr>
                <w:ilvl w:val="0"/>
                <w:numId w:val="15"/>
              </w:numPr>
              <w:spacing w:line="480" w:lineRule="exact"/>
              <w:rPr>
                <w:rFonts w:hAnsi="宋体" w:cs="宋体"/>
                <w:color w:val="auto"/>
                <w:sz w:val="24"/>
                <w:highlight w:val="none"/>
              </w:rPr>
            </w:pPr>
            <w:r>
              <w:rPr>
                <w:rFonts w:hint="eastAsia" w:hAnsi="宋体" w:cs="宋体"/>
                <w:color w:val="auto"/>
                <w:sz w:val="24"/>
                <w:highlight w:val="none"/>
              </w:rPr>
              <w:t>技术要求：1进4出配电空开、</w:t>
            </w:r>
            <w:r>
              <w:rPr>
                <w:rFonts w:hint="eastAsia" w:cs="宋体"/>
                <w:color w:val="auto"/>
                <w:sz w:val="24"/>
                <w:highlight w:val="none"/>
              </w:rPr>
              <w:t>含液晶显示</w:t>
            </w:r>
            <w:r>
              <w:rPr>
                <w:rFonts w:hint="eastAsia" w:hAnsi="宋体" w:cs="宋体"/>
                <w:color w:val="auto"/>
                <w:sz w:val="24"/>
                <w:highlight w:val="none"/>
              </w:rPr>
              <w:t>；</w:t>
            </w:r>
          </w:p>
          <w:p>
            <w:pPr>
              <w:spacing w:line="480" w:lineRule="exact"/>
              <w:rPr>
                <w:rFonts w:hAnsi="宋体" w:cs="宋体"/>
                <w:color w:val="auto"/>
                <w:sz w:val="24"/>
                <w:highlight w:val="none"/>
              </w:rPr>
            </w:pPr>
            <w:r>
              <w:rPr>
                <w:rFonts w:hint="eastAsia" w:hAnsi="宋体" w:cs="宋体"/>
                <w:color w:val="auto"/>
                <w:sz w:val="24"/>
                <w:highlight w:val="none"/>
              </w:rPr>
              <w:t>2、显示电流、电压、耗电功率、电量。（</w:t>
            </w:r>
            <w:r>
              <w:rPr>
                <w:rFonts w:hint="eastAsia" w:cs="宋体"/>
                <w:color w:val="auto"/>
                <w:sz w:val="24"/>
                <w:highlight w:val="none"/>
              </w:rPr>
              <w:t>提供产品彩页资料</w:t>
            </w:r>
            <w:r>
              <w:rPr>
                <w:rFonts w:hint="eastAsia" w:hAnsi="宋体" w:cs="宋体"/>
                <w:color w:val="auto"/>
                <w:sz w:val="24"/>
                <w:highlight w:val="none"/>
              </w:rPr>
              <w:t>加盖供应商公章）</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机柜专用PDU</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防雷功能，带开关，输出220V，功率≧500W。</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工业插座</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技术要求：防水型工业插座、32A、3芯 、220V-250V/32A。</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Merge w:val="restart"/>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33</w:t>
            </w:r>
          </w:p>
        </w:tc>
        <w:tc>
          <w:tcPr>
            <w:tcW w:w="2136" w:type="dxa"/>
            <w:vMerge w:val="restart"/>
            <w:vAlign w:val="center"/>
          </w:tcPr>
          <w:p>
            <w:pPr>
              <w:spacing w:line="480" w:lineRule="exact"/>
              <w:rPr>
                <w:rFonts w:hAnsi="宋体" w:cs="宋体"/>
                <w:color w:val="auto"/>
                <w:sz w:val="24"/>
                <w:highlight w:val="none"/>
              </w:rPr>
            </w:pPr>
            <w:r>
              <w:rPr>
                <w:rFonts w:hint="eastAsia" w:hAnsi="宋体" w:cs="宋体"/>
                <w:color w:val="auto"/>
                <w:sz w:val="24"/>
                <w:highlight w:val="none"/>
              </w:rPr>
              <w:t>连续支持供电系统</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1、规格：20KVA/220V主机；</w:t>
            </w:r>
          </w:p>
          <w:p>
            <w:pPr>
              <w:spacing w:line="480" w:lineRule="exact"/>
              <w:rPr>
                <w:rFonts w:hAnsi="宋体" w:cs="宋体"/>
                <w:color w:val="auto"/>
                <w:sz w:val="24"/>
                <w:highlight w:val="none"/>
              </w:rPr>
            </w:pPr>
            <w:r>
              <w:rPr>
                <w:rFonts w:hint="eastAsia" w:hAnsi="宋体" w:cs="宋体"/>
                <w:color w:val="auto"/>
                <w:sz w:val="24"/>
                <w:highlight w:val="none"/>
              </w:rPr>
              <w:t>2、要求做防雷接地处理。</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spacing w:line="480" w:lineRule="exact"/>
              <w:jc w:val="center"/>
              <w:rPr>
                <w:rFonts w:hAnsi="宋体" w:cs="宋体"/>
                <w:color w:val="auto"/>
                <w:sz w:val="24"/>
                <w:highlight w:val="none"/>
              </w:rPr>
            </w:pPr>
          </w:p>
        </w:tc>
        <w:tc>
          <w:tcPr>
            <w:tcW w:w="2136" w:type="dxa"/>
            <w:vMerge w:val="continue"/>
            <w:vAlign w:val="center"/>
          </w:tcPr>
          <w:p>
            <w:pPr>
              <w:spacing w:line="480" w:lineRule="exact"/>
              <w:rPr>
                <w:rFonts w:hAnsi="宋体" w:cs="宋体"/>
                <w:color w:val="auto"/>
                <w:sz w:val="24"/>
                <w:highlight w:val="none"/>
              </w:rPr>
            </w:pP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1.规格:12V/65AH；</w:t>
            </w:r>
            <w:r>
              <w:rPr>
                <w:rFonts w:hint="eastAsia" w:hAnsi="宋体" w:cs="宋体"/>
                <w:color w:val="auto"/>
                <w:sz w:val="24"/>
                <w:highlight w:val="none"/>
              </w:rPr>
              <w:br w:type="textWrapping"/>
            </w:r>
            <w:r>
              <w:rPr>
                <w:rFonts w:hint="eastAsia" w:hAnsi="宋体" w:cs="宋体"/>
                <w:color w:val="auto"/>
                <w:sz w:val="24"/>
                <w:highlight w:val="none"/>
              </w:rPr>
              <w:t>2、技术要求：电池阻燃性能、气密性、容量、大电流放电、容量保存率、密封反应率、端电压均衡性、内阻、过度放电等主要技术参数，均应符合国标相关技术标准要求，（提供具有CNAS或CMA标识的第三方检测机构出具的检测报告复印件并加盖供应商公章）。</w:t>
            </w:r>
            <w:r>
              <w:rPr>
                <w:rFonts w:hint="eastAsia" w:hAnsi="宋体" w:cs="宋体"/>
                <w:color w:val="auto"/>
                <w:sz w:val="24"/>
                <w:highlight w:val="none"/>
              </w:rPr>
              <w:br w:type="textWrapping"/>
            </w:r>
            <w:r>
              <w:rPr>
                <w:rFonts w:hint="eastAsia" w:hAnsi="宋体" w:cs="宋体"/>
                <w:color w:val="auto"/>
                <w:sz w:val="24"/>
                <w:highlight w:val="none"/>
              </w:rPr>
              <w:t>3.电池安装时每只电池正负接线端子应安装绝缘帽</w:t>
            </w:r>
          </w:p>
          <w:p>
            <w:pPr>
              <w:spacing w:line="480" w:lineRule="exact"/>
              <w:rPr>
                <w:rFonts w:hAnsi="宋体" w:cs="宋体"/>
                <w:color w:val="auto"/>
                <w:sz w:val="24"/>
                <w:highlight w:val="none"/>
              </w:rPr>
            </w:pPr>
            <w:r>
              <w:rPr>
                <w:rFonts w:hint="eastAsia" w:hAnsi="宋体" w:cs="宋体"/>
                <w:color w:val="auto"/>
                <w:sz w:val="24"/>
                <w:highlight w:val="none"/>
              </w:rPr>
              <w:t>4.安装要求：电池到现场后，应对电池内阻值进行逐个测试，测试结果应符合国家相关技术规范。</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电池柜</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 xml:space="preserve">与电池配套安装，要求做接地处理。 </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35</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三相电源防雷箱100KA</w:t>
            </w:r>
          </w:p>
        </w:tc>
        <w:tc>
          <w:tcPr>
            <w:tcW w:w="4830" w:type="dxa"/>
            <w:vAlign w:val="center"/>
          </w:tcPr>
          <w:p>
            <w:pPr>
              <w:numPr>
                <w:ilvl w:val="0"/>
                <w:numId w:val="16"/>
              </w:numPr>
              <w:spacing w:line="480" w:lineRule="exact"/>
              <w:rPr>
                <w:rFonts w:hAnsi="宋体" w:cs="宋体"/>
                <w:color w:val="auto"/>
                <w:sz w:val="24"/>
                <w:highlight w:val="none"/>
              </w:rPr>
            </w:pPr>
            <w:r>
              <w:rPr>
                <w:rFonts w:hint="eastAsia" w:hAnsi="宋体" w:cs="宋体"/>
                <w:color w:val="auto"/>
                <w:sz w:val="24"/>
                <w:highlight w:val="none"/>
              </w:rPr>
              <w:t>技术要求：主空开≥63A、最大放电电流100KA、标称放电电流60KA、电压保护水平2.5KV；</w:t>
            </w:r>
          </w:p>
          <w:p>
            <w:pPr>
              <w:spacing w:line="480" w:lineRule="exact"/>
              <w:rPr>
                <w:rFonts w:hAnsi="宋体" w:cs="宋体"/>
                <w:color w:val="auto"/>
                <w:sz w:val="24"/>
                <w:highlight w:val="none"/>
              </w:rPr>
            </w:pPr>
            <w:r>
              <w:rPr>
                <w:rFonts w:hint="eastAsia" w:hAnsi="宋体" w:cs="宋体"/>
                <w:color w:val="auto"/>
                <w:sz w:val="24"/>
                <w:highlight w:val="none"/>
              </w:rPr>
              <w:t>2、具示计数器功能、具有通电指示和劣化指标功能。（</w:t>
            </w:r>
            <w:r>
              <w:rPr>
                <w:rFonts w:hint="eastAsia" w:cs="宋体"/>
                <w:color w:val="auto"/>
                <w:sz w:val="24"/>
                <w:highlight w:val="none"/>
              </w:rPr>
              <w:t>提供产品彩页资料佐证以上全部参数</w:t>
            </w:r>
            <w:r>
              <w:rPr>
                <w:rFonts w:hint="eastAsia" w:hAnsi="宋体" w:cs="宋体"/>
                <w:color w:val="auto"/>
                <w:sz w:val="24"/>
                <w:highlight w:val="none"/>
              </w:rPr>
              <w:t>）</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36</w:t>
            </w:r>
          </w:p>
        </w:tc>
        <w:tc>
          <w:tcPr>
            <w:tcW w:w="6966" w:type="dxa"/>
            <w:gridSpan w:val="2"/>
            <w:vAlign w:val="center"/>
          </w:tcPr>
          <w:p>
            <w:pPr>
              <w:spacing w:line="480" w:lineRule="exact"/>
              <w:rPr>
                <w:rFonts w:hAnsi="宋体" w:cs="宋体"/>
                <w:b/>
                <w:bCs/>
                <w:color w:val="auto"/>
                <w:sz w:val="24"/>
                <w:highlight w:val="none"/>
              </w:rPr>
            </w:pPr>
            <w:r>
              <w:rPr>
                <w:rFonts w:hint="eastAsia" w:hAnsi="宋体" w:cs="宋体"/>
                <w:b/>
                <w:bCs/>
                <w:color w:val="auto"/>
                <w:sz w:val="24"/>
                <w:highlight w:val="none"/>
              </w:rPr>
              <w:t>4、传输及其它设备管线</w:t>
            </w:r>
          </w:p>
        </w:tc>
        <w:tc>
          <w:tcPr>
            <w:tcW w:w="681" w:type="dxa"/>
            <w:vAlign w:val="center"/>
          </w:tcPr>
          <w:p>
            <w:pPr>
              <w:spacing w:line="480" w:lineRule="exact"/>
              <w:jc w:val="center"/>
              <w:rPr>
                <w:rFonts w:hAnsi="宋体" w:cs="宋体"/>
                <w:color w:val="auto"/>
                <w:sz w:val="24"/>
                <w:highlight w:val="none"/>
              </w:rPr>
            </w:pPr>
          </w:p>
        </w:tc>
        <w:tc>
          <w:tcPr>
            <w:tcW w:w="780" w:type="dxa"/>
            <w:vAlign w:val="center"/>
          </w:tcPr>
          <w:p>
            <w:pPr>
              <w:spacing w:line="480" w:lineRule="exact"/>
              <w:jc w:val="center"/>
              <w:rPr>
                <w:rFonts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37</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室外防水防雷配电箱</w:t>
            </w:r>
          </w:p>
        </w:tc>
        <w:tc>
          <w:tcPr>
            <w:tcW w:w="4830" w:type="dxa"/>
            <w:vAlign w:val="center"/>
          </w:tcPr>
          <w:p>
            <w:pPr>
              <w:numPr>
                <w:ilvl w:val="0"/>
                <w:numId w:val="17"/>
              </w:numPr>
              <w:spacing w:line="480" w:lineRule="exact"/>
              <w:rPr>
                <w:rFonts w:hAnsi="宋体" w:cs="宋体"/>
                <w:color w:val="auto"/>
                <w:sz w:val="24"/>
                <w:highlight w:val="none"/>
              </w:rPr>
            </w:pPr>
            <w:r>
              <w:rPr>
                <w:rFonts w:hint="eastAsia" w:hAnsi="宋体" w:cs="宋体"/>
                <w:color w:val="auto"/>
                <w:sz w:val="24"/>
                <w:highlight w:val="none"/>
              </w:rPr>
              <w:t>技术要求：避挂或落地式安装、壁厚≥1.2mm；</w:t>
            </w:r>
          </w:p>
          <w:p>
            <w:pPr>
              <w:spacing w:line="480" w:lineRule="exact"/>
              <w:rPr>
                <w:rFonts w:hAnsi="宋体" w:cs="宋体"/>
                <w:color w:val="auto"/>
                <w:sz w:val="24"/>
                <w:highlight w:val="none"/>
              </w:rPr>
            </w:pPr>
            <w:r>
              <w:rPr>
                <w:rFonts w:hint="eastAsia" w:hAnsi="宋体" w:cs="宋体"/>
                <w:color w:val="auto"/>
                <w:sz w:val="24"/>
                <w:highlight w:val="none"/>
              </w:rPr>
              <w:t>2、混泥土基础、箱内配电空开1进4出，地排，配20KA防雷模块、接地等。</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38</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室外防水监控弱电箱（含配电防雷）</w:t>
            </w:r>
          </w:p>
        </w:tc>
        <w:tc>
          <w:tcPr>
            <w:tcW w:w="4830" w:type="dxa"/>
            <w:vAlign w:val="center"/>
          </w:tcPr>
          <w:p>
            <w:pPr>
              <w:numPr>
                <w:ilvl w:val="0"/>
                <w:numId w:val="18"/>
              </w:numPr>
              <w:spacing w:line="480" w:lineRule="exact"/>
              <w:rPr>
                <w:rFonts w:hAnsi="宋体" w:cs="宋体"/>
                <w:color w:val="auto"/>
                <w:sz w:val="24"/>
                <w:highlight w:val="none"/>
              </w:rPr>
            </w:pPr>
            <w:r>
              <w:rPr>
                <w:rFonts w:hint="eastAsia" w:hAnsi="宋体" w:cs="宋体"/>
                <w:color w:val="auto"/>
                <w:sz w:val="24"/>
                <w:highlight w:val="none"/>
              </w:rPr>
              <w:t>技术要求：避挂或落地式安装、壁厚≥1.2mm；</w:t>
            </w:r>
          </w:p>
          <w:p>
            <w:pPr>
              <w:spacing w:line="480" w:lineRule="exact"/>
              <w:rPr>
                <w:rFonts w:hAnsi="宋体" w:cs="宋体"/>
                <w:color w:val="auto"/>
                <w:sz w:val="24"/>
                <w:highlight w:val="none"/>
              </w:rPr>
            </w:pPr>
            <w:r>
              <w:rPr>
                <w:rFonts w:hint="eastAsia" w:hAnsi="宋体" w:cs="宋体"/>
                <w:color w:val="auto"/>
                <w:sz w:val="24"/>
                <w:highlight w:val="none"/>
              </w:rPr>
              <w:t>2、混泥土基础、箱内配电空开，地排，配20KA防雷模块、接地等。</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39</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避挂式网络机柜</w:t>
            </w:r>
            <w:r>
              <w:rPr>
                <w:rFonts w:hint="eastAsia" w:cs="宋体"/>
                <w:color w:val="auto"/>
                <w:sz w:val="24"/>
                <w:highlight w:val="none"/>
              </w:rPr>
              <w:t>6U</w:t>
            </w:r>
          </w:p>
        </w:tc>
        <w:tc>
          <w:tcPr>
            <w:tcW w:w="4830" w:type="dxa"/>
            <w:vAlign w:val="center"/>
          </w:tcPr>
          <w:p>
            <w:pPr>
              <w:numPr>
                <w:ilvl w:val="0"/>
                <w:numId w:val="19"/>
              </w:numPr>
              <w:spacing w:line="480" w:lineRule="exact"/>
              <w:rPr>
                <w:rFonts w:hAnsi="宋体" w:cs="宋体"/>
                <w:color w:val="auto"/>
                <w:sz w:val="24"/>
                <w:highlight w:val="none"/>
              </w:rPr>
            </w:pPr>
            <w:r>
              <w:rPr>
                <w:rFonts w:hint="eastAsia" w:hAnsi="宋体" w:cs="宋体"/>
                <w:color w:val="auto"/>
                <w:sz w:val="24"/>
                <w:highlight w:val="none"/>
              </w:rPr>
              <w:t>技术要求：含安装、壁厚≥1.2mm；</w:t>
            </w:r>
          </w:p>
          <w:p>
            <w:pPr>
              <w:spacing w:line="480" w:lineRule="exact"/>
              <w:rPr>
                <w:rFonts w:hAnsi="宋体" w:cs="宋体"/>
                <w:color w:val="auto"/>
                <w:sz w:val="24"/>
                <w:highlight w:val="none"/>
              </w:rPr>
            </w:pPr>
            <w:r>
              <w:rPr>
                <w:rFonts w:hint="eastAsia" w:hAnsi="宋体" w:cs="宋体"/>
                <w:color w:val="auto"/>
                <w:sz w:val="24"/>
                <w:highlight w:val="none"/>
              </w:rPr>
              <w:t>2、箱内配电、接地等。</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40</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配管（20镀锌钢管）</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壁厚≥1.2mm、埋地敷设，预埋深度≥500mm</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配管（50镀锌钢管）</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1、壁厚≥1.2mm。</w:t>
            </w:r>
            <w:r>
              <w:rPr>
                <w:rFonts w:hint="eastAsia" w:hAnsi="宋体" w:cs="宋体"/>
                <w:color w:val="auto"/>
                <w:sz w:val="24"/>
                <w:highlight w:val="none"/>
              </w:rPr>
              <w:br w:type="textWrapping"/>
            </w:r>
            <w:r>
              <w:rPr>
                <w:rFonts w:hint="eastAsia" w:hAnsi="宋体" w:cs="宋体"/>
                <w:color w:val="auto"/>
                <w:sz w:val="24"/>
                <w:highlight w:val="none"/>
              </w:rPr>
              <w:t>2.技术要求：埋地敷设、用于混泥土路面过道路预埋使用。</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黑色环氧钢管沥青防腐漆</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技术要求：用于预埋镀锌钢管防腐使用。</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kg</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43</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配管（PVC管）</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技术要求：PVC线管或线槽，含接线盒、室内布管时，应根据室内装饰颜色，二次喷漆统一色调。</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配线1</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电力电缆YJV3*6mm²（提供具有CNAS或CMA标识的第三方检测机构出具的检测报告复印件并加盖供应商公章）</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45</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配线2</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铜芯多股绝缘导线ZR-RVV3*2.5mm²（提供具有CNAS或CMA标识的第三方检测机构出具的检测报告复印件并加盖供应商公章）</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46</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配管</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波纹软管</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47</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地埋灌胶式防水接线盒</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外径：2-26mm²、填充胶量150G。</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个</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48</w:t>
            </w:r>
          </w:p>
        </w:tc>
        <w:tc>
          <w:tcPr>
            <w:tcW w:w="2136" w:type="dxa"/>
            <w:vAlign w:val="center"/>
          </w:tcPr>
          <w:p>
            <w:pPr>
              <w:rPr>
                <w:rFonts w:hAnsi="宋体" w:cs="宋体"/>
                <w:color w:val="auto"/>
                <w:sz w:val="24"/>
                <w:highlight w:val="none"/>
              </w:rPr>
            </w:pPr>
            <w:r>
              <w:rPr>
                <w:rFonts w:hint="eastAsia" w:cs="宋体"/>
                <w:color w:val="auto"/>
                <w:sz w:val="24"/>
                <w:highlight w:val="none"/>
              </w:rPr>
              <w:t>超六类屏蔽网线</w:t>
            </w:r>
          </w:p>
        </w:tc>
        <w:tc>
          <w:tcPr>
            <w:tcW w:w="4830" w:type="dxa"/>
            <w:vAlign w:val="center"/>
          </w:tcPr>
          <w:p>
            <w:pPr>
              <w:rPr>
                <w:rFonts w:hAnsi="宋体" w:cs="宋体"/>
                <w:color w:val="auto"/>
                <w:sz w:val="24"/>
                <w:highlight w:val="none"/>
              </w:rPr>
            </w:pPr>
            <w:r>
              <w:rPr>
                <w:rFonts w:hint="eastAsia" w:cs="宋体"/>
                <w:color w:val="auto"/>
                <w:sz w:val="24"/>
                <w:highlight w:val="none"/>
              </w:rPr>
              <w:t>纯铜线芯≥0</w:t>
            </w:r>
            <w:r>
              <w:rPr>
                <w:rFonts w:cs="宋体"/>
                <w:color w:val="auto"/>
                <w:sz w:val="24"/>
                <w:highlight w:val="none"/>
              </w:rPr>
              <w:t>.57mm.</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49</w:t>
            </w:r>
          </w:p>
        </w:tc>
        <w:tc>
          <w:tcPr>
            <w:tcW w:w="2136" w:type="dxa"/>
            <w:vAlign w:val="center"/>
          </w:tcPr>
          <w:p>
            <w:pPr>
              <w:rPr>
                <w:rFonts w:hAnsi="宋体" w:cs="宋体"/>
                <w:color w:val="auto"/>
                <w:sz w:val="24"/>
                <w:highlight w:val="none"/>
              </w:rPr>
            </w:pPr>
            <w:r>
              <w:rPr>
                <w:rFonts w:hint="eastAsia" w:cs="宋体"/>
                <w:color w:val="auto"/>
                <w:sz w:val="24"/>
                <w:highlight w:val="none"/>
              </w:rPr>
              <w:t>室外恺装千兆光缆</w:t>
            </w:r>
          </w:p>
        </w:tc>
        <w:tc>
          <w:tcPr>
            <w:tcW w:w="4830" w:type="dxa"/>
            <w:vAlign w:val="center"/>
          </w:tcPr>
          <w:p>
            <w:pPr>
              <w:rPr>
                <w:rFonts w:hAnsi="宋体" w:cs="宋体"/>
                <w:color w:val="auto"/>
                <w:sz w:val="24"/>
                <w:highlight w:val="none"/>
              </w:rPr>
            </w:pPr>
            <w:r>
              <w:rPr>
                <w:rFonts w:hint="eastAsia" w:cs="宋体"/>
                <w:color w:val="auto"/>
                <w:sz w:val="24"/>
                <w:highlight w:val="none"/>
              </w:rPr>
              <w:t>4芯。</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50</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光纤终端盒/熔纤盒</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技术要求：安装在机柜内，含满配光纤跳线。</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个</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光纤跳线</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SC-SC单模单芯；1.5米。</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条</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HDMI高清视频分配器</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KMV HDMI延长器、（四进一出）</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53</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HDMI4K高清线 20米</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20米每根，国标纯铜，支持4K高清。</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根</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开关电源</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220V-12V/24</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55</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电源插板</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8位国标插板</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56</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荧光灯镇流器</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电源220V、≥18W，监控中心和弱电间灯具维修更换。</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57</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监控浪涌保护器（电源）</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20KA；安装在监控弱电箱内，必须做防雷接地处理。</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个</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58</w:t>
            </w:r>
          </w:p>
        </w:tc>
        <w:tc>
          <w:tcPr>
            <w:tcW w:w="2136" w:type="dxa"/>
            <w:vAlign w:val="center"/>
          </w:tcPr>
          <w:p>
            <w:pPr>
              <w:spacing w:line="480" w:lineRule="exact"/>
              <w:rPr>
                <w:rFonts w:hAnsi="宋体" w:cs="宋体"/>
                <w:color w:val="auto"/>
                <w:sz w:val="24"/>
                <w:highlight w:val="none"/>
              </w:rPr>
            </w:pPr>
            <w:r>
              <w:rPr>
                <w:rFonts w:hint="eastAsia" w:cs="宋体"/>
                <w:color w:val="auto"/>
                <w:sz w:val="24"/>
                <w:highlight w:val="none"/>
              </w:rPr>
              <w:t>单口网络信号避雷器</w:t>
            </w:r>
          </w:p>
        </w:tc>
        <w:tc>
          <w:tcPr>
            <w:tcW w:w="4830" w:type="dxa"/>
            <w:vAlign w:val="center"/>
          </w:tcPr>
          <w:p>
            <w:pPr>
              <w:spacing w:line="480" w:lineRule="exact"/>
              <w:rPr>
                <w:rFonts w:hAnsi="宋体" w:cs="宋体"/>
                <w:color w:val="auto"/>
                <w:sz w:val="24"/>
                <w:highlight w:val="none"/>
              </w:rPr>
            </w:pPr>
            <w:r>
              <w:rPr>
                <w:rFonts w:hint="eastAsia" w:cs="宋体"/>
                <w:color w:val="auto"/>
                <w:sz w:val="24"/>
                <w:highlight w:val="none"/>
              </w:rPr>
              <w:t>R</w:t>
            </w:r>
            <w:r>
              <w:rPr>
                <w:rFonts w:cs="宋体"/>
                <w:color w:val="auto"/>
                <w:sz w:val="24"/>
                <w:highlight w:val="none"/>
              </w:rPr>
              <w:t>J45</w:t>
            </w:r>
            <w:r>
              <w:rPr>
                <w:rFonts w:hint="eastAsia" w:cs="宋体"/>
                <w:color w:val="auto"/>
                <w:sz w:val="24"/>
                <w:highlight w:val="none"/>
              </w:rPr>
              <w:t>接口，其它要求：须做接地处理</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个</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59</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防雷接地极</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石墨接地极150*800mm、防雷接地预埋，采用镀锌钢管预埋连接</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60</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接地母线</w:t>
            </w:r>
          </w:p>
        </w:tc>
        <w:tc>
          <w:tcPr>
            <w:tcW w:w="4830" w:type="dxa"/>
            <w:vAlign w:val="center"/>
          </w:tcPr>
          <w:p>
            <w:pPr>
              <w:spacing w:line="480" w:lineRule="exact"/>
              <w:rPr>
                <w:rFonts w:hAnsi="宋体" w:cs="宋体"/>
                <w:color w:val="auto"/>
                <w:sz w:val="24"/>
                <w:highlight w:val="none"/>
              </w:rPr>
            </w:pPr>
            <w:r>
              <w:rPr>
                <w:rFonts w:hint="eastAsia" w:cs="宋体"/>
                <w:color w:val="auto"/>
                <w:sz w:val="24"/>
                <w:highlight w:val="none"/>
              </w:rPr>
              <w:t>镀锌扁钢≥40*4mm；防雷接地，焊接。</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均压环</w:t>
            </w:r>
          </w:p>
        </w:tc>
        <w:tc>
          <w:tcPr>
            <w:tcW w:w="4830" w:type="dxa"/>
            <w:vAlign w:val="center"/>
          </w:tcPr>
          <w:p>
            <w:pPr>
              <w:spacing w:line="480" w:lineRule="exact"/>
              <w:rPr>
                <w:rFonts w:hAnsi="宋体" w:cs="宋体"/>
                <w:color w:val="auto"/>
                <w:sz w:val="24"/>
                <w:highlight w:val="none"/>
              </w:rPr>
            </w:pPr>
            <w:r>
              <w:rPr>
                <w:rFonts w:hint="eastAsia" w:cs="宋体"/>
                <w:color w:val="auto"/>
                <w:sz w:val="24"/>
                <w:highlight w:val="none"/>
              </w:rPr>
              <w:t>铜排≥40*4mm，机房防雷接地。</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降阻剂</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防雷接地</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kg</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63</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等电位端子箱、测试板</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防雷接地</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防雷接地一般土方开挖</w:t>
            </w:r>
          </w:p>
        </w:tc>
        <w:tc>
          <w:tcPr>
            <w:tcW w:w="4830" w:type="dxa"/>
            <w:vAlign w:val="center"/>
          </w:tcPr>
          <w:p>
            <w:pPr>
              <w:spacing w:line="480" w:lineRule="exact"/>
              <w:rPr>
                <w:rFonts w:hAnsi="宋体" w:cs="宋体"/>
                <w:color w:val="auto"/>
                <w:sz w:val="24"/>
                <w:highlight w:val="none"/>
              </w:rPr>
            </w:pPr>
            <w:r>
              <w:rPr>
                <w:rFonts w:hint="eastAsia" w:cs="宋体"/>
                <w:color w:val="auto"/>
                <w:sz w:val="24"/>
                <w:highlight w:val="none"/>
              </w:rPr>
              <w:t>防雷接地一般土方开挖；地网预埋</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m³</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65</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RVV1*16mm2黄绿双色接地线</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单芯，适用电压450V/750V。</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66</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普通硅酸盐水泥</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用于路面硬化恢复。</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KG</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67</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手孔砌筑井</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手孔井、电缆井的做法按照采购人要求，对穿越混泥土路面两端应设备手孔井。</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个</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68</w:t>
            </w:r>
          </w:p>
        </w:tc>
        <w:tc>
          <w:tcPr>
            <w:tcW w:w="6966" w:type="dxa"/>
            <w:gridSpan w:val="2"/>
            <w:vAlign w:val="center"/>
          </w:tcPr>
          <w:p>
            <w:pPr>
              <w:spacing w:line="480" w:lineRule="exact"/>
              <w:jc w:val="center"/>
              <w:rPr>
                <w:rFonts w:hAnsi="宋体" w:cs="宋体"/>
                <w:b/>
                <w:bCs/>
                <w:color w:val="auto"/>
                <w:sz w:val="24"/>
                <w:highlight w:val="none"/>
              </w:rPr>
            </w:pPr>
            <w:r>
              <w:rPr>
                <w:rFonts w:hint="eastAsia" w:hAnsi="宋体" w:cs="宋体"/>
                <w:b/>
                <w:bCs/>
                <w:color w:val="auto"/>
                <w:sz w:val="24"/>
                <w:highlight w:val="none"/>
              </w:rPr>
              <w:t>5、机房装饰及配套</w:t>
            </w:r>
          </w:p>
        </w:tc>
        <w:tc>
          <w:tcPr>
            <w:tcW w:w="681" w:type="dxa"/>
            <w:vAlign w:val="center"/>
          </w:tcPr>
          <w:p>
            <w:pPr>
              <w:spacing w:line="480" w:lineRule="exact"/>
              <w:jc w:val="center"/>
              <w:rPr>
                <w:rFonts w:hAnsi="宋体" w:cs="宋体"/>
                <w:color w:val="auto"/>
                <w:sz w:val="24"/>
                <w:highlight w:val="none"/>
              </w:rPr>
            </w:pPr>
          </w:p>
        </w:tc>
        <w:tc>
          <w:tcPr>
            <w:tcW w:w="780" w:type="dxa"/>
            <w:vAlign w:val="center"/>
          </w:tcPr>
          <w:p>
            <w:pPr>
              <w:spacing w:line="480" w:lineRule="exact"/>
              <w:jc w:val="center"/>
              <w:rPr>
                <w:rFonts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69</w:t>
            </w:r>
          </w:p>
        </w:tc>
        <w:tc>
          <w:tcPr>
            <w:tcW w:w="2136" w:type="dxa"/>
            <w:vAlign w:val="center"/>
          </w:tcPr>
          <w:p>
            <w:pPr>
              <w:spacing w:line="480" w:lineRule="exact"/>
              <w:rPr>
                <w:rFonts w:hAnsi="宋体" w:cs="宋体"/>
                <w:color w:val="auto"/>
                <w:sz w:val="24"/>
                <w:highlight w:val="none"/>
              </w:rPr>
            </w:pPr>
            <w:r>
              <w:rPr>
                <w:rFonts w:hint="eastAsia" w:cs="宋体"/>
                <w:color w:val="auto"/>
                <w:sz w:val="24"/>
                <w:highlight w:val="none"/>
              </w:rPr>
              <w:t>钢化玻璃隔断（门）</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技术要求：钢化玻璃 10mm；</w:t>
            </w:r>
            <w:r>
              <w:rPr>
                <w:rFonts w:hint="eastAsia" w:cs="宋体"/>
                <w:color w:val="auto"/>
                <w:sz w:val="24"/>
                <w:highlight w:val="none"/>
              </w:rPr>
              <w:t>含两扇门，</w:t>
            </w:r>
            <w:r>
              <w:rPr>
                <w:rFonts w:hint="eastAsia" w:hAnsi="宋体" w:cs="宋体"/>
                <w:color w:val="auto"/>
                <w:sz w:val="24"/>
                <w:highlight w:val="none"/>
              </w:rPr>
              <w:t>面积3.2*5.5M，含安装等，综合考虑。</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m²</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70</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防静电活动地板</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1、600*600*35mm；</w:t>
            </w:r>
          </w:p>
          <w:p>
            <w:pPr>
              <w:spacing w:line="480" w:lineRule="exact"/>
              <w:rPr>
                <w:rFonts w:hAnsi="宋体" w:cs="宋体"/>
                <w:color w:val="auto"/>
                <w:sz w:val="24"/>
                <w:highlight w:val="none"/>
              </w:rPr>
            </w:pPr>
            <w:r>
              <w:rPr>
                <w:rFonts w:hint="eastAsia" w:hAnsi="宋体" w:cs="宋体"/>
                <w:color w:val="auto"/>
                <w:sz w:val="24"/>
                <w:highlight w:val="none"/>
              </w:rPr>
              <w:t>2、技术要求：含支架横梁及安装，必须做接地处理，综合考虑。</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m²</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71</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监控中心防雷一体化配电箱</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技术要求：主空开采用100A漏电空开，分空开采用32A2P共4路，配接地排，通电指标、运行指示，配20KA防雷模块。</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台</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72</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配线RVV3*10mm2</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技术要求：管内穿线、机房监控中心主电源线及各位点配电箱电源线。</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73</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配管（PVC线槽）</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技术要求：PVC线管或线槽，含接线盒、室内布管时，应根据室内装饰颜色，二次喷漆统一色调。</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m</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74</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普通照明双端头荧光灯</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技术要求：功率≥14W，含安装及电源连接线，综合考虑。</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套</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75</w:t>
            </w:r>
          </w:p>
        </w:tc>
        <w:tc>
          <w:tcPr>
            <w:tcW w:w="2136" w:type="dxa"/>
            <w:vAlign w:val="center"/>
          </w:tcPr>
          <w:p>
            <w:pPr>
              <w:spacing w:line="480" w:lineRule="exact"/>
              <w:rPr>
                <w:rFonts w:hAnsi="宋体" w:cs="宋体"/>
                <w:color w:val="auto"/>
                <w:sz w:val="24"/>
                <w:highlight w:val="none"/>
              </w:rPr>
            </w:pPr>
            <w:r>
              <w:rPr>
                <w:rFonts w:hint="eastAsia" w:hAnsi="宋体" w:cs="宋体"/>
                <w:color w:val="auto"/>
                <w:sz w:val="24"/>
                <w:highlight w:val="none"/>
              </w:rPr>
              <w:t>密封用胶粘剂</w:t>
            </w:r>
          </w:p>
        </w:tc>
        <w:tc>
          <w:tcPr>
            <w:tcW w:w="4830" w:type="dxa"/>
            <w:vAlign w:val="center"/>
          </w:tcPr>
          <w:p>
            <w:pPr>
              <w:spacing w:line="480" w:lineRule="exact"/>
              <w:rPr>
                <w:rFonts w:hAnsi="宋体" w:cs="宋体"/>
                <w:color w:val="auto"/>
                <w:sz w:val="24"/>
                <w:highlight w:val="none"/>
              </w:rPr>
            </w:pPr>
            <w:r>
              <w:rPr>
                <w:rFonts w:hint="eastAsia" w:hAnsi="宋体" w:cs="宋体"/>
                <w:color w:val="auto"/>
                <w:sz w:val="24"/>
                <w:highlight w:val="none"/>
              </w:rPr>
              <w:t>环氧树脂，粘稠度15000mpas,固化时间24小时、颜色：透明。</w:t>
            </w:r>
          </w:p>
        </w:tc>
        <w:tc>
          <w:tcPr>
            <w:tcW w:w="681"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项</w:t>
            </w:r>
          </w:p>
        </w:tc>
        <w:tc>
          <w:tcPr>
            <w:tcW w:w="780" w:type="dxa"/>
            <w:vAlign w:val="center"/>
          </w:tcPr>
          <w:p>
            <w:pPr>
              <w:spacing w:line="480" w:lineRule="exact"/>
              <w:jc w:val="center"/>
              <w:rPr>
                <w:rFonts w:hAnsi="宋体" w:cs="宋体"/>
                <w:color w:val="auto"/>
                <w:sz w:val="24"/>
                <w:highlight w:val="none"/>
              </w:rPr>
            </w:pPr>
            <w:r>
              <w:rPr>
                <w:rFonts w:hint="eastAsia" w:hAnsi="宋体" w:cs="宋体"/>
                <w:color w:val="auto"/>
                <w:sz w:val="24"/>
                <w:highlight w:val="none"/>
              </w:rPr>
              <w:t>1</w:t>
            </w:r>
          </w:p>
        </w:tc>
      </w:tr>
    </w:tbl>
    <w:p>
      <w:pPr>
        <w:pStyle w:val="13"/>
        <w:tabs>
          <w:tab w:val="left" w:pos="3740"/>
        </w:tabs>
        <w:spacing w:line="440" w:lineRule="exact"/>
        <w:ind w:firstLine="480"/>
        <w:rPr>
          <w:rFonts w:hAnsi="宋体" w:cs="宋体"/>
          <w:color w:val="auto"/>
          <w:sz w:val="24"/>
          <w:highlight w:val="none"/>
          <w:lang w:val="zh-TW"/>
        </w:rPr>
      </w:pPr>
      <w:r>
        <w:rPr>
          <w:rFonts w:hint="eastAsia" w:cs="宋体"/>
          <w:color w:val="auto"/>
          <w:sz w:val="24"/>
          <w:highlight w:val="none"/>
        </w:rPr>
        <w:t>注：1、</w:t>
      </w:r>
      <w:r>
        <w:rPr>
          <w:rFonts w:hint="eastAsia" w:hAnsi="宋体" w:cs="宋体"/>
          <w:color w:val="auto"/>
          <w:sz w:val="24"/>
          <w:highlight w:val="none"/>
        </w:rPr>
        <w:t>本项目采购的产品技术参数一共152条，其中带“▲”号参数一共3条，为实质性要求，如有偏离将按无效响应处理；</w:t>
      </w:r>
      <w:r>
        <w:rPr>
          <w:rFonts w:hint="eastAsia" w:hAnsi="宋体" w:cs="宋体"/>
          <w:color w:val="auto"/>
          <w:sz w:val="24"/>
          <w:highlight w:val="none"/>
          <w:lang w:val="zh-TW"/>
        </w:rPr>
        <w:t>带</w:t>
      </w:r>
      <w:r>
        <w:rPr>
          <w:rFonts w:hint="eastAsia" w:ascii="宋体" w:hAnsi="宋体" w:cs="宋体"/>
          <w:color w:val="auto"/>
          <w:kern w:val="0"/>
          <w:sz w:val="24"/>
          <w:highlight w:val="none"/>
        </w:rPr>
        <w:t>★</w:t>
      </w:r>
      <w:r>
        <w:rPr>
          <w:rFonts w:hint="eastAsia" w:hAnsi="宋体" w:cs="宋体"/>
          <w:color w:val="auto"/>
          <w:spacing w:val="-10"/>
          <w:sz w:val="24"/>
          <w:highlight w:val="none"/>
        </w:rPr>
        <w:t>号参数一共6条，</w:t>
      </w:r>
      <w:r>
        <w:rPr>
          <w:rFonts w:hint="eastAsia" w:hAnsi="宋体" w:cs="宋体"/>
          <w:color w:val="auto"/>
          <w:sz w:val="24"/>
          <w:highlight w:val="none"/>
        </w:rPr>
        <w:t>不带任何符号的参数一共143条，若有偏离，将</w:t>
      </w:r>
      <w:r>
        <w:rPr>
          <w:rFonts w:hint="eastAsia" w:hAnsi="宋体" w:cs="宋体"/>
          <w:color w:val="auto"/>
          <w:sz w:val="24"/>
          <w:highlight w:val="none"/>
          <w:lang w:val="zh-TW"/>
        </w:rPr>
        <w:t>按综合评分明细表评分细则进行分值扣除。技术参数中要求提供证明材料的，</w:t>
      </w:r>
      <w:r>
        <w:rPr>
          <w:rFonts w:hint="eastAsia" w:hAnsi="宋体" w:cs="宋体"/>
          <w:color w:val="auto"/>
          <w:spacing w:val="-10"/>
          <w:sz w:val="24"/>
          <w:highlight w:val="none"/>
        </w:rPr>
        <w:t>需提供证明材料佐证，未提供证明材料或提供的证明材料不能佐证参数要求的，视为负偏离。</w:t>
      </w:r>
    </w:p>
    <w:p>
      <w:pPr>
        <w:spacing w:line="480" w:lineRule="exact"/>
        <w:ind w:firstLine="480" w:firstLineChars="200"/>
        <w:rPr>
          <w:rFonts w:ascii="Times New Roman" w:hAnsi="宋体" w:cs="宋体"/>
          <w:color w:val="auto"/>
          <w:sz w:val="24"/>
          <w:highlight w:val="none"/>
        </w:rPr>
      </w:pPr>
      <w:r>
        <w:rPr>
          <w:rFonts w:hint="eastAsia" w:ascii="Times New Roman" w:hAnsi="宋体" w:cs="宋体"/>
          <w:color w:val="auto"/>
          <w:sz w:val="24"/>
          <w:highlight w:val="none"/>
        </w:rPr>
        <w:t>2、本次采购的产品</w:t>
      </w:r>
      <w:r>
        <w:rPr>
          <w:rFonts w:hint="eastAsia" w:hAnsi="宋体" w:cs="宋体"/>
          <w:color w:val="auto"/>
          <w:sz w:val="24"/>
          <w:highlight w:val="none"/>
        </w:rPr>
        <w:t>若涉及3C产品认证证书和计算机销售许可证等国家法律法规规定的相关证书，响应时需提供承诺函加盖公章。合同签订前提供证书原件交于采购人查验，若不能提供按无效响应处理。</w:t>
      </w:r>
    </w:p>
    <w:p>
      <w:pPr>
        <w:spacing w:line="480" w:lineRule="exact"/>
        <w:ind w:firstLine="480" w:firstLineChars="200"/>
        <w:rPr>
          <w:rFonts w:cs="宋体"/>
          <w:color w:val="auto"/>
          <w:sz w:val="24"/>
          <w:highlight w:val="none"/>
        </w:rPr>
      </w:pPr>
      <w:r>
        <w:rPr>
          <w:rFonts w:hint="eastAsia" w:ascii="Times New Roman" w:hAnsi="宋体" w:cs="宋体"/>
          <w:color w:val="auto"/>
          <w:sz w:val="24"/>
          <w:highlight w:val="none"/>
        </w:rPr>
        <w:t>3、磋商文件中的相关内容若存在品牌型号，则仅作为参照，各供应商在满足采购要求的前提下，可以提供质量、技术要求同档次或</w:t>
      </w:r>
      <w:r>
        <w:rPr>
          <w:rFonts w:hint="eastAsia" w:hAnsi="宋体" w:cs="宋体"/>
          <w:color w:val="auto"/>
          <w:sz w:val="24"/>
          <w:highlight w:val="none"/>
        </w:rPr>
        <w:t>高于参照品牌要求的其他合格产品</w:t>
      </w:r>
      <w:r>
        <w:rPr>
          <w:rFonts w:hint="eastAsia" w:cs="宋体"/>
          <w:color w:val="auto"/>
          <w:sz w:val="24"/>
          <w:highlight w:val="none"/>
        </w:rPr>
        <w:t>。</w:t>
      </w:r>
    </w:p>
    <w:p>
      <w:pPr>
        <w:spacing w:line="480" w:lineRule="exact"/>
        <w:rPr>
          <w:rFonts w:cs="宋体"/>
          <w:b/>
          <w:bCs/>
          <w:color w:val="auto"/>
          <w:sz w:val="24"/>
          <w:highlight w:val="none"/>
        </w:rPr>
      </w:pPr>
      <w:r>
        <w:rPr>
          <w:rFonts w:hint="eastAsia" w:cs="宋体"/>
          <w:b/>
          <w:bCs/>
          <w:color w:val="auto"/>
          <w:sz w:val="24"/>
          <w:highlight w:val="none"/>
        </w:rPr>
        <w:t>（三）安装主要技术要求（实质性要求）</w:t>
      </w:r>
    </w:p>
    <w:p>
      <w:pPr>
        <w:spacing w:line="480" w:lineRule="exact"/>
        <w:rPr>
          <w:rFonts w:cs="宋体"/>
          <w:color w:val="auto"/>
          <w:sz w:val="24"/>
          <w:highlight w:val="none"/>
        </w:rPr>
      </w:pPr>
      <w:r>
        <w:rPr>
          <w:rFonts w:cs="宋体"/>
          <w:b/>
          <w:color w:val="auto"/>
          <w:sz w:val="24"/>
          <w:highlight w:val="none"/>
        </w:rPr>
        <w:t>1</w:t>
      </w:r>
      <w:r>
        <w:rPr>
          <w:rFonts w:hint="eastAsia" w:cs="宋体"/>
          <w:b/>
          <w:color w:val="auto"/>
          <w:sz w:val="24"/>
          <w:highlight w:val="none"/>
        </w:rPr>
        <w:t>、安装技术规范要求</w:t>
      </w:r>
    </w:p>
    <w:p>
      <w:pPr>
        <w:spacing w:line="480" w:lineRule="exact"/>
        <w:rPr>
          <w:rFonts w:cs="宋体"/>
          <w:color w:val="auto"/>
          <w:sz w:val="24"/>
          <w:highlight w:val="none"/>
        </w:rPr>
      </w:pPr>
      <w:r>
        <w:rPr>
          <w:rFonts w:hint="eastAsia" w:cs="宋体"/>
          <w:color w:val="auto"/>
          <w:sz w:val="24"/>
          <w:highlight w:val="none"/>
        </w:rPr>
        <w:t xml:space="preserve">《建筑物电子信息系统防雷技术规范》(GB50343-2012) </w:t>
      </w:r>
    </w:p>
    <w:p>
      <w:pPr>
        <w:spacing w:line="480" w:lineRule="exact"/>
        <w:rPr>
          <w:rFonts w:cs="宋体"/>
          <w:color w:val="auto"/>
          <w:sz w:val="24"/>
          <w:highlight w:val="none"/>
        </w:rPr>
      </w:pPr>
      <w:r>
        <w:rPr>
          <w:rFonts w:hint="eastAsia" w:cs="宋体"/>
          <w:color w:val="auto"/>
          <w:sz w:val="24"/>
          <w:highlight w:val="none"/>
        </w:rPr>
        <w:t xml:space="preserve">《民用闭路监视电视系统工程技术规范》（GB50198-2011） </w:t>
      </w:r>
    </w:p>
    <w:p>
      <w:pPr>
        <w:spacing w:line="480" w:lineRule="exact"/>
        <w:rPr>
          <w:rFonts w:cs="宋体"/>
          <w:color w:val="auto"/>
          <w:sz w:val="24"/>
          <w:highlight w:val="none"/>
        </w:rPr>
      </w:pPr>
      <w:r>
        <w:rPr>
          <w:rFonts w:hint="eastAsia" w:cs="宋体"/>
          <w:color w:val="auto"/>
          <w:sz w:val="24"/>
          <w:highlight w:val="none"/>
        </w:rPr>
        <w:t xml:space="preserve">《视频安防监控系统工程设计规范》（GB50395-2007） </w:t>
      </w:r>
    </w:p>
    <w:p>
      <w:pPr>
        <w:spacing w:line="480" w:lineRule="exact"/>
        <w:rPr>
          <w:rFonts w:cs="宋体"/>
          <w:color w:val="auto"/>
          <w:sz w:val="24"/>
          <w:highlight w:val="none"/>
        </w:rPr>
      </w:pPr>
      <w:r>
        <w:rPr>
          <w:rFonts w:hint="eastAsia" w:cs="宋体"/>
          <w:color w:val="auto"/>
          <w:sz w:val="24"/>
          <w:highlight w:val="none"/>
        </w:rPr>
        <w:t xml:space="preserve">《入侵报警系统工程设计规范》（GB50394-2007） </w:t>
      </w:r>
    </w:p>
    <w:p>
      <w:pPr>
        <w:pStyle w:val="2"/>
        <w:rPr>
          <w:color w:val="auto"/>
          <w:highlight w:val="none"/>
        </w:rPr>
      </w:pPr>
      <w:r>
        <w:rPr>
          <w:rFonts w:hint="eastAsia" w:cs="宋体"/>
          <w:color w:val="auto"/>
          <w:highlight w:val="none"/>
        </w:rPr>
        <w:t>在履行过程中，若发布新的规范，则按最新的技术规范要求。</w:t>
      </w:r>
    </w:p>
    <w:p>
      <w:pPr>
        <w:spacing w:line="480" w:lineRule="exact"/>
        <w:rPr>
          <w:rFonts w:cs="宋体"/>
          <w:color w:val="auto"/>
          <w:sz w:val="24"/>
          <w:highlight w:val="none"/>
        </w:rPr>
      </w:pPr>
      <w:r>
        <w:rPr>
          <w:rFonts w:hint="eastAsia" w:cs="宋体"/>
          <w:b/>
          <w:color w:val="auto"/>
          <w:sz w:val="24"/>
          <w:highlight w:val="none"/>
        </w:rPr>
        <w:t xml:space="preserve">2、主要安装技术要求 </w:t>
      </w:r>
    </w:p>
    <w:p>
      <w:pPr>
        <w:spacing w:line="480" w:lineRule="exact"/>
        <w:rPr>
          <w:rFonts w:cs="宋体"/>
          <w:color w:val="auto"/>
          <w:sz w:val="24"/>
          <w:highlight w:val="none"/>
        </w:rPr>
      </w:pPr>
      <w:r>
        <w:rPr>
          <w:rFonts w:hint="eastAsia" w:cs="宋体"/>
          <w:b/>
          <w:color w:val="auto"/>
          <w:sz w:val="24"/>
          <w:highlight w:val="none"/>
        </w:rPr>
        <w:t>监控中心</w:t>
      </w:r>
    </w:p>
    <w:p>
      <w:pPr>
        <w:spacing w:line="480" w:lineRule="exact"/>
        <w:rPr>
          <w:rFonts w:cs="宋体"/>
          <w:color w:val="auto"/>
          <w:sz w:val="24"/>
          <w:highlight w:val="none"/>
        </w:rPr>
      </w:pPr>
      <w:r>
        <w:rPr>
          <w:rFonts w:hint="eastAsia" w:cs="宋体"/>
          <w:color w:val="auto"/>
          <w:sz w:val="24"/>
          <w:highlight w:val="none"/>
        </w:rPr>
        <w:t>①本次安装的存储服务器及平台服务器，须将原有监控设备接入新建的系统内；</w:t>
      </w:r>
    </w:p>
    <w:p>
      <w:pPr>
        <w:spacing w:line="480" w:lineRule="exact"/>
        <w:rPr>
          <w:rFonts w:cs="宋体"/>
          <w:color w:val="auto"/>
          <w:sz w:val="24"/>
          <w:highlight w:val="none"/>
        </w:rPr>
      </w:pPr>
      <w:r>
        <w:rPr>
          <w:rFonts w:hint="eastAsia" w:cs="宋体"/>
          <w:color w:val="auto"/>
          <w:sz w:val="24"/>
          <w:highlight w:val="none"/>
        </w:rPr>
        <w:t>相互调取图像数据，调试该次新装设备使之与原有监控管理系统兼容；保证存储时间在90天以上，图像存储需采用冗余架构，以确保图像信息存储的安全性（提供承诺函）。</w:t>
      </w:r>
    </w:p>
    <w:p>
      <w:pPr>
        <w:spacing w:line="480" w:lineRule="exact"/>
        <w:rPr>
          <w:rFonts w:cs="宋体"/>
          <w:color w:val="auto"/>
          <w:sz w:val="24"/>
          <w:highlight w:val="none"/>
        </w:rPr>
      </w:pPr>
      <w:r>
        <w:rPr>
          <w:rFonts w:hint="eastAsia" w:cs="宋体"/>
          <w:color w:val="auto"/>
          <w:sz w:val="24"/>
          <w:highlight w:val="none"/>
        </w:rPr>
        <w:t>②网络平台管理系统应支持识别终端设备（摄像头、服务器、AP等），并生成拓扑图，包括拓扑的自动发现（物理拓扑和应用拓扑）、端口、流量、丢包、链路通断、IP-MAC绑定、MQOS管理；支持直观的真实设备面板、支持手动添加和修改，随时了解网络运行的状态。图形化显示，能让用户的管理直观。（提供承诺函）。</w:t>
      </w:r>
    </w:p>
    <w:p>
      <w:pPr>
        <w:spacing w:line="480" w:lineRule="exact"/>
        <w:rPr>
          <w:rFonts w:cs="宋体"/>
          <w:color w:val="auto"/>
          <w:sz w:val="24"/>
          <w:highlight w:val="none"/>
        </w:rPr>
      </w:pPr>
      <w:r>
        <w:rPr>
          <w:rFonts w:hint="eastAsia" w:cs="宋体"/>
          <w:color w:val="auto"/>
          <w:sz w:val="24"/>
          <w:highlight w:val="none"/>
        </w:rPr>
        <w:t xml:space="preserve">③监控中心主要设备：如存储服务器，应采用双电源安装，即存储服务器应同时接入两个回路电源；接入的电源应采用UPS不间断电源供电（提供承诺函）。 </w:t>
      </w:r>
    </w:p>
    <w:p>
      <w:pPr>
        <w:spacing w:line="480" w:lineRule="exact"/>
        <w:rPr>
          <w:rFonts w:cs="宋体"/>
          <w:color w:val="auto"/>
          <w:sz w:val="24"/>
          <w:highlight w:val="none"/>
        </w:rPr>
      </w:pPr>
      <w:r>
        <w:rPr>
          <w:rFonts w:hint="eastAsia" w:cs="宋体"/>
          <w:color w:val="auto"/>
          <w:sz w:val="24"/>
          <w:highlight w:val="none"/>
        </w:rPr>
        <w:t>④本次监控平台软件，应将原有的门禁系统及其它管理系统集成到新安装的统一平台，用一个平台软件进行控制管理（提供承诺函）。</w:t>
      </w:r>
    </w:p>
    <w:p>
      <w:pPr>
        <w:spacing w:line="480" w:lineRule="exact"/>
        <w:rPr>
          <w:rFonts w:cs="宋体"/>
          <w:color w:val="auto"/>
          <w:sz w:val="24"/>
          <w:highlight w:val="none"/>
        </w:rPr>
      </w:pPr>
      <w:r>
        <w:rPr>
          <w:rFonts w:hint="eastAsia" w:cs="宋体"/>
          <w:color w:val="auto"/>
          <w:sz w:val="24"/>
          <w:highlight w:val="none"/>
        </w:rPr>
        <w:t>⑤监控中心配电应设置独立配电箱，配电箱的功率及回路应符合监控系统供电须求，配电箱应采用两路供电输入，即：市电和油机输入。确保在应急情况下，能通过油机或UPS为系统供电（提供承诺函）。</w:t>
      </w:r>
    </w:p>
    <w:p>
      <w:pPr>
        <w:spacing w:line="480" w:lineRule="exact"/>
        <w:rPr>
          <w:rFonts w:cs="宋体"/>
          <w:color w:val="auto"/>
          <w:sz w:val="24"/>
          <w:highlight w:val="none"/>
        </w:rPr>
      </w:pPr>
      <w:r>
        <w:rPr>
          <w:rFonts w:hint="eastAsia" w:cs="宋体"/>
          <w:color w:val="auto"/>
          <w:sz w:val="24"/>
          <w:highlight w:val="none"/>
        </w:rPr>
        <w:t>⑥监控中心应安装电源及防雷系统，应将防雷接地和保护接地分开，确保接地电阻≦4欧、提供测试报告。</w:t>
      </w:r>
    </w:p>
    <w:p>
      <w:pPr>
        <w:spacing w:line="480" w:lineRule="exact"/>
        <w:rPr>
          <w:rFonts w:cs="宋体"/>
          <w:color w:val="auto"/>
          <w:sz w:val="24"/>
          <w:highlight w:val="none"/>
        </w:rPr>
      </w:pPr>
      <w:r>
        <w:rPr>
          <w:rFonts w:hint="eastAsia" w:cs="宋体"/>
          <w:color w:val="auto"/>
          <w:sz w:val="24"/>
          <w:highlight w:val="none"/>
        </w:rPr>
        <w:t>⑦液晶拼接屏应安装牢固、美观，安装支架应符合液晶拼接技术要求，不得有松动现象；拼接支架应做接地处理；液晶拼接支架上的线路应采用PVC线槽保护，不得裸露在外。</w:t>
      </w:r>
    </w:p>
    <w:p>
      <w:pPr>
        <w:spacing w:line="360" w:lineRule="auto"/>
        <w:rPr>
          <w:rFonts w:cs="宋体"/>
          <w:color w:val="auto"/>
          <w:sz w:val="24"/>
          <w:highlight w:val="none"/>
        </w:rPr>
      </w:pPr>
      <w:r>
        <w:rPr>
          <w:rFonts w:hint="eastAsia" w:cs="宋体"/>
          <w:color w:val="auto"/>
          <w:sz w:val="24"/>
          <w:highlight w:val="none"/>
        </w:rPr>
        <w:t>⑧网络配线设备、缆线等硬件均应设置不易脱落和磨损的标识。电缆和光缆的两端均应标明相同的编号。</w:t>
      </w:r>
    </w:p>
    <w:p>
      <w:pPr>
        <w:spacing w:line="480" w:lineRule="exact"/>
        <w:rPr>
          <w:rFonts w:cs="宋体"/>
          <w:color w:val="auto"/>
          <w:sz w:val="24"/>
          <w:highlight w:val="none"/>
        </w:rPr>
      </w:pPr>
      <w:r>
        <w:rPr>
          <w:rFonts w:hint="eastAsia" w:cs="宋体"/>
          <w:color w:val="auto"/>
          <w:sz w:val="24"/>
          <w:highlight w:val="none"/>
        </w:rPr>
        <w:t xml:space="preserve">⑨室外预埋线缆若需要接头时，必须采用防护等级为IPX7的地埋式防水接线盒。 </w:t>
      </w:r>
    </w:p>
    <w:p>
      <w:pPr>
        <w:spacing w:line="480" w:lineRule="exact"/>
        <w:rPr>
          <w:rFonts w:cs="宋体"/>
          <w:color w:val="auto"/>
          <w:sz w:val="24"/>
          <w:highlight w:val="none"/>
        </w:rPr>
      </w:pPr>
      <w:r>
        <w:rPr>
          <w:rFonts w:hint="eastAsia" w:cs="宋体"/>
          <w:color w:val="auto"/>
          <w:sz w:val="24"/>
          <w:highlight w:val="none"/>
        </w:rPr>
        <w:t>⑩UPS不间断电源：蓄电池应符合YD/T799-2010《通信用阀控式密封铅酸蓄电池进网质量认证检测实施细则》标准；在电池安装时电池间的连接采用能耐大电流放电的线缆连接，连接线须带有防护措施，电池与电池间的连接端子不能祼露在外以防短路；电池到现场后，应对电池内阻值进行逐个测试，测试结果应符合国家相关技术规范。电池安装时每只电池正负接线端子应安装绝缘帽（提供承诺函）。</w:t>
      </w:r>
    </w:p>
    <w:p>
      <w:pPr>
        <w:spacing w:line="480" w:lineRule="exact"/>
        <w:rPr>
          <w:rFonts w:cs="宋体"/>
          <w:color w:val="auto"/>
          <w:sz w:val="24"/>
          <w:highlight w:val="none"/>
        </w:rPr>
      </w:pPr>
      <w:r>
        <w:rPr>
          <w:rFonts w:hint="eastAsia" w:cs="宋体"/>
          <w:color w:val="auto"/>
          <w:sz w:val="24"/>
          <w:highlight w:val="none"/>
        </w:rPr>
        <w:t xml:space="preserve">⑪监控系统每个区域供电应设置独立回路，由监控中心统一供电。 </w:t>
      </w:r>
    </w:p>
    <w:p>
      <w:pPr>
        <w:spacing w:line="480" w:lineRule="exact"/>
        <w:rPr>
          <w:rFonts w:cs="宋体"/>
          <w:bCs/>
          <w:color w:val="auto"/>
          <w:sz w:val="24"/>
          <w:highlight w:val="none"/>
        </w:rPr>
      </w:pPr>
      <w:r>
        <w:rPr>
          <w:rFonts w:hint="eastAsia" w:cs="宋体"/>
          <w:bCs/>
          <w:color w:val="auto"/>
          <w:sz w:val="24"/>
          <w:highlight w:val="none"/>
        </w:rPr>
        <w:t xml:space="preserve">⑫监控系统所有的线缆胶头编号均采用线号机打印。机柜内的每根线缆都应有清晰的标记标号，所有的标签和标记都应打印，不允许手写。 </w:t>
      </w:r>
    </w:p>
    <w:p>
      <w:pPr>
        <w:spacing w:line="480" w:lineRule="exact"/>
        <w:rPr>
          <w:rFonts w:cs="宋体"/>
          <w:color w:val="auto"/>
          <w:sz w:val="24"/>
          <w:highlight w:val="none"/>
        </w:rPr>
      </w:pPr>
      <w:r>
        <w:rPr>
          <w:rFonts w:hint="eastAsia" w:cs="宋体"/>
          <w:bCs/>
          <w:color w:val="auto"/>
          <w:sz w:val="24"/>
          <w:highlight w:val="none"/>
        </w:rPr>
        <w:t>⑬</w:t>
      </w:r>
      <w:r>
        <w:rPr>
          <w:rFonts w:hint="eastAsia" w:cs="宋体"/>
          <w:color w:val="auto"/>
          <w:sz w:val="24"/>
          <w:highlight w:val="none"/>
        </w:rPr>
        <w:t>高工作业：按照国家标准GB/T 3608-2008《高处作业分级》规定：高工作业人员应具有登高作业证，响应时提供证书复印件，并在进场现场核对证书和人员一致；并按采购人要求办理作业手续方可安装。</w:t>
      </w:r>
    </w:p>
    <w:p>
      <w:pPr>
        <w:spacing w:line="480" w:lineRule="exact"/>
        <w:rPr>
          <w:rFonts w:cs="宋体"/>
          <w:color w:val="auto"/>
          <w:sz w:val="24"/>
          <w:highlight w:val="none"/>
        </w:rPr>
      </w:pPr>
      <w:r>
        <w:rPr>
          <w:rFonts w:hint="eastAsia" w:cs="宋体"/>
          <w:color w:val="auto"/>
          <w:sz w:val="24"/>
          <w:highlight w:val="none"/>
        </w:rPr>
        <w:t>⑭低压电工作业：依据国家安监总局《特种作业人员安全技术培训考核管理规定》，低压电工作业人员应持有特种作业操作证，监控系统安装技术人员中应具有低压电工特种作业操作证，响应时提供证书复印件加盖公章，入场时应提交证书复印件和原件，并现场核对证书和和人员一致；并按采购人要求办理作业手续方可安装。</w:t>
      </w:r>
    </w:p>
    <w:p>
      <w:pPr>
        <w:spacing w:line="480" w:lineRule="exact"/>
        <w:rPr>
          <w:rFonts w:cs="宋体"/>
          <w:color w:val="auto"/>
          <w:sz w:val="24"/>
          <w:highlight w:val="none"/>
        </w:rPr>
      </w:pPr>
      <w:r>
        <w:rPr>
          <w:rFonts w:hint="eastAsia" w:cs="宋体"/>
          <w:color w:val="auto"/>
          <w:sz w:val="24"/>
          <w:highlight w:val="none"/>
        </w:rPr>
        <w:t>⑮焊接作业：依据国家安监总局《特种作业人员安全技术培训考核管理规定》，焊接作业人员应持有特种作业操作证，由于本项目部分支架需要现场焊接，因此，监控系统安装技术人员中应具有低压电工焊工特种作业操作证，响应时提供证书复印件加盖公章，入场时应提交证书复印件和原件，并现场核对证书和和人员一致；并按采购人要求办理作业手续方可安装。</w:t>
      </w:r>
    </w:p>
    <w:p>
      <w:pPr>
        <w:spacing w:line="480" w:lineRule="exact"/>
        <w:rPr>
          <w:rFonts w:cs="宋体"/>
          <w:color w:val="auto"/>
          <w:sz w:val="24"/>
          <w:highlight w:val="none"/>
        </w:rPr>
      </w:pPr>
      <w:r>
        <w:rPr>
          <w:rFonts w:hint="eastAsia" w:cs="宋体"/>
          <w:color w:val="auto"/>
          <w:sz w:val="24"/>
          <w:highlight w:val="none"/>
        </w:rPr>
        <w:t>⑯墓区安装：墓区预埋管线开挖的绿化地带时，应采用围栏打围，保证不影响车辆及行人通行。</w:t>
      </w:r>
    </w:p>
    <w:p>
      <w:pPr>
        <w:spacing w:line="480" w:lineRule="exact"/>
        <w:rPr>
          <w:rFonts w:cs="宋体"/>
          <w:color w:val="auto"/>
          <w:sz w:val="24"/>
          <w:highlight w:val="none"/>
        </w:rPr>
      </w:pPr>
      <w:r>
        <w:rPr>
          <w:rFonts w:hint="eastAsia" w:cs="宋体"/>
          <w:b/>
          <w:color w:val="auto"/>
          <w:sz w:val="24"/>
          <w:highlight w:val="none"/>
        </w:rPr>
        <w:t>3、到货验收</w:t>
      </w:r>
    </w:p>
    <w:p>
      <w:pPr>
        <w:spacing w:line="480" w:lineRule="exact"/>
        <w:rPr>
          <w:rFonts w:cs="宋体"/>
          <w:color w:val="auto"/>
          <w:sz w:val="24"/>
          <w:highlight w:val="none"/>
        </w:rPr>
      </w:pPr>
      <w:r>
        <w:rPr>
          <w:rFonts w:hint="eastAsia" w:cs="宋体"/>
          <w:color w:val="auto"/>
          <w:sz w:val="24"/>
          <w:highlight w:val="none"/>
        </w:rPr>
        <w:t xml:space="preserve">产品到货验收在采购方所在地完成，主要包括以下内容： </w:t>
      </w:r>
    </w:p>
    <w:p>
      <w:pPr>
        <w:spacing w:line="480" w:lineRule="exact"/>
        <w:rPr>
          <w:rFonts w:cs="宋体"/>
          <w:color w:val="auto"/>
          <w:sz w:val="24"/>
          <w:highlight w:val="none"/>
        </w:rPr>
      </w:pPr>
      <w:r>
        <w:rPr>
          <w:rFonts w:hint="eastAsia" w:cs="宋体"/>
          <w:color w:val="auto"/>
          <w:sz w:val="24"/>
          <w:highlight w:val="none"/>
        </w:rPr>
        <w:t>①实物验收：到货后，采购方对设备数量、规格、外包装、设备外观、附件数量、等内容进行检查，所检查内容须符合采购技术要求与合同的要求。</w:t>
      </w:r>
    </w:p>
    <w:p>
      <w:pPr>
        <w:spacing w:line="480" w:lineRule="exact"/>
        <w:rPr>
          <w:rFonts w:cs="宋体"/>
          <w:color w:val="auto"/>
          <w:sz w:val="24"/>
          <w:highlight w:val="none"/>
        </w:rPr>
      </w:pPr>
      <w:r>
        <w:rPr>
          <w:rFonts w:hint="eastAsia" w:cs="宋体"/>
          <w:color w:val="auto"/>
          <w:sz w:val="24"/>
          <w:highlight w:val="none"/>
        </w:rPr>
        <w:t>②文件验收：采购人对供应商提供的文件，包括装箱单、产品合格证、使用与维护说明书、技术资料与信息记录等文件的完整性进行检查。</w:t>
      </w:r>
    </w:p>
    <w:p>
      <w:pPr>
        <w:spacing w:line="480" w:lineRule="exact"/>
        <w:rPr>
          <w:rFonts w:cs="宋体"/>
          <w:color w:val="auto"/>
          <w:sz w:val="24"/>
          <w:highlight w:val="none"/>
        </w:rPr>
      </w:pPr>
      <w:r>
        <w:rPr>
          <w:rFonts w:hint="eastAsia" w:cs="宋体"/>
          <w:b/>
          <w:color w:val="auto"/>
          <w:sz w:val="24"/>
          <w:highlight w:val="none"/>
        </w:rPr>
        <w:t>4、质量保证</w:t>
      </w:r>
    </w:p>
    <w:p>
      <w:pPr>
        <w:spacing w:line="480" w:lineRule="exact"/>
        <w:ind w:firstLine="480" w:firstLineChars="200"/>
        <w:rPr>
          <w:rFonts w:cs="宋体"/>
          <w:color w:val="auto"/>
          <w:sz w:val="24"/>
          <w:highlight w:val="none"/>
        </w:rPr>
      </w:pPr>
      <w:r>
        <w:rPr>
          <w:rFonts w:hint="eastAsia" w:cs="宋体"/>
          <w:color w:val="auto"/>
          <w:sz w:val="24"/>
          <w:highlight w:val="none"/>
        </w:rPr>
        <w:t>供应商提供1年的产品质保及2小时内的应急响应，质保期以工程竣工之日算起，质保期内所有费用由供应商承担。</w:t>
      </w:r>
    </w:p>
    <w:p>
      <w:pPr>
        <w:spacing w:line="480" w:lineRule="exact"/>
        <w:rPr>
          <w:rFonts w:cs="宋体"/>
          <w:color w:val="auto"/>
          <w:sz w:val="24"/>
          <w:highlight w:val="none"/>
        </w:rPr>
      </w:pPr>
      <w:r>
        <w:rPr>
          <w:rFonts w:hint="eastAsia" w:cs="宋体"/>
          <w:b/>
          <w:color w:val="auto"/>
          <w:sz w:val="24"/>
          <w:highlight w:val="none"/>
        </w:rPr>
        <w:t>5、竣工验收及竣工资料要求</w:t>
      </w:r>
    </w:p>
    <w:p>
      <w:pPr>
        <w:spacing w:line="480" w:lineRule="exact"/>
        <w:ind w:firstLine="240" w:firstLineChars="100"/>
        <w:rPr>
          <w:rFonts w:cs="宋体"/>
          <w:color w:val="auto"/>
          <w:sz w:val="24"/>
          <w:highlight w:val="none"/>
        </w:rPr>
      </w:pPr>
      <w:r>
        <w:rPr>
          <w:rFonts w:hint="eastAsia" w:cs="宋体"/>
          <w:color w:val="auto"/>
          <w:sz w:val="24"/>
          <w:highlight w:val="none"/>
        </w:rPr>
        <w:t>（1）提供监控系统操作说明手册</w:t>
      </w:r>
    </w:p>
    <w:p>
      <w:pPr>
        <w:spacing w:line="480" w:lineRule="exact"/>
        <w:ind w:firstLine="240" w:firstLineChars="100"/>
        <w:rPr>
          <w:rFonts w:cs="宋体"/>
          <w:color w:val="auto"/>
          <w:sz w:val="24"/>
          <w:highlight w:val="none"/>
        </w:rPr>
      </w:pPr>
      <w:r>
        <w:rPr>
          <w:rFonts w:hint="eastAsia" w:cs="宋体"/>
          <w:color w:val="auto"/>
          <w:sz w:val="24"/>
          <w:highlight w:val="none"/>
        </w:rPr>
        <w:t>（</w:t>
      </w:r>
      <w:r>
        <w:rPr>
          <w:rFonts w:cs="宋体"/>
          <w:color w:val="auto"/>
          <w:sz w:val="24"/>
          <w:highlight w:val="none"/>
        </w:rPr>
        <w:t>2</w:t>
      </w:r>
      <w:r>
        <w:rPr>
          <w:rFonts w:hint="eastAsia" w:cs="宋体"/>
          <w:color w:val="auto"/>
          <w:sz w:val="24"/>
          <w:highlight w:val="none"/>
        </w:rPr>
        <w:t>）根据采购人要求提供其它竣工资料。</w:t>
      </w:r>
    </w:p>
    <w:p>
      <w:pPr>
        <w:pStyle w:val="13"/>
        <w:tabs>
          <w:tab w:val="left" w:pos="3740"/>
        </w:tabs>
        <w:spacing w:line="480" w:lineRule="exact"/>
        <w:ind w:firstLine="0" w:firstLineChars="0"/>
        <w:rPr>
          <w:rFonts w:ascii="宋体" w:cs="宋体"/>
          <w:b/>
          <w:bCs/>
          <w:color w:val="auto"/>
          <w:sz w:val="28"/>
          <w:szCs w:val="28"/>
          <w:highlight w:val="none"/>
        </w:rPr>
      </w:pPr>
      <w:r>
        <w:rPr>
          <w:rFonts w:hint="eastAsia" w:hAnsi="宋体"/>
          <w:b/>
          <w:bCs/>
          <w:color w:val="auto"/>
          <w:sz w:val="28"/>
          <w:szCs w:val="28"/>
          <w:highlight w:val="none"/>
        </w:rPr>
        <w:t>二、商务要求</w:t>
      </w:r>
      <w:r>
        <w:rPr>
          <w:rFonts w:hint="eastAsia" w:ascii="宋体" w:cs="宋体"/>
          <w:b/>
          <w:bCs/>
          <w:color w:val="auto"/>
          <w:sz w:val="28"/>
          <w:szCs w:val="28"/>
          <w:highlight w:val="none"/>
        </w:rPr>
        <w:t>（实质性要求）</w:t>
      </w:r>
    </w:p>
    <w:p>
      <w:pPr>
        <w:spacing w:line="480" w:lineRule="exact"/>
        <w:ind w:firstLine="480" w:firstLineChars="200"/>
        <w:rPr>
          <w:rFonts w:cs="宋体"/>
          <w:color w:val="auto"/>
          <w:sz w:val="24"/>
          <w:highlight w:val="none"/>
        </w:rPr>
      </w:pPr>
      <w:r>
        <w:rPr>
          <w:rFonts w:hint="eastAsia" w:cs="宋体"/>
          <w:color w:val="auto"/>
          <w:sz w:val="24"/>
          <w:highlight w:val="none"/>
        </w:rPr>
        <w:t>1、交货时间：合同签订生效后</w:t>
      </w:r>
      <w:r>
        <w:rPr>
          <w:rFonts w:cs="宋体"/>
          <w:color w:val="auto"/>
          <w:sz w:val="24"/>
          <w:highlight w:val="none"/>
        </w:rPr>
        <w:t>4</w:t>
      </w:r>
      <w:r>
        <w:rPr>
          <w:rFonts w:hint="eastAsia" w:cs="宋体"/>
          <w:color w:val="auto"/>
          <w:sz w:val="24"/>
          <w:highlight w:val="none"/>
        </w:rPr>
        <w:t>0个日历天内安装调试完成并通过验收。</w:t>
      </w:r>
    </w:p>
    <w:p>
      <w:pPr>
        <w:spacing w:line="480" w:lineRule="exact"/>
        <w:ind w:firstLine="480" w:firstLineChars="200"/>
        <w:rPr>
          <w:rFonts w:cs="宋体"/>
          <w:color w:val="auto"/>
          <w:sz w:val="24"/>
          <w:highlight w:val="none"/>
        </w:rPr>
      </w:pPr>
      <w:r>
        <w:rPr>
          <w:rFonts w:hint="eastAsia" w:cs="宋体"/>
          <w:color w:val="auto"/>
          <w:sz w:val="24"/>
          <w:highlight w:val="none"/>
        </w:rPr>
        <w:t>2、交货地点：成都市磨盘山公墓。</w:t>
      </w:r>
    </w:p>
    <w:p>
      <w:pPr>
        <w:spacing w:line="480" w:lineRule="exact"/>
        <w:ind w:firstLine="480" w:firstLineChars="200"/>
        <w:rPr>
          <w:rFonts w:cs="宋体"/>
          <w:color w:val="auto"/>
          <w:sz w:val="24"/>
          <w:highlight w:val="none"/>
        </w:rPr>
      </w:pPr>
      <w:r>
        <w:rPr>
          <w:rFonts w:hint="eastAsia" w:cs="宋体"/>
          <w:color w:val="auto"/>
          <w:sz w:val="24"/>
          <w:highlight w:val="none"/>
        </w:rPr>
        <w:t xml:space="preserve">3、货款支付方式：合同签订后10个工作日，采购人向供应商支付合同价款的20%；货物到现场安装调试完毕，对采购人进行培训和验收合格后采购人向供应商支付至合同价款的95%；尾款一年后支付。 </w:t>
      </w:r>
    </w:p>
    <w:p>
      <w:pPr>
        <w:spacing w:line="480" w:lineRule="exact"/>
        <w:ind w:firstLine="480" w:firstLineChars="200"/>
        <w:rPr>
          <w:rFonts w:cs="宋体"/>
          <w:color w:val="auto"/>
          <w:sz w:val="24"/>
          <w:highlight w:val="none"/>
        </w:rPr>
      </w:pPr>
      <w:r>
        <w:rPr>
          <w:rFonts w:hint="eastAsia" w:cs="宋体"/>
          <w:color w:val="auto"/>
          <w:sz w:val="24"/>
          <w:highlight w:val="none"/>
        </w:rPr>
        <w:t>4、售后服务要求：</w:t>
      </w:r>
    </w:p>
    <w:p>
      <w:pPr>
        <w:spacing w:line="480" w:lineRule="exact"/>
        <w:ind w:firstLine="480" w:firstLineChars="200"/>
        <w:rPr>
          <w:rFonts w:cs="宋体"/>
          <w:color w:val="auto"/>
          <w:sz w:val="24"/>
          <w:highlight w:val="none"/>
        </w:rPr>
      </w:pPr>
      <w:r>
        <w:rPr>
          <w:rFonts w:hint="eastAsia" w:cs="宋体"/>
          <w:color w:val="auto"/>
          <w:sz w:val="24"/>
          <w:highlight w:val="none"/>
        </w:rPr>
        <w:t>1）为保证货物质量及售后交付质量，在签订合同时供应商需提供原厂商针对此项目的售后服务承诺函原件（加盖原厂鲜章）及响应产品参数证明材料（加盖原厂鲜章），售后服务承诺函内容包括：保修年限、原厂商提供快速支持专线7×24小时全天候服务、原厂工程师4小时内上门；原厂商提供软件故障诊断和协作支持主动的事件升17/26级管理。否则采购人有权拒签合同。（提供承诺函加盖供应商公章）</w:t>
      </w:r>
    </w:p>
    <w:p>
      <w:pPr>
        <w:spacing w:line="480" w:lineRule="exact"/>
        <w:ind w:firstLine="480" w:firstLineChars="200"/>
        <w:rPr>
          <w:rFonts w:cs="宋体"/>
          <w:color w:val="auto"/>
          <w:sz w:val="24"/>
          <w:highlight w:val="none"/>
        </w:rPr>
      </w:pPr>
      <w:r>
        <w:rPr>
          <w:rFonts w:hint="eastAsia" w:cs="宋体"/>
          <w:color w:val="auto"/>
          <w:sz w:val="24"/>
          <w:highlight w:val="none"/>
        </w:rPr>
        <w:t xml:space="preserve">2）为防止虚假响应，采购人有权要求供应商在成交后3日内提供响应时所响应型号一致的设备若干台进行逐项性能及功能性测试，若与响应应答不符或供应商提供设备达不到磋商要求的，采购人有权拒签合同，并追究成交供应商相关法律责任。 </w:t>
      </w:r>
    </w:p>
    <w:p>
      <w:pPr>
        <w:spacing w:line="480" w:lineRule="exact"/>
        <w:ind w:firstLine="480" w:firstLineChars="200"/>
        <w:rPr>
          <w:rFonts w:cs="宋体"/>
          <w:color w:val="auto"/>
          <w:sz w:val="24"/>
          <w:highlight w:val="none"/>
        </w:rPr>
      </w:pPr>
      <w:r>
        <w:rPr>
          <w:rFonts w:hint="eastAsia" w:cs="宋体"/>
          <w:color w:val="auto"/>
          <w:sz w:val="24"/>
          <w:highlight w:val="none"/>
        </w:rPr>
        <w:t xml:space="preserve">3）、所响应产品要求能够和单位现有系统实现无缝兼容对接，并和上级管理单位互联互通，支持上级单位调取图像数据。（提供承诺函加盖供应商公章） </w:t>
      </w:r>
    </w:p>
    <w:p>
      <w:pPr>
        <w:spacing w:line="480" w:lineRule="exact"/>
        <w:ind w:firstLine="480" w:firstLineChars="200"/>
        <w:rPr>
          <w:rFonts w:cs="宋体"/>
          <w:color w:val="auto"/>
          <w:sz w:val="24"/>
          <w:highlight w:val="none"/>
        </w:rPr>
      </w:pPr>
      <w:r>
        <w:rPr>
          <w:rFonts w:hint="eastAsia" w:cs="宋体"/>
          <w:color w:val="auto"/>
          <w:sz w:val="24"/>
          <w:highlight w:val="none"/>
        </w:rPr>
        <w:t xml:space="preserve">5、报价要求： </w:t>
      </w:r>
    </w:p>
    <w:p>
      <w:pPr>
        <w:spacing w:line="480" w:lineRule="exact"/>
        <w:ind w:firstLine="480" w:firstLineChars="200"/>
        <w:rPr>
          <w:rFonts w:cs="宋体"/>
          <w:color w:val="auto"/>
          <w:sz w:val="24"/>
          <w:highlight w:val="none"/>
        </w:rPr>
      </w:pPr>
      <w:r>
        <w:rPr>
          <w:rFonts w:hint="eastAsia" w:cs="宋体"/>
          <w:color w:val="auto"/>
          <w:sz w:val="24"/>
          <w:highlight w:val="none"/>
        </w:rPr>
        <w:t xml:space="preserve">1）供应商所报的价格已包含本项目产生的一切费用。 </w:t>
      </w:r>
    </w:p>
    <w:p>
      <w:pPr>
        <w:spacing w:line="480" w:lineRule="exact"/>
        <w:ind w:firstLine="480" w:firstLineChars="200"/>
        <w:rPr>
          <w:rFonts w:cs="宋体"/>
          <w:color w:val="auto"/>
          <w:sz w:val="24"/>
          <w:highlight w:val="none"/>
        </w:rPr>
      </w:pPr>
      <w:r>
        <w:rPr>
          <w:rFonts w:hint="eastAsia" w:cs="宋体"/>
          <w:color w:val="auto"/>
          <w:sz w:val="24"/>
          <w:highlight w:val="none"/>
        </w:rPr>
        <w:t>6、其他要求</w:t>
      </w:r>
    </w:p>
    <w:p>
      <w:pPr>
        <w:spacing w:line="480" w:lineRule="exact"/>
        <w:ind w:firstLine="480" w:firstLineChars="200"/>
        <w:rPr>
          <w:rFonts w:cs="宋体"/>
          <w:color w:val="auto"/>
          <w:sz w:val="24"/>
          <w:highlight w:val="none"/>
        </w:rPr>
      </w:pPr>
      <w:r>
        <w:rPr>
          <w:rFonts w:hint="eastAsia" w:cs="宋体"/>
          <w:color w:val="auto"/>
          <w:sz w:val="24"/>
          <w:highlight w:val="none"/>
        </w:rPr>
        <w:t>1）安装过程中须对原有的部分设备及装饰进行拆除，并将垃圾运至指定地点。</w:t>
      </w:r>
    </w:p>
    <w:p>
      <w:pPr>
        <w:spacing w:line="480" w:lineRule="exact"/>
        <w:rPr>
          <w:rFonts w:hAnsi="宋体"/>
          <w:color w:val="auto"/>
          <w:sz w:val="28"/>
          <w:szCs w:val="28"/>
          <w:highlight w:val="none"/>
        </w:rPr>
      </w:pPr>
      <w:r>
        <w:rPr>
          <w:rFonts w:hint="eastAsia" w:cs="宋体"/>
          <w:color w:val="auto"/>
          <w:sz w:val="24"/>
          <w:highlight w:val="none"/>
        </w:rPr>
        <w:t xml:space="preserve">    2）机房规范整理：对机房原有的线路、包括电源线、网络线、光纤、地板进行维修整理；对已损坏的机柜进行更换，确保机房设备及用电安全。</w:t>
      </w:r>
    </w:p>
    <w:p>
      <w:pPr>
        <w:pStyle w:val="2"/>
        <w:rPr>
          <w:color w:val="auto"/>
          <w:highlight w:val="none"/>
        </w:rPr>
      </w:pPr>
    </w:p>
    <w:p>
      <w:pPr>
        <w:rPr>
          <w:rFonts w:hAnsi="宋体"/>
          <w:color w:val="auto"/>
          <w:sz w:val="28"/>
          <w:szCs w:val="28"/>
          <w:highlight w:val="none"/>
        </w:rPr>
      </w:pPr>
    </w:p>
    <w:p>
      <w:pPr>
        <w:pStyle w:val="3"/>
        <w:numPr>
          <w:ilvl w:val="0"/>
          <w:numId w:val="0"/>
        </w:numPr>
        <w:spacing w:before="0" w:after="0" w:line="480" w:lineRule="exact"/>
        <w:rPr>
          <w:rFonts w:ascii="宋体" w:hAnsi="宋体" w:eastAsia="宋体"/>
          <w:color w:val="auto"/>
          <w:highlight w:val="none"/>
        </w:rPr>
      </w:pPr>
      <w:bookmarkStart w:id="17" w:name="_Toc24321"/>
      <w:bookmarkStart w:id="18" w:name="_Toc15714"/>
      <w:r>
        <w:rPr>
          <w:rFonts w:ascii="宋体" w:hAnsi="宋体" w:eastAsia="宋体"/>
          <w:color w:val="auto"/>
          <w:highlight w:val="none"/>
        </w:rPr>
        <w:br w:type="page"/>
      </w:r>
      <w:r>
        <w:rPr>
          <w:rFonts w:ascii="宋体" w:hAnsi="宋体" w:eastAsia="宋体"/>
          <w:color w:val="auto"/>
          <w:highlight w:val="none"/>
        </w:rPr>
        <w:t>第五章  磋商程序</w:t>
      </w:r>
      <w:bookmarkEnd w:id="17"/>
      <w:bookmarkEnd w:id="18"/>
    </w:p>
    <w:p>
      <w:pPr>
        <w:widowControl w:val="0"/>
        <w:spacing w:line="460" w:lineRule="exact"/>
        <w:ind w:firstLine="472" w:firstLineChars="196"/>
        <w:jc w:val="both"/>
        <w:rPr>
          <w:rFonts w:hAnsi="宋体"/>
          <w:b/>
          <w:bCs/>
          <w:color w:val="auto"/>
          <w:kern w:val="2"/>
          <w:sz w:val="24"/>
          <w:szCs w:val="24"/>
          <w:highlight w:val="none"/>
        </w:rPr>
      </w:pPr>
      <w:bookmarkStart w:id="19" w:name="_Toc12087"/>
      <w:r>
        <w:rPr>
          <w:rFonts w:hint="eastAsia" w:hAnsi="宋体"/>
          <w:b/>
          <w:bCs/>
          <w:color w:val="auto"/>
          <w:kern w:val="2"/>
          <w:sz w:val="24"/>
          <w:szCs w:val="24"/>
          <w:highlight w:val="none"/>
        </w:rPr>
        <w:t>1.总则</w:t>
      </w:r>
      <w:bookmarkEnd w:id="19"/>
    </w:p>
    <w:p>
      <w:pPr>
        <w:widowControl w:val="0"/>
        <w:spacing w:line="460" w:lineRule="exact"/>
        <w:ind w:firstLine="470" w:firstLineChars="196"/>
        <w:jc w:val="both"/>
        <w:rPr>
          <w:rFonts w:hAnsi="宋体"/>
          <w:bCs/>
          <w:color w:val="auto"/>
          <w:kern w:val="2"/>
          <w:sz w:val="24"/>
          <w:szCs w:val="24"/>
          <w:highlight w:val="none"/>
        </w:rPr>
      </w:pPr>
      <w:bookmarkStart w:id="20" w:name="_Toc29700"/>
      <w:r>
        <w:rPr>
          <w:rFonts w:hint="eastAsia" w:hAnsi="宋体"/>
          <w:bCs/>
          <w:color w:val="auto"/>
          <w:kern w:val="2"/>
          <w:sz w:val="24"/>
          <w:szCs w:val="24"/>
          <w:highlight w:val="none"/>
        </w:rPr>
        <w:t>1.1 根据《中华人民共和国政府采购法》《中华人民共和国政府采购法实施条例》、《政府采购竞争性磋商采购方式管理暂行办法》等法律制度，结合本采购项目特点制定本磋商方法。</w:t>
      </w:r>
      <w:bookmarkEnd w:id="20"/>
    </w:p>
    <w:p>
      <w:pPr>
        <w:widowControl w:val="0"/>
        <w:spacing w:line="460" w:lineRule="exact"/>
        <w:ind w:firstLine="470" w:firstLineChars="196"/>
        <w:jc w:val="both"/>
        <w:rPr>
          <w:rFonts w:hAnsi="宋体"/>
          <w:bCs/>
          <w:color w:val="auto"/>
          <w:kern w:val="2"/>
          <w:sz w:val="24"/>
          <w:szCs w:val="24"/>
          <w:highlight w:val="none"/>
        </w:rPr>
      </w:pPr>
      <w:bookmarkStart w:id="21" w:name="_Toc27342"/>
      <w:r>
        <w:rPr>
          <w:rFonts w:hint="eastAsia" w:hAnsi="宋体"/>
          <w:bCs/>
          <w:color w:val="auto"/>
          <w:kern w:val="2"/>
          <w:sz w:val="24"/>
          <w:szCs w:val="24"/>
          <w:highlight w:val="none"/>
        </w:rPr>
        <w:t>1.2 磋商工作由采购代理机构负责组织，具体磋商由采购代理机构依法组建的磋商小组负责。</w:t>
      </w:r>
      <w:bookmarkEnd w:id="21"/>
    </w:p>
    <w:p>
      <w:pPr>
        <w:widowControl w:val="0"/>
        <w:spacing w:line="460" w:lineRule="exact"/>
        <w:ind w:firstLine="470" w:firstLineChars="196"/>
        <w:jc w:val="both"/>
        <w:rPr>
          <w:rFonts w:hAnsi="宋体"/>
          <w:bCs/>
          <w:color w:val="auto"/>
          <w:kern w:val="2"/>
          <w:sz w:val="24"/>
          <w:szCs w:val="24"/>
          <w:highlight w:val="none"/>
        </w:rPr>
      </w:pPr>
      <w:bookmarkStart w:id="22" w:name="_Toc11727"/>
      <w:r>
        <w:rPr>
          <w:rFonts w:hint="eastAsia" w:hAnsi="宋体"/>
          <w:bCs/>
          <w:color w:val="auto"/>
          <w:kern w:val="2"/>
          <w:sz w:val="24"/>
          <w:szCs w:val="24"/>
          <w:highlight w:val="none"/>
        </w:rPr>
        <w:t>1.3 磋商工作应遵循公平、公正、科学及择优的原则，并以相同的磋商程序和标准对待所有的供应商。</w:t>
      </w:r>
      <w:bookmarkEnd w:id="22"/>
    </w:p>
    <w:p>
      <w:pPr>
        <w:widowControl w:val="0"/>
        <w:spacing w:line="460" w:lineRule="exact"/>
        <w:ind w:firstLine="470" w:firstLineChars="196"/>
        <w:jc w:val="both"/>
        <w:rPr>
          <w:rFonts w:hAnsi="宋体"/>
          <w:bCs/>
          <w:color w:val="auto"/>
          <w:kern w:val="2"/>
          <w:sz w:val="24"/>
          <w:szCs w:val="24"/>
          <w:highlight w:val="none"/>
        </w:rPr>
      </w:pPr>
      <w:bookmarkStart w:id="23" w:name="_Toc18916"/>
      <w:r>
        <w:rPr>
          <w:rFonts w:hint="eastAsia" w:hAnsi="宋体"/>
          <w:bCs/>
          <w:color w:val="auto"/>
          <w:kern w:val="2"/>
          <w:sz w:val="24"/>
          <w:szCs w:val="24"/>
          <w:highlight w:val="none"/>
        </w:rPr>
        <w:t>1.4 磋商小组按照磋商文件规定的磋商程序、评分方法和标准进行评审，并独立履行下列职责：</w:t>
      </w:r>
      <w:bookmarkEnd w:id="23"/>
    </w:p>
    <w:p>
      <w:pPr>
        <w:widowControl w:val="0"/>
        <w:spacing w:line="460" w:lineRule="exact"/>
        <w:ind w:firstLine="470" w:firstLineChars="196"/>
        <w:jc w:val="both"/>
        <w:rPr>
          <w:rFonts w:hAnsi="宋体"/>
          <w:bCs/>
          <w:color w:val="auto"/>
          <w:kern w:val="2"/>
          <w:sz w:val="24"/>
          <w:szCs w:val="24"/>
          <w:highlight w:val="none"/>
        </w:rPr>
      </w:pPr>
      <w:bookmarkStart w:id="24" w:name="_Toc29899"/>
      <w:r>
        <w:rPr>
          <w:rFonts w:hint="eastAsia" w:hAnsi="宋体"/>
          <w:bCs/>
          <w:color w:val="auto"/>
          <w:kern w:val="2"/>
          <w:sz w:val="24"/>
          <w:szCs w:val="24"/>
          <w:highlight w:val="none"/>
        </w:rPr>
        <w:t>（一）熟悉和理解磋商文件，确定磋商文件内容是否违反国家有关强制性规定或者磋商文件存在歧义、重大缺陷，根据需要书面要求采购人、采购代理机构对磋商文件作出解释；</w:t>
      </w:r>
      <w:bookmarkEnd w:id="24"/>
    </w:p>
    <w:p>
      <w:pPr>
        <w:widowControl w:val="0"/>
        <w:spacing w:line="460" w:lineRule="exact"/>
        <w:ind w:firstLine="470" w:firstLineChars="196"/>
        <w:jc w:val="both"/>
        <w:rPr>
          <w:rFonts w:hAnsi="宋体"/>
          <w:bCs/>
          <w:color w:val="auto"/>
          <w:kern w:val="2"/>
          <w:sz w:val="24"/>
          <w:szCs w:val="24"/>
          <w:highlight w:val="none"/>
        </w:rPr>
      </w:pPr>
      <w:bookmarkStart w:id="25" w:name="_Toc11094"/>
      <w:r>
        <w:rPr>
          <w:rFonts w:hint="eastAsia" w:hAnsi="宋体"/>
          <w:bCs/>
          <w:color w:val="auto"/>
          <w:kern w:val="2"/>
          <w:sz w:val="24"/>
          <w:szCs w:val="24"/>
          <w:highlight w:val="none"/>
        </w:rPr>
        <w:t>（二）审查供应商响应文件是否满足磋商文件要求，并作出公正评价；</w:t>
      </w:r>
      <w:bookmarkEnd w:id="25"/>
    </w:p>
    <w:p>
      <w:pPr>
        <w:widowControl w:val="0"/>
        <w:spacing w:line="460" w:lineRule="exact"/>
        <w:ind w:firstLine="470" w:firstLineChars="196"/>
        <w:jc w:val="both"/>
        <w:rPr>
          <w:rFonts w:hAnsi="宋体"/>
          <w:bCs/>
          <w:color w:val="auto"/>
          <w:kern w:val="2"/>
          <w:sz w:val="24"/>
          <w:szCs w:val="24"/>
          <w:highlight w:val="none"/>
        </w:rPr>
      </w:pPr>
      <w:bookmarkStart w:id="26" w:name="_Toc998"/>
      <w:r>
        <w:rPr>
          <w:rFonts w:hint="eastAsia" w:hAnsi="宋体"/>
          <w:bCs/>
          <w:color w:val="auto"/>
          <w:kern w:val="2"/>
          <w:sz w:val="24"/>
          <w:szCs w:val="24"/>
          <w:highlight w:val="none"/>
        </w:rPr>
        <w:t>（三）根据需要要求供应商对响应文件中含义不明确、同类问题表述不一致或者有明显文字和计算错误的内容等作出必要的澄清、说明或者更正；</w:t>
      </w:r>
      <w:bookmarkEnd w:id="26"/>
    </w:p>
    <w:p>
      <w:pPr>
        <w:widowControl w:val="0"/>
        <w:spacing w:line="460" w:lineRule="exact"/>
        <w:ind w:firstLine="470" w:firstLineChars="196"/>
        <w:jc w:val="both"/>
        <w:rPr>
          <w:rFonts w:hAnsi="宋体"/>
          <w:bCs/>
          <w:color w:val="auto"/>
          <w:kern w:val="2"/>
          <w:sz w:val="24"/>
          <w:szCs w:val="24"/>
          <w:highlight w:val="none"/>
        </w:rPr>
      </w:pPr>
      <w:bookmarkStart w:id="27" w:name="_Toc24531"/>
      <w:r>
        <w:rPr>
          <w:rFonts w:hint="eastAsia" w:hAnsi="宋体"/>
          <w:bCs/>
          <w:color w:val="auto"/>
          <w:kern w:val="2"/>
          <w:sz w:val="24"/>
          <w:szCs w:val="24"/>
          <w:highlight w:val="none"/>
        </w:rPr>
        <w:t>（四）推荐成交供应商，或者受采购人委托确定成交供应商；</w:t>
      </w:r>
      <w:bookmarkEnd w:id="27"/>
    </w:p>
    <w:p>
      <w:pPr>
        <w:widowControl w:val="0"/>
        <w:spacing w:line="460" w:lineRule="exact"/>
        <w:ind w:firstLine="470" w:firstLineChars="196"/>
        <w:jc w:val="both"/>
        <w:rPr>
          <w:rFonts w:hAnsi="宋体"/>
          <w:bCs/>
          <w:color w:val="auto"/>
          <w:kern w:val="2"/>
          <w:sz w:val="24"/>
          <w:szCs w:val="24"/>
          <w:highlight w:val="none"/>
        </w:rPr>
      </w:pPr>
      <w:bookmarkStart w:id="28" w:name="_Toc19619"/>
      <w:r>
        <w:rPr>
          <w:rFonts w:hint="eastAsia" w:hAnsi="宋体"/>
          <w:bCs/>
          <w:color w:val="auto"/>
          <w:kern w:val="2"/>
          <w:sz w:val="24"/>
          <w:szCs w:val="24"/>
          <w:highlight w:val="none"/>
        </w:rPr>
        <w:t>（五）起草评审报告并进行签署；</w:t>
      </w:r>
      <w:bookmarkEnd w:id="28"/>
    </w:p>
    <w:p>
      <w:pPr>
        <w:widowControl w:val="0"/>
        <w:spacing w:line="460" w:lineRule="exact"/>
        <w:ind w:firstLine="470" w:firstLineChars="196"/>
        <w:jc w:val="both"/>
        <w:rPr>
          <w:rFonts w:hAnsi="宋体"/>
          <w:bCs/>
          <w:color w:val="auto"/>
          <w:kern w:val="2"/>
          <w:sz w:val="24"/>
          <w:szCs w:val="24"/>
          <w:highlight w:val="none"/>
        </w:rPr>
      </w:pPr>
      <w:bookmarkStart w:id="29" w:name="_Toc12317"/>
      <w:r>
        <w:rPr>
          <w:rFonts w:hint="eastAsia" w:hAnsi="宋体"/>
          <w:bCs/>
          <w:color w:val="auto"/>
          <w:kern w:val="2"/>
          <w:sz w:val="24"/>
          <w:szCs w:val="24"/>
          <w:highlight w:val="none"/>
        </w:rPr>
        <w:t>（六）向采购人/采购代理机构、财政部门或者其他监督部门报告非法干预评审工作的行为；</w:t>
      </w:r>
      <w:bookmarkEnd w:id="29"/>
    </w:p>
    <w:p>
      <w:pPr>
        <w:widowControl w:val="0"/>
        <w:spacing w:line="460" w:lineRule="exact"/>
        <w:ind w:firstLine="470" w:firstLineChars="196"/>
        <w:jc w:val="both"/>
        <w:rPr>
          <w:rFonts w:hAnsi="宋体"/>
          <w:bCs/>
          <w:color w:val="auto"/>
          <w:kern w:val="2"/>
          <w:sz w:val="24"/>
          <w:szCs w:val="24"/>
          <w:highlight w:val="none"/>
        </w:rPr>
      </w:pPr>
      <w:bookmarkStart w:id="30" w:name="_Toc17631"/>
      <w:r>
        <w:rPr>
          <w:rFonts w:hint="eastAsia" w:hAnsi="宋体"/>
          <w:bCs/>
          <w:color w:val="auto"/>
          <w:kern w:val="2"/>
          <w:sz w:val="24"/>
          <w:szCs w:val="24"/>
          <w:highlight w:val="none"/>
        </w:rPr>
        <w:t>（七）法律、法规和规章规定的其他职责。</w:t>
      </w:r>
      <w:bookmarkEnd w:id="30"/>
    </w:p>
    <w:p>
      <w:pPr>
        <w:widowControl w:val="0"/>
        <w:spacing w:line="460" w:lineRule="exact"/>
        <w:ind w:firstLine="470" w:firstLineChars="196"/>
        <w:jc w:val="both"/>
        <w:rPr>
          <w:rFonts w:hAnsi="宋体"/>
          <w:bCs/>
          <w:color w:val="auto"/>
          <w:kern w:val="2"/>
          <w:sz w:val="24"/>
          <w:szCs w:val="24"/>
          <w:highlight w:val="none"/>
        </w:rPr>
      </w:pPr>
      <w:bookmarkStart w:id="31" w:name="_Toc21047"/>
      <w:r>
        <w:rPr>
          <w:rFonts w:hint="eastAsia" w:hAnsi="宋体"/>
          <w:bCs/>
          <w:color w:val="auto"/>
          <w:kern w:val="2"/>
          <w:sz w:val="24"/>
          <w:szCs w:val="24"/>
          <w:highlight w:val="none"/>
        </w:rPr>
        <w:t>1.5磋商过程独立、保密。供应商非法干预磋商过程的，其响应文件作无效处理。</w:t>
      </w:r>
      <w:bookmarkEnd w:id="31"/>
    </w:p>
    <w:p>
      <w:pPr>
        <w:widowControl w:val="0"/>
        <w:spacing w:line="460" w:lineRule="exact"/>
        <w:ind w:firstLine="413"/>
        <w:jc w:val="both"/>
        <w:rPr>
          <w:rFonts w:hAnsi="宋体"/>
          <w:color w:val="auto"/>
          <w:kern w:val="2"/>
          <w:sz w:val="24"/>
          <w:szCs w:val="24"/>
          <w:highlight w:val="none"/>
        </w:rPr>
      </w:pPr>
    </w:p>
    <w:p>
      <w:pPr>
        <w:widowControl w:val="0"/>
        <w:spacing w:line="460" w:lineRule="exact"/>
        <w:ind w:firstLine="472" w:firstLineChars="196"/>
        <w:jc w:val="both"/>
        <w:rPr>
          <w:rFonts w:hAnsi="宋体"/>
          <w:b/>
          <w:bCs/>
          <w:color w:val="auto"/>
          <w:kern w:val="2"/>
          <w:sz w:val="24"/>
          <w:szCs w:val="24"/>
          <w:highlight w:val="none"/>
        </w:rPr>
      </w:pPr>
      <w:bookmarkStart w:id="32" w:name="_Toc27589"/>
      <w:r>
        <w:rPr>
          <w:rFonts w:hint="eastAsia" w:hAnsi="宋体"/>
          <w:b/>
          <w:bCs/>
          <w:color w:val="auto"/>
          <w:kern w:val="2"/>
          <w:sz w:val="24"/>
          <w:szCs w:val="24"/>
          <w:highlight w:val="none"/>
        </w:rPr>
        <w:t>2.磋商程序</w:t>
      </w:r>
      <w:bookmarkEnd w:id="32"/>
    </w:p>
    <w:p>
      <w:pPr>
        <w:widowControl w:val="0"/>
        <w:spacing w:line="460" w:lineRule="exact"/>
        <w:ind w:firstLine="470" w:firstLineChars="196"/>
        <w:jc w:val="both"/>
        <w:rPr>
          <w:rFonts w:hAnsi="宋体"/>
          <w:bCs/>
          <w:color w:val="auto"/>
          <w:kern w:val="2"/>
          <w:sz w:val="24"/>
          <w:szCs w:val="24"/>
          <w:highlight w:val="none"/>
        </w:rPr>
      </w:pPr>
      <w:bookmarkStart w:id="33" w:name="_Toc11532"/>
      <w:r>
        <w:rPr>
          <w:rFonts w:hint="eastAsia" w:hAnsi="宋体"/>
          <w:bCs/>
          <w:color w:val="auto"/>
          <w:kern w:val="2"/>
          <w:sz w:val="24"/>
          <w:szCs w:val="24"/>
          <w:highlight w:val="none"/>
        </w:rPr>
        <w:t>2.1审查磋商文件和停止评审。</w:t>
      </w:r>
      <w:bookmarkEnd w:id="33"/>
    </w:p>
    <w:p>
      <w:pPr>
        <w:widowControl w:val="0"/>
        <w:spacing w:line="460" w:lineRule="exact"/>
        <w:ind w:firstLine="470" w:firstLineChars="196"/>
        <w:jc w:val="both"/>
        <w:rPr>
          <w:rFonts w:hAnsi="宋体"/>
          <w:bCs/>
          <w:color w:val="auto"/>
          <w:kern w:val="2"/>
          <w:sz w:val="24"/>
          <w:szCs w:val="24"/>
          <w:highlight w:val="none"/>
        </w:rPr>
      </w:pPr>
      <w:bookmarkStart w:id="34" w:name="_Toc1874"/>
      <w:r>
        <w:rPr>
          <w:rFonts w:hint="eastAsia" w:hAnsi="宋体"/>
          <w:bCs/>
          <w:color w:val="auto"/>
          <w:kern w:val="2"/>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bookmarkEnd w:id="34"/>
    </w:p>
    <w:p>
      <w:pPr>
        <w:widowControl w:val="0"/>
        <w:spacing w:line="460" w:lineRule="exact"/>
        <w:ind w:firstLine="470" w:firstLineChars="196"/>
        <w:jc w:val="both"/>
        <w:rPr>
          <w:rFonts w:hAnsi="宋体"/>
          <w:bCs/>
          <w:color w:val="auto"/>
          <w:kern w:val="2"/>
          <w:sz w:val="24"/>
          <w:szCs w:val="24"/>
          <w:highlight w:val="none"/>
        </w:rPr>
      </w:pPr>
      <w:bookmarkStart w:id="35" w:name="_Toc1627"/>
      <w:r>
        <w:rPr>
          <w:rFonts w:hint="eastAsia" w:hAnsi="宋体"/>
          <w:bCs/>
          <w:color w:val="auto"/>
          <w:kern w:val="2"/>
          <w:sz w:val="24"/>
          <w:szCs w:val="24"/>
          <w:highlight w:val="none"/>
        </w:rPr>
        <w:t>2.1.2 本磋商文件有下列情形之一的，磋商小组应当停止评审：</w:t>
      </w:r>
      <w:bookmarkEnd w:id="35"/>
    </w:p>
    <w:p>
      <w:pPr>
        <w:widowControl w:val="0"/>
        <w:spacing w:line="460" w:lineRule="exact"/>
        <w:ind w:firstLine="470" w:firstLineChars="196"/>
        <w:jc w:val="both"/>
        <w:rPr>
          <w:rFonts w:hAnsi="宋体"/>
          <w:bCs/>
          <w:color w:val="auto"/>
          <w:kern w:val="2"/>
          <w:sz w:val="24"/>
          <w:szCs w:val="24"/>
          <w:highlight w:val="none"/>
        </w:rPr>
      </w:pPr>
      <w:bookmarkStart w:id="36" w:name="_Toc26400"/>
      <w:r>
        <w:rPr>
          <w:rFonts w:hint="eastAsia" w:hAnsi="宋体"/>
          <w:bCs/>
          <w:color w:val="auto"/>
          <w:kern w:val="2"/>
          <w:sz w:val="24"/>
          <w:szCs w:val="24"/>
          <w:highlight w:val="none"/>
        </w:rPr>
        <w:t>（1）磋商文件的规定存在歧义、重大缺陷的；</w:t>
      </w:r>
      <w:bookmarkEnd w:id="36"/>
    </w:p>
    <w:p>
      <w:pPr>
        <w:widowControl w:val="0"/>
        <w:spacing w:line="460" w:lineRule="exact"/>
        <w:ind w:firstLine="470" w:firstLineChars="196"/>
        <w:jc w:val="both"/>
        <w:rPr>
          <w:rFonts w:hAnsi="宋体"/>
          <w:bCs/>
          <w:color w:val="auto"/>
          <w:kern w:val="2"/>
          <w:sz w:val="24"/>
          <w:szCs w:val="24"/>
          <w:highlight w:val="none"/>
        </w:rPr>
      </w:pPr>
      <w:bookmarkStart w:id="37" w:name="_Toc21734"/>
      <w:r>
        <w:rPr>
          <w:rFonts w:hint="eastAsia" w:hAnsi="宋体"/>
          <w:bCs/>
          <w:color w:val="auto"/>
          <w:kern w:val="2"/>
          <w:sz w:val="24"/>
          <w:szCs w:val="24"/>
          <w:highlight w:val="none"/>
        </w:rPr>
        <w:t>（2）磋商文件明显以不合理条件对供应商实行差别待遇或者歧视待遇的；</w:t>
      </w:r>
      <w:bookmarkEnd w:id="37"/>
    </w:p>
    <w:p>
      <w:pPr>
        <w:widowControl w:val="0"/>
        <w:spacing w:line="460" w:lineRule="exact"/>
        <w:ind w:firstLine="470" w:firstLineChars="196"/>
        <w:jc w:val="both"/>
        <w:rPr>
          <w:rFonts w:hAnsi="宋体"/>
          <w:bCs/>
          <w:color w:val="auto"/>
          <w:kern w:val="2"/>
          <w:sz w:val="24"/>
          <w:szCs w:val="24"/>
          <w:highlight w:val="none"/>
        </w:rPr>
      </w:pPr>
      <w:bookmarkStart w:id="38" w:name="_Toc7751"/>
      <w:r>
        <w:rPr>
          <w:rFonts w:hint="eastAsia" w:hAnsi="宋体"/>
          <w:bCs/>
          <w:color w:val="auto"/>
          <w:kern w:val="2"/>
          <w:sz w:val="24"/>
          <w:szCs w:val="24"/>
          <w:highlight w:val="none"/>
        </w:rPr>
        <w:t>（3）采购项目属于国家规定的优先、强制采购范围，但是磋商文件未依法体现优先、强制采购相关规定的；</w:t>
      </w:r>
      <w:bookmarkEnd w:id="38"/>
    </w:p>
    <w:p>
      <w:pPr>
        <w:widowControl w:val="0"/>
        <w:spacing w:line="460" w:lineRule="exact"/>
        <w:ind w:firstLine="470" w:firstLineChars="196"/>
        <w:jc w:val="both"/>
        <w:rPr>
          <w:rFonts w:hAnsi="宋体"/>
          <w:bCs/>
          <w:color w:val="auto"/>
          <w:kern w:val="2"/>
          <w:sz w:val="24"/>
          <w:szCs w:val="24"/>
          <w:highlight w:val="none"/>
        </w:rPr>
      </w:pPr>
      <w:bookmarkStart w:id="39" w:name="_Toc310"/>
      <w:r>
        <w:rPr>
          <w:rFonts w:hint="eastAsia" w:hAnsi="宋体"/>
          <w:bCs/>
          <w:color w:val="auto"/>
          <w:kern w:val="2"/>
          <w:sz w:val="24"/>
          <w:szCs w:val="24"/>
          <w:highlight w:val="none"/>
        </w:rPr>
        <w:t>（4）采购项目属于政府采购促进中小企业发展的范围，但是磋商文件未依法体现促进中小企业发展相关规定的；</w:t>
      </w:r>
      <w:bookmarkEnd w:id="39"/>
    </w:p>
    <w:p>
      <w:pPr>
        <w:widowControl w:val="0"/>
        <w:spacing w:line="460" w:lineRule="exact"/>
        <w:ind w:firstLine="470" w:firstLineChars="196"/>
        <w:jc w:val="both"/>
        <w:rPr>
          <w:rFonts w:hAnsi="宋体"/>
          <w:bCs/>
          <w:color w:val="auto"/>
          <w:kern w:val="2"/>
          <w:sz w:val="24"/>
          <w:szCs w:val="24"/>
          <w:highlight w:val="none"/>
        </w:rPr>
      </w:pPr>
      <w:bookmarkStart w:id="40" w:name="_Toc30110"/>
      <w:r>
        <w:rPr>
          <w:rFonts w:hint="eastAsia" w:hAnsi="宋体"/>
          <w:bCs/>
          <w:color w:val="auto"/>
          <w:kern w:val="2"/>
          <w:sz w:val="24"/>
          <w:szCs w:val="24"/>
          <w:highlight w:val="none"/>
        </w:rPr>
        <w:t>（5）磋商文件将供应商的资格条件列为评分因素的；</w:t>
      </w:r>
      <w:bookmarkEnd w:id="40"/>
    </w:p>
    <w:p>
      <w:pPr>
        <w:widowControl w:val="0"/>
        <w:spacing w:line="460" w:lineRule="exact"/>
        <w:ind w:firstLine="470" w:firstLineChars="196"/>
        <w:jc w:val="both"/>
        <w:rPr>
          <w:rFonts w:hAnsi="宋体"/>
          <w:bCs/>
          <w:color w:val="auto"/>
          <w:kern w:val="2"/>
          <w:sz w:val="24"/>
          <w:szCs w:val="24"/>
          <w:highlight w:val="none"/>
        </w:rPr>
      </w:pPr>
      <w:bookmarkStart w:id="41" w:name="_Toc29051"/>
      <w:r>
        <w:rPr>
          <w:rFonts w:hint="eastAsia" w:hAnsi="宋体"/>
          <w:bCs/>
          <w:color w:val="auto"/>
          <w:kern w:val="2"/>
          <w:sz w:val="24"/>
          <w:szCs w:val="24"/>
          <w:highlight w:val="none"/>
        </w:rPr>
        <w:t>（6）磋商文件载明的成交原则不合法的；</w:t>
      </w:r>
      <w:bookmarkEnd w:id="41"/>
    </w:p>
    <w:p>
      <w:pPr>
        <w:widowControl w:val="0"/>
        <w:spacing w:line="460" w:lineRule="exact"/>
        <w:ind w:firstLine="470" w:firstLineChars="196"/>
        <w:jc w:val="both"/>
        <w:rPr>
          <w:rFonts w:hAnsi="宋体"/>
          <w:bCs/>
          <w:color w:val="auto"/>
          <w:kern w:val="2"/>
          <w:sz w:val="24"/>
          <w:szCs w:val="24"/>
          <w:highlight w:val="none"/>
        </w:rPr>
      </w:pPr>
      <w:bookmarkStart w:id="42" w:name="_Toc8348"/>
      <w:r>
        <w:rPr>
          <w:rFonts w:hint="eastAsia" w:hAnsi="宋体"/>
          <w:bCs/>
          <w:color w:val="auto"/>
          <w:kern w:val="2"/>
          <w:sz w:val="24"/>
          <w:szCs w:val="24"/>
          <w:highlight w:val="none"/>
        </w:rPr>
        <w:t>（7）磋商文件有违反国家其他有关强制性规定的情形。</w:t>
      </w:r>
      <w:bookmarkEnd w:id="42"/>
    </w:p>
    <w:p>
      <w:pPr>
        <w:widowControl w:val="0"/>
        <w:spacing w:line="460" w:lineRule="exact"/>
        <w:ind w:firstLine="470" w:firstLineChars="196"/>
        <w:jc w:val="both"/>
        <w:rPr>
          <w:rFonts w:hAnsi="宋体"/>
          <w:bCs/>
          <w:color w:val="auto"/>
          <w:kern w:val="2"/>
          <w:sz w:val="24"/>
          <w:szCs w:val="24"/>
          <w:highlight w:val="none"/>
        </w:rPr>
      </w:pPr>
      <w:bookmarkStart w:id="43" w:name="_Toc24897"/>
      <w:r>
        <w:rPr>
          <w:rFonts w:hint="eastAsia" w:hAnsi="宋体"/>
          <w:bCs/>
          <w:color w:val="auto"/>
          <w:kern w:val="2"/>
          <w:sz w:val="24"/>
          <w:szCs w:val="24"/>
          <w:highlight w:val="none"/>
        </w:rPr>
        <w:t>2.1.3 出现本条2.1.2规定应当停止评审情形的，磋商小组应当向采购组织单位书面说明情况。除本条规定的情形外，磋商小组不得以任何方式和理由停止评审。</w:t>
      </w:r>
      <w:bookmarkEnd w:id="43"/>
    </w:p>
    <w:p>
      <w:pPr>
        <w:widowControl w:val="0"/>
        <w:spacing w:line="460" w:lineRule="exact"/>
        <w:ind w:firstLine="470" w:firstLineChars="196"/>
        <w:jc w:val="both"/>
        <w:rPr>
          <w:rFonts w:hAnsi="宋体"/>
          <w:bCs/>
          <w:color w:val="auto"/>
          <w:kern w:val="2"/>
          <w:sz w:val="24"/>
          <w:szCs w:val="24"/>
          <w:highlight w:val="none"/>
        </w:rPr>
      </w:pPr>
      <w:bookmarkStart w:id="44" w:name="_Toc21161"/>
      <w:r>
        <w:rPr>
          <w:rFonts w:hint="eastAsia" w:hAnsi="宋体"/>
          <w:bCs/>
          <w:color w:val="auto"/>
          <w:kern w:val="2"/>
          <w:sz w:val="24"/>
          <w:szCs w:val="24"/>
          <w:highlight w:val="none"/>
        </w:rPr>
        <w:t>2.2资格性审查。</w:t>
      </w:r>
      <w:bookmarkEnd w:id="44"/>
    </w:p>
    <w:p>
      <w:pPr>
        <w:widowControl w:val="0"/>
        <w:spacing w:line="460" w:lineRule="exact"/>
        <w:ind w:firstLine="470" w:firstLineChars="196"/>
        <w:jc w:val="both"/>
        <w:rPr>
          <w:rFonts w:hAnsi="宋体"/>
          <w:bCs/>
          <w:color w:val="auto"/>
          <w:kern w:val="2"/>
          <w:sz w:val="24"/>
          <w:szCs w:val="24"/>
          <w:highlight w:val="none"/>
        </w:rPr>
      </w:pPr>
      <w:bookmarkStart w:id="45" w:name="_Toc19486"/>
      <w:r>
        <w:rPr>
          <w:rFonts w:hint="eastAsia" w:hAnsi="宋体"/>
          <w:bCs/>
          <w:color w:val="auto"/>
          <w:kern w:val="2"/>
          <w:sz w:val="24"/>
          <w:szCs w:val="24"/>
          <w:highlight w:val="none"/>
        </w:rPr>
        <w:t>2.2.1本项目需要磋商小组进行资格性检查。</w:t>
      </w:r>
      <w:bookmarkEnd w:id="45"/>
    </w:p>
    <w:p>
      <w:pPr>
        <w:widowControl w:val="0"/>
        <w:spacing w:line="460" w:lineRule="exact"/>
        <w:ind w:firstLine="470" w:firstLineChars="196"/>
        <w:jc w:val="both"/>
        <w:rPr>
          <w:rFonts w:hAnsi="宋体"/>
          <w:bCs/>
          <w:color w:val="auto"/>
          <w:kern w:val="2"/>
          <w:sz w:val="24"/>
          <w:szCs w:val="24"/>
          <w:highlight w:val="none"/>
        </w:rPr>
      </w:pPr>
      <w:bookmarkStart w:id="46" w:name="_Toc32679"/>
      <w:r>
        <w:rPr>
          <w:rFonts w:hint="eastAsia" w:hAnsi="宋体"/>
          <w:bCs/>
          <w:color w:val="auto"/>
          <w:kern w:val="2"/>
          <w:sz w:val="24"/>
          <w:szCs w:val="24"/>
          <w:highlight w:val="none"/>
        </w:rPr>
        <w:t>磋商小组应依据法律法规和磋商文件的规定，对响应文件是否按照规定要求提供资格性证明材料、是否属于禁止参加磋商的供应商等进行审查，以确定供应商是否具备磋商资格。</w:t>
      </w:r>
      <w:bookmarkEnd w:id="46"/>
    </w:p>
    <w:p>
      <w:pPr>
        <w:widowControl w:val="0"/>
        <w:spacing w:line="460" w:lineRule="exact"/>
        <w:ind w:firstLine="470" w:firstLineChars="196"/>
        <w:jc w:val="both"/>
        <w:rPr>
          <w:rFonts w:hAnsi="宋体"/>
          <w:bCs/>
          <w:color w:val="auto"/>
          <w:kern w:val="2"/>
          <w:sz w:val="24"/>
          <w:szCs w:val="24"/>
          <w:highlight w:val="none"/>
        </w:rPr>
      </w:pPr>
      <w:bookmarkStart w:id="47" w:name="_Toc10885"/>
      <w:r>
        <w:rPr>
          <w:rFonts w:hint="eastAsia" w:hAnsi="宋体"/>
          <w:bCs/>
          <w:color w:val="auto"/>
          <w:kern w:val="2"/>
          <w:sz w:val="24"/>
          <w:szCs w:val="24"/>
          <w:highlight w:val="none"/>
        </w:rPr>
        <w:t>2.2.2资格性审查结束后，磋商小组应当出具资格性审查报告，没有通过资格审查的供应商，磋商小组应当在资格审查报告中说明原因。</w:t>
      </w:r>
      <w:bookmarkEnd w:id="47"/>
    </w:p>
    <w:p>
      <w:pPr>
        <w:widowControl w:val="0"/>
        <w:spacing w:line="460" w:lineRule="exact"/>
        <w:ind w:firstLine="470" w:firstLineChars="196"/>
        <w:jc w:val="both"/>
        <w:rPr>
          <w:rFonts w:hAnsi="宋体"/>
          <w:bCs/>
          <w:color w:val="auto"/>
          <w:kern w:val="2"/>
          <w:sz w:val="24"/>
          <w:szCs w:val="24"/>
          <w:highlight w:val="none"/>
        </w:rPr>
      </w:pPr>
      <w:bookmarkStart w:id="48" w:name="_Toc10734"/>
      <w:r>
        <w:rPr>
          <w:rFonts w:hint="eastAsia" w:hAnsi="宋体"/>
          <w:bCs/>
          <w:color w:val="auto"/>
          <w:kern w:val="2"/>
          <w:sz w:val="24"/>
          <w:szCs w:val="24"/>
          <w:highlight w:val="none"/>
        </w:rPr>
        <w:t>2.2.3采购人或者采购代理机构宣布未通过资格性审查的供应商名单时，应当告知供应商未通过审查的原因。</w:t>
      </w:r>
      <w:bookmarkEnd w:id="48"/>
    </w:p>
    <w:p>
      <w:pPr>
        <w:widowControl w:val="0"/>
        <w:spacing w:line="460" w:lineRule="exact"/>
        <w:ind w:firstLine="470" w:firstLineChars="196"/>
        <w:jc w:val="both"/>
        <w:rPr>
          <w:rFonts w:hAnsi="宋体"/>
          <w:bCs/>
          <w:color w:val="auto"/>
          <w:kern w:val="2"/>
          <w:sz w:val="24"/>
          <w:szCs w:val="24"/>
          <w:highlight w:val="none"/>
        </w:rPr>
      </w:pPr>
      <w:bookmarkStart w:id="49" w:name="_Toc31320"/>
      <w:r>
        <w:rPr>
          <w:rFonts w:hint="eastAsia" w:hAnsi="宋体"/>
          <w:bCs/>
          <w:color w:val="auto"/>
          <w:kern w:val="2"/>
          <w:sz w:val="24"/>
          <w:szCs w:val="24"/>
          <w:highlight w:val="none"/>
        </w:rPr>
        <w:t>2.3 通过资格性审查的供应商不足3家的（本章2.3.1的情况除外），终止本次采购活动，并发布终止采购活动公告。</w:t>
      </w:r>
      <w:bookmarkEnd w:id="49"/>
    </w:p>
    <w:p>
      <w:pPr>
        <w:widowControl w:val="0"/>
        <w:spacing w:line="460" w:lineRule="exact"/>
        <w:ind w:firstLine="630"/>
        <w:jc w:val="both"/>
        <w:rPr>
          <w:rFonts w:hAnsi="宋体"/>
          <w:bCs/>
          <w:color w:val="auto"/>
          <w:kern w:val="2"/>
          <w:sz w:val="24"/>
          <w:szCs w:val="24"/>
          <w:highlight w:val="none"/>
          <w:lang w:val="zh-CN"/>
        </w:rPr>
      </w:pPr>
      <w:r>
        <w:rPr>
          <w:rFonts w:hint="eastAsia" w:hAnsi="宋体"/>
          <w:bCs/>
          <w:color w:val="auto"/>
          <w:kern w:val="2"/>
          <w:sz w:val="24"/>
          <w:szCs w:val="24"/>
          <w:highlight w:val="none"/>
        </w:rPr>
        <w:t>2.3.1</w:t>
      </w:r>
      <w:r>
        <w:rPr>
          <w:rFonts w:hAnsi="宋体"/>
          <w:bCs/>
          <w:color w:val="auto"/>
          <w:kern w:val="2"/>
          <w:sz w:val="24"/>
          <w:szCs w:val="24"/>
          <w:highlight w:val="none"/>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w:t>
      </w:r>
      <w:r>
        <w:rPr>
          <w:rFonts w:hint="eastAsia" w:hAnsi="宋体"/>
          <w:bCs/>
          <w:color w:val="auto"/>
          <w:kern w:val="2"/>
          <w:sz w:val="24"/>
          <w:szCs w:val="24"/>
          <w:highlight w:val="none"/>
          <w:lang w:val="zh-CN"/>
        </w:rPr>
        <w:t>磋商小组</w:t>
      </w:r>
      <w:r>
        <w:rPr>
          <w:rFonts w:hAnsi="宋体"/>
          <w:bCs/>
          <w:color w:val="auto"/>
          <w:kern w:val="2"/>
          <w:sz w:val="24"/>
          <w:szCs w:val="24"/>
          <w:highlight w:val="none"/>
          <w:lang w:val="zh-CN"/>
        </w:rPr>
        <w:t>应当遵照相关要求进行评审。</w:t>
      </w:r>
    </w:p>
    <w:p>
      <w:pPr>
        <w:widowControl w:val="0"/>
        <w:spacing w:line="460" w:lineRule="exact"/>
        <w:ind w:firstLine="470" w:firstLineChars="196"/>
        <w:jc w:val="both"/>
        <w:rPr>
          <w:rFonts w:hAnsi="宋体"/>
          <w:bCs/>
          <w:color w:val="auto"/>
          <w:kern w:val="2"/>
          <w:sz w:val="24"/>
          <w:szCs w:val="24"/>
          <w:highlight w:val="none"/>
        </w:rPr>
      </w:pPr>
      <w:bookmarkStart w:id="50" w:name="_Toc28955"/>
      <w:r>
        <w:rPr>
          <w:rFonts w:hint="eastAsia" w:hAnsi="宋体"/>
          <w:bCs/>
          <w:color w:val="auto"/>
          <w:kern w:val="2"/>
          <w:sz w:val="24"/>
          <w:szCs w:val="24"/>
          <w:highlight w:val="none"/>
        </w:rPr>
        <w:t>2.4磋商。</w:t>
      </w:r>
      <w:bookmarkEnd w:id="50"/>
    </w:p>
    <w:p>
      <w:pPr>
        <w:widowControl w:val="0"/>
        <w:spacing w:line="460" w:lineRule="exact"/>
        <w:ind w:firstLine="470" w:firstLineChars="196"/>
        <w:jc w:val="both"/>
        <w:rPr>
          <w:rFonts w:hAnsi="宋体"/>
          <w:bCs/>
          <w:color w:val="auto"/>
          <w:kern w:val="2"/>
          <w:sz w:val="24"/>
          <w:szCs w:val="24"/>
          <w:highlight w:val="none"/>
        </w:rPr>
      </w:pPr>
      <w:bookmarkStart w:id="51" w:name="_Toc6392"/>
      <w:r>
        <w:rPr>
          <w:rFonts w:hint="eastAsia" w:hAnsi="宋体"/>
          <w:bCs/>
          <w:color w:val="auto"/>
          <w:kern w:val="2"/>
          <w:sz w:val="24"/>
          <w:szCs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bookmarkEnd w:id="51"/>
    </w:p>
    <w:p>
      <w:pPr>
        <w:widowControl w:val="0"/>
        <w:spacing w:line="460" w:lineRule="exact"/>
        <w:ind w:firstLine="470" w:firstLineChars="196"/>
        <w:jc w:val="both"/>
        <w:rPr>
          <w:rFonts w:hAnsi="宋体"/>
          <w:bCs/>
          <w:color w:val="auto"/>
          <w:kern w:val="2"/>
          <w:sz w:val="24"/>
          <w:szCs w:val="24"/>
          <w:highlight w:val="none"/>
        </w:rPr>
      </w:pPr>
      <w:bookmarkStart w:id="52" w:name="_Toc28768"/>
      <w:r>
        <w:rPr>
          <w:rFonts w:hint="eastAsia" w:hAnsi="宋体"/>
          <w:bCs/>
          <w:color w:val="auto"/>
          <w:kern w:val="2"/>
          <w:sz w:val="24"/>
          <w:szCs w:val="24"/>
          <w:highlight w:val="none"/>
        </w:rPr>
        <w:t>2.4.2每轮磋商开始前，磋商小组应根据磋商文件的规定，并结合各供应商的响应文件拟定磋商内容。</w:t>
      </w:r>
      <w:bookmarkEnd w:id="52"/>
    </w:p>
    <w:p>
      <w:pPr>
        <w:widowControl w:val="0"/>
        <w:spacing w:line="460" w:lineRule="exact"/>
        <w:ind w:firstLine="470" w:firstLineChars="196"/>
        <w:jc w:val="both"/>
        <w:rPr>
          <w:rFonts w:hAnsi="宋体"/>
          <w:bCs/>
          <w:color w:val="auto"/>
          <w:kern w:val="2"/>
          <w:sz w:val="24"/>
          <w:szCs w:val="24"/>
          <w:highlight w:val="none"/>
        </w:rPr>
      </w:pPr>
      <w:bookmarkStart w:id="53" w:name="_Toc25310"/>
      <w:r>
        <w:rPr>
          <w:rFonts w:hint="eastAsia" w:hAnsi="宋体"/>
          <w:bCs/>
          <w:color w:val="auto"/>
          <w:kern w:val="2"/>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bookmarkEnd w:id="53"/>
    </w:p>
    <w:p>
      <w:pPr>
        <w:widowControl w:val="0"/>
        <w:spacing w:line="460" w:lineRule="exact"/>
        <w:ind w:firstLine="470" w:firstLineChars="196"/>
        <w:jc w:val="both"/>
        <w:rPr>
          <w:rFonts w:hAnsi="宋体"/>
          <w:bCs/>
          <w:color w:val="auto"/>
          <w:kern w:val="2"/>
          <w:sz w:val="24"/>
          <w:szCs w:val="24"/>
          <w:highlight w:val="none"/>
        </w:rPr>
      </w:pPr>
      <w:bookmarkStart w:id="54" w:name="_Toc12336"/>
      <w:r>
        <w:rPr>
          <w:rFonts w:hint="eastAsia" w:hAnsi="宋体"/>
          <w:bCs/>
          <w:color w:val="auto"/>
          <w:kern w:val="2"/>
          <w:sz w:val="24"/>
          <w:szCs w:val="24"/>
          <w:highlight w:val="none"/>
        </w:rPr>
        <w:t>2.4.4对磋商文件作出的实质性变动是磋商文件的有效组成部分，磋商小组应当及时以书面形式同时通知所有参加磋商的供应商。</w:t>
      </w:r>
      <w:bookmarkEnd w:id="54"/>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int="eastAsia" w:hAnsi="宋体"/>
          <w:color w:val="auto"/>
          <w:kern w:val="2"/>
          <w:sz w:val="24"/>
          <w:szCs w:val="24"/>
          <w:highlight w:val="none"/>
        </w:rPr>
        <w:t>2.4.6</w:t>
      </w:r>
      <w:r>
        <w:rPr>
          <w:rFonts w:hAnsi="宋体"/>
          <w:color w:val="auto"/>
          <w:kern w:val="2"/>
          <w:sz w:val="24"/>
          <w:szCs w:val="24"/>
          <w:highlight w:val="none"/>
        </w:rPr>
        <w:t>磋商过程中，</w:t>
      </w:r>
      <w:r>
        <w:rPr>
          <w:rFonts w:hAnsi="宋体"/>
          <w:color w:val="auto"/>
          <w:kern w:val="2"/>
          <w:sz w:val="24"/>
          <w:szCs w:val="24"/>
          <w:highlight w:val="none"/>
          <w:lang w:val="zh-CN"/>
        </w:rPr>
        <w:t>磋商小组对响应文件的有效性、完整性和响应程度进行审查，审查中发现供应商响应文件属于下列情况之一的，应按照无效响应文件处理：</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Ansi="宋体"/>
          <w:color w:val="auto"/>
          <w:kern w:val="2"/>
          <w:sz w:val="24"/>
          <w:szCs w:val="24"/>
          <w:highlight w:val="none"/>
          <w:lang w:val="zh-CN"/>
        </w:rPr>
        <w:t>（1）响应文件正副本数量不足的；</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Ansi="宋体"/>
          <w:color w:val="auto"/>
          <w:kern w:val="2"/>
          <w:sz w:val="24"/>
          <w:szCs w:val="24"/>
          <w:highlight w:val="none"/>
          <w:lang w:val="zh-CN"/>
        </w:rPr>
        <w:t>（</w:t>
      </w:r>
      <w:r>
        <w:rPr>
          <w:rFonts w:hAnsi="宋体"/>
          <w:color w:val="auto"/>
          <w:kern w:val="2"/>
          <w:sz w:val="24"/>
          <w:szCs w:val="24"/>
          <w:highlight w:val="none"/>
        </w:rPr>
        <w:t>2</w:t>
      </w:r>
      <w:r>
        <w:rPr>
          <w:rFonts w:hAnsi="宋体"/>
          <w:color w:val="auto"/>
          <w:kern w:val="2"/>
          <w:sz w:val="24"/>
          <w:szCs w:val="24"/>
          <w:highlight w:val="none"/>
          <w:lang w:val="zh-CN"/>
        </w:rPr>
        <w:t>）响应文件组成明显不符合采购文件的规定要求，影响</w:t>
      </w:r>
      <w:r>
        <w:rPr>
          <w:rFonts w:hint="eastAsia" w:hAnsi="宋体"/>
          <w:bCs/>
          <w:color w:val="auto"/>
          <w:kern w:val="2"/>
          <w:sz w:val="24"/>
          <w:szCs w:val="24"/>
          <w:highlight w:val="none"/>
          <w:lang w:val="zh-CN"/>
        </w:rPr>
        <w:t>磋商小组</w:t>
      </w:r>
      <w:r>
        <w:rPr>
          <w:rFonts w:hAnsi="宋体"/>
          <w:color w:val="auto"/>
          <w:kern w:val="2"/>
          <w:sz w:val="24"/>
          <w:szCs w:val="24"/>
          <w:highlight w:val="none"/>
          <w:lang w:val="zh-CN"/>
        </w:rPr>
        <w:t>评判的</w:t>
      </w:r>
      <w:r>
        <w:rPr>
          <w:rFonts w:hint="eastAsia" w:hAnsi="宋体"/>
          <w:color w:val="auto"/>
          <w:kern w:val="2"/>
          <w:sz w:val="24"/>
          <w:szCs w:val="24"/>
          <w:highlight w:val="none"/>
          <w:lang w:val="zh-CN"/>
        </w:rPr>
        <w:t>；</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Ansi="宋体"/>
          <w:color w:val="auto"/>
          <w:kern w:val="2"/>
          <w:sz w:val="24"/>
          <w:szCs w:val="24"/>
          <w:highlight w:val="none"/>
          <w:lang w:val="zh-CN"/>
        </w:rPr>
        <w:t>（</w:t>
      </w:r>
      <w:r>
        <w:rPr>
          <w:rFonts w:hAnsi="宋体"/>
          <w:color w:val="auto"/>
          <w:kern w:val="2"/>
          <w:sz w:val="24"/>
          <w:szCs w:val="24"/>
          <w:highlight w:val="none"/>
        </w:rPr>
        <w:t>3</w:t>
      </w:r>
      <w:r>
        <w:rPr>
          <w:rFonts w:hAnsi="宋体"/>
          <w:color w:val="auto"/>
          <w:kern w:val="2"/>
          <w:sz w:val="24"/>
          <w:szCs w:val="24"/>
          <w:highlight w:val="none"/>
          <w:lang w:val="zh-CN"/>
        </w:rPr>
        <w:t>）响应文件的语言、计量单位、知识产权、响应有效期等不符合采购文件的规定，影响磋商小组评判的；</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Ansi="宋体"/>
          <w:color w:val="auto"/>
          <w:kern w:val="2"/>
          <w:sz w:val="24"/>
          <w:szCs w:val="24"/>
          <w:highlight w:val="none"/>
          <w:lang w:val="zh-CN"/>
        </w:rPr>
        <w:t>（4）经最终磋商后，供应商的响应文件仍不能完全响应采购文件的实质性要求的；</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lang w:val="zh-CN"/>
        </w:rPr>
        <w:t>(</w:t>
      </w:r>
      <w:r>
        <w:rPr>
          <w:rFonts w:hAnsi="宋体"/>
          <w:color w:val="auto"/>
          <w:kern w:val="2"/>
          <w:sz w:val="24"/>
          <w:szCs w:val="24"/>
          <w:highlight w:val="none"/>
          <w:lang w:val="zh-CN"/>
        </w:rPr>
        <w:t>5</w:t>
      </w:r>
      <w:r>
        <w:rPr>
          <w:rFonts w:hint="eastAsia" w:hAnsi="宋体"/>
          <w:color w:val="auto"/>
          <w:kern w:val="2"/>
          <w:sz w:val="24"/>
          <w:szCs w:val="24"/>
          <w:highlight w:val="none"/>
          <w:lang w:val="zh-CN"/>
        </w:rPr>
        <w:t>)</w:t>
      </w:r>
      <w:r>
        <w:rPr>
          <w:rFonts w:hint="eastAsia" w:hAnsi="宋体"/>
          <w:color w:val="auto"/>
          <w:kern w:val="2"/>
          <w:sz w:val="24"/>
          <w:szCs w:val="24"/>
          <w:highlight w:val="none"/>
        </w:rPr>
        <w:t xml:space="preserve"> 未载明或者载明的采购项目履约时间、方式、数量及其他政府采购合同实质性内容与本竞争性磋商文件要求不一致，且采购单位无法接受的。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 xml:space="preserve"> (</w:t>
      </w:r>
      <w:r>
        <w:rPr>
          <w:rFonts w:hAnsi="宋体"/>
          <w:color w:val="auto"/>
          <w:kern w:val="2"/>
          <w:sz w:val="24"/>
          <w:szCs w:val="24"/>
          <w:highlight w:val="none"/>
        </w:rPr>
        <w:t>6</w:t>
      </w:r>
      <w:r>
        <w:rPr>
          <w:rFonts w:hint="eastAsia" w:hAnsi="宋体"/>
          <w:color w:val="auto"/>
          <w:kern w:val="2"/>
          <w:sz w:val="24"/>
          <w:szCs w:val="24"/>
          <w:highlight w:val="none"/>
        </w:rPr>
        <w:t>)属于竞争性磋商文件中无效响应情形的。</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Ansi="宋体"/>
          <w:color w:val="auto"/>
          <w:kern w:val="2"/>
          <w:sz w:val="24"/>
          <w:szCs w:val="24"/>
          <w:highlight w:val="none"/>
          <w:lang w:val="zh-CN"/>
        </w:rPr>
        <w:t>但磋商小组对响应文件签署、盖章等进行审查过程中，有下列情形的，磋商小组应当评定为不影响整个响应文件有效性和采购活动公平竞争，并通过响应文件的有效性审查：</w:t>
      </w:r>
    </w:p>
    <w:p>
      <w:pPr>
        <w:widowControl w:val="0"/>
        <w:autoSpaceDE w:val="0"/>
        <w:autoSpaceDN w:val="0"/>
        <w:adjustRightInd w:val="0"/>
        <w:snapToGrid w:val="0"/>
        <w:spacing w:line="460" w:lineRule="exact"/>
        <w:ind w:firstLine="600" w:firstLineChars="250"/>
        <w:jc w:val="both"/>
        <w:rPr>
          <w:rFonts w:hAnsi="宋体"/>
          <w:color w:val="auto"/>
          <w:kern w:val="2"/>
          <w:sz w:val="24"/>
          <w:szCs w:val="24"/>
          <w:highlight w:val="none"/>
          <w:lang w:val="zh-CN"/>
        </w:rPr>
      </w:pPr>
      <w:r>
        <w:rPr>
          <w:rFonts w:hAnsi="宋体"/>
          <w:color w:val="auto"/>
          <w:kern w:val="2"/>
          <w:sz w:val="24"/>
          <w:szCs w:val="24"/>
          <w:highlight w:val="none"/>
          <w:lang w:val="zh-CN"/>
        </w:rPr>
        <w:t>（</w:t>
      </w:r>
      <w:r>
        <w:rPr>
          <w:rFonts w:hAnsi="宋体"/>
          <w:color w:val="auto"/>
          <w:kern w:val="2"/>
          <w:sz w:val="24"/>
          <w:szCs w:val="24"/>
          <w:highlight w:val="none"/>
        </w:rPr>
        <w:t>1</w:t>
      </w:r>
      <w:r>
        <w:rPr>
          <w:rFonts w:hAnsi="宋体"/>
          <w:color w:val="auto"/>
          <w:kern w:val="2"/>
          <w:sz w:val="24"/>
          <w:szCs w:val="24"/>
          <w:highlight w:val="none"/>
          <w:lang w:val="zh-CN"/>
        </w:rPr>
        <w:t>）响应文件存在个别地方（总数不能超过2个）没有法定代表人/单位负责人签字，但有法定代表人/单位负责人的私人印章或者有效授权代理人签字的；</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Ansi="宋体"/>
          <w:color w:val="auto"/>
          <w:kern w:val="2"/>
          <w:sz w:val="24"/>
          <w:szCs w:val="24"/>
          <w:highlight w:val="none"/>
          <w:lang w:val="zh-CN"/>
        </w:rPr>
        <w:t xml:space="preserve"> （</w:t>
      </w:r>
      <w:r>
        <w:rPr>
          <w:rFonts w:hAnsi="宋体"/>
          <w:color w:val="auto"/>
          <w:kern w:val="2"/>
          <w:sz w:val="24"/>
          <w:szCs w:val="24"/>
          <w:highlight w:val="none"/>
        </w:rPr>
        <w:t>2</w:t>
      </w:r>
      <w:r>
        <w:rPr>
          <w:rFonts w:hAnsi="宋体"/>
          <w:color w:val="auto"/>
          <w:kern w:val="2"/>
          <w:sz w:val="24"/>
          <w:szCs w:val="24"/>
          <w:highlight w:val="none"/>
          <w:lang w:val="zh-CN"/>
        </w:rPr>
        <w:t>）响应文件除采购文件明确要求加盖单位(法人)公章的以外，其他地方以相关专用章加盖的；</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lang w:val="zh-CN"/>
        </w:rPr>
      </w:pPr>
      <w:r>
        <w:rPr>
          <w:rFonts w:hAnsi="宋体"/>
          <w:color w:val="auto"/>
          <w:kern w:val="2"/>
          <w:sz w:val="24"/>
          <w:szCs w:val="24"/>
          <w:highlight w:val="none"/>
          <w:lang w:val="zh-CN"/>
        </w:rPr>
        <w:t xml:space="preserve"> （</w:t>
      </w:r>
      <w:r>
        <w:rPr>
          <w:rFonts w:hAnsi="宋体"/>
          <w:color w:val="auto"/>
          <w:kern w:val="2"/>
          <w:sz w:val="24"/>
          <w:szCs w:val="24"/>
          <w:highlight w:val="none"/>
        </w:rPr>
        <w:t>3</w:t>
      </w:r>
      <w:r>
        <w:rPr>
          <w:rFonts w:hAnsi="宋体"/>
          <w:color w:val="auto"/>
          <w:kern w:val="2"/>
          <w:sz w:val="24"/>
          <w:szCs w:val="24"/>
          <w:highlight w:val="none"/>
          <w:lang w:val="zh-CN"/>
        </w:rPr>
        <w:t>）以骑缝章的形式代替响应文件内容逐页盖章的（但是骑缝章模糊不清，印章名称无法辨认的除外）。</w:t>
      </w:r>
    </w:p>
    <w:p>
      <w:pPr>
        <w:widowControl w:val="0"/>
        <w:autoSpaceDE w:val="0"/>
        <w:autoSpaceDN w:val="0"/>
        <w:adjustRightInd w:val="0"/>
        <w:snapToGrid w:val="0"/>
        <w:spacing w:line="460" w:lineRule="exact"/>
        <w:ind w:firstLine="480" w:firstLineChars="200"/>
        <w:jc w:val="both"/>
        <w:rPr>
          <w:rFonts w:hAnsi="宋体"/>
          <w:color w:val="auto"/>
          <w:kern w:val="2"/>
          <w:sz w:val="24"/>
          <w:szCs w:val="24"/>
          <w:highlight w:val="none"/>
        </w:rPr>
      </w:pPr>
      <w:r>
        <w:rPr>
          <w:rFonts w:hAnsi="宋体"/>
          <w:color w:val="auto"/>
          <w:kern w:val="2"/>
          <w:sz w:val="24"/>
          <w:szCs w:val="24"/>
          <w:highlight w:val="none"/>
        </w:rPr>
        <w:t>磋商小组</w:t>
      </w:r>
      <w:r>
        <w:rPr>
          <w:rFonts w:hAnsi="宋体"/>
          <w:color w:val="auto"/>
          <w:kern w:val="2"/>
          <w:sz w:val="24"/>
          <w:szCs w:val="24"/>
          <w:highlight w:val="none"/>
          <w:lang w:val="zh-CN"/>
        </w:rPr>
        <w:t>对所有响应文件的有效性、完整性和响应程度进行审查</w:t>
      </w:r>
      <w:r>
        <w:rPr>
          <w:rFonts w:hAnsi="宋体"/>
          <w:color w:val="auto"/>
          <w:kern w:val="2"/>
          <w:sz w:val="24"/>
          <w:szCs w:val="24"/>
          <w:highlight w:val="none"/>
        </w:rPr>
        <w:t>后，向采购</w:t>
      </w:r>
      <w:r>
        <w:rPr>
          <w:rFonts w:hAnsi="宋体"/>
          <w:color w:val="auto"/>
          <w:kern w:val="2"/>
          <w:sz w:val="24"/>
          <w:szCs w:val="24"/>
          <w:highlight w:val="none"/>
          <w:lang w:val="zh-CN"/>
        </w:rPr>
        <w:t>代理机构</w:t>
      </w:r>
      <w:r>
        <w:rPr>
          <w:rFonts w:hAnsi="宋体"/>
          <w:color w:val="auto"/>
          <w:kern w:val="2"/>
          <w:sz w:val="24"/>
          <w:szCs w:val="24"/>
          <w:highlight w:val="none"/>
        </w:rPr>
        <w:t>出具</w:t>
      </w:r>
      <w:r>
        <w:rPr>
          <w:rFonts w:hAnsi="宋体"/>
          <w:color w:val="auto"/>
          <w:kern w:val="2"/>
          <w:sz w:val="24"/>
          <w:szCs w:val="24"/>
          <w:highlight w:val="none"/>
          <w:lang w:val="zh-CN"/>
        </w:rPr>
        <w:t>有效性、完整性和响应程度</w:t>
      </w:r>
      <w:r>
        <w:rPr>
          <w:rFonts w:hAnsi="宋体"/>
          <w:color w:val="auto"/>
          <w:kern w:val="2"/>
          <w:sz w:val="24"/>
          <w:szCs w:val="24"/>
          <w:highlight w:val="none"/>
        </w:rPr>
        <w:t>审查报告，确定继续磋商的供应商名单。没有通过</w:t>
      </w:r>
      <w:r>
        <w:rPr>
          <w:rFonts w:hAnsi="宋体"/>
          <w:color w:val="auto"/>
          <w:kern w:val="2"/>
          <w:sz w:val="24"/>
          <w:szCs w:val="24"/>
          <w:highlight w:val="none"/>
          <w:lang w:val="zh-CN"/>
        </w:rPr>
        <w:t>有效性、完整性和响应程度</w:t>
      </w:r>
      <w:r>
        <w:rPr>
          <w:rFonts w:hAnsi="宋体"/>
          <w:color w:val="auto"/>
          <w:kern w:val="2"/>
          <w:sz w:val="24"/>
          <w:szCs w:val="24"/>
          <w:highlight w:val="none"/>
        </w:rPr>
        <w:t>审查的供应商，磋商小组应在</w:t>
      </w:r>
      <w:r>
        <w:rPr>
          <w:rFonts w:hAnsi="宋体"/>
          <w:color w:val="auto"/>
          <w:kern w:val="2"/>
          <w:sz w:val="24"/>
          <w:szCs w:val="24"/>
          <w:highlight w:val="none"/>
          <w:lang w:val="zh-CN"/>
        </w:rPr>
        <w:t>有效性、完整性和响应程度</w:t>
      </w:r>
      <w:r>
        <w:rPr>
          <w:rFonts w:hAnsi="宋体"/>
          <w:color w:val="auto"/>
          <w:kern w:val="2"/>
          <w:sz w:val="24"/>
          <w:szCs w:val="24"/>
          <w:highlight w:val="none"/>
        </w:rPr>
        <w:t>审查报告中说明原因。</w:t>
      </w:r>
    </w:p>
    <w:p>
      <w:pPr>
        <w:widowControl w:val="0"/>
        <w:spacing w:line="460" w:lineRule="exact"/>
        <w:ind w:firstLine="470" w:firstLineChars="196"/>
        <w:jc w:val="both"/>
        <w:rPr>
          <w:rFonts w:hAnsi="宋体"/>
          <w:bCs/>
          <w:color w:val="auto"/>
          <w:kern w:val="2"/>
          <w:sz w:val="24"/>
          <w:szCs w:val="24"/>
          <w:highlight w:val="none"/>
        </w:rPr>
      </w:pPr>
      <w:bookmarkStart w:id="55" w:name="_Toc27913"/>
      <w:r>
        <w:rPr>
          <w:rFonts w:hint="eastAsia" w:hAnsi="宋体"/>
          <w:bCs/>
          <w:color w:val="auto"/>
          <w:kern w:val="2"/>
          <w:sz w:val="24"/>
          <w:szCs w:val="24"/>
          <w:highlight w:val="none"/>
        </w:rPr>
        <w:t>2.4.7磋商过程中，磋商的任何一方不得透露与磋商有关的其他供应商的技术资料、价格和其他信息。</w:t>
      </w:r>
      <w:bookmarkEnd w:id="55"/>
    </w:p>
    <w:p>
      <w:pPr>
        <w:widowControl w:val="0"/>
        <w:spacing w:line="460" w:lineRule="exact"/>
        <w:ind w:firstLine="470" w:firstLineChars="196"/>
        <w:jc w:val="both"/>
        <w:rPr>
          <w:rFonts w:hAnsi="宋体"/>
          <w:bCs/>
          <w:color w:val="auto"/>
          <w:kern w:val="2"/>
          <w:sz w:val="24"/>
          <w:szCs w:val="24"/>
          <w:highlight w:val="none"/>
        </w:rPr>
      </w:pPr>
      <w:bookmarkStart w:id="56" w:name="_Toc20096"/>
      <w:r>
        <w:rPr>
          <w:rFonts w:hint="eastAsia" w:hAnsi="宋体"/>
          <w:bCs/>
          <w:color w:val="auto"/>
          <w:kern w:val="2"/>
          <w:sz w:val="24"/>
          <w:szCs w:val="24"/>
          <w:highlight w:val="none"/>
        </w:rPr>
        <w:t>2.4.8磋商过程中，磋商小组发现或者知晓供应商存在违法、违纪行为的，磋商小组应当将该供应商响应文件作无效处理，不允许其提交最后报价。</w:t>
      </w:r>
      <w:bookmarkEnd w:id="56"/>
    </w:p>
    <w:p>
      <w:pPr>
        <w:widowControl w:val="0"/>
        <w:spacing w:line="460" w:lineRule="exact"/>
        <w:ind w:firstLine="470" w:firstLineChars="196"/>
        <w:jc w:val="both"/>
        <w:rPr>
          <w:rFonts w:hAnsi="宋体"/>
          <w:color w:val="auto"/>
          <w:kern w:val="2"/>
          <w:sz w:val="24"/>
          <w:szCs w:val="24"/>
          <w:highlight w:val="none"/>
        </w:rPr>
      </w:pPr>
      <w:bookmarkStart w:id="57" w:name="_Toc3777"/>
      <w:r>
        <w:rPr>
          <w:rFonts w:hint="eastAsia" w:hAnsi="宋体"/>
          <w:color w:val="auto"/>
          <w:kern w:val="2"/>
          <w:sz w:val="24"/>
          <w:szCs w:val="24"/>
          <w:highlight w:val="none"/>
        </w:rPr>
        <w:t>2.4.9磋商完成后，磋商小组应出具磋商情况记录表，磋商情况记录表需包含磋商内容、磋商意见、实质性变动内容等。</w:t>
      </w:r>
      <w:bookmarkEnd w:id="57"/>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2.5报价。</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2.5.1</w:t>
      </w:r>
      <w:r>
        <w:rPr>
          <w:rFonts w:hint="eastAsia" w:hAnsi="宋体"/>
          <w:color w:val="auto"/>
          <w:sz w:val="24"/>
          <w:szCs w:val="24"/>
          <w:highlight w:val="none"/>
        </w:rPr>
        <w:t>本次磋商采购响应文件报价不作为评审的依据，以现场报价为准</w:t>
      </w:r>
      <w:r>
        <w:rPr>
          <w:rFonts w:hint="eastAsia" w:hAnsi="宋体"/>
          <w:color w:val="auto"/>
          <w:kern w:val="2"/>
          <w:sz w:val="24"/>
          <w:szCs w:val="24"/>
          <w:highlight w:val="none"/>
        </w:rPr>
        <w:t>，参与报价的供应商按磋商小组要求进行报价。报价超过竞争性磋商文件规定的政府采购预算（或最高限价）或者相关报价不符合采购文件其他的报价规定的，应按照无效响应文件处理。</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2.5.</w:t>
      </w:r>
      <w:r>
        <w:rPr>
          <w:rFonts w:hAnsi="宋体"/>
          <w:color w:val="auto"/>
          <w:kern w:val="2"/>
          <w:sz w:val="24"/>
          <w:szCs w:val="24"/>
          <w:highlight w:val="none"/>
        </w:rPr>
        <w:t>2</w:t>
      </w:r>
      <w:r>
        <w:rPr>
          <w:rFonts w:hint="eastAsia" w:hAnsi="宋体"/>
          <w:color w:val="auto"/>
          <w:kern w:val="2"/>
          <w:sz w:val="24"/>
          <w:szCs w:val="24"/>
          <w:highlight w:val="none"/>
        </w:rPr>
        <w:t>磋商文件能够详细列明采购标的的技术、服务要求的，磋商结束后，磋商小组应当要求所有实质性响应的供应商在规定时间内提交最后报价，提交最后报价的供应商不得少于3家</w:t>
      </w:r>
      <w:r>
        <w:rPr>
          <w:rFonts w:hint="eastAsia" w:hAnsi="宋体"/>
          <w:b/>
          <w:color w:val="auto"/>
          <w:kern w:val="2"/>
          <w:sz w:val="24"/>
          <w:szCs w:val="24"/>
          <w:highlight w:val="none"/>
        </w:rPr>
        <w:t>（本章2.3.1和</w:t>
      </w:r>
      <w:r>
        <w:rPr>
          <w:rFonts w:hint="eastAsia" w:hAnsi="宋体"/>
          <w:color w:val="auto"/>
          <w:kern w:val="2"/>
          <w:sz w:val="24"/>
          <w:szCs w:val="24"/>
          <w:highlight w:val="none"/>
        </w:rPr>
        <w:t>2.5.</w:t>
      </w:r>
      <w:r>
        <w:rPr>
          <w:rFonts w:hAnsi="宋体"/>
          <w:color w:val="auto"/>
          <w:kern w:val="2"/>
          <w:sz w:val="24"/>
          <w:szCs w:val="24"/>
          <w:highlight w:val="none"/>
        </w:rPr>
        <w:t>3</w:t>
      </w:r>
      <w:r>
        <w:rPr>
          <w:rFonts w:hint="eastAsia" w:hAnsi="宋体"/>
          <w:b/>
          <w:color w:val="auto"/>
          <w:kern w:val="2"/>
          <w:sz w:val="24"/>
          <w:szCs w:val="24"/>
          <w:highlight w:val="none"/>
        </w:rPr>
        <w:t>的情况除外）</w:t>
      </w:r>
      <w:r>
        <w:rPr>
          <w:rFonts w:hint="eastAsia" w:hAnsi="宋体"/>
          <w:color w:val="auto"/>
          <w:kern w:val="2"/>
          <w:sz w:val="24"/>
          <w:szCs w:val="24"/>
          <w:highlight w:val="none"/>
        </w:rPr>
        <w:t>。或磋商文件不能详细列明采购标的的技术、服务要求，需经磋商由供应商提供最终设计方案或解决方案的，磋商结束后，磋商小组应当按照少数服从多数的原则投票推荐3家以上</w:t>
      </w:r>
      <w:r>
        <w:rPr>
          <w:rFonts w:hint="eastAsia" w:hAnsi="宋体"/>
          <w:b/>
          <w:color w:val="auto"/>
          <w:kern w:val="2"/>
          <w:sz w:val="24"/>
          <w:szCs w:val="24"/>
          <w:highlight w:val="none"/>
        </w:rPr>
        <w:t>（本章2.3.1和</w:t>
      </w:r>
      <w:r>
        <w:rPr>
          <w:rFonts w:hint="eastAsia" w:hAnsi="宋体"/>
          <w:color w:val="auto"/>
          <w:kern w:val="2"/>
          <w:sz w:val="24"/>
          <w:szCs w:val="24"/>
          <w:highlight w:val="none"/>
        </w:rPr>
        <w:t>2.5.</w:t>
      </w:r>
      <w:r>
        <w:rPr>
          <w:rFonts w:hAnsi="宋体"/>
          <w:color w:val="auto"/>
          <w:kern w:val="2"/>
          <w:sz w:val="24"/>
          <w:szCs w:val="24"/>
          <w:highlight w:val="none"/>
        </w:rPr>
        <w:t>3</w:t>
      </w:r>
      <w:r>
        <w:rPr>
          <w:rFonts w:hint="eastAsia" w:hAnsi="宋体"/>
          <w:b/>
          <w:color w:val="auto"/>
          <w:kern w:val="2"/>
          <w:sz w:val="24"/>
          <w:szCs w:val="24"/>
          <w:highlight w:val="none"/>
        </w:rPr>
        <w:t>的情况除外）</w:t>
      </w:r>
      <w:r>
        <w:rPr>
          <w:rFonts w:hint="eastAsia" w:hAnsi="宋体"/>
          <w:color w:val="auto"/>
          <w:kern w:val="2"/>
          <w:sz w:val="24"/>
          <w:szCs w:val="24"/>
          <w:highlight w:val="none"/>
        </w:rPr>
        <w:t>供应商的设计方案或者解决方案，并要求其在规定时间内提交最后报价。</w:t>
      </w:r>
    </w:p>
    <w:p>
      <w:pPr>
        <w:widowControl w:val="0"/>
        <w:spacing w:line="460" w:lineRule="exact"/>
        <w:ind w:firstLine="480" w:firstLineChars="200"/>
        <w:jc w:val="both"/>
        <w:rPr>
          <w:rFonts w:hAnsi="宋体"/>
          <w:b/>
          <w:bCs/>
          <w:color w:val="auto"/>
          <w:kern w:val="2"/>
          <w:sz w:val="24"/>
          <w:szCs w:val="24"/>
          <w:highlight w:val="none"/>
        </w:rPr>
      </w:pPr>
      <w:r>
        <w:rPr>
          <w:rFonts w:hint="eastAsia" w:hAnsi="宋体"/>
          <w:color w:val="auto"/>
          <w:kern w:val="2"/>
          <w:sz w:val="24"/>
          <w:szCs w:val="24"/>
          <w:highlight w:val="none"/>
        </w:rPr>
        <w:t>2.5.</w:t>
      </w:r>
      <w:r>
        <w:rPr>
          <w:rFonts w:hAnsi="宋体"/>
          <w:color w:val="auto"/>
          <w:kern w:val="2"/>
          <w:sz w:val="24"/>
          <w:szCs w:val="24"/>
          <w:highlight w:val="none"/>
        </w:rPr>
        <w:t>3</w:t>
      </w:r>
      <w:r>
        <w:rPr>
          <w:rFonts w:hint="eastAsia" w:hAnsi="宋体"/>
          <w:color w:val="auto"/>
          <w:kern w:val="2"/>
          <w:sz w:val="24"/>
          <w:szCs w:val="24"/>
          <w:highlight w:val="none"/>
        </w:rPr>
        <w:t>符合</w:t>
      </w:r>
      <w:bookmarkStart w:id="58" w:name="_Toc30986"/>
      <w:r>
        <w:rPr>
          <w:rFonts w:hint="eastAsia" w:hAnsi="宋体"/>
          <w:color w:val="auto"/>
          <w:kern w:val="2"/>
          <w:sz w:val="24"/>
          <w:szCs w:val="24"/>
          <w:highlight w:val="none"/>
        </w:rPr>
        <w:t>《</w:t>
      </w:r>
      <w:r>
        <w:rPr>
          <w:rFonts w:hAnsi="宋体"/>
          <w:b/>
          <w:bCs/>
          <w:color w:val="auto"/>
          <w:kern w:val="2"/>
          <w:sz w:val="24"/>
          <w:szCs w:val="24"/>
          <w:highlight w:val="none"/>
        </w:rPr>
        <w:t>政府采购竞争性磋商采购方式管理暂行办法</w:t>
      </w:r>
      <w:r>
        <w:rPr>
          <w:rFonts w:hint="eastAsia" w:hAnsi="宋体"/>
          <w:b/>
          <w:bCs/>
          <w:color w:val="auto"/>
          <w:kern w:val="2"/>
          <w:sz w:val="24"/>
          <w:szCs w:val="24"/>
          <w:highlight w:val="none"/>
        </w:rPr>
        <w:t>财库》〔2014〕214号</w:t>
      </w:r>
      <w:bookmarkEnd w:id="58"/>
      <w:r>
        <w:rPr>
          <w:rFonts w:hint="eastAsia" w:hAnsi="宋体"/>
          <w:b/>
          <w:bCs/>
          <w:color w:val="auto"/>
          <w:kern w:val="2"/>
          <w:sz w:val="24"/>
          <w:szCs w:val="24"/>
          <w:highlight w:val="none"/>
        </w:rPr>
        <w:t>第三条第四项情形的，提交最后报价的供应商可以为2家。</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2.5.</w:t>
      </w:r>
      <w:r>
        <w:rPr>
          <w:rFonts w:hAnsi="宋体"/>
          <w:color w:val="auto"/>
          <w:kern w:val="2"/>
          <w:sz w:val="24"/>
          <w:szCs w:val="24"/>
          <w:highlight w:val="none"/>
        </w:rPr>
        <w:t>4</w:t>
      </w:r>
      <w:r>
        <w:rPr>
          <w:rFonts w:hint="eastAsia" w:hAnsi="宋体"/>
          <w:color w:val="auto"/>
          <w:kern w:val="2"/>
          <w:sz w:val="24"/>
          <w:szCs w:val="24"/>
          <w:highlight w:val="none"/>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2.5.</w:t>
      </w:r>
      <w:r>
        <w:rPr>
          <w:rFonts w:hAnsi="宋体"/>
          <w:color w:val="auto"/>
          <w:kern w:val="2"/>
          <w:sz w:val="24"/>
          <w:szCs w:val="24"/>
          <w:highlight w:val="none"/>
        </w:rPr>
        <w:t>5</w:t>
      </w:r>
      <w:r>
        <w:rPr>
          <w:rFonts w:hint="eastAsia" w:hAnsi="宋体"/>
          <w:color w:val="auto"/>
          <w:kern w:val="2"/>
          <w:sz w:val="24"/>
          <w:szCs w:val="24"/>
          <w:highlight w:val="none"/>
        </w:rPr>
        <w:t>供应商最后报价应当由法定代表人/主要负责人/本人或其授权代表签字确认（</w:t>
      </w:r>
      <w:r>
        <w:rPr>
          <w:rFonts w:hint="eastAsia" w:hAnsi="宋体"/>
          <w:b/>
          <w:color w:val="auto"/>
          <w:kern w:val="2"/>
          <w:sz w:val="24"/>
          <w:szCs w:val="24"/>
          <w:highlight w:val="none"/>
        </w:rPr>
        <w:t>注：</w:t>
      </w:r>
      <w:r>
        <w:rPr>
          <w:rFonts w:hint="eastAsia" w:hAnsi="宋体"/>
          <w:color w:val="auto"/>
          <w:kern w:val="2"/>
          <w:sz w:val="24"/>
          <w:szCs w:val="24"/>
          <w:highlight w:val="none"/>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widowControl w:val="0"/>
        <w:spacing w:line="460" w:lineRule="exact"/>
        <w:ind w:firstLine="480"/>
        <w:jc w:val="both"/>
        <w:rPr>
          <w:rFonts w:hAnsi="宋体"/>
          <w:color w:val="auto"/>
          <w:kern w:val="2"/>
          <w:sz w:val="24"/>
          <w:szCs w:val="24"/>
          <w:highlight w:val="none"/>
        </w:rPr>
      </w:pPr>
      <w:r>
        <w:rPr>
          <w:rFonts w:hint="eastAsia" w:hAnsi="宋体"/>
          <w:color w:val="auto"/>
          <w:kern w:val="2"/>
          <w:sz w:val="24"/>
          <w:szCs w:val="24"/>
          <w:highlight w:val="none"/>
        </w:rPr>
        <w:t>2.5.</w:t>
      </w:r>
      <w:r>
        <w:rPr>
          <w:rFonts w:hAnsi="宋体"/>
          <w:color w:val="auto"/>
          <w:kern w:val="2"/>
          <w:sz w:val="24"/>
          <w:szCs w:val="24"/>
          <w:highlight w:val="none"/>
        </w:rPr>
        <w:t>6</w:t>
      </w:r>
      <w:r>
        <w:rPr>
          <w:rFonts w:hint="eastAsia" w:hAnsi="宋体"/>
          <w:color w:val="auto"/>
          <w:kern w:val="2"/>
          <w:sz w:val="24"/>
          <w:szCs w:val="24"/>
          <w:highlight w:val="none"/>
        </w:rPr>
        <w:t>报价如果出现下列不一致的，可按以下原则进行修改：</w:t>
      </w:r>
    </w:p>
    <w:p>
      <w:pPr>
        <w:widowControl w:val="0"/>
        <w:spacing w:line="460" w:lineRule="exact"/>
        <w:ind w:firstLine="480"/>
        <w:jc w:val="both"/>
        <w:rPr>
          <w:rFonts w:hAnsi="宋体"/>
          <w:color w:val="auto"/>
          <w:kern w:val="2"/>
          <w:sz w:val="24"/>
          <w:szCs w:val="24"/>
          <w:highlight w:val="none"/>
        </w:rPr>
      </w:pPr>
      <w:r>
        <w:rPr>
          <w:rFonts w:hint="eastAsia" w:hAnsi="宋体"/>
          <w:color w:val="auto"/>
          <w:kern w:val="2"/>
          <w:sz w:val="24"/>
          <w:szCs w:val="24"/>
          <w:highlight w:val="none"/>
        </w:rPr>
        <w:t>（一）</w:t>
      </w:r>
      <w:r>
        <w:rPr>
          <w:rFonts w:hint="eastAsia" w:hAnsi="宋体" w:cs="宋体"/>
          <w:color w:val="auto"/>
          <w:sz w:val="24"/>
          <w:szCs w:val="24"/>
          <w:highlight w:val="none"/>
        </w:rPr>
        <w:t>大写金额和小写金额不一致的，以大写金额为准</w:t>
      </w:r>
      <w:r>
        <w:rPr>
          <w:rFonts w:hint="eastAsia" w:hAnsi="宋体"/>
          <w:color w:val="auto"/>
          <w:kern w:val="2"/>
          <w:sz w:val="24"/>
          <w:szCs w:val="24"/>
          <w:highlight w:val="none"/>
        </w:rPr>
        <w:t>，但大写金额文字存在错误的，应当先对大写金额的文字错误进行澄清、说明或者更正，再行修正。</w:t>
      </w:r>
    </w:p>
    <w:p>
      <w:pPr>
        <w:widowControl w:val="0"/>
        <w:spacing w:line="460" w:lineRule="exact"/>
        <w:ind w:firstLine="480"/>
        <w:jc w:val="both"/>
        <w:rPr>
          <w:rFonts w:hAnsi="宋体"/>
          <w:color w:val="auto"/>
          <w:kern w:val="2"/>
          <w:sz w:val="24"/>
          <w:szCs w:val="24"/>
          <w:highlight w:val="none"/>
        </w:rPr>
      </w:pPr>
      <w:r>
        <w:rPr>
          <w:rFonts w:hint="eastAsia" w:hAnsi="宋体"/>
          <w:color w:val="auto"/>
          <w:kern w:val="2"/>
          <w:sz w:val="24"/>
          <w:szCs w:val="24"/>
          <w:highlight w:val="none"/>
        </w:rPr>
        <w:t>（二）</w:t>
      </w:r>
      <w:r>
        <w:rPr>
          <w:rFonts w:hint="eastAsia" w:hAnsi="宋体" w:cs="宋体"/>
          <w:color w:val="auto"/>
          <w:sz w:val="24"/>
          <w:szCs w:val="24"/>
          <w:highlight w:val="none"/>
        </w:rPr>
        <w:t>总价金额与按单价汇总金额不一致的，以单价金额计算结果为准，</w:t>
      </w:r>
      <w:r>
        <w:rPr>
          <w:rFonts w:hint="eastAsia" w:hAnsi="宋体"/>
          <w:color w:val="auto"/>
          <w:kern w:val="2"/>
          <w:sz w:val="24"/>
          <w:szCs w:val="24"/>
          <w:highlight w:val="none"/>
        </w:rPr>
        <w:t>但</w:t>
      </w:r>
      <w:r>
        <w:rPr>
          <w:rFonts w:hint="eastAsia" w:hAnsi="宋体" w:cs="宋体"/>
          <w:color w:val="auto"/>
          <w:sz w:val="24"/>
          <w:szCs w:val="24"/>
          <w:highlight w:val="none"/>
        </w:rPr>
        <w:t>单价或者单价汇总金额存在数字或者</w:t>
      </w:r>
      <w:r>
        <w:rPr>
          <w:rFonts w:hint="eastAsia" w:hAnsi="宋体"/>
          <w:color w:val="auto"/>
          <w:kern w:val="2"/>
          <w:sz w:val="24"/>
          <w:szCs w:val="24"/>
          <w:highlight w:val="none"/>
        </w:rPr>
        <w:t>文字错误的，应当先对</w:t>
      </w:r>
      <w:r>
        <w:rPr>
          <w:rFonts w:hint="eastAsia" w:hAnsi="宋体" w:cs="宋体"/>
          <w:color w:val="auto"/>
          <w:sz w:val="24"/>
          <w:szCs w:val="24"/>
          <w:highlight w:val="none"/>
        </w:rPr>
        <w:t>数字或者</w:t>
      </w:r>
      <w:r>
        <w:rPr>
          <w:rFonts w:hint="eastAsia" w:hAnsi="宋体"/>
          <w:color w:val="auto"/>
          <w:kern w:val="2"/>
          <w:sz w:val="24"/>
          <w:szCs w:val="24"/>
          <w:highlight w:val="none"/>
        </w:rPr>
        <w:t>文字错误进行澄清、说明或者更正，再行修正。</w:t>
      </w:r>
    </w:p>
    <w:p>
      <w:pPr>
        <w:widowControl w:val="0"/>
        <w:spacing w:line="460" w:lineRule="exact"/>
        <w:ind w:firstLine="480"/>
        <w:jc w:val="both"/>
        <w:rPr>
          <w:rFonts w:hAnsi="宋体"/>
          <w:color w:val="auto"/>
          <w:kern w:val="2"/>
          <w:sz w:val="24"/>
          <w:szCs w:val="24"/>
          <w:highlight w:val="none"/>
        </w:rPr>
      </w:pPr>
      <w:r>
        <w:rPr>
          <w:rFonts w:hint="eastAsia" w:hAnsi="宋体"/>
          <w:color w:val="auto"/>
          <w:kern w:val="2"/>
          <w:sz w:val="24"/>
          <w:szCs w:val="24"/>
          <w:highlight w:val="none"/>
        </w:rPr>
        <w:t>（三）单价金额小数点</w:t>
      </w:r>
      <w:r>
        <w:rPr>
          <w:rFonts w:hint="eastAsia" w:hAnsi="宋体" w:cs="宋体"/>
          <w:color w:val="auto"/>
          <w:sz w:val="24"/>
          <w:szCs w:val="24"/>
          <w:highlight w:val="none"/>
        </w:rPr>
        <w:t>或者百分比有明显错位的</w:t>
      </w:r>
      <w:r>
        <w:rPr>
          <w:rFonts w:hint="eastAsia" w:hAnsi="宋体"/>
          <w:color w:val="auto"/>
          <w:kern w:val="2"/>
          <w:sz w:val="24"/>
          <w:szCs w:val="24"/>
          <w:highlight w:val="none"/>
        </w:rPr>
        <w:t>，以总价为准，修正单价。</w:t>
      </w:r>
    </w:p>
    <w:p>
      <w:pPr>
        <w:widowControl w:val="0"/>
        <w:spacing w:line="46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不得未经澄清、说明或者更正，直接将供应商响应文件作为无效处理。对不同文字文本响应文件的解释发生异议的，以中文文本为准。</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2.6比较与评价。由磋商小组采用综合评分法对提交最后报价的供应商的响应文件和最后报价进行综合评分，具体要求详见本章综合评分部分。</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w:t>
      </w:r>
      <w:r>
        <w:rPr>
          <w:rFonts w:hint="eastAsia" w:cs="宋体"/>
          <w:color w:val="auto"/>
          <w:sz w:val="24"/>
          <w:highlight w:val="none"/>
        </w:rPr>
        <w:t>履约能力及售后维保服务</w:t>
      </w:r>
      <w:r>
        <w:rPr>
          <w:rFonts w:hint="eastAsia" w:hAnsi="宋体"/>
          <w:color w:val="auto"/>
          <w:kern w:val="2"/>
          <w:sz w:val="24"/>
          <w:szCs w:val="24"/>
          <w:highlight w:val="none"/>
        </w:rPr>
        <w:t>优劣顺序推荐。评审得分且最后报价且</w:t>
      </w:r>
      <w:r>
        <w:rPr>
          <w:rFonts w:hint="eastAsia" w:cs="宋体"/>
          <w:color w:val="auto"/>
          <w:sz w:val="24"/>
          <w:highlight w:val="none"/>
        </w:rPr>
        <w:t>履约能力及售后维保服务</w:t>
      </w:r>
      <w:r>
        <w:rPr>
          <w:rFonts w:hint="eastAsia" w:hAnsi="宋体"/>
          <w:color w:val="auto"/>
          <w:kern w:val="2"/>
          <w:sz w:val="24"/>
          <w:szCs w:val="24"/>
          <w:highlight w:val="none"/>
        </w:rPr>
        <w:t>分项得分均相同的，不发达地区或少数民族地区的供应商推荐顺序在非不发达地区或少数民族地区的供应商之前；评审得分且最后报价且</w:t>
      </w:r>
      <w:r>
        <w:rPr>
          <w:rFonts w:hint="eastAsia" w:cs="宋体"/>
          <w:color w:val="auto"/>
          <w:sz w:val="24"/>
          <w:highlight w:val="none"/>
        </w:rPr>
        <w:t>履约能力及售后维保服务</w:t>
      </w:r>
      <w:r>
        <w:rPr>
          <w:rFonts w:hint="eastAsia" w:hAnsi="宋体"/>
          <w:color w:val="auto"/>
          <w:kern w:val="2"/>
          <w:sz w:val="24"/>
          <w:szCs w:val="24"/>
          <w:highlight w:val="none"/>
        </w:rPr>
        <w:t>分项得分均相同的，且均为不发达地区或少数民族地区的供应商并列；评审得分且最后报价且</w:t>
      </w:r>
      <w:r>
        <w:rPr>
          <w:rFonts w:hint="eastAsia" w:cs="宋体"/>
          <w:color w:val="auto"/>
          <w:sz w:val="24"/>
          <w:highlight w:val="none"/>
        </w:rPr>
        <w:t>履约能力及售后维保服务</w:t>
      </w:r>
      <w:r>
        <w:rPr>
          <w:rFonts w:hint="eastAsia" w:hAnsi="宋体"/>
          <w:color w:val="auto"/>
          <w:kern w:val="2"/>
          <w:sz w:val="24"/>
          <w:szCs w:val="24"/>
          <w:highlight w:val="none"/>
        </w:rPr>
        <w:t>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2.9采购组织单位现场复核评审结果。</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（1）资格性审查认定错误的；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（2）分值汇总计算错误的；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（3）分项评分超出评分标准范围的；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（4）客观评分不一致的。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采购代理机构复核过程中，磋商小组成员不得离开评审现场。</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2.9.2有下列情形之一的，不得现场修改评审结果：</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（1）磋商小组已经出具磋商报告并且离开评审现场的；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（2）采购代理机构现场复核时，复核工作人员数量不足的；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（3）采购代理机构现场复核时，没有采购监督人员现场监督的；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（4）采购代理机构现场复核内容超出规定范围的；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（5）采购代理机构未提供书面建议的。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2.10编写磋商报告。磋商小组推荐成交候选供应商后，应向采购代理机构出具磋商报告。磋商报告应当包括以下主要内容：</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（1）邀请供应商参加采购活动的具体方式和相关情况；</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（2）响应文件开启日期和地点；</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（3）获取磋商文件的供应商名单和磋商小组成员名单；</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（4）评审情况记录和说明，包括对供应商的资格审查情况、供应商响应文件审查情况、磋商情况、报价情况等；</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（5）提出的成交候选供应商的排序名单及理由。</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2.12供应商澄清、说明</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2.12.2磋商小组要求供应商澄清、说明或者更正响应文件应当以书面形式作出。供应商的澄清、说明或者更正应当由法定代表人/主要负责人/本人或其授权代表签字（</w:t>
      </w:r>
      <w:r>
        <w:rPr>
          <w:rFonts w:hint="eastAsia" w:hAnsi="宋体"/>
          <w:b/>
          <w:color w:val="auto"/>
          <w:kern w:val="2"/>
          <w:sz w:val="24"/>
          <w:szCs w:val="24"/>
          <w:highlight w:val="none"/>
        </w:rPr>
        <w:t>注：</w:t>
      </w:r>
      <w:r>
        <w:rPr>
          <w:rFonts w:hint="eastAsia" w:hAnsi="宋体"/>
          <w:color w:val="auto"/>
          <w:kern w:val="2"/>
          <w:sz w:val="24"/>
          <w:szCs w:val="24"/>
          <w:highlight w:val="none"/>
        </w:rPr>
        <w:t>供应商为法人的，应当由其法定代表人或者授权代表签字确认；供应商为其他组织的，应当由其主要负责人或者授权代表签字确认；供应商为自然人的，应当由其本人或者授权代表签字确认）或者加盖公章。</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2.13终止磋商采购活动。</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出现下列情形之一的，采购人或者采购代理机构应当终止竞争性磋商采购活动，发布项目终止公告并说明原因，重新开展采购活动：</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（1）因情况变化，不再符合规定的竞争性磋商采购方式适用情形的；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（2）出现影响采购公正的违法、违规行为的；</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（3）除</w:t>
      </w:r>
      <w:r>
        <w:rPr>
          <w:rFonts w:hint="eastAsia" w:hAnsi="宋体"/>
          <w:b/>
          <w:color w:val="auto"/>
          <w:kern w:val="2"/>
          <w:sz w:val="24"/>
          <w:szCs w:val="24"/>
          <w:highlight w:val="none"/>
        </w:rPr>
        <w:t>本章2.3.1和</w:t>
      </w:r>
      <w:r>
        <w:rPr>
          <w:rFonts w:hint="eastAsia" w:hAnsi="宋体"/>
          <w:color w:val="auto"/>
          <w:kern w:val="2"/>
          <w:sz w:val="24"/>
          <w:szCs w:val="24"/>
          <w:highlight w:val="none"/>
        </w:rPr>
        <w:t>2.5.</w:t>
      </w:r>
      <w:r>
        <w:rPr>
          <w:rFonts w:hAnsi="宋体"/>
          <w:color w:val="auto"/>
          <w:kern w:val="2"/>
          <w:sz w:val="24"/>
          <w:szCs w:val="24"/>
          <w:highlight w:val="none"/>
        </w:rPr>
        <w:t>3</w:t>
      </w:r>
      <w:r>
        <w:rPr>
          <w:rFonts w:hint="eastAsia" w:hAnsi="宋体"/>
          <w:b/>
          <w:color w:val="auto"/>
          <w:kern w:val="2"/>
          <w:sz w:val="24"/>
          <w:szCs w:val="24"/>
          <w:highlight w:val="none"/>
        </w:rPr>
        <w:t>的情况外，</w:t>
      </w:r>
      <w:r>
        <w:rPr>
          <w:rFonts w:hint="eastAsia" w:hAnsi="宋体"/>
          <w:color w:val="auto"/>
          <w:kern w:val="2"/>
          <w:sz w:val="24"/>
          <w:szCs w:val="24"/>
          <w:highlight w:val="none"/>
        </w:rPr>
        <w:t>在采购过程中符合要求的供应商或者报价未超过采购预算的供应商不足3家的。</w:t>
      </w:r>
    </w:p>
    <w:p>
      <w:pPr>
        <w:widowControl w:val="0"/>
        <w:spacing w:line="460" w:lineRule="exact"/>
        <w:ind w:firstLine="482" w:firstLineChars="200"/>
        <w:jc w:val="both"/>
        <w:rPr>
          <w:rFonts w:hAnsi="宋体"/>
          <w:b/>
          <w:color w:val="auto"/>
          <w:kern w:val="2"/>
          <w:sz w:val="24"/>
          <w:szCs w:val="24"/>
          <w:highlight w:val="none"/>
        </w:rPr>
      </w:pPr>
      <w:r>
        <w:rPr>
          <w:rFonts w:hint="eastAsia" w:hAnsi="宋体"/>
          <w:b/>
          <w:color w:val="auto"/>
          <w:kern w:val="2"/>
          <w:sz w:val="24"/>
          <w:szCs w:val="24"/>
          <w:highlight w:val="none"/>
        </w:rPr>
        <w:t>3.综合评分</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3.1本次综合评分的因素详见综合评分明细表。</w:t>
      </w:r>
    </w:p>
    <w:p>
      <w:pPr>
        <w:widowControl w:val="0"/>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widowControl w:val="0"/>
        <w:tabs>
          <w:tab w:val="left" w:pos="600"/>
        </w:tabs>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3.3综合评分明细表</w:t>
      </w:r>
    </w:p>
    <w:p>
      <w:pPr>
        <w:widowControl w:val="0"/>
        <w:tabs>
          <w:tab w:val="left" w:pos="600"/>
        </w:tabs>
        <w:spacing w:line="460" w:lineRule="exact"/>
        <w:ind w:firstLine="480" w:firstLineChars="200"/>
        <w:jc w:val="both"/>
        <w:rPr>
          <w:rFonts w:hAnsi="宋体"/>
          <w:color w:val="auto"/>
          <w:kern w:val="2"/>
          <w:sz w:val="24"/>
          <w:szCs w:val="24"/>
          <w:highlight w:val="none"/>
        </w:rPr>
      </w:pPr>
      <w:r>
        <w:rPr>
          <w:rFonts w:hint="eastAsia" w:hAnsi="宋体"/>
          <w:color w:val="auto"/>
          <w:kern w:val="2"/>
          <w:sz w:val="24"/>
          <w:szCs w:val="24"/>
          <w:highlight w:val="none"/>
        </w:rPr>
        <w:t>3.3.1综合评分明细表的制定以科学合理、降低评委会自由裁量权为原则。</w:t>
      </w:r>
    </w:p>
    <w:p>
      <w:pPr>
        <w:spacing w:line="460" w:lineRule="exact"/>
        <w:ind w:firstLine="480" w:firstLineChars="200"/>
        <w:rPr>
          <w:rFonts w:hAnsi="宋体"/>
          <w:color w:val="auto"/>
          <w:kern w:val="2"/>
          <w:sz w:val="24"/>
          <w:szCs w:val="24"/>
          <w:highlight w:val="none"/>
        </w:rPr>
      </w:pPr>
      <w:r>
        <w:rPr>
          <w:rFonts w:hint="eastAsia" w:hAnsi="宋体"/>
          <w:color w:val="auto"/>
          <w:kern w:val="2"/>
          <w:sz w:val="24"/>
          <w:szCs w:val="24"/>
          <w:highlight w:val="none"/>
        </w:rPr>
        <w:t>3.3.2 综合评分明细表按须知表中的相关要求进行价格调整，再参与价格分评审。</w:t>
      </w:r>
    </w:p>
    <w:p>
      <w:pPr>
        <w:widowControl w:val="0"/>
        <w:spacing w:line="460" w:lineRule="exact"/>
        <w:ind w:firstLine="470" w:firstLineChars="196"/>
        <w:jc w:val="both"/>
        <w:rPr>
          <w:rFonts w:hAnsi="宋体"/>
          <w:bCs/>
          <w:color w:val="auto"/>
          <w:kern w:val="2"/>
          <w:sz w:val="24"/>
          <w:szCs w:val="24"/>
          <w:highlight w:val="none"/>
        </w:rPr>
      </w:pPr>
      <w:bookmarkStart w:id="59" w:name="_Toc23038"/>
      <w:r>
        <w:rPr>
          <w:rFonts w:hAnsi="宋体"/>
          <w:bCs/>
          <w:color w:val="auto"/>
          <w:kern w:val="2"/>
          <w:sz w:val="24"/>
          <w:szCs w:val="24"/>
          <w:highlight w:val="none"/>
        </w:rPr>
        <w:t>3.3.3</w:t>
      </w:r>
      <w:r>
        <w:rPr>
          <w:rFonts w:hint="eastAsia" w:hAnsi="宋体"/>
          <w:bCs/>
          <w:color w:val="auto"/>
          <w:kern w:val="2"/>
          <w:sz w:val="24"/>
          <w:szCs w:val="24"/>
          <w:highlight w:val="none"/>
        </w:rPr>
        <w:t>综合评分明细表</w:t>
      </w:r>
      <w:bookmarkEnd w:id="59"/>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773"/>
        <w:gridCol w:w="786"/>
        <w:gridCol w:w="6136"/>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序号</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评分因素及权重</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分值</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评分标准</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1</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响应报价40%</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40分</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rPr>
                <w:rFonts w:cs="宋体"/>
                <w:color w:val="auto"/>
                <w:sz w:val="24"/>
                <w:highlight w:val="none"/>
              </w:rPr>
            </w:pPr>
            <w:r>
              <w:rPr>
                <w:rFonts w:hint="eastAsia" w:cs="宋体"/>
                <w:color w:val="auto"/>
                <w:sz w:val="24"/>
                <w:highlight w:val="none"/>
              </w:rPr>
              <w:t>满足磋商文件要求且最终报价最低的报价为评标基准价，其价格分为满分。其他供应商的价格分统一按照下列公式计算：最终报价得分=(评标基准价／响应报价)×40（报价得分保留至小数点后两位）</w:t>
            </w:r>
          </w:p>
          <w:p>
            <w:pPr>
              <w:spacing w:line="480" w:lineRule="exact"/>
              <w:rPr>
                <w:rFonts w:cs="宋体"/>
                <w:color w:val="auto"/>
                <w:sz w:val="24"/>
                <w:highlight w:val="none"/>
              </w:rPr>
            </w:pPr>
            <w:r>
              <w:rPr>
                <w:rFonts w:hint="eastAsia" w:cs="宋体"/>
                <w:color w:val="auto"/>
                <w:sz w:val="24"/>
                <w:highlight w:val="none"/>
              </w:rPr>
              <w:t>1、(按财库[2020]46号文规定，对小型和微型企业（残疾人福利性单位和监狱企业视同小微企业）产品的价格给予10%的扣除，用扣除后的价格参与评审（如供应商均为微小型企业，则不必再扣除）。</w:t>
            </w:r>
          </w:p>
          <w:p>
            <w:pPr>
              <w:spacing w:line="480" w:lineRule="exact"/>
              <w:rPr>
                <w:rFonts w:cs="宋体"/>
                <w:color w:val="auto"/>
                <w:sz w:val="24"/>
                <w:highlight w:val="none"/>
              </w:rPr>
            </w:pPr>
            <w:r>
              <w:rPr>
                <w:rFonts w:hint="eastAsia" w:cs="宋体"/>
                <w:color w:val="auto"/>
                <w:sz w:val="24"/>
                <w:highlight w:val="none"/>
              </w:rPr>
              <w:t>2、如参加政府采购活动的中小企业应当提供《中小企业声明函》、《残疾人福利性单位声明函》原件或相关主管部门出具的相关证明材料，参加政府采购活动的监狱企业应当提供由省级以上监狱管理局、戒毒管理局（含新疆生产建设兵团）出具的属于监狱企业的证明文件。</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7"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2</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技术指标和配置11.72%</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11.72分</w:t>
            </w:r>
          </w:p>
        </w:tc>
        <w:tc>
          <w:tcPr>
            <w:tcW w:w="6136" w:type="dxa"/>
            <w:tcBorders>
              <w:top w:val="single" w:color="auto" w:sz="4" w:space="0"/>
              <w:left w:val="single" w:color="auto" w:sz="4" w:space="0"/>
              <w:bottom w:val="single" w:color="auto" w:sz="4" w:space="0"/>
              <w:right w:val="single" w:color="auto" w:sz="4" w:space="0"/>
            </w:tcBorders>
            <w:vAlign w:val="center"/>
          </w:tcPr>
          <w:p>
            <w:pPr>
              <w:pStyle w:val="16"/>
              <w:spacing w:line="480" w:lineRule="exact"/>
              <w:rPr>
                <w:color w:val="auto"/>
                <w:sz w:val="24"/>
                <w:highlight w:val="none"/>
              </w:rPr>
            </w:pPr>
            <w:r>
              <w:rPr>
                <w:rFonts w:hint="eastAsia" w:ascii="宋体" w:cs="宋体"/>
                <w:color w:val="auto"/>
                <w:sz w:val="24"/>
                <w:highlight w:val="none"/>
              </w:rPr>
              <w:t>供应商提供的产品所有技术指标和配置完全符合文件要求，没有负偏离的得11.72分；带</w:t>
            </w:r>
            <w:r>
              <w:rPr>
                <w:rFonts w:hint="eastAsia" w:ascii="宋体" w:cs="宋体"/>
                <w:color w:val="auto"/>
                <w:kern w:val="0"/>
                <w:sz w:val="24"/>
                <w:highlight w:val="none"/>
              </w:rPr>
              <w:t>★</w:t>
            </w:r>
            <w:r>
              <w:rPr>
                <w:rFonts w:hint="eastAsia" w:ascii="宋体" w:cs="宋体"/>
                <w:color w:val="auto"/>
                <w:sz w:val="24"/>
                <w:highlight w:val="none"/>
              </w:rPr>
              <w:t>号每有一项不满足扣1分，不带任何符号的参数每有一项不满足的扣0.04分，扣完为止。</w:t>
            </w:r>
          </w:p>
          <w:p>
            <w:pPr>
              <w:spacing w:line="480" w:lineRule="exact"/>
              <w:rPr>
                <w:rFonts w:cs="宋体"/>
                <w:color w:val="auto"/>
                <w:sz w:val="24"/>
                <w:highlight w:val="none"/>
              </w:rPr>
            </w:pPr>
            <w:r>
              <w:rPr>
                <w:rFonts w:hint="eastAsia" w:cs="宋体"/>
                <w:color w:val="auto"/>
                <w:sz w:val="24"/>
                <w:highlight w:val="none"/>
              </w:rPr>
              <w:t>注：</w:t>
            </w:r>
            <w:r>
              <w:rPr>
                <w:rFonts w:hint="eastAsia" w:hAnsi="宋体" w:cs="宋体"/>
                <w:color w:val="auto"/>
                <w:sz w:val="24"/>
                <w:highlight w:val="none"/>
              </w:rPr>
              <w:t>本项目采购的产品技术参数一共152条，其中带“▲”号参数一共3条，为实质性要求，如有偏离将按无效响应处理；</w:t>
            </w:r>
            <w:r>
              <w:rPr>
                <w:rFonts w:hint="eastAsia" w:hAnsi="宋体" w:cs="宋体"/>
                <w:color w:val="auto"/>
                <w:sz w:val="24"/>
                <w:highlight w:val="none"/>
                <w:lang w:val="zh-TW"/>
              </w:rPr>
              <w:t>带</w:t>
            </w:r>
            <w:r>
              <w:rPr>
                <w:rFonts w:hint="eastAsia" w:hAnsi="宋体" w:cs="宋体"/>
                <w:color w:val="auto"/>
                <w:sz w:val="24"/>
                <w:highlight w:val="none"/>
              </w:rPr>
              <w:t>★</w:t>
            </w:r>
            <w:r>
              <w:rPr>
                <w:rFonts w:hint="eastAsia" w:hAnsi="宋体" w:cs="宋体"/>
                <w:color w:val="auto"/>
                <w:spacing w:val="-10"/>
                <w:sz w:val="24"/>
                <w:highlight w:val="none"/>
              </w:rPr>
              <w:t>号参数一共6条，</w:t>
            </w:r>
            <w:r>
              <w:rPr>
                <w:rFonts w:hint="eastAsia" w:hAnsi="宋体" w:cs="宋体"/>
                <w:color w:val="auto"/>
                <w:sz w:val="24"/>
                <w:highlight w:val="none"/>
              </w:rPr>
              <w:t>不带任何符号的参数一共143条，若有偏离，将</w:t>
            </w:r>
            <w:r>
              <w:rPr>
                <w:rFonts w:hint="eastAsia" w:hAnsi="宋体" w:cs="宋体"/>
                <w:color w:val="auto"/>
                <w:sz w:val="24"/>
                <w:highlight w:val="none"/>
                <w:lang w:val="zh-TW"/>
              </w:rPr>
              <w:t>按综合评分明细表评分细则进行分值扣除。技术参数中要求提供证明材料的，</w:t>
            </w:r>
            <w:r>
              <w:rPr>
                <w:rFonts w:hint="eastAsia" w:hAnsi="宋体" w:cs="宋体"/>
                <w:color w:val="auto"/>
                <w:spacing w:val="-10"/>
                <w:sz w:val="24"/>
                <w:highlight w:val="none"/>
              </w:rPr>
              <w:t>需提供证明材料佐证，未提供证明材料或提供的证明材料不能佐证参数要求的，视为负偏离</w:t>
            </w:r>
            <w:r>
              <w:rPr>
                <w:rFonts w:hint="eastAsia" w:cs="宋体"/>
                <w:color w:val="auto"/>
                <w:sz w:val="24"/>
                <w:highlight w:val="none"/>
              </w:rPr>
              <w:t>。</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3</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供货方案10%</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10分</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rPr>
                <w:color w:val="auto"/>
                <w:sz w:val="24"/>
                <w:highlight w:val="none"/>
              </w:rPr>
            </w:pPr>
            <w:r>
              <w:rPr>
                <w:rFonts w:hint="eastAsia"/>
                <w:color w:val="auto"/>
                <w:sz w:val="24"/>
                <w:highlight w:val="none"/>
              </w:rPr>
              <w:t>供应商结合本项目采购需求，包含且不限于①涉及到的货物的采购、②运输、③日常维保、④货物抵达现场初步验收、⑤备品备件；编制切实可行的供货方案。</w:t>
            </w:r>
          </w:p>
          <w:p>
            <w:pPr>
              <w:spacing w:line="480" w:lineRule="exact"/>
              <w:rPr>
                <w:color w:val="auto"/>
                <w:sz w:val="24"/>
                <w:highlight w:val="none"/>
              </w:rPr>
            </w:pPr>
            <w:r>
              <w:rPr>
                <w:rFonts w:hint="eastAsia"/>
                <w:color w:val="auto"/>
                <w:sz w:val="24"/>
                <w:highlight w:val="none"/>
              </w:rPr>
              <w:t>方案包含以上内容得10分；每缺少一项内容或每有一处不具有针对性的扣2分，方案中每有一处有逻辑性错误或每有一项内容不完整的扣1分；本项最多扣10分。</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4</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设备安装及实施方案14%</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14分</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rPr>
                <w:color w:val="auto"/>
                <w:sz w:val="24"/>
                <w:highlight w:val="none"/>
              </w:rPr>
            </w:pPr>
            <w:r>
              <w:rPr>
                <w:rFonts w:hint="eastAsia"/>
                <w:color w:val="auto"/>
                <w:sz w:val="24"/>
                <w:highlight w:val="none"/>
              </w:rPr>
              <w:t>供应商结合本项目需求，编制本项目的设备安装及实施方案，包含且不限于如下内容：①项目基本情况分析；②安装技术方案及进度计划；③人员配置方案；④设备安装过程中的重难点分析；⑤安装过程中安全文明方案；⑥质量保证措施；⑦安装应急预案。供应商须编制切实可行的</w:t>
            </w:r>
            <w:r>
              <w:rPr>
                <w:rFonts w:hint="eastAsia" w:cs="宋体"/>
                <w:color w:val="auto"/>
                <w:sz w:val="24"/>
                <w:highlight w:val="none"/>
              </w:rPr>
              <w:t>设备安装及实施方案</w:t>
            </w:r>
            <w:r>
              <w:rPr>
                <w:rFonts w:hint="eastAsia"/>
                <w:color w:val="auto"/>
                <w:sz w:val="24"/>
                <w:highlight w:val="none"/>
              </w:rPr>
              <w:t>。方案包含以上内容得14分；每缺少一项内容或每有一处不具有针对性的扣2分，方案中每有一处有逻辑性错误或每有一项内容不完整的扣1分；本项最多扣14分。</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5</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履约能力及售后维保服务18%</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18分</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rPr>
                <w:color w:val="auto"/>
                <w:sz w:val="24"/>
                <w:highlight w:val="none"/>
              </w:rPr>
            </w:pPr>
            <w:r>
              <w:rPr>
                <w:rFonts w:hint="eastAsia"/>
                <w:color w:val="auto"/>
                <w:sz w:val="24"/>
                <w:highlight w:val="none"/>
              </w:rPr>
              <w:t>1、供应商2020年1月1日（含）至今，每有一个类似业绩的得1分，最多得5分。（提供合同复印件及服务评价函并加盖供应商公章、未提供或提供不全不得分）</w:t>
            </w:r>
          </w:p>
          <w:p>
            <w:pPr>
              <w:spacing w:line="480" w:lineRule="exact"/>
              <w:rPr>
                <w:color w:val="auto"/>
                <w:sz w:val="24"/>
                <w:highlight w:val="none"/>
              </w:rPr>
            </w:pPr>
            <w:r>
              <w:rPr>
                <w:rFonts w:hint="eastAsia"/>
                <w:color w:val="auto"/>
                <w:sz w:val="24"/>
                <w:highlight w:val="none"/>
              </w:rPr>
              <w:t>2、提供改造完成后能够及时恢复现场原貌、施工过程中不扰动坟墓、草坪、地下隐蔽设备及管线等的承诺函，提供者得1分，不提供者得0分。</w:t>
            </w:r>
          </w:p>
          <w:p>
            <w:pPr>
              <w:pStyle w:val="2"/>
              <w:spacing w:after="0" w:line="480" w:lineRule="exact"/>
              <w:rPr>
                <w:color w:val="auto"/>
                <w:highlight w:val="none"/>
              </w:rPr>
            </w:pPr>
            <w:r>
              <w:rPr>
                <w:rFonts w:hint="eastAsia"/>
                <w:color w:val="auto"/>
                <w:highlight w:val="none"/>
              </w:rPr>
              <w:t>3、售后维保服务：供应商应根据本项目编制售后维保服务方案，包含且不限于如下内容：①应急维修内容、②培训计划、③售后培训内容、④备品备件。方案包含以上内容得12分；每缺少一项内容或每有一处不具有针对性的扣3分，方案中每有一处有逻辑性错误或每有一项内容不完整的扣1.5分；本项最多扣12分。</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6</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人员配置3%</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3分</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rPr>
                <w:color w:val="auto"/>
                <w:sz w:val="24"/>
                <w:highlight w:val="none"/>
              </w:rPr>
            </w:pPr>
            <w:r>
              <w:rPr>
                <w:color w:val="auto"/>
                <w:sz w:val="24"/>
                <w:highlight w:val="none"/>
              </w:rPr>
              <w:t>项目负责人具有</w:t>
            </w:r>
            <w:r>
              <w:rPr>
                <w:rFonts w:hint="eastAsia"/>
                <w:color w:val="auto"/>
                <w:sz w:val="24"/>
                <w:highlight w:val="none"/>
              </w:rPr>
              <w:t>信息化类高级及以上职称的得3分；中级及以下职称的得1分。提供证书复印件及在职证明文件，职称证书须提供颁发单位批文复印件。未提供或少提供不得分。</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7</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节能、环保、无线局域网2%</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2分</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rPr>
                <w:rFonts w:cs="宋体"/>
                <w:color w:val="auto"/>
                <w:sz w:val="24"/>
                <w:highlight w:val="none"/>
              </w:rPr>
            </w:pPr>
            <w:r>
              <w:rPr>
                <w:rFonts w:hint="eastAsia" w:cs="宋体"/>
                <w:color w:val="auto"/>
                <w:sz w:val="24"/>
                <w:highlight w:val="none"/>
              </w:rPr>
              <w:t>响应产品中属于政府采购优先采购范围的，则每有一项为节能产品或者环境标志产品、无线局域网产品的得0.1分，非节能、环境标志产品、无线局域网产品的不得分。本项最多得2分。</w:t>
            </w:r>
          </w:p>
          <w:p>
            <w:pPr>
              <w:spacing w:line="480" w:lineRule="exact"/>
              <w:rPr>
                <w:rFonts w:cs="宋体"/>
                <w:color w:val="auto"/>
                <w:sz w:val="24"/>
                <w:highlight w:val="none"/>
              </w:rPr>
            </w:pPr>
            <w:r>
              <w:rPr>
                <w:rFonts w:hint="eastAsia" w:cs="宋体"/>
                <w:color w:val="auto"/>
                <w:sz w:val="24"/>
                <w:highlight w:val="none"/>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480" w:lineRule="exact"/>
              <w:rPr>
                <w:rFonts w:cs="宋体"/>
                <w:color w:val="auto"/>
                <w:sz w:val="24"/>
                <w:highlight w:val="none"/>
              </w:rPr>
            </w:pPr>
            <w:r>
              <w:rPr>
                <w:rFonts w:hint="eastAsia" w:cs="宋体"/>
                <w:color w:val="auto"/>
                <w:sz w:val="24"/>
                <w:highlight w:val="none"/>
              </w:rPr>
              <w:t>2.响应产品属于优先采购范围内的节能产品或者环境标志产品的，提供国家确定的认证机构出具的、处于有效期之内的节能产品、环境标志产品认证证书复印件加盖供应商公章（鲜章）。</w:t>
            </w:r>
          </w:p>
          <w:p>
            <w:pPr>
              <w:spacing w:line="480" w:lineRule="exact"/>
              <w:rPr>
                <w:rFonts w:cs="宋体"/>
                <w:color w:val="auto"/>
                <w:sz w:val="24"/>
                <w:highlight w:val="none"/>
              </w:rPr>
            </w:pPr>
            <w:r>
              <w:rPr>
                <w:rFonts w:hint="eastAsia" w:cs="宋体"/>
                <w:color w:val="auto"/>
                <w:sz w:val="24"/>
                <w:highlight w:val="none"/>
              </w:rPr>
              <w:t>3.响应产品属于优先采购范围内的无线局域网产品的，提供政府采购清单对应页并加盖供应商公章(鲜章)。</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jc w:val="center"/>
        </w:trPr>
        <w:tc>
          <w:tcPr>
            <w:tcW w:w="39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8</w:t>
            </w:r>
          </w:p>
        </w:tc>
        <w:tc>
          <w:tcPr>
            <w:tcW w:w="773"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响应文件的规范性1.28%</w:t>
            </w:r>
          </w:p>
        </w:tc>
        <w:tc>
          <w:tcPr>
            <w:tcW w:w="78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1.28分</w:t>
            </w:r>
          </w:p>
        </w:tc>
        <w:tc>
          <w:tcPr>
            <w:tcW w:w="6136" w:type="dxa"/>
            <w:tcBorders>
              <w:top w:val="single" w:color="auto" w:sz="4" w:space="0"/>
              <w:left w:val="single" w:color="auto" w:sz="4" w:space="0"/>
              <w:bottom w:val="single" w:color="auto" w:sz="4" w:space="0"/>
              <w:right w:val="single" w:color="auto" w:sz="4" w:space="0"/>
            </w:tcBorders>
            <w:vAlign w:val="center"/>
          </w:tcPr>
          <w:p>
            <w:pPr>
              <w:spacing w:line="480" w:lineRule="exact"/>
              <w:rPr>
                <w:rFonts w:cs="宋体"/>
                <w:color w:val="auto"/>
                <w:sz w:val="24"/>
                <w:highlight w:val="none"/>
              </w:rPr>
            </w:pPr>
            <w:r>
              <w:rPr>
                <w:rFonts w:hint="eastAsia" w:cs="宋体"/>
                <w:color w:val="auto"/>
                <w:sz w:val="24"/>
                <w:highlight w:val="none"/>
              </w:rPr>
              <w:t>响应文件制作规范，没有细微偏差情形的得1.28分；有一项细微偏差扣0.32分，直至该项分值扣完为止。</w:t>
            </w:r>
          </w:p>
        </w:tc>
        <w:tc>
          <w:tcPr>
            <w:tcW w:w="88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cs="宋体"/>
                <w:color w:val="auto"/>
                <w:sz w:val="24"/>
                <w:highlight w:val="none"/>
              </w:rPr>
            </w:pPr>
            <w:r>
              <w:rPr>
                <w:rFonts w:hint="eastAsia" w:cs="宋体"/>
                <w:color w:val="auto"/>
                <w:sz w:val="24"/>
                <w:highlight w:val="none"/>
              </w:rPr>
              <w:t>共同评分因素</w:t>
            </w:r>
          </w:p>
        </w:tc>
      </w:tr>
    </w:tbl>
    <w:p>
      <w:pPr>
        <w:spacing w:line="460" w:lineRule="exact"/>
        <w:rPr>
          <w:rFonts w:hAnsi="宋体"/>
          <w:color w:val="auto"/>
          <w:sz w:val="24"/>
          <w:szCs w:val="24"/>
          <w:highlight w:val="none"/>
        </w:rPr>
      </w:pPr>
    </w:p>
    <w:p>
      <w:pPr>
        <w:spacing w:line="460" w:lineRule="exact"/>
        <w:ind w:firstLine="360" w:firstLineChars="150"/>
        <w:rPr>
          <w:rFonts w:hAnsi="宋体"/>
          <w:color w:val="auto"/>
          <w:sz w:val="24"/>
          <w:szCs w:val="24"/>
          <w:highlight w:val="none"/>
        </w:rPr>
      </w:pPr>
      <w:r>
        <w:rPr>
          <w:rFonts w:hint="eastAsia" w:hAnsi="宋体"/>
          <w:color w:val="auto"/>
          <w:sz w:val="24"/>
          <w:szCs w:val="24"/>
          <w:highlight w:val="none"/>
        </w:rPr>
        <w:t>注：评分的取值按四舍五入法，保留小数点后两位。</w:t>
      </w:r>
    </w:p>
    <w:p>
      <w:pPr>
        <w:pStyle w:val="16"/>
        <w:spacing w:line="460" w:lineRule="exact"/>
        <w:ind w:firstLine="420" w:firstLineChars="175"/>
        <w:rPr>
          <w:rFonts w:ascii="宋体" w:hAnsi="宋体"/>
          <w:color w:val="auto"/>
          <w:sz w:val="24"/>
          <w:szCs w:val="24"/>
          <w:highlight w:val="none"/>
        </w:rPr>
      </w:pPr>
      <w:bookmarkStart w:id="60" w:name="_Toc217446059"/>
      <w:r>
        <w:rPr>
          <w:rFonts w:hint="eastAsia" w:ascii="宋体" w:hAnsi="宋体"/>
          <w:color w:val="auto"/>
          <w:sz w:val="24"/>
          <w:szCs w:val="24"/>
          <w:highlight w:val="none"/>
        </w:rPr>
        <w:t>3.3.4评审得分＝（A1＋A2＋……＋An）/N</w:t>
      </w:r>
      <w:r>
        <w:rPr>
          <w:rFonts w:hint="eastAsia" w:ascii="宋体" w:hAnsi="宋体"/>
          <w:color w:val="auto"/>
          <w:sz w:val="24"/>
          <w:szCs w:val="24"/>
          <w:highlight w:val="none"/>
          <w:vertAlign w:val="subscript"/>
        </w:rPr>
        <w:t>A</w:t>
      </w:r>
      <w:r>
        <w:rPr>
          <w:rFonts w:hint="eastAsia" w:ascii="宋体" w:hAnsi="宋体"/>
          <w:color w:val="auto"/>
          <w:sz w:val="24"/>
          <w:szCs w:val="24"/>
          <w:highlight w:val="none"/>
        </w:rPr>
        <w:t>＋（B1＋B2＋……＋Bn）/ N</w:t>
      </w:r>
      <w:r>
        <w:rPr>
          <w:rFonts w:hint="eastAsia" w:ascii="宋体" w:hAnsi="宋体"/>
          <w:color w:val="auto"/>
          <w:sz w:val="24"/>
          <w:szCs w:val="24"/>
          <w:highlight w:val="none"/>
          <w:vertAlign w:val="subscript"/>
        </w:rPr>
        <w:t>B</w:t>
      </w:r>
      <w:r>
        <w:rPr>
          <w:rFonts w:hint="eastAsia" w:ascii="宋体" w:hAnsi="宋体"/>
          <w:color w:val="auto"/>
          <w:sz w:val="24"/>
          <w:szCs w:val="24"/>
          <w:highlight w:val="none"/>
        </w:rPr>
        <w:t>＋（C1＋C2＋……＋Cn）/ N</w:t>
      </w:r>
      <w:r>
        <w:rPr>
          <w:rFonts w:hint="eastAsia" w:ascii="宋体" w:hAnsi="宋体"/>
          <w:color w:val="auto"/>
          <w:sz w:val="24"/>
          <w:szCs w:val="24"/>
          <w:highlight w:val="none"/>
          <w:vertAlign w:val="subscript"/>
        </w:rPr>
        <w:t>C</w:t>
      </w:r>
      <w:r>
        <w:rPr>
          <w:rFonts w:hint="eastAsia" w:ascii="宋体" w:hAnsi="宋体"/>
          <w:color w:val="auto"/>
          <w:sz w:val="24"/>
          <w:szCs w:val="24"/>
          <w:highlight w:val="none"/>
        </w:rPr>
        <w:t>＋（D1＋D2＋……＋Dn）/ N</w:t>
      </w:r>
      <w:r>
        <w:rPr>
          <w:rFonts w:hint="eastAsia" w:ascii="宋体" w:hAnsi="宋体"/>
          <w:color w:val="auto"/>
          <w:sz w:val="24"/>
          <w:szCs w:val="24"/>
          <w:highlight w:val="none"/>
          <w:vertAlign w:val="subscript"/>
        </w:rPr>
        <w:t>D</w:t>
      </w:r>
    </w:p>
    <w:p>
      <w:pPr>
        <w:pStyle w:val="16"/>
        <w:spacing w:line="460" w:lineRule="exact"/>
        <w:rPr>
          <w:rFonts w:ascii="宋体" w:hAnsi="宋体"/>
          <w:bCs/>
          <w:color w:val="auto"/>
          <w:sz w:val="24"/>
          <w:szCs w:val="24"/>
          <w:highlight w:val="none"/>
        </w:rPr>
      </w:pPr>
      <w:r>
        <w:rPr>
          <w:rFonts w:hint="eastAsia" w:ascii="宋体" w:hAnsi="宋体"/>
          <w:color w:val="auto"/>
          <w:sz w:val="24"/>
          <w:szCs w:val="24"/>
          <w:highlight w:val="none"/>
        </w:rPr>
        <w:t>A1、A2……An分别为每个经济类评委（经济类专家）的打分，N</w:t>
      </w:r>
      <w:r>
        <w:rPr>
          <w:rFonts w:hint="eastAsia" w:ascii="宋体" w:hAnsi="宋体"/>
          <w:color w:val="auto"/>
          <w:sz w:val="24"/>
          <w:szCs w:val="24"/>
          <w:highlight w:val="none"/>
          <w:vertAlign w:val="subscript"/>
        </w:rPr>
        <w:t>A</w:t>
      </w:r>
      <w:r>
        <w:rPr>
          <w:rFonts w:hint="eastAsia" w:ascii="宋体" w:hAnsi="宋体"/>
          <w:color w:val="auto"/>
          <w:sz w:val="24"/>
          <w:szCs w:val="24"/>
          <w:highlight w:val="none"/>
        </w:rPr>
        <w:t>为经济类评委（经济类专家）人数；B1、B2＋……Bn 分别为每个技术类评委（技术类专家和采购人代表）的打分，N</w:t>
      </w:r>
      <w:r>
        <w:rPr>
          <w:rFonts w:hint="eastAsia" w:ascii="宋体" w:hAnsi="宋体"/>
          <w:color w:val="auto"/>
          <w:sz w:val="24"/>
          <w:szCs w:val="24"/>
          <w:highlight w:val="none"/>
          <w:vertAlign w:val="subscript"/>
        </w:rPr>
        <w:t>B</w:t>
      </w:r>
      <w:r>
        <w:rPr>
          <w:rFonts w:hint="eastAsia" w:ascii="宋体" w:hAnsi="宋体"/>
          <w:color w:val="auto"/>
          <w:sz w:val="24"/>
          <w:szCs w:val="24"/>
          <w:highlight w:val="none"/>
        </w:rPr>
        <w:t>为技术类评委（技术类专家和采购人代表）人数；C1、C2……Cn 分别为每个政策合同类评委（法律类专家）的打分，N</w:t>
      </w:r>
      <w:r>
        <w:rPr>
          <w:rFonts w:hint="eastAsia" w:ascii="宋体" w:hAnsi="宋体"/>
          <w:color w:val="auto"/>
          <w:sz w:val="24"/>
          <w:szCs w:val="24"/>
          <w:highlight w:val="none"/>
          <w:vertAlign w:val="subscript"/>
        </w:rPr>
        <w:t>C</w:t>
      </w:r>
      <w:r>
        <w:rPr>
          <w:rFonts w:hint="eastAsia" w:ascii="宋体" w:hAnsi="宋体"/>
          <w:color w:val="auto"/>
          <w:sz w:val="24"/>
          <w:szCs w:val="24"/>
          <w:highlight w:val="none"/>
        </w:rPr>
        <w:t>为政策合同类评委（法律类专家）人数；D1、D2……Dn 分别为磋商小组每个成员的打分（共同评分类），N</w:t>
      </w:r>
      <w:r>
        <w:rPr>
          <w:rFonts w:hint="eastAsia" w:ascii="宋体" w:hAnsi="宋体"/>
          <w:color w:val="auto"/>
          <w:sz w:val="24"/>
          <w:szCs w:val="24"/>
          <w:highlight w:val="none"/>
          <w:vertAlign w:val="subscript"/>
        </w:rPr>
        <w:t>D</w:t>
      </w:r>
      <w:r>
        <w:rPr>
          <w:rFonts w:hint="eastAsia" w:ascii="宋体" w:hAnsi="宋体"/>
          <w:color w:val="auto"/>
          <w:sz w:val="24"/>
          <w:szCs w:val="24"/>
          <w:highlight w:val="none"/>
        </w:rPr>
        <w:t>为磋商小组人</w:t>
      </w:r>
      <w:r>
        <w:rPr>
          <w:rFonts w:hint="eastAsia" w:ascii="宋体" w:hAnsi="宋体"/>
          <w:bCs/>
          <w:color w:val="auto"/>
          <w:sz w:val="24"/>
          <w:szCs w:val="24"/>
          <w:highlight w:val="none"/>
        </w:rPr>
        <w:t>数。</w:t>
      </w:r>
    </w:p>
    <w:bookmarkEnd w:id="60"/>
    <w:p>
      <w:pPr>
        <w:tabs>
          <w:tab w:val="left" w:pos="851"/>
        </w:tabs>
        <w:spacing w:line="460" w:lineRule="exact"/>
        <w:ind w:firstLine="482" w:firstLineChars="200"/>
        <w:rPr>
          <w:rFonts w:hAnsi="宋体"/>
          <w:b/>
          <w:color w:val="auto"/>
          <w:sz w:val="24"/>
          <w:szCs w:val="24"/>
          <w:highlight w:val="none"/>
        </w:rPr>
      </w:pPr>
    </w:p>
    <w:p>
      <w:pPr>
        <w:tabs>
          <w:tab w:val="left" w:pos="851"/>
        </w:tabs>
        <w:spacing w:line="460" w:lineRule="exact"/>
        <w:ind w:firstLine="482" w:firstLineChars="200"/>
        <w:rPr>
          <w:rFonts w:hAnsi="宋体"/>
          <w:b/>
          <w:color w:val="auto"/>
          <w:sz w:val="24"/>
          <w:szCs w:val="24"/>
          <w:highlight w:val="none"/>
        </w:rPr>
      </w:pPr>
      <w:r>
        <w:rPr>
          <w:rFonts w:hint="eastAsia" w:hAnsi="宋体"/>
          <w:b/>
          <w:color w:val="auto"/>
          <w:sz w:val="24"/>
          <w:szCs w:val="24"/>
          <w:highlight w:val="none"/>
        </w:rPr>
        <w:t>4.磋商纪律及注意事项</w:t>
      </w:r>
    </w:p>
    <w:p>
      <w:pPr>
        <w:tabs>
          <w:tab w:val="left" w:pos="851"/>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4.1磋商小组内部讨论的情况和意见必须保密，任何人不得以任何形式透露给供应商或与供应商有关的单位或个人。</w:t>
      </w:r>
    </w:p>
    <w:p>
      <w:pPr>
        <w:tabs>
          <w:tab w:val="left" w:pos="851"/>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4.2在磋商过程中，供应商不得以任何形式对磋商小组成员进行旨在影响谈判结果的私下接触，否则将取消其参与磋商的资格。</w:t>
      </w:r>
    </w:p>
    <w:p>
      <w:pPr>
        <w:tabs>
          <w:tab w:val="left" w:pos="851"/>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4.3对各供应商的商业秘密，磋商小组成员应予以保密，不得泄露给其他供应商。</w:t>
      </w:r>
    </w:p>
    <w:p>
      <w:pPr>
        <w:tabs>
          <w:tab w:val="left" w:pos="851"/>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4.4 磋商小组独立评判，推荐成交候选人，并写出书面报告。</w:t>
      </w:r>
    </w:p>
    <w:p>
      <w:pPr>
        <w:tabs>
          <w:tab w:val="left" w:pos="851"/>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4.5 磋商小组可根据需要对供应商进行实地考察。</w:t>
      </w:r>
    </w:p>
    <w:p>
      <w:pPr>
        <w:spacing w:line="460" w:lineRule="exact"/>
        <w:ind w:firstLine="480" w:firstLineChars="200"/>
        <w:rPr>
          <w:rFonts w:hAnsi="宋体"/>
          <w:color w:val="auto"/>
          <w:sz w:val="24"/>
          <w:szCs w:val="24"/>
          <w:highlight w:val="none"/>
        </w:rPr>
      </w:pPr>
    </w:p>
    <w:p>
      <w:pPr>
        <w:tabs>
          <w:tab w:val="left" w:pos="7665"/>
        </w:tabs>
        <w:spacing w:line="460" w:lineRule="exact"/>
        <w:ind w:firstLine="480" w:firstLineChars="200"/>
        <w:rPr>
          <w:rFonts w:hAnsi="宋体"/>
          <w:b/>
          <w:color w:val="auto"/>
          <w:sz w:val="24"/>
          <w:szCs w:val="24"/>
          <w:highlight w:val="none"/>
        </w:rPr>
      </w:pPr>
      <w:r>
        <w:rPr>
          <w:rFonts w:hint="eastAsia" w:hAnsi="宋体"/>
          <w:color w:val="auto"/>
          <w:sz w:val="24"/>
          <w:szCs w:val="24"/>
          <w:highlight w:val="none"/>
        </w:rPr>
        <w:t>5.</w:t>
      </w:r>
      <w:r>
        <w:rPr>
          <w:rFonts w:hint="eastAsia" w:hAnsi="宋体"/>
          <w:b/>
          <w:color w:val="auto"/>
          <w:sz w:val="24"/>
          <w:szCs w:val="24"/>
          <w:highlight w:val="none"/>
        </w:rPr>
        <w:t>磋商小组在政府采购活动中承担以下义务：</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（一）遵守评审工作纪律；</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（二）按照客观、公正、审慎的原则，根据磋商文件规定的评审程序、评审方法和评审标准进行独立评审；</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（三）不得泄露评审文件、评审情况和在评审过程中获悉的商业秘密；</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（六）及时向财政、监察等部门举报在评审过程中受到非法干预的情况；</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（七）配合答复处理供应商的询问、质疑和投诉等事项；</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（八）法律、法规和规章规定的其他义务。</w:t>
      </w:r>
    </w:p>
    <w:p>
      <w:pPr>
        <w:tabs>
          <w:tab w:val="left" w:pos="7665"/>
        </w:tabs>
        <w:spacing w:line="460" w:lineRule="exact"/>
        <w:rPr>
          <w:rFonts w:hAnsi="宋体"/>
          <w:color w:val="auto"/>
          <w:sz w:val="24"/>
          <w:szCs w:val="24"/>
          <w:highlight w:val="none"/>
        </w:rPr>
      </w:pPr>
    </w:p>
    <w:p>
      <w:pPr>
        <w:tabs>
          <w:tab w:val="left" w:pos="7665"/>
        </w:tabs>
        <w:spacing w:line="460" w:lineRule="exact"/>
        <w:ind w:firstLine="482" w:firstLineChars="200"/>
        <w:rPr>
          <w:rFonts w:hAnsi="宋体"/>
          <w:b/>
          <w:color w:val="auto"/>
          <w:sz w:val="24"/>
          <w:szCs w:val="24"/>
          <w:highlight w:val="none"/>
        </w:rPr>
      </w:pPr>
      <w:r>
        <w:rPr>
          <w:rFonts w:hint="eastAsia" w:hAnsi="宋体"/>
          <w:b/>
          <w:color w:val="auto"/>
          <w:sz w:val="24"/>
          <w:szCs w:val="24"/>
          <w:highlight w:val="none"/>
        </w:rPr>
        <w:t>6.评审专家在政府采购活动中应当遵守以下工作纪律：</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（二）评审前，应当将通讯工具或者相关电子设备交由采购代理机构统一保管；</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（三）评审过程中，不得与外界联系，因发生不可预见情况，确实需要与外界联系的，应当在监督人员监督之下办理；</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（五）在评审过程中和评审结束后，不得记录、复制或带走任何评审资料，不得向外界透露评审内容；</w:t>
      </w:r>
    </w:p>
    <w:p>
      <w:pPr>
        <w:tabs>
          <w:tab w:val="left" w:pos="7665"/>
        </w:tabs>
        <w:spacing w:line="460" w:lineRule="exact"/>
        <w:ind w:firstLine="480" w:firstLineChars="200"/>
        <w:rPr>
          <w:rFonts w:hAnsi="宋体"/>
          <w:color w:val="auto"/>
          <w:sz w:val="24"/>
          <w:szCs w:val="24"/>
          <w:highlight w:val="none"/>
        </w:rPr>
      </w:pPr>
      <w:r>
        <w:rPr>
          <w:rFonts w:hint="eastAsia" w:hAnsi="宋体"/>
          <w:color w:val="auto"/>
          <w:sz w:val="24"/>
          <w:szCs w:val="24"/>
          <w:highlight w:val="none"/>
        </w:rPr>
        <w:t>（六）评审现场服从采购代理机构工作人员的管理，接受现场监督人员的合法监督；</w:t>
      </w:r>
    </w:p>
    <w:p>
      <w:pPr>
        <w:pStyle w:val="23"/>
        <w:snapToGrid w:val="0"/>
        <w:spacing w:line="460" w:lineRule="exact"/>
        <w:ind w:firstLine="460" w:firstLineChars="192"/>
        <w:rPr>
          <w:rFonts w:hint="default" w:hAnsi="宋体"/>
          <w:color w:val="auto"/>
          <w:sz w:val="24"/>
          <w:szCs w:val="24"/>
          <w:highlight w:val="none"/>
        </w:rPr>
      </w:pPr>
      <w:r>
        <w:rPr>
          <w:rFonts w:hAnsi="宋体"/>
          <w:color w:val="auto"/>
          <w:sz w:val="24"/>
          <w:szCs w:val="24"/>
          <w:highlight w:val="none"/>
        </w:rPr>
        <w:t>（七）遵守有关廉洁自律规定，不得私下接触供应商，不得收受供应商及有关业务单位和个人的财物或好处，不得接受采购代理机构的请托。</w:t>
      </w:r>
    </w:p>
    <w:p>
      <w:pPr>
        <w:pStyle w:val="23"/>
        <w:snapToGrid w:val="0"/>
        <w:spacing w:line="460" w:lineRule="exact"/>
        <w:ind w:firstLine="460" w:firstLineChars="192"/>
        <w:rPr>
          <w:rFonts w:hint="default" w:hAnsi="宋体"/>
          <w:color w:val="auto"/>
          <w:sz w:val="24"/>
          <w:szCs w:val="24"/>
          <w:highlight w:val="none"/>
        </w:rPr>
      </w:pPr>
    </w:p>
    <w:p>
      <w:pPr>
        <w:pStyle w:val="23"/>
        <w:snapToGrid w:val="0"/>
        <w:spacing w:line="480" w:lineRule="exact"/>
        <w:ind w:firstLine="460" w:firstLineChars="192"/>
        <w:rPr>
          <w:rFonts w:hint="default" w:hAnsi="宋体"/>
          <w:color w:val="auto"/>
          <w:sz w:val="24"/>
          <w:szCs w:val="24"/>
          <w:highlight w:val="none"/>
        </w:rPr>
      </w:pPr>
    </w:p>
    <w:p>
      <w:pPr>
        <w:pStyle w:val="3"/>
        <w:numPr>
          <w:ilvl w:val="0"/>
          <w:numId w:val="0"/>
        </w:numPr>
        <w:spacing w:before="0" w:after="0" w:line="440" w:lineRule="exact"/>
        <w:rPr>
          <w:rFonts w:ascii="宋体" w:hAnsi="宋体" w:eastAsia="宋体"/>
          <w:color w:val="auto"/>
          <w:sz w:val="24"/>
          <w:szCs w:val="24"/>
          <w:highlight w:val="none"/>
        </w:rPr>
      </w:pPr>
      <w:bookmarkStart w:id="61" w:name="_Toc20360"/>
      <w:bookmarkStart w:id="62" w:name="_Toc12139"/>
      <w:r>
        <w:rPr>
          <w:rFonts w:hint="eastAsia" w:ascii="宋体" w:hAnsi="宋体" w:eastAsia="宋体"/>
          <w:color w:val="auto"/>
          <w:highlight w:val="none"/>
        </w:rPr>
        <w:br w:type="page"/>
      </w:r>
      <w:r>
        <w:rPr>
          <w:rFonts w:hint="eastAsia" w:ascii="宋体" w:hAnsi="宋体" w:eastAsia="宋体"/>
          <w:color w:val="auto"/>
          <w:highlight w:val="none"/>
        </w:rPr>
        <w:t>第六章  合同草案条款（参考文本）</w:t>
      </w:r>
      <w:bookmarkEnd w:id="61"/>
      <w:bookmarkEnd w:id="62"/>
    </w:p>
    <w:p>
      <w:pPr>
        <w:spacing w:line="440" w:lineRule="exact"/>
        <w:jc w:val="right"/>
        <w:rPr>
          <w:rFonts w:hAnsi="宋体"/>
          <w:color w:val="auto"/>
          <w:sz w:val="24"/>
          <w:szCs w:val="24"/>
          <w:highlight w:val="none"/>
        </w:rPr>
      </w:pPr>
    </w:p>
    <w:p>
      <w:pPr>
        <w:spacing w:line="400" w:lineRule="exact"/>
        <w:rPr>
          <w:rFonts w:hAnsi="宋体" w:cs="宋体"/>
          <w:color w:val="auto"/>
          <w:sz w:val="24"/>
          <w:highlight w:val="none"/>
        </w:rPr>
      </w:pPr>
    </w:p>
    <w:p>
      <w:pPr>
        <w:spacing w:line="400" w:lineRule="exact"/>
        <w:ind w:firstLine="480" w:firstLineChars="200"/>
        <w:rPr>
          <w:rFonts w:hAnsi="宋体" w:cs="宋体"/>
          <w:color w:val="auto"/>
          <w:sz w:val="24"/>
          <w:highlight w:val="none"/>
        </w:rPr>
      </w:pPr>
      <w:r>
        <w:rPr>
          <w:rFonts w:hint="eastAsia" w:hAnsi="宋体" w:cs="宋体"/>
          <w:color w:val="auto"/>
          <w:sz w:val="24"/>
          <w:highlight w:val="none"/>
        </w:rPr>
        <w:t>合同编号：XXXX。</w:t>
      </w:r>
    </w:p>
    <w:p>
      <w:pPr>
        <w:spacing w:line="400" w:lineRule="exact"/>
        <w:ind w:firstLine="480" w:firstLineChars="200"/>
        <w:rPr>
          <w:rFonts w:hAnsi="宋体" w:cs="宋体"/>
          <w:color w:val="auto"/>
          <w:sz w:val="24"/>
          <w:highlight w:val="none"/>
        </w:rPr>
      </w:pPr>
      <w:r>
        <w:rPr>
          <w:rFonts w:hint="eastAsia" w:hAnsi="宋体" w:cs="宋体"/>
          <w:color w:val="auto"/>
          <w:sz w:val="24"/>
          <w:highlight w:val="none"/>
        </w:rPr>
        <w:t>签订地点：XXXX。</w:t>
      </w:r>
    </w:p>
    <w:p>
      <w:pPr>
        <w:spacing w:line="400" w:lineRule="exact"/>
        <w:ind w:firstLine="480" w:firstLineChars="200"/>
        <w:rPr>
          <w:rFonts w:hAnsi="宋体" w:cs="宋体"/>
          <w:color w:val="auto"/>
          <w:sz w:val="24"/>
          <w:highlight w:val="none"/>
        </w:rPr>
      </w:pPr>
      <w:r>
        <w:rPr>
          <w:rFonts w:hint="eastAsia" w:hAnsi="宋体" w:cs="宋体"/>
          <w:color w:val="auto"/>
          <w:sz w:val="24"/>
          <w:highlight w:val="none"/>
        </w:rPr>
        <w:t>签订时间：XXXX年XX月XX日。</w:t>
      </w:r>
    </w:p>
    <w:p>
      <w:pPr>
        <w:spacing w:line="400" w:lineRule="exact"/>
        <w:ind w:firstLine="480" w:firstLineChars="200"/>
        <w:rPr>
          <w:rFonts w:hAnsi="宋体" w:cs="宋体"/>
          <w:color w:val="auto"/>
          <w:sz w:val="24"/>
          <w:highlight w:val="none"/>
        </w:rPr>
      </w:pPr>
      <w:r>
        <w:rPr>
          <w:rFonts w:hint="eastAsia" w:hAnsi="宋体" w:cs="宋体"/>
          <w:color w:val="auto"/>
          <w:sz w:val="24"/>
          <w:highlight w:val="none"/>
        </w:rPr>
        <w:t xml:space="preserve">采购人（甲方）：                              </w:t>
      </w:r>
    </w:p>
    <w:p>
      <w:pPr>
        <w:spacing w:line="400" w:lineRule="exact"/>
        <w:ind w:firstLine="480" w:firstLineChars="200"/>
        <w:rPr>
          <w:rFonts w:hAnsi="宋体" w:cs="宋体"/>
          <w:color w:val="auto"/>
          <w:sz w:val="24"/>
          <w:highlight w:val="none"/>
        </w:rPr>
      </w:pPr>
      <w:r>
        <w:rPr>
          <w:rFonts w:hint="eastAsia" w:hAnsi="宋体" w:cs="宋体"/>
          <w:color w:val="auto"/>
          <w:sz w:val="24"/>
          <w:highlight w:val="none"/>
        </w:rPr>
        <w:t xml:space="preserve">供应商（乙方）：                              </w:t>
      </w:r>
    </w:p>
    <w:p>
      <w:pPr>
        <w:spacing w:line="400" w:lineRule="exact"/>
        <w:ind w:firstLine="480" w:firstLineChars="200"/>
        <w:rPr>
          <w:rFonts w:hAnsi="宋体" w:cs="宋体"/>
          <w:color w:val="auto"/>
          <w:sz w:val="24"/>
          <w:highlight w:val="none"/>
        </w:rPr>
      </w:pPr>
    </w:p>
    <w:p>
      <w:pPr>
        <w:spacing w:line="400" w:lineRule="exact"/>
        <w:ind w:firstLine="480" w:firstLineChars="200"/>
        <w:rPr>
          <w:rFonts w:hAnsi="宋体" w:cs="宋体"/>
          <w:color w:val="auto"/>
          <w:sz w:val="24"/>
          <w:highlight w:val="none"/>
        </w:rPr>
      </w:pPr>
    </w:p>
    <w:p>
      <w:pPr>
        <w:spacing w:line="400" w:lineRule="exact"/>
        <w:ind w:firstLine="480" w:firstLineChars="200"/>
        <w:rPr>
          <w:rFonts w:hAnsi="宋体" w:cs="宋体"/>
          <w:color w:val="auto"/>
          <w:sz w:val="24"/>
          <w:highlight w:val="none"/>
        </w:rPr>
      </w:pPr>
      <w:r>
        <w:rPr>
          <w:rFonts w:hint="eastAsia" w:hAnsi="宋体" w:cs="宋体"/>
          <w:color w:val="auto"/>
          <w:sz w:val="24"/>
          <w:highlight w:val="none"/>
        </w:rPr>
        <w:t>根据《中华人民共和国政府采购法》《中华人民共和国民法典》及XXXX采购项目（项目编号：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63" w:name="_Toc217446107"/>
      <w:r>
        <w:rPr>
          <w:rFonts w:hint="eastAsia" w:ascii="黑体" w:hAnsi="Arial" w:eastAsia="黑体"/>
          <w:b/>
          <w:bCs/>
          <w:color w:val="auto"/>
          <w:sz w:val="24"/>
          <w:szCs w:val="24"/>
          <w:highlight w:val="none"/>
        </w:rPr>
        <w:t>一、合同货物</w:t>
      </w:r>
      <w:bookmarkEnd w:id="63"/>
    </w:p>
    <w:tbl>
      <w:tblPr>
        <w:tblStyle w:val="44"/>
        <w:tblW w:w="89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1080"/>
        <w:gridCol w:w="741"/>
        <w:gridCol w:w="925"/>
        <w:gridCol w:w="1111"/>
        <w:gridCol w:w="1219"/>
        <w:gridCol w:w="1296"/>
        <w:gridCol w:w="12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both"/>
              <w:rPr>
                <w:color w:val="auto"/>
                <w:sz w:val="24"/>
                <w:highlight w:val="none"/>
              </w:rPr>
            </w:pPr>
            <w:r>
              <w:rPr>
                <w:rFonts w:hint="eastAsia" w:cs="Arial"/>
                <w:color w:val="auto"/>
                <w:sz w:val="24"/>
                <w:highlight w:val="none"/>
              </w:rPr>
              <w:t>货物品名</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rFonts w:cs="Arial"/>
                <w:color w:val="auto"/>
                <w:sz w:val="24"/>
                <w:highlight w:val="none"/>
              </w:rPr>
            </w:pPr>
            <w:r>
              <w:rPr>
                <w:rFonts w:hint="eastAsia" w:cs="Arial"/>
                <w:color w:val="auto"/>
                <w:sz w:val="24"/>
                <w:highlight w:val="none"/>
              </w:rPr>
              <w:t>规格</w:t>
            </w:r>
          </w:p>
          <w:p>
            <w:pPr>
              <w:widowControl w:val="0"/>
              <w:spacing w:line="500" w:lineRule="exact"/>
              <w:jc w:val="center"/>
              <w:rPr>
                <w:color w:val="auto"/>
                <w:sz w:val="24"/>
                <w:highlight w:val="none"/>
              </w:rPr>
            </w:pPr>
            <w:r>
              <w:rPr>
                <w:rFonts w:hint="eastAsia" w:cs="Arial"/>
                <w:color w:val="auto"/>
                <w:sz w:val="24"/>
                <w:highlight w:val="none"/>
              </w:rPr>
              <w:t>型号</w:t>
            </w:r>
          </w:p>
        </w:tc>
        <w:tc>
          <w:tcPr>
            <w:tcW w:w="741"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both"/>
              <w:rPr>
                <w:color w:val="auto"/>
                <w:sz w:val="24"/>
                <w:highlight w:val="none"/>
              </w:rPr>
            </w:pPr>
            <w:r>
              <w:rPr>
                <w:rFonts w:hint="eastAsia" w:cs="Arial"/>
                <w:color w:val="auto"/>
                <w:sz w:val="24"/>
                <w:highlight w:val="none"/>
              </w:rPr>
              <w:t>单位</w:t>
            </w:r>
          </w:p>
        </w:tc>
        <w:tc>
          <w:tcPr>
            <w:tcW w:w="925"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ind w:firstLine="120" w:firstLineChars="50"/>
              <w:jc w:val="both"/>
              <w:rPr>
                <w:color w:val="auto"/>
                <w:sz w:val="24"/>
                <w:highlight w:val="none"/>
              </w:rPr>
            </w:pPr>
            <w:r>
              <w:rPr>
                <w:rFonts w:hint="eastAsia" w:cs="Arial"/>
                <w:color w:val="auto"/>
                <w:sz w:val="24"/>
                <w:highlight w:val="none"/>
              </w:rPr>
              <w:t>数量</w:t>
            </w:r>
          </w:p>
        </w:tc>
        <w:tc>
          <w:tcPr>
            <w:tcW w:w="1111"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ind w:firstLine="120" w:firstLineChars="50"/>
              <w:jc w:val="center"/>
              <w:rPr>
                <w:rFonts w:cs="Arial"/>
                <w:color w:val="auto"/>
                <w:sz w:val="24"/>
                <w:highlight w:val="none"/>
              </w:rPr>
            </w:pPr>
            <w:r>
              <w:rPr>
                <w:rFonts w:hint="eastAsia" w:cs="Arial"/>
                <w:color w:val="auto"/>
                <w:sz w:val="24"/>
                <w:highlight w:val="none"/>
              </w:rPr>
              <w:t>单价</w:t>
            </w:r>
          </w:p>
          <w:p>
            <w:pPr>
              <w:widowControl w:val="0"/>
              <w:spacing w:line="500" w:lineRule="exact"/>
              <w:jc w:val="center"/>
              <w:rPr>
                <w:rFonts w:cs="Arial"/>
                <w:color w:val="auto"/>
                <w:sz w:val="24"/>
                <w:highlight w:val="none"/>
              </w:rPr>
            </w:pPr>
            <w:r>
              <w:rPr>
                <w:rFonts w:hint="eastAsia" w:cs="Arial"/>
                <w:color w:val="auto"/>
                <w:sz w:val="24"/>
                <w:highlight w:val="none"/>
              </w:rPr>
              <w:t>（万元）</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ind w:firstLine="240" w:firstLineChars="100"/>
              <w:jc w:val="both"/>
              <w:rPr>
                <w:rFonts w:cs="Arial"/>
                <w:color w:val="auto"/>
                <w:sz w:val="24"/>
                <w:highlight w:val="none"/>
              </w:rPr>
            </w:pPr>
            <w:r>
              <w:rPr>
                <w:rFonts w:hint="eastAsia" w:cs="Arial"/>
                <w:color w:val="auto"/>
                <w:sz w:val="24"/>
                <w:highlight w:val="none"/>
              </w:rPr>
              <w:t>总价</w:t>
            </w:r>
          </w:p>
          <w:p>
            <w:pPr>
              <w:widowControl w:val="0"/>
              <w:spacing w:line="500" w:lineRule="exact"/>
              <w:jc w:val="both"/>
              <w:rPr>
                <w:color w:val="auto"/>
                <w:sz w:val="24"/>
                <w:highlight w:val="none"/>
              </w:rPr>
            </w:pPr>
            <w:r>
              <w:rPr>
                <w:rFonts w:hint="eastAsia" w:cs="Arial"/>
                <w:color w:val="auto"/>
                <w:sz w:val="24"/>
                <w:highlight w:val="none"/>
              </w:rPr>
              <w:t>（万元）</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rFonts w:cs="Arial"/>
                <w:color w:val="auto"/>
                <w:sz w:val="24"/>
                <w:highlight w:val="none"/>
              </w:rPr>
            </w:pPr>
            <w:r>
              <w:rPr>
                <w:rFonts w:hint="eastAsia" w:cs="Arial"/>
                <w:color w:val="auto"/>
                <w:sz w:val="24"/>
                <w:highlight w:val="none"/>
              </w:rPr>
              <w:t>随机</w:t>
            </w:r>
          </w:p>
          <w:p>
            <w:pPr>
              <w:widowControl w:val="0"/>
              <w:spacing w:line="500" w:lineRule="exact"/>
              <w:jc w:val="center"/>
              <w:rPr>
                <w:color w:val="auto"/>
                <w:sz w:val="24"/>
                <w:highlight w:val="none"/>
              </w:rPr>
            </w:pPr>
            <w:r>
              <w:rPr>
                <w:rFonts w:hint="eastAsia" w:cs="Arial"/>
                <w:color w:val="auto"/>
                <w:sz w:val="24"/>
                <w:highlight w:val="none"/>
              </w:rPr>
              <w:t>配件</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ind w:firstLine="120" w:firstLineChars="50"/>
              <w:jc w:val="both"/>
              <w:rPr>
                <w:color w:val="auto"/>
                <w:sz w:val="24"/>
                <w:highlight w:val="none"/>
              </w:rPr>
            </w:pPr>
            <w:r>
              <w:rPr>
                <w:rFonts w:hint="eastAsia" w:cs="Arial"/>
                <w:color w:val="auto"/>
                <w:sz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741"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925"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111"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741"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925"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111"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val="0"/>
              <w:spacing w:line="500" w:lineRule="exact"/>
              <w:jc w:val="center"/>
              <w:rPr>
                <w:color w:val="auto"/>
                <w:sz w:val="24"/>
                <w:highlight w:val="none"/>
              </w:rPr>
            </w:pPr>
            <w:r>
              <w:rPr>
                <w:rFonts w:hint="eastAsia"/>
                <w:color w:val="auto"/>
                <w:sz w:val="24"/>
                <w:highlight w:val="none"/>
              </w:rPr>
              <w:t> </w:t>
            </w:r>
          </w:p>
        </w:tc>
      </w:tr>
    </w:tbl>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64" w:name="_Toc217446108"/>
      <w:r>
        <w:rPr>
          <w:rFonts w:hint="eastAsia" w:ascii="黑体" w:hAnsi="Arial" w:eastAsia="黑体"/>
          <w:b/>
          <w:bCs/>
          <w:color w:val="auto"/>
          <w:sz w:val="24"/>
          <w:szCs w:val="24"/>
          <w:highlight w:val="none"/>
        </w:rPr>
        <w:t>二、合同总价</w:t>
      </w:r>
      <w:bookmarkEnd w:id="64"/>
    </w:p>
    <w:p>
      <w:pPr>
        <w:widowControl w:val="0"/>
        <w:spacing w:line="500" w:lineRule="exact"/>
        <w:ind w:firstLine="420" w:firstLineChars="175"/>
        <w:jc w:val="both"/>
        <w:rPr>
          <w:color w:val="auto"/>
          <w:kern w:val="2"/>
          <w:sz w:val="24"/>
          <w:szCs w:val="24"/>
          <w:highlight w:val="none"/>
        </w:rPr>
      </w:pPr>
      <w:r>
        <w:rPr>
          <w:rFonts w:hint="eastAsia"/>
          <w:color w:val="auto"/>
          <w:kern w:val="2"/>
          <w:sz w:val="24"/>
          <w:szCs w:val="24"/>
          <w:highlight w:val="none"/>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65" w:name="_Toc217446109"/>
      <w:r>
        <w:rPr>
          <w:rFonts w:hint="eastAsia" w:ascii="黑体" w:hAnsi="Arial" w:eastAsia="黑体"/>
          <w:b/>
          <w:bCs/>
          <w:color w:val="auto"/>
          <w:sz w:val="24"/>
          <w:szCs w:val="24"/>
          <w:highlight w:val="none"/>
        </w:rPr>
        <w:t>三、质量要求</w:t>
      </w:r>
      <w:bookmarkEnd w:id="65"/>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1、乙方须提供全新的货物（含零部件、配件等），表面无划伤、无碰撞痕迹，且权属清楚，不得侵害他人的知识产权，不得提供假冒伪劣、以次充好的产品。</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2、货物必须符合或优于国家（行业）标准，以及本项目竞争性磋商文件的质量要求和技术指标与出厂标准。</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4、货物制造质量出现问题，乙方应负责三包（包修、包换、包退），费用由乙方负担，甲方有权到乙方生产场地检查货物质量和生产进度。</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5、货到现场后由于甲方保管不当造成的质量问题，乙方亦应负责修理，但费用由甲方负担。</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66" w:name="_Toc217446110"/>
      <w:r>
        <w:rPr>
          <w:rFonts w:hint="eastAsia" w:ascii="黑体" w:hAnsi="Arial" w:eastAsia="黑体"/>
          <w:b/>
          <w:bCs/>
          <w:color w:val="auto"/>
          <w:sz w:val="24"/>
          <w:szCs w:val="24"/>
          <w:highlight w:val="none"/>
        </w:rPr>
        <w:t>四、交货及验收</w:t>
      </w:r>
      <w:bookmarkEnd w:id="66"/>
    </w:p>
    <w:p>
      <w:pPr>
        <w:spacing w:line="480" w:lineRule="exact"/>
        <w:ind w:firstLine="480" w:firstLineChars="200"/>
        <w:rPr>
          <w:rFonts w:cs="宋体"/>
          <w:color w:val="auto"/>
          <w:sz w:val="24"/>
          <w:highlight w:val="none"/>
        </w:rPr>
      </w:pPr>
      <w:r>
        <w:rPr>
          <w:rFonts w:hint="eastAsia" w:cs="宋体"/>
          <w:color w:val="auto"/>
          <w:sz w:val="24"/>
          <w:highlight w:val="none"/>
        </w:rPr>
        <w:t>1、交货时间：合同签订生效后</w:t>
      </w:r>
      <w:r>
        <w:rPr>
          <w:rFonts w:cs="宋体"/>
          <w:color w:val="auto"/>
          <w:sz w:val="24"/>
          <w:highlight w:val="none"/>
        </w:rPr>
        <w:t>4</w:t>
      </w:r>
      <w:r>
        <w:rPr>
          <w:rFonts w:hint="eastAsia" w:cs="宋体"/>
          <w:color w:val="auto"/>
          <w:sz w:val="24"/>
          <w:highlight w:val="none"/>
        </w:rPr>
        <w:t>0个日历天内安装调试完成并通过验收。</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2、交货地点：成都市磨盘山公墓。</w:t>
      </w:r>
    </w:p>
    <w:p>
      <w:pPr>
        <w:widowControl w:val="0"/>
        <w:spacing w:line="500" w:lineRule="exact"/>
        <w:ind w:firstLine="480" w:firstLineChars="200"/>
        <w:jc w:val="both"/>
        <w:rPr>
          <w:rFonts w:cs="宋体"/>
          <w:color w:val="auto"/>
          <w:sz w:val="24"/>
          <w:highlight w:val="none"/>
        </w:rPr>
      </w:pPr>
      <w:r>
        <w:rPr>
          <w:rFonts w:hint="eastAsia" w:hAnsi="宋体" w:cs="宋体"/>
          <w:color w:val="auto"/>
          <w:kern w:val="2"/>
          <w:sz w:val="24"/>
          <w:szCs w:val="24"/>
          <w:highlight w:val="none"/>
        </w:rPr>
        <w:t>3、验收方式和标准：</w:t>
      </w:r>
      <w:r>
        <w:rPr>
          <w:rFonts w:hAnsi="宋体" w:cs="宋体"/>
          <w:color w:val="auto"/>
          <w:sz w:val="24"/>
          <w:szCs w:val="24"/>
          <w:highlight w:val="none"/>
        </w:rPr>
        <w:t>严格按照《中华人民共和国政府采购法》《中华人民共和国政府采购法实施条例》和《财政部关于进一步加强政府采购需求和履约验收管理的指导意见》（财库〔2016〕205号）的要求进行验收</w:t>
      </w:r>
      <w:r>
        <w:rPr>
          <w:rFonts w:hint="eastAsia" w:cs="宋体"/>
          <w:color w:val="auto"/>
          <w:sz w:val="24"/>
          <w:highlight w:val="none"/>
        </w:rPr>
        <w:t>。</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67" w:name="_Toc217446111"/>
      <w:r>
        <w:rPr>
          <w:rFonts w:hint="eastAsia" w:ascii="黑体" w:hAnsi="Arial" w:eastAsia="黑体"/>
          <w:b/>
          <w:bCs/>
          <w:color w:val="auto"/>
          <w:sz w:val="24"/>
          <w:szCs w:val="24"/>
          <w:highlight w:val="none"/>
        </w:rPr>
        <w:t>五、付款方式</w:t>
      </w:r>
      <w:bookmarkEnd w:id="67"/>
    </w:p>
    <w:p>
      <w:pPr>
        <w:keepNext/>
        <w:keepLines/>
        <w:widowControl w:val="0"/>
        <w:spacing w:line="500" w:lineRule="exact"/>
        <w:ind w:firstLine="480" w:firstLineChars="200"/>
        <w:jc w:val="both"/>
        <w:outlineLvl w:val="1"/>
        <w:rPr>
          <w:rFonts w:cs="宋体"/>
          <w:color w:val="auto"/>
          <w:sz w:val="24"/>
          <w:highlight w:val="none"/>
        </w:rPr>
      </w:pPr>
      <w:r>
        <w:rPr>
          <w:rFonts w:hint="eastAsia" w:cs="宋体"/>
          <w:color w:val="auto"/>
          <w:sz w:val="24"/>
          <w:highlight w:val="none"/>
        </w:rPr>
        <w:t>合同签订后10个工作日，采购人向供应商支付合同价款的20%；货物到现场安装调试完毕，对采购人进行培训和验收合格后采购人向供应商支付至合同价款的95%；尾款一年后支付。</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68" w:name="_Toc217446112"/>
      <w:r>
        <w:rPr>
          <w:rFonts w:hint="eastAsia" w:ascii="黑体" w:hAnsi="Arial" w:eastAsia="黑体"/>
          <w:b/>
          <w:bCs/>
          <w:color w:val="auto"/>
          <w:sz w:val="24"/>
          <w:szCs w:val="24"/>
          <w:highlight w:val="none"/>
        </w:rPr>
        <w:t>六、</w:t>
      </w:r>
      <w:bookmarkEnd w:id="68"/>
      <w:r>
        <w:rPr>
          <w:rFonts w:hint="eastAsia" w:ascii="黑体" w:hAnsi="Arial" w:eastAsia="黑体"/>
          <w:b/>
          <w:bCs/>
          <w:color w:val="auto"/>
          <w:sz w:val="24"/>
          <w:szCs w:val="24"/>
          <w:highlight w:val="none"/>
        </w:rPr>
        <w:t>售后服务要求</w:t>
      </w:r>
    </w:p>
    <w:p>
      <w:pPr>
        <w:spacing w:line="480" w:lineRule="exact"/>
        <w:ind w:firstLine="480" w:firstLineChars="200"/>
        <w:rPr>
          <w:rFonts w:cs="宋体"/>
          <w:color w:val="auto"/>
          <w:sz w:val="24"/>
          <w:highlight w:val="none"/>
        </w:rPr>
      </w:pPr>
      <w:r>
        <w:rPr>
          <w:rFonts w:hint="eastAsia" w:cs="宋体"/>
          <w:color w:val="auto"/>
          <w:sz w:val="24"/>
          <w:highlight w:val="none"/>
        </w:rPr>
        <w:t xml:space="preserve">1）为保证货物质量及售后交付质量，在签订合同时供应商需提供原厂商针对此项目的售后服务承诺函原件（加盖原厂鲜章）及响应产品参数证明材料（加盖原厂鲜章），售后服务承诺函内容包括：保修年限、原厂商提供快速支持专线7×24小时全天候服务、原厂工程师4小时内上门；原厂商提供软件故障诊断和协作支持主动的事件升17/26级管理。否则采购人有权拒签合同。 </w:t>
      </w:r>
    </w:p>
    <w:p>
      <w:pPr>
        <w:spacing w:line="480" w:lineRule="exact"/>
        <w:ind w:firstLine="480" w:firstLineChars="200"/>
        <w:rPr>
          <w:rFonts w:cs="宋体"/>
          <w:color w:val="auto"/>
          <w:sz w:val="24"/>
          <w:highlight w:val="none"/>
        </w:rPr>
      </w:pPr>
      <w:r>
        <w:rPr>
          <w:rFonts w:hint="eastAsia" w:cs="宋体"/>
          <w:color w:val="auto"/>
          <w:sz w:val="24"/>
          <w:highlight w:val="none"/>
        </w:rPr>
        <w:t xml:space="preserve">2）为防止虚假响应，采购人有权要求供应商在成交后3日内提供响应时所响应型号一致的设备若干台进行逐项性能及功能性测试，若与响应应答不符或供应商提供设备达不到磋商要求的，采购人有权拒签合同，并追究成交供应商相关法律责任。 </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3）所响应产品要求能够和单位现有系统实现无缝兼容对接，并和上级管理单位互联互通，支持上级单位调取图像数据。</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69" w:name="_Toc217446113"/>
      <w:r>
        <w:rPr>
          <w:rFonts w:hint="eastAsia" w:ascii="黑体" w:hAnsi="Arial" w:eastAsia="黑体"/>
          <w:b/>
          <w:bCs/>
          <w:color w:val="auto"/>
          <w:sz w:val="24"/>
          <w:szCs w:val="24"/>
          <w:highlight w:val="none"/>
        </w:rPr>
        <w:t>七、违约责任</w:t>
      </w:r>
      <w:bookmarkEnd w:id="69"/>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1、甲方违约责任</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（1） 甲方无正当理由拒收货物的，甲方应偿付合同总价百分之  的违约金；</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（2） 甲方逾期支付货款的，除应及时付足货款外，应向乙方偿付欠款总额万分之/天的违约金；逾期付款超过天的，乙方有权终止合同；</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（3） 甲方偿付的违约金不足以弥补乙方损失的，还应按乙方损失尚未弥补的部分，支付赔偿金给乙方。</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2、乙方违约责任</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（2）乙方不能交付货物或逾期交付货物而违约的，除应及时交足货物外，应向甲方偿付逾期交货部分货款总额的万分之/天的违约金；逾期交货超过</w:t>
      </w:r>
      <w:r>
        <w:rPr>
          <w:rFonts w:hint="eastAsia" w:cs="宋体"/>
          <w:color w:val="auto"/>
          <w:sz w:val="24"/>
          <w:szCs w:val="21"/>
          <w:highlight w:val="none"/>
        </w:rPr>
        <w:t>XX</w:t>
      </w:r>
      <w:r>
        <w:rPr>
          <w:rFonts w:hint="eastAsia" w:cs="宋体"/>
          <w:color w:val="auto"/>
          <w:sz w:val="24"/>
          <w:highlight w:val="none"/>
        </w:rPr>
        <w:t>天，甲方有权终止合同，乙方则应按合同总价的百分之的款额向甲方偿付赔偿金，并须全额退还甲方已经付给乙方的货款及其利息。</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5）乙方若不履行、不全面履行或怠于履行售后等义务，经甲方一次催告仍不履行或怠于履行的，甲方有权委托第三方进行，由此产生的费用全部由乙方承担，且甲方不在支付合同价款，乙方还应向甲方支付本合同总金额10%的违约金。</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（6）乙方偿付的违约金不足以弥补甲方损失的，还应按甲方损失尚未弥补的部分，支付赔偿金给甲方。</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70" w:name="_Toc217446114"/>
      <w:r>
        <w:rPr>
          <w:rFonts w:hint="eastAsia" w:ascii="黑体" w:hAnsi="Arial" w:eastAsia="黑体"/>
          <w:b/>
          <w:bCs/>
          <w:color w:val="auto"/>
          <w:sz w:val="24"/>
          <w:szCs w:val="24"/>
          <w:highlight w:val="none"/>
        </w:rPr>
        <w:t>八、争议解决办法</w:t>
      </w:r>
      <w:bookmarkEnd w:id="70"/>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1、因货物的质量问题发生争议，由质量技术监督部门或其指定的质量鉴定机构进行质量鉴定。货物符合标准的，鉴定费由甲方承担；货物不符合质量标准的，鉴定费由乙方承担。</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2、合同履行期间,若双方发生争议，可协商或由有关部门调解解决，协商或调解不成的，由当事人依法向甲方所在地人民法院起诉解决，并由败诉方或违约方承担诉讼费、差旅费、保全保险代理费、律师费等维权费用。</w:t>
      </w:r>
    </w:p>
    <w:p>
      <w:pPr>
        <w:pStyle w:val="2"/>
        <w:rPr>
          <w:color w:val="auto"/>
          <w:highlight w:val="none"/>
        </w:rPr>
      </w:pPr>
      <w:r>
        <w:rPr>
          <w:rFonts w:hint="eastAsia" w:cs="宋体"/>
          <w:color w:val="auto"/>
          <w:highlight w:val="none"/>
        </w:rPr>
        <w:t xml:space="preserve">   3、双方同意，以本合同文尾载明的地址为双方送达相关司法文书的地址。通过邮寄送达的以收到或退回之日为送达日。</w:t>
      </w:r>
    </w:p>
    <w:p>
      <w:pPr>
        <w:keepNext/>
        <w:keepLines/>
        <w:widowControl w:val="0"/>
        <w:spacing w:line="500" w:lineRule="exact"/>
        <w:ind w:firstLine="482" w:firstLineChars="200"/>
        <w:jc w:val="both"/>
        <w:outlineLvl w:val="1"/>
        <w:rPr>
          <w:rFonts w:ascii="黑体" w:hAnsi="Arial" w:eastAsia="黑体"/>
          <w:b/>
          <w:bCs/>
          <w:color w:val="auto"/>
          <w:sz w:val="24"/>
          <w:szCs w:val="24"/>
          <w:highlight w:val="none"/>
        </w:rPr>
      </w:pPr>
      <w:bookmarkStart w:id="71" w:name="_Toc217446115"/>
      <w:r>
        <w:rPr>
          <w:rFonts w:hint="eastAsia" w:ascii="黑体" w:hAnsi="Arial" w:eastAsia="黑体"/>
          <w:b/>
          <w:bCs/>
          <w:color w:val="auto"/>
          <w:sz w:val="24"/>
          <w:szCs w:val="24"/>
          <w:highlight w:val="none"/>
        </w:rPr>
        <w:t>九、其他</w:t>
      </w:r>
      <w:bookmarkEnd w:id="71"/>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1、如有未尽事宜，由双方依法订立补充合同。</w:t>
      </w:r>
    </w:p>
    <w:p>
      <w:pPr>
        <w:widowControl w:val="0"/>
        <w:spacing w:line="500" w:lineRule="exact"/>
        <w:ind w:firstLine="480" w:firstLineChars="200"/>
        <w:jc w:val="both"/>
        <w:rPr>
          <w:rFonts w:cs="宋体"/>
          <w:color w:val="auto"/>
          <w:sz w:val="24"/>
          <w:highlight w:val="none"/>
        </w:rPr>
      </w:pPr>
      <w:r>
        <w:rPr>
          <w:rFonts w:hint="eastAsia" w:cs="宋体"/>
          <w:color w:val="auto"/>
          <w:sz w:val="24"/>
          <w:highlight w:val="none"/>
        </w:rPr>
        <w:t>2、本合同一式六份，自双方</w:t>
      </w:r>
      <w:r>
        <w:rPr>
          <w:rFonts w:hint="eastAsia"/>
          <w:color w:val="auto"/>
          <w:sz w:val="24"/>
          <w:highlight w:val="none"/>
        </w:rPr>
        <w:t>法定代表人或授权代表</w:t>
      </w:r>
      <w:r>
        <w:rPr>
          <w:rFonts w:hint="eastAsia" w:cs="宋体"/>
          <w:color w:val="auto"/>
          <w:sz w:val="24"/>
          <w:highlight w:val="none"/>
        </w:rPr>
        <w:t>签字和盖公章或合同专用章之日起生效。甲方三份，乙方、政府采购管理部门、采购代理机构各一份，均具有同等法律效力。</w:t>
      </w:r>
    </w:p>
    <w:p>
      <w:pPr>
        <w:widowControl w:val="0"/>
        <w:spacing w:line="500" w:lineRule="exact"/>
        <w:jc w:val="both"/>
        <w:rPr>
          <w:color w:val="auto"/>
          <w:sz w:val="24"/>
          <w:highlight w:val="none"/>
        </w:rPr>
      </w:pPr>
    </w:p>
    <w:p>
      <w:pPr>
        <w:widowControl w:val="0"/>
        <w:spacing w:line="500" w:lineRule="exact"/>
        <w:ind w:firstLine="480" w:firstLineChars="200"/>
        <w:jc w:val="both"/>
        <w:rPr>
          <w:color w:val="auto"/>
          <w:sz w:val="24"/>
          <w:highlight w:val="none"/>
        </w:rPr>
      </w:pPr>
      <w:r>
        <w:rPr>
          <w:rFonts w:hint="eastAsia"/>
          <w:color w:val="auto"/>
          <w:sz w:val="24"/>
          <w:highlight w:val="none"/>
        </w:rPr>
        <w:t xml:space="preserve">甲方：   （盖章）   </w:t>
      </w:r>
      <w:r>
        <w:rPr>
          <w:rFonts w:hint="eastAsia"/>
          <w:color w:val="auto"/>
          <w:sz w:val="24"/>
          <w:highlight w:val="none"/>
        </w:rPr>
        <w:tab/>
      </w:r>
      <w:r>
        <w:rPr>
          <w:rFonts w:hint="eastAsia"/>
          <w:color w:val="auto"/>
          <w:sz w:val="24"/>
          <w:highlight w:val="none"/>
        </w:rPr>
        <w:tab/>
      </w:r>
      <w:r>
        <w:rPr>
          <w:rFonts w:hint="eastAsia"/>
          <w:color w:val="auto"/>
          <w:sz w:val="24"/>
          <w:highlight w:val="none"/>
        </w:rPr>
        <w:tab/>
      </w:r>
      <w:r>
        <w:rPr>
          <w:rFonts w:hint="eastAsia"/>
          <w:color w:val="auto"/>
          <w:sz w:val="24"/>
          <w:highlight w:val="none"/>
        </w:rPr>
        <w:t xml:space="preserve">       乙方：   （盖章）</w:t>
      </w:r>
    </w:p>
    <w:p>
      <w:pPr>
        <w:widowControl w:val="0"/>
        <w:spacing w:line="500" w:lineRule="exact"/>
        <w:ind w:firstLine="480" w:firstLineChars="200"/>
        <w:jc w:val="both"/>
        <w:rPr>
          <w:color w:val="auto"/>
          <w:sz w:val="24"/>
          <w:highlight w:val="none"/>
        </w:rPr>
      </w:pPr>
      <w:r>
        <w:rPr>
          <w:rFonts w:hint="eastAsia"/>
          <w:color w:val="auto"/>
          <w:sz w:val="24"/>
          <w:highlight w:val="none"/>
        </w:rPr>
        <w:t>法定代表人（授权代表）：            法定代表人（授权代表）：</w:t>
      </w:r>
    </w:p>
    <w:p>
      <w:pPr>
        <w:widowControl w:val="0"/>
        <w:spacing w:line="500" w:lineRule="exact"/>
        <w:ind w:firstLine="480" w:firstLineChars="200"/>
        <w:jc w:val="both"/>
        <w:rPr>
          <w:color w:val="auto"/>
          <w:sz w:val="24"/>
          <w:highlight w:val="none"/>
        </w:rPr>
      </w:pPr>
      <w:r>
        <w:rPr>
          <w:rFonts w:hint="eastAsia"/>
          <w:color w:val="auto"/>
          <w:sz w:val="24"/>
          <w:highlight w:val="none"/>
        </w:rPr>
        <w:t>地    址：                         地    址：</w:t>
      </w:r>
    </w:p>
    <w:p>
      <w:pPr>
        <w:widowControl w:val="0"/>
        <w:spacing w:line="500" w:lineRule="exact"/>
        <w:ind w:firstLine="480" w:firstLineChars="200"/>
        <w:jc w:val="both"/>
        <w:rPr>
          <w:color w:val="auto"/>
          <w:sz w:val="24"/>
          <w:highlight w:val="none"/>
        </w:rPr>
      </w:pPr>
      <w:r>
        <w:rPr>
          <w:rFonts w:hint="eastAsia"/>
          <w:color w:val="auto"/>
          <w:sz w:val="24"/>
          <w:highlight w:val="none"/>
        </w:rPr>
        <w:t>开户银行：                         开户银行：</w:t>
      </w:r>
    </w:p>
    <w:p>
      <w:pPr>
        <w:widowControl w:val="0"/>
        <w:spacing w:line="500" w:lineRule="exact"/>
        <w:ind w:firstLine="480" w:firstLineChars="200"/>
        <w:jc w:val="both"/>
        <w:rPr>
          <w:color w:val="auto"/>
          <w:sz w:val="24"/>
          <w:highlight w:val="none"/>
        </w:rPr>
      </w:pPr>
      <w:r>
        <w:rPr>
          <w:rFonts w:hint="eastAsia"/>
          <w:color w:val="auto"/>
          <w:sz w:val="24"/>
          <w:highlight w:val="none"/>
        </w:rPr>
        <w:t>账号：                             账号：</w:t>
      </w:r>
    </w:p>
    <w:p>
      <w:pPr>
        <w:widowControl w:val="0"/>
        <w:spacing w:line="500" w:lineRule="exact"/>
        <w:ind w:firstLine="480" w:firstLineChars="200"/>
        <w:jc w:val="both"/>
        <w:rPr>
          <w:color w:val="auto"/>
          <w:sz w:val="24"/>
          <w:highlight w:val="none"/>
        </w:rPr>
      </w:pPr>
      <w:r>
        <w:rPr>
          <w:rFonts w:hint="eastAsia"/>
          <w:color w:val="auto"/>
          <w:sz w:val="24"/>
          <w:highlight w:val="none"/>
        </w:rPr>
        <w:t>电    话：                         电    话：</w:t>
      </w:r>
    </w:p>
    <w:p>
      <w:pPr>
        <w:widowControl w:val="0"/>
        <w:spacing w:line="500" w:lineRule="exact"/>
        <w:ind w:firstLine="480" w:firstLineChars="200"/>
        <w:jc w:val="both"/>
        <w:rPr>
          <w:color w:val="auto"/>
          <w:sz w:val="24"/>
          <w:highlight w:val="none"/>
        </w:rPr>
      </w:pPr>
      <w:r>
        <w:rPr>
          <w:rFonts w:hint="eastAsia"/>
          <w:color w:val="auto"/>
          <w:sz w:val="24"/>
          <w:highlight w:val="none"/>
        </w:rPr>
        <w:t>传    真：                         传    真：</w:t>
      </w:r>
    </w:p>
    <w:p>
      <w:pPr>
        <w:spacing w:line="400" w:lineRule="exact"/>
        <w:ind w:firstLine="560" w:firstLineChars="200"/>
        <w:rPr>
          <w:rFonts w:hAnsi="宋体" w:cs="仿宋_GB2312"/>
          <w:color w:val="auto"/>
          <w:sz w:val="24"/>
          <w:highlight w:val="none"/>
        </w:rPr>
      </w:pPr>
      <w:r>
        <w:rPr>
          <w:rFonts w:hint="eastAsia"/>
          <w:color w:val="auto"/>
          <w:sz w:val="28"/>
          <w:szCs w:val="28"/>
          <w:highlight w:val="none"/>
        </w:rPr>
        <w:t xml:space="preserve">签约日期：XX年XX月XX日 </w:t>
      </w:r>
      <w:r>
        <w:rPr>
          <w:rFonts w:hint="eastAsia"/>
          <w:color w:val="auto"/>
          <w:sz w:val="28"/>
          <w:szCs w:val="28"/>
          <w:highlight w:val="none"/>
        </w:rPr>
        <w:tab/>
      </w:r>
      <w:r>
        <w:rPr>
          <w:rFonts w:hint="eastAsia"/>
          <w:color w:val="auto"/>
          <w:sz w:val="28"/>
          <w:szCs w:val="28"/>
          <w:highlight w:val="none"/>
        </w:rPr>
        <w:tab/>
      </w:r>
      <w:r>
        <w:rPr>
          <w:rFonts w:hint="eastAsia"/>
          <w:color w:val="auto"/>
          <w:sz w:val="28"/>
          <w:szCs w:val="28"/>
          <w:highlight w:val="none"/>
        </w:rPr>
        <w:t>签约日期：XX年XX月XX日</w:t>
      </w:r>
    </w:p>
    <w:p>
      <w:pPr>
        <w:spacing w:line="480" w:lineRule="exact"/>
        <w:rPr>
          <w:rFonts w:hAnsi="宋体" w:cs="宋体"/>
          <w:color w:val="auto"/>
          <w:sz w:val="24"/>
          <w:highlight w:val="none"/>
        </w:rPr>
      </w:pPr>
      <w:r>
        <w:rPr>
          <w:rFonts w:hAnsi="宋体" w:cs="宋体"/>
          <w:color w:val="auto"/>
          <w:sz w:val="24"/>
          <w:highlight w:val="none"/>
        </w:rPr>
        <w:t>　　</w:t>
      </w:r>
      <w:r>
        <w:rPr>
          <w:rFonts w:hint="eastAsia" w:hAnsi="宋体" w:cs="宋体"/>
          <w:color w:val="auto"/>
          <w:sz w:val="24"/>
          <w:highlight w:val="none"/>
        </w:rPr>
        <w:t xml:space="preserve"> </w:t>
      </w:r>
    </w:p>
    <w:p>
      <w:pPr>
        <w:pStyle w:val="2"/>
        <w:widowControl w:val="0"/>
        <w:spacing w:after="0" w:line="440" w:lineRule="exact"/>
        <w:ind w:firstLine="338" w:firstLineChars="141"/>
        <w:jc w:val="both"/>
        <w:rPr>
          <w:rFonts w:ascii="宋体" w:hAnsi="宋体" w:cs="宋体"/>
          <w:color w:val="auto"/>
          <w:highlight w:val="none"/>
        </w:rPr>
      </w:pPr>
    </w:p>
    <w:p>
      <w:pPr>
        <w:pStyle w:val="2"/>
        <w:spacing w:after="0" w:line="400" w:lineRule="exact"/>
        <w:rPr>
          <w:rFonts w:hAnsi="宋体" w:cs="黑体"/>
          <w:b/>
          <w:color w:val="auto"/>
          <w:sz w:val="28"/>
          <w:szCs w:val="28"/>
          <w:highlight w:val="none"/>
        </w:rPr>
      </w:pPr>
      <w:r>
        <w:rPr>
          <w:rFonts w:hAnsi="宋体" w:cs="宋体"/>
          <w:color w:val="auto"/>
          <w:highlight w:val="none"/>
        </w:rPr>
        <w:br w:type="textWrapping"/>
      </w:r>
      <w:r>
        <w:rPr>
          <w:rFonts w:hint="eastAsia" w:hAnsi="宋体" w:cs="黑体"/>
          <w:b/>
          <w:color w:val="auto"/>
          <w:sz w:val="28"/>
          <w:szCs w:val="28"/>
          <w:highlight w:val="none"/>
        </w:rPr>
        <w:t>注：本合同是采购人提供的基本格式，具体内容由采购人和成交供应商在遵守中华人民共和国相关法律法规、本磋商文件具体要求及成交供应商承诺的原则上协商签订。</w:t>
      </w:r>
    </w:p>
    <w:p>
      <w:pPr>
        <w:pStyle w:val="2"/>
        <w:spacing w:after="0" w:line="400" w:lineRule="exact"/>
        <w:rPr>
          <w:rFonts w:hAnsi="宋体" w:cs="黑体"/>
          <w:b/>
          <w:color w:val="auto"/>
          <w:sz w:val="28"/>
          <w:szCs w:val="28"/>
          <w:highlight w:val="none"/>
        </w:rPr>
      </w:pPr>
    </w:p>
    <w:p>
      <w:pPr>
        <w:pStyle w:val="23"/>
        <w:snapToGrid w:val="0"/>
        <w:spacing w:line="300" w:lineRule="auto"/>
        <w:ind w:firstLine="2570" w:firstLineChars="800"/>
        <w:outlineLvl w:val="0"/>
        <w:rPr>
          <w:rFonts w:hint="default" w:hAnsi="宋体"/>
          <w:b/>
          <w:bCs/>
          <w:color w:val="auto"/>
          <w:kern w:val="44"/>
          <w:sz w:val="32"/>
          <w:szCs w:val="32"/>
          <w:highlight w:val="none"/>
        </w:rPr>
      </w:pPr>
      <w:bookmarkStart w:id="72" w:name="_Toc3406"/>
      <w:bookmarkStart w:id="73" w:name="_Toc23961"/>
      <w:r>
        <w:rPr>
          <w:rFonts w:hAnsi="宋体"/>
          <w:b/>
          <w:bCs/>
          <w:color w:val="auto"/>
          <w:kern w:val="44"/>
          <w:sz w:val="32"/>
          <w:szCs w:val="32"/>
          <w:highlight w:val="none"/>
        </w:rPr>
        <w:t>第七章  响应文件（格式）</w:t>
      </w:r>
      <w:bookmarkEnd w:id="72"/>
      <w:bookmarkEnd w:id="73"/>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二、本章所制响应文件格式有关表格中的备注栏，由供应商根据自身响应情况作解释性说明，不作为必填项。</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三、本章所制响应文件格式中需要填写的相关内容事项，可能会与本采购项目无关，在不改变响应文件原义、不影响本项目采购需求的情况下，供应商可以不予填写，但应当注明。</w:t>
      </w: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pStyle w:val="32"/>
        <w:rPr>
          <w:color w:val="auto"/>
          <w:highlight w:val="none"/>
        </w:rPr>
      </w:pPr>
    </w:p>
    <w:p>
      <w:pPr>
        <w:rPr>
          <w:color w:val="auto"/>
          <w:highlight w:val="none"/>
        </w:rPr>
      </w:pPr>
    </w:p>
    <w:p>
      <w:pPr>
        <w:jc w:val="center"/>
        <w:rPr>
          <w:rFonts w:hAnsi="宋体"/>
          <w:b/>
          <w:color w:val="auto"/>
          <w:sz w:val="72"/>
          <w:highlight w:val="none"/>
        </w:rPr>
      </w:pPr>
      <w:r>
        <w:rPr>
          <w:rFonts w:hAnsi="宋体"/>
          <w:b/>
          <w:color w:val="auto"/>
          <w:sz w:val="72"/>
          <w:highlight w:val="none"/>
        </w:rPr>
        <w:t>响应文件</w:t>
      </w:r>
    </w:p>
    <w:p>
      <w:pPr>
        <w:jc w:val="center"/>
        <w:rPr>
          <w:rFonts w:hAnsi="宋体"/>
          <w:b/>
          <w:color w:val="auto"/>
          <w:sz w:val="44"/>
          <w:highlight w:val="none"/>
        </w:rPr>
      </w:pPr>
      <w:r>
        <w:rPr>
          <w:rFonts w:hAnsi="宋体"/>
          <w:b/>
          <w:color w:val="auto"/>
          <w:sz w:val="44"/>
          <w:highlight w:val="none"/>
        </w:rPr>
        <w:t>（封面）</w:t>
      </w:r>
    </w:p>
    <w:p>
      <w:pPr>
        <w:jc w:val="center"/>
        <w:rPr>
          <w:rFonts w:hAnsi="宋体"/>
          <w:b/>
          <w:color w:val="auto"/>
          <w:sz w:val="36"/>
          <w:highlight w:val="none"/>
        </w:rPr>
      </w:pPr>
    </w:p>
    <w:p>
      <w:pPr>
        <w:pStyle w:val="2"/>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（资格性/技术、服务性）响应文件</w:t>
      </w:r>
    </w:p>
    <w:p>
      <w:pPr>
        <w:pStyle w:val="32"/>
        <w:rPr>
          <w:color w:val="auto"/>
          <w:highlight w:val="none"/>
        </w:rPr>
      </w:pPr>
    </w:p>
    <w:p>
      <w:pPr>
        <w:ind w:firstLine="1970" w:firstLineChars="545"/>
        <w:rPr>
          <w:rFonts w:hAnsi="宋体"/>
          <w:b/>
          <w:color w:val="auto"/>
          <w:sz w:val="36"/>
          <w:highlight w:val="none"/>
          <w:u w:val="single"/>
        </w:rPr>
      </w:pPr>
      <w:r>
        <w:rPr>
          <w:rFonts w:hAnsi="宋体"/>
          <w:b/>
          <w:color w:val="auto"/>
          <w:sz w:val="36"/>
          <w:highlight w:val="none"/>
        </w:rPr>
        <w:t>项目名称：</w:t>
      </w:r>
    </w:p>
    <w:p>
      <w:pPr>
        <w:ind w:firstLine="1970" w:firstLineChars="545"/>
        <w:rPr>
          <w:rFonts w:hAnsi="宋体"/>
          <w:b/>
          <w:color w:val="auto"/>
          <w:sz w:val="36"/>
          <w:highlight w:val="none"/>
          <w:u w:val="single"/>
        </w:rPr>
      </w:pPr>
      <w:r>
        <w:rPr>
          <w:rFonts w:hint="eastAsia" w:hAnsi="宋体"/>
          <w:b/>
          <w:color w:val="auto"/>
          <w:sz w:val="36"/>
          <w:highlight w:val="none"/>
        </w:rPr>
        <w:t>项目</w:t>
      </w:r>
      <w:r>
        <w:rPr>
          <w:rFonts w:hAnsi="宋体"/>
          <w:b/>
          <w:color w:val="auto"/>
          <w:sz w:val="36"/>
          <w:highlight w:val="none"/>
        </w:rPr>
        <w:t>编号：</w:t>
      </w:r>
    </w:p>
    <w:p>
      <w:pPr>
        <w:jc w:val="center"/>
        <w:rPr>
          <w:rFonts w:hAnsi="宋体"/>
          <w:b/>
          <w:color w:val="auto"/>
          <w:sz w:val="36"/>
          <w:highlight w:val="none"/>
        </w:rPr>
      </w:pPr>
    </w:p>
    <w:p>
      <w:pPr>
        <w:jc w:val="center"/>
        <w:rPr>
          <w:rFonts w:hAnsi="宋体"/>
          <w:b/>
          <w:color w:val="auto"/>
          <w:sz w:val="36"/>
          <w:highlight w:val="none"/>
        </w:rPr>
      </w:pPr>
      <w:r>
        <w:rPr>
          <w:rFonts w:hAnsi="宋体"/>
          <w:b/>
          <w:color w:val="auto"/>
          <w:sz w:val="36"/>
          <w:highlight w:val="none"/>
        </w:rPr>
        <w:t>（正本/副本）</w:t>
      </w:r>
    </w:p>
    <w:p>
      <w:pPr>
        <w:rPr>
          <w:rFonts w:hAnsi="宋体"/>
          <w:b/>
          <w:color w:val="auto"/>
          <w:sz w:val="36"/>
          <w:highlight w:val="none"/>
        </w:rPr>
      </w:pPr>
    </w:p>
    <w:p>
      <w:pPr>
        <w:rPr>
          <w:rFonts w:hAnsi="宋体"/>
          <w:b/>
          <w:color w:val="auto"/>
          <w:sz w:val="36"/>
          <w:highlight w:val="none"/>
        </w:rPr>
      </w:pPr>
    </w:p>
    <w:p>
      <w:pPr>
        <w:rPr>
          <w:rFonts w:hAnsi="宋体"/>
          <w:b/>
          <w:color w:val="auto"/>
          <w:sz w:val="36"/>
          <w:highlight w:val="none"/>
        </w:rPr>
      </w:pPr>
    </w:p>
    <w:p>
      <w:pPr>
        <w:spacing w:line="440" w:lineRule="exact"/>
        <w:rPr>
          <w:rFonts w:hAnsi="宋体"/>
          <w:b/>
          <w:color w:val="auto"/>
          <w:sz w:val="36"/>
          <w:highlight w:val="none"/>
        </w:rPr>
      </w:pPr>
    </w:p>
    <w:p>
      <w:pPr>
        <w:spacing w:line="500" w:lineRule="exact"/>
        <w:rPr>
          <w:rFonts w:hAnsi="宋体"/>
          <w:b/>
          <w:color w:val="auto"/>
          <w:sz w:val="32"/>
          <w:highlight w:val="none"/>
          <w:u w:val="single"/>
        </w:rPr>
      </w:pPr>
      <w:r>
        <w:rPr>
          <w:rFonts w:hAnsi="宋体"/>
          <w:b/>
          <w:color w:val="auto"/>
          <w:sz w:val="32"/>
          <w:highlight w:val="none"/>
        </w:rPr>
        <w:t xml:space="preserve">     供应商名称 ：</w:t>
      </w:r>
    </w:p>
    <w:p>
      <w:pPr>
        <w:spacing w:line="500" w:lineRule="exact"/>
        <w:rPr>
          <w:rFonts w:hAnsi="宋体"/>
          <w:b/>
          <w:color w:val="auto"/>
          <w:sz w:val="32"/>
          <w:highlight w:val="none"/>
          <w:u w:val="single"/>
        </w:rPr>
      </w:pPr>
      <w:r>
        <w:rPr>
          <w:rFonts w:hint="eastAsia" w:hAnsi="宋体"/>
          <w:b/>
          <w:color w:val="auto"/>
          <w:sz w:val="32"/>
          <w:highlight w:val="none"/>
        </w:rPr>
        <w:t xml:space="preserve">     法定代表人/单位负责人</w:t>
      </w:r>
      <w:r>
        <w:rPr>
          <w:rFonts w:hAnsi="宋体"/>
          <w:b/>
          <w:color w:val="auto"/>
          <w:sz w:val="32"/>
          <w:highlight w:val="none"/>
        </w:rPr>
        <w:t>姓名：</w:t>
      </w:r>
    </w:p>
    <w:p>
      <w:pPr>
        <w:spacing w:line="500" w:lineRule="exact"/>
        <w:ind w:firstLine="157" w:firstLineChars="49"/>
        <w:rPr>
          <w:rFonts w:hAnsi="宋体"/>
          <w:b/>
          <w:color w:val="auto"/>
          <w:sz w:val="32"/>
          <w:highlight w:val="none"/>
          <w:u w:val="single"/>
        </w:rPr>
      </w:pPr>
      <w:r>
        <w:rPr>
          <w:rFonts w:hAnsi="宋体"/>
          <w:b/>
          <w:color w:val="auto"/>
          <w:sz w:val="32"/>
          <w:highlight w:val="none"/>
        </w:rPr>
        <w:t xml:space="preserve">    地址： 邮编：</w:t>
      </w:r>
    </w:p>
    <w:p>
      <w:pPr>
        <w:spacing w:line="500" w:lineRule="exact"/>
        <w:ind w:firstLine="315" w:firstLineChars="98"/>
        <w:rPr>
          <w:rFonts w:hAnsi="宋体"/>
          <w:b/>
          <w:color w:val="auto"/>
          <w:sz w:val="32"/>
          <w:highlight w:val="none"/>
          <w:u w:val="single"/>
        </w:rPr>
      </w:pPr>
      <w:r>
        <w:rPr>
          <w:rFonts w:hAnsi="宋体"/>
          <w:b/>
          <w:color w:val="auto"/>
          <w:sz w:val="32"/>
          <w:highlight w:val="none"/>
        </w:rPr>
        <w:t xml:space="preserve">   电话： 传真：</w:t>
      </w:r>
    </w:p>
    <w:p>
      <w:pPr>
        <w:spacing w:line="500" w:lineRule="exact"/>
        <w:ind w:firstLine="790" w:firstLineChars="246"/>
        <w:rPr>
          <w:rFonts w:hAnsi="宋体"/>
          <w:b/>
          <w:color w:val="auto"/>
          <w:sz w:val="32"/>
          <w:highlight w:val="none"/>
        </w:rPr>
      </w:pPr>
      <w:r>
        <w:rPr>
          <w:rFonts w:hAnsi="宋体"/>
          <w:b/>
          <w:color w:val="auto"/>
          <w:sz w:val="32"/>
          <w:highlight w:val="none"/>
        </w:rPr>
        <w:t>网址：</w:t>
      </w:r>
    </w:p>
    <w:p>
      <w:pPr>
        <w:spacing w:line="500" w:lineRule="exact"/>
        <w:ind w:firstLine="790" w:firstLineChars="246"/>
        <w:rPr>
          <w:rFonts w:hAnsi="宋体"/>
          <w:b/>
          <w:color w:val="auto"/>
          <w:sz w:val="32"/>
          <w:highlight w:val="none"/>
        </w:rPr>
      </w:pPr>
      <w:r>
        <w:rPr>
          <w:rFonts w:hAnsi="宋体"/>
          <w:b/>
          <w:color w:val="auto"/>
          <w:sz w:val="32"/>
          <w:highlight w:val="none"/>
        </w:rPr>
        <w:t>电子邮箱：</w:t>
      </w:r>
    </w:p>
    <w:p>
      <w:pPr>
        <w:spacing w:line="500" w:lineRule="exact"/>
        <w:ind w:firstLine="790" w:firstLineChars="246"/>
        <w:rPr>
          <w:rFonts w:hAnsi="宋体"/>
          <w:b/>
          <w:color w:val="auto"/>
          <w:sz w:val="32"/>
          <w:highlight w:val="none"/>
          <w:u w:val="single"/>
        </w:rPr>
      </w:pPr>
      <w:r>
        <w:rPr>
          <w:rFonts w:hAnsi="宋体"/>
          <w:b/>
          <w:color w:val="auto"/>
          <w:sz w:val="32"/>
          <w:highlight w:val="none"/>
        </w:rPr>
        <w:t>响应代表： 签字：</w:t>
      </w:r>
    </w:p>
    <w:p>
      <w:pPr>
        <w:spacing w:line="500" w:lineRule="exact"/>
        <w:ind w:firstLine="790" w:firstLineChars="246"/>
        <w:rPr>
          <w:rFonts w:hAnsi="宋体"/>
          <w:b/>
          <w:color w:val="auto"/>
          <w:sz w:val="32"/>
          <w:highlight w:val="none"/>
        </w:rPr>
      </w:pPr>
      <w:r>
        <w:rPr>
          <w:rFonts w:hAnsi="宋体"/>
          <w:b/>
          <w:color w:val="auto"/>
          <w:sz w:val="32"/>
          <w:highlight w:val="none"/>
        </w:rPr>
        <w:t>手机：  日期 ：20</w:t>
      </w:r>
      <w:r>
        <w:rPr>
          <w:rFonts w:hint="eastAsia" w:hAnsi="宋体"/>
          <w:b/>
          <w:color w:val="auto"/>
          <w:sz w:val="32"/>
          <w:highlight w:val="none"/>
        </w:rPr>
        <w:t>2</w:t>
      </w:r>
      <w:r>
        <w:rPr>
          <w:rFonts w:hAnsi="宋体"/>
          <w:b/>
          <w:color w:val="auto"/>
          <w:sz w:val="32"/>
          <w:highlight w:val="none"/>
        </w:rPr>
        <w:t>年月日</w:t>
      </w:r>
    </w:p>
    <w:p>
      <w:pPr>
        <w:spacing w:line="360" w:lineRule="auto"/>
        <w:jc w:val="center"/>
        <w:rPr>
          <w:rFonts w:hAnsi="宋体"/>
          <w:color w:val="auto"/>
          <w:highlight w:val="none"/>
        </w:rPr>
        <w:sectPr>
          <w:headerReference r:id="rId12" w:type="default"/>
          <w:footerReference r:id="rId13" w:type="default"/>
          <w:pgSz w:w="11907" w:h="16840"/>
          <w:pgMar w:top="1361" w:right="1361" w:bottom="1417" w:left="1474" w:header="851" w:footer="992" w:gutter="0"/>
          <w:cols w:space="720" w:num="1"/>
          <w:docGrid w:linePitch="326" w:charSpace="0"/>
        </w:sectPr>
      </w:pPr>
    </w:p>
    <w:p>
      <w:pPr>
        <w:spacing w:line="360" w:lineRule="auto"/>
        <w:jc w:val="center"/>
        <w:rPr>
          <w:rFonts w:hAnsi="宋体"/>
          <w:b/>
          <w:color w:val="auto"/>
          <w:sz w:val="24"/>
          <w:szCs w:val="15"/>
          <w:highlight w:val="none"/>
        </w:rPr>
      </w:pPr>
      <w:r>
        <w:rPr>
          <w:rFonts w:hAnsi="宋体"/>
          <w:b/>
          <w:color w:val="auto"/>
          <w:sz w:val="24"/>
          <w:szCs w:val="15"/>
          <w:highlight w:val="none"/>
        </w:rPr>
        <w:t>响应文件分资格性响应文件和</w:t>
      </w:r>
      <w:r>
        <w:rPr>
          <w:rFonts w:hint="eastAsia" w:hAnsi="宋体"/>
          <w:b/>
          <w:color w:val="auto"/>
          <w:sz w:val="24"/>
          <w:szCs w:val="15"/>
          <w:highlight w:val="none"/>
        </w:rPr>
        <w:t>技术、服务性</w:t>
      </w:r>
      <w:r>
        <w:rPr>
          <w:rFonts w:hAnsi="宋体"/>
          <w:b/>
          <w:color w:val="auto"/>
          <w:sz w:val="24"/>
          <w:szCs w:val="15"/>
          <w:highlight w:val="none"/>
        </w:rPr>
        <w:t>响应文件两部分，应分册装订密封</w:t>
      </w:r>
    </w:p>
    <w:p>
      <w:pPr>
        <w:tabs>
          <w:tab w:val="left" w:pos="900"/>
        </w:tabs>
        <w:spacing w:line="360" w:lineRule="auto"/>
        <w:jc w:val="center"/>
        <w:outlineLvl w:val="1"/>
        <w:rPr>
          <w:rFonts w:hAnsi="宋体"/>
          <w:b/>
          <w:color w:val="auto"/>
          <w:sz w:val="32"/>
          <w:highlight w:val="none"/>
        </w:rPr>
      </w:pPr>
      <w:r>
        <w:rPr>
          <w:rFonts w:hAnsi="宋体"/>
          <w:b/>
          <w:color w:val="auto"/>
          <w:sz w:val="32"/>
          <w:highlight w:val="none"/>
        </w:rPr>
        <w:t>第一部分 资格性响应文件（格式）</w:t>
      </w: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t>一、法定代表人/负责人授权书</w:t>
      </w:r>
    </w:p>
    <w:p>
      <w:pPr>
        <w:spacing w:line="500" w:lineRule="exact"/>
        <w:rPr>
          <w:color w:val="auto"/>
          <w:sz w:val="24"/>
          <w:highlight w:val="none"/>
          <w:u w:val="single"/>
        </w:rPr>
      </w:pPr>
      <w:r>
        <w:rPr>
          <w:rFonts w:hint="eastAsia"/>
          <w:color w:val="auto"/>
          <w:sz w:val="24"/>
          <w:highlight w:val="none"/>
          <w:u w:val="single"/>
        </w:rPr>
        <w:t>四川标源招标代理有限公司：</w:t>
      </w:r>
    </w:p>
    <w:p>
      <w:pPr>
        <w:spacing w:line="500" w:lineRule="exact"/>
        <w:ind w:firstLine="470" w:firstLineChars="196"/>
        <w:rPr>
          <w:color w:val="auto"/>
          <w:sz w:val="24"/>
          <w:highlight w:val="none"/>
        </w:rPr>
      </w:pPr>
      <w:r>
        <w:rPr>
          <w:rFonts w:hint="eastAsia"/>
          <w:color w:val="auto"/>
          <w:sz w:val="24"/>
          <w:highlight w:val="none"/>
        </w:rPr>
        <w:t>本授权声明：</w:t>
      </w:r>
      <w:r>
        <w:rPr>
          <w:rFonts w:hint="eastAsia"/>
          <w:color w:val="auto"/>
          <w:sz w:val="24"/>
          <w:highlight w:val="none"/>
          <w:u w:val="single"/>
        </w:rPr>
        <w:t xml:space="preserve"> XXXX  </w:t>
      </w:r>
      <w:r>
        <w:rPr>
          <w:rFonts w:hint="eastAsia"/>
          <w:color w:val="auto"/>
          <w:sz w:val="24"/>
          <w:highlight w:val="none"/>
        </w:rPr>
        <w:t>（供应商名称）</w:t>
      </w:r>
      <w:r>
        <w:rPr>
          <w:color w:val="auto"/>
          <w:sz w:val="24"/>
          <w:highlight w:val="none"/>
          <w:u w:val="single"/>
        </w:rPr>
        <w:t xml:space="preserve">XXXX  </w:t>
      </w:r>
      <w:r>
        <w:rPr>
          <w:rFonts w:hint="eastAsia"/>
          <w:color w:val="auto"/>
          <w:sz w:val="24"/>
          <w:highlight w:val="none"/>
        </w:rPr>
        <w:t>（法定代表人/负责人姓名、职务）授权</w:t>
      </w:r>
      <w:r>
        <w:rPr>
          <w:color w:val="auto"/>
          <w:sz w:val="24"/>
          <w:highlight w:val="none"/>
          <w:u w:val="single"/>
        </w:rPr>
        <w:t xml:space="preserve">XXXX  </w:t>
      </w:r>
      <w:r>
        <w:rPr>
          <w:rFonts w:hint="eastAsia"/>
          <w:color w:val="auto"/>
          <w:sz w:val="24"/>
          <w:highlight w:val="none"/>
        </w:rPr>
        <w:t>（被授权人姓名、职务）为我方 “</w:t>
      </w:r>
      <w:r>
        <w:rPr>
          <w:rFonts w:hint="eastAsia"/>
          <w:color w:val="auto"/>
          <w:sz w:val="24"/>
          <w:highlight w:val="none"/>
          <w:u w:val="single"/>
        </w:rPr>
        <w:t>XXXX</w:t>
      </w:r>
      <w:r>
        <w:rPr>
          <w:rFonts w:hint="eastAsia"/>
          <w:color w:val="auto"/>
          <w:sz w:val="24"/>
          <w:highlight w:val="none"/>
        </w:rPr>
        <w:t>” 项目（项目编号：</w:t>
      </w:r>
      <w:r>
        <w:rPr>
          <w:rFonts w:hint="eastAsia"/>
          <w:color w:val="auto"/>
          <w:sz w:val="24"/>
          <w:highlight w:val="none"/>
          <w:u w:val="single"/>
        </w:rPr>
        <w:t>XXXX</w:t>
      </w:r>
      <w:r>
        <w:rPr>
          <w:rFonts w:hint="eastAsia"/>
          <w:color w:val="auto"/>
          <w:sz w:val="24"/>
          <w:highlight w:val="none"/>
        </w:rPr>
        <w:t>）磋商活动的合法代表，以我方名义全权处理该项目有关磋商、签订合同以及执行合同等一切事宜。</w:t>
      </w:r>
    </w:p>
    <w:p>
      <w:pPr>
        <w:spacing w:line="500" w:lineRule="exact"/>
        <w:ind w:firstLine="470" w:firstLineChars="196"/>
        <w:rPr>
          <w:color w:val="auto"/>
          <w:sz w:val="24"/>
          <w:highlight w:val="none"/>
        </w:rPr>
      </w:pPr>
      <w:r>
        <w:rPr>
          <w:rFonts w:hint="eastAsia"/>
          <w:color w:val="auto"/>
          <w:sz w:val="24"/>
          <w:highlight w:val="none"/>
        </w:rPr>
        <w:t>特此声明。</w:t>
      </w:r>
    </w:p>
    <w:p>
      <w:pPr>
        <w:pStyle w:val="23"/>
        <w:spacing w:line="460" w:lineRule="exact"/>
        <w:ind w:firstLine="420" w:firstLineChars="200"/>
        <w:rPr>
          <w:rFonts w:hint="default" w:hAnsi="宋体" w:cs="宋体"/>
          <w:color w:val="auto"/>
          <w:highlight w:val="none"/>
        </w:rPr>
      </w:pPr>
    </w:p>
    <w:p>
      <w:pPr>
        <w:spacing w:line="520" w:lineRule="exact"/>
        <w:jc w:val="both"/>
        <w:rPr>
          <w:rFonts w:hAnsi="宋体" w:cs="宋体"/>
          <w:color w:val="auto"/>
          <w:sz w:val="24"/>
          <w:szCs w:val="24"/>
          <w:highlight w:val="none"/>
        </w:rPr>
      </w:pPr>
      <w:r>
        <w:rPr>
          <w:rFonts w:hint="eastAsia" w:hAnsi="宋体" w:cs="宋体"/>
          <w:color w:val="auto"/>
          <w:sz w:val="24"/>
          <w:szCs w:val="24"/>
          <w:highlight w:val="none"/>
        </w:rPr>
        <w:t>法定代表人/负责人（签名）：</w:t>
      </w:r>
    </w:p>
    <w:p>
      <w:pPr>
        <w:spacing w:line="520" w:lineRule="exact"/>
        <w:jc w:val="both"/>
        <w:rPr>
          <w:rFonts w:hAnsi="宋体" w:cs="宋体"/>
          <w:bCs/>
          <w:color w:val="auto"/>
          <w:sz w:val="24"/>
          <w:szCs w:val="24"/>
          <w:highlight w:val="none"/>
        </w:rPr>
      </w:pPr>
      <w:r>
        <w:rPr>
          <w:rFonts w:hint="eastAsia" w:hAnsi="宋体" w:cs="宋体"/>
          <w:color w:val="auto"/>
          <w:sz w:val="24"/>
          <w:szCs w:val="24"/>
          <w:highlight w:val="none"/>
        </w:rPr>
        <w:t>授权代表（签名）</w:t>
      </w:r>
      <w:r>
        <w:rPr>
          <w:rFonts w:hint="eastAsia" w:hAnsi="宋体" w:cs="宋体"/>
          <w:bCs/>
          <w:color w:val="auto"/>
          <w:sz w:val="24"/>
          <w:szCs w:val="24"/>
          <w:highlight w:val="none"/>
        </w:rPr>
        <w:t>：</w:t>
      </w:r>
    </w:p>
    <w:p>
      <w:pPr>
        <w:spacing w:line="520" w:lineRule="exact"/>
        <w:rPr>
          <w:rFonts w:hAnsi="宋体" w:cs="宋体"/>
          <w:color w:val="auto"/>
          <w:sz w:val="24"/>
          <w:szCs w:val="24"/>
          <w:highlight w:val="none"/>
          <w:u w:val="single"/>
        </w:rPr>
      </w:pPr>
      <w:r>
        <w:rPr>
          <w:rFonts w:hint="eastAsia" w:hAnsi="宋体" w:cs="宋体"/>
          <w:color w:val="auto"/>
          <w:sz w:val="24"/>
          <w:szCs w:val="24"/>
          <w:highlight w:val="none"/>
        </w:rPr>
        <w:t>供应商名称（全称并加盖公章）：</w:t>
      </w:r>
    </w:p>
    <w:p>
      <w:pPr>
        <w:spacing w:line="520" w:lineRule="exact"/>
        <w:jc w:val="both"/>
        <w:rPr>
          <w:rFonts w:hAnsi="宋体" w:cs="宋体"/>
          <w:b/>
          <w:color w:val="auto"/>
          <w:sz w:val="24"/>
          <w:szCs w:val="24"/>
          <w:highlight w:val="none"/>
        </w:rPr>
      </w:pPr>
      <w:r>
        <w:rPr>
          <w:rFonts w:hint="eastAsia" w:hAnsi="宋体" w:cs="宋体"/>
          <w:color w:val="auto"/>
          <w:sz w:val="24"/>
          <w:szCs w:val="24"/>
          <w:highlight w:val="none"/>
        </w:rPr>
        <w:t>日       期：</w:t>
      </w:r>
    </w:p>
    <w:p>
      <w:pPr>
        <w:pStyle w:val="23"/>
        <w:spacing w:line="500" w:lineRule="exact"/>
        <w:rPr>
          <w:rFonts w:hint="default" w:hAnsi="宋体"/>
          <w:color w:val="auto"/>
          <w:highlight w:val="none"/>
        </w:rPr>
      </w:pPr>
    </w:p>
    <w:p>
      <w:pPr>
        <w:pStyle w:val="23"/>
        <w:spacing w:line="500" w:lineRule="exact"/>
        <w:ind w:firstLine="480" w:firstLineChars="200"/>
        <w:rPr>
          <w:rFonts w:hint="default" w:hAnsi="宋体"/>
          <w:bCs/>
          <w:color w:val="auto"/>
          <w:sz w:val="24"/>
          <w:szCs w:val="24"/>
          <w:highlight w:val="none"/>
        </w:rPr>
      </w:pPr>
      <w:r>
        <w:rPr>
          <w:rFonts w:hAnsi="宋体"/>
          <w:bCs/>
          <w:color w:val="auto"/>
          <w:sz w:val="24"/>
          <w:szCs w:val="24"/>
          <w:highlight w:val="none"/>
        </w:rPr>
        <w:t>说明：</w:t>
      </w:r>
    </w:p>
    <w:p>
      <w:pPr>
        <w:pStyle w:val="23"/>
        <w:spacing w:line="500" w:lineRule="exact"/>
        <w:ind w:firstLine="480" w:firstLineChars="200"/>
        <w:rPr>
          <w:rFonts w:hint="default" w:hAnsi="宋体"/>
          <w:bCs/>
          <w:color w:val="auto"/>
          <w:sz w:val="24"/>
          <w:szCs w:val="24"/>
          <w:highlight w:val="none"/>
        </w:rPr>
      </w:pPr>
      <w:r>
        <w:rPr>
          <w:rFonts w:hAnsi="宋体"/>
          <w:bCs/>
          <w:color w:val="auto"/>
          <w:sz w:val="24"/>
          <w:szCs w:val="24"/>
          <w:highlight w:val="none"/>
        </w:rPr>
        <w:t>1．授权书在响应文件中必须装订一份原件（附上法定代表人/负责人身份证复印件以及被授权代表的身份证复印件），同时在</w:t>
      </w:r>
      <w:r>
        <w:rPr>
          <w:color w:val="auto"/>
          <w:sz w:val="24"/>
          <w:highlight w:val="none"/>
        </w:rPr>
        <w:t>磋商</w:t>
      </w:r>
      <w:r>
        <w:rPr>
          <w:rFonts w:hAnsi="宋体"/>
          <w:bCs/>
          <w:color w:val="auto"/>
          <w:sz w:val="24"/>
          <w:szCs w:val="24"/>
          <w:highlight w:val="none"/>
        </w:rPr>
        <w:t>签到时还须提供授权书原件一份及被授权代表的身份证正反面复印件一份（查验原件）。</w:t>
      </w:r>
    </w:p>
    <w:p>
      <w:pPr>
        <w:pStyle w:val="23"/>
        <w:spacing w:line="500" w:lineRule="exact"/>
        <w:ind w:firstLine="480" w:firstLineChars="200"/>
        <w:rPr>
          <w:rFonts w:hint="default" w:hAnsi="宋体"/>
          <w:bCs/>
          <w:color w:val="auto"/>
          <w:sz w:val="24"/>
          <w:szCs w:val="24"/>
          <w:highlight w:val="none"/>
        </w:rPr>
      </w:pPr>
      <w:r>
        <w:rPr>
          <w:rFonts w:hAnsi="宋体"/>
          <w:bCs/>
          <w:color w:val="auto"/>
          <w:sz w:val="24"/>
          <w:szCs w:val="24"/>
          <w:highlight w:val="none"/>
        </w:rPr>
        <w:t>2.授权书内容填写要明确，文字要工整清楚，涂改无效。</w:t>
      </w:r>
    </w:p>
    <w:p>
      <w:pPr>
        <w:pStyle w:val="23"/>
        <w:spacing w:line="500" w:lineRule="exact"/>
        <w:ind w:firstLine="480" w:firstLineChars="200"/>
        <w:rPr>
          <w:rFonts w:hint="default" w:hAnsi="宋体"/>
          <w:bCs/>
          <w:color w:val="auto"/>
          <w:sz w:val="24"/>
          <w:szCs w:val="24"/>
          <w:highlight w:val="none"/>
        </w:rPr>
      </w:pPr>
      <w:r>
        <w:rPr>
          <w:rFonts w:hAnsi="宋体"/>
          <w:bCs/>
          <w:color w:val="auto"/>
          <w:sz w:val="24"/>
          <w:szCs w:val="24"/>
          <w:highlight w:val="none"/>
        </w:rPr>
        <w:t>3．授权书不得转借、转让，不得买卖。</w:t>
      </w:r>
    </w:p>
    <w:p>
      <w:pPr>
        <w:pStyle w:val="23"/>
        <w:spacing w:line="500" w:lineRule="exact"/>
        <w:ind w:firstLine="480" w:firstLineChars="200"/>
        <w:rPr>
          <w:rFonts w:hint="default" w:hAnsi="宋体"/>
          <w:bCs/>
          <w:color w:val="auto"/>
          <w:sz w:val="24"/>
          <w:szCs w:val="24"/>
          <w:highlight w:val="none"/>
        </w:rPr>
      </w:pPr>
      <w:r>
        <w:rPr>
          <w:rFonts w:hAnsi="宋体"/>
          <w:bCs/>
          <w:color w:val="auto"/>
          <w:sz w:val="24"/>
          <w:szCs w:val="24"/>
          <w:highlight w:val="none"/>
        </w:rPr>
        <w:t>4．授权代理人根据授权范围，以授权单位的名义签订合同，并将此委托书提交给对方作为合同附件。</w:t>
      </w:r>
    </w:p>
    <w:p>
      <w:pPr>
        <w:pStyle w:val="23"/>
        <w:spacing w:line="500" w:lineRule="exact"/>
        <w:ind w:firstLine="480" w:firstLineChars="200"/>
        <w:rPr>
          <w:rFonts w:hint="default" w:hAnsi="宋体"/>
          <w:bCs/>
          <w:color w:val="auto"/>
          <w:sz w:val="24"/>
          <w:szCs w:val="24"/>
          <w:highlight w:val="none"/>
        </w:rPr>
      </w:pPr>
    </w:p>
    <w:p>
      <w:pPr>
        <w:pStyle w:val="23"/>
        <w:spacing w:line="500" w:lineRule="exact"/>
        <w:ind w:firstLine="480" w:firstLineChars="200"/>
        <w:rPr>
          <w:rFonts w:hint="default" w:hAnsi="宋体"/>
          <w:bCs/>
          <w:color w:val="auto"/>
          <w:sz w:val="24"/>
          <w:szCs w:val="24"/>
          <w:highlight w:val="none"/>
        </w:rPr>
      </w:pPr>
    </w:p>
    <w:p>
      <w:pPr>
        <w:pStyle w:val="23"/>
        <w:spacing w:line="500" w:lineRule="exact"/>
        <w:ind w:firstLine="482" w:firstLineChars="200"/>
        <w:rPr>
          <w:rFonts w:hint="default" w:hAnsi="宋体"/>
          <w:b/>
          <w:color w:val="auto"/>
          <w:sz w:val="24"/>
          <w:szCs w:val="24"/>
          <w:highlight w:val="none"/>
        </w:rPr>
      </w:pPr>
    </w:p>
    <w:p>
      <w:pPr>
        <w:pStyle w:val="23"/>
        <w:spacing w:line="500" w:lineRule="exact"/>
        <w:ind w:firstLine="482" w:firstLineChars="200"/>
        <w:rPr>
          <w:rFonts w:hint="default" w:hAnsi="宋体"/>
          <w:b/>
          <w:color w:val="auto"/>
          <w:sz w:val="24"/>
          <w:szCs w:val="24"/>
          <w:highlight w:val="none"/>
        </w:rPr>
      </w:pPr>
    </w:p>
    <w:p>
      <w:pPr>
        <w:pStyle w:val="23"/>
        <w:spacing w:line="500" w:lineRule="exact"/>
        <w:ind w:firstLine="482" w:firstLineChars="200"/>
        <w:rPr>
          <w:rFonts w:hint="default" w:hAnsi="宋体"/>
          <w:b/>
          <w:color w:val="auto"/>
          <w:sz w:val="24"/>
          <w:szCs w:val="24"/>
          <w:highlight w:val="none"/>
        </w:rPr>
      </w:pP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t>二、法定代表人/负责人身份证明</w:t>
      </w:r>
    </w:p>
    <w:p>
      <w:pPr>
        <w:spacing w:line="500" w:lineRule="exact"/>
        <w:ind w:firstLine="480" w:firstLineChars="200"/>
        <w:rPr>
          <w:rFonts w:hAnsi="宋体"/>
          <w:color w:val="auto"/>
          <w:sz w:val="24"/>
          <w:szCs w:val="24"/>
          <w:highlight w:val="none"/>
          <w:u w:val="single"/>
        </w:rPr>
      </w:pPr>
      <w:r>
        <w:rPr>
          <w:rFonts w:hint="eastAsia" w:hAnsi="宋体"/>
          <w:color w:val="auto"/>
          <w:sz w:val="24"/>
          <w:szCs w:val="24"/>
          <w:highlight w:val="none"/>
        </w:rPr>
        <w:t>供应商名称：</w:t>
      </w:r>
    </w:p>
    <w:p>
      <w:pPr>
        <w:spacing w:line="500" w:lineRule="exact"/>
        <w:ind w:firstLine="480" w:firstLineChars="200"/>
        <w:rPr>
          <w:rFonts w:hAnsi="宋体"/>
          <w:color w:val="auto"/>
          <w:sz w:val="24"/>
          <w:szCs w:val="24"/>
          <w:highlight w:val="none"/>
          <w:u w:val="single"/>
        </w:rPr>
      </w:pPr>
      <w:r>
        <w:rPr>
          <w:rFonts w:hint="eastAsia" w:hAnsi="宋体"/>
          <w:color w:val="auto"/>
          <w:sz w:val="24"/>
          <w:szCs w:val="24"/>
          <w:highlight w:val="none"/>
        </w:rPr>
        <w:t>单位性质：</w:t>
      </w:r>
    </w:p>
    <w:p>
      <w:pPr>
        <w:spacing w:line="500" w:lineRule="exact"/>
        <w:ind w:firstLine="480" w:firstLineChars="200"/>
        <w:rPr>
          <w:rFonts w:hAnsi="宋体"/>
          <w:color w:val="auto"/>
          <w:sz w:val="24"/>
          <w:szCs w:val="24"/>
          <w:highlight w:val="none"/>
          <w:u w:val="single"/>
        </w:rPr>
      </w:pPr>
      <w:r>
        <w:rPr>
          <w:rFonts w:hint="eastAsia" w:hAnsi="宋体"/>
          <w:color w:val="auto"/>
          <w:sz w:val="24"/>
          <w:szCs w:val="24"/>
          <w:highlight w:val="none"/>
        </w:rPr>
        <w:t>地    址：</w:t>
      </w:r>
    </w:p>
    <w:p>
      <w:pPr>
        <w:spacing w:line="500" w:lineRule="exact"/>
        <w:ind w:firstLine="480" w:firstLineChars="200"/>
        <w:rPr>
          <w:rFonts w:hAnsi="宋体"/>
          <w:color w:val="auto"/>
          <w:sz w:val="24"/>
          <w:szCs w:val="24"/>
          <w:highlight w:val="none"/>
          <w:u w:val="single"/>
        </w:rPr>
      </w:pPr>
      <w:r>
        <w:rPr>
          <w:rFonts w:hint="eastAsia" w:hAnsi="宋体"/>
          <w:color w:val="auto"/>
          <w:sz w:val="24"/>
          <w:szCs w:val="24"/>
          <w:highlight w:val="none"/>
        </w:rPr>
        <w:t>成立时间：</w:t>
      </w:r>
      <w:r>
        <w:rPr>
          <w:rFonts w:hint="eastAsia" w:hAnsi="宋体"/>
          <w:color w:val="auto"/>
          <w:sz w:val="24"/>
          <w:szCs w:val="24"/>
          <w:highlight w:val="none"/>
          <w:u w:val="single"/>
        </w:rPr>
        <w:br w:type="textWrapping"/>
      </w:r>
      <w:r>
        <w:rPr>
          <w:rFonts w:hint="eastAsia" w:hAnsi="宋体"/>
          <w:color w:val="auto"/>
          <w:sz w:val="24"/>
          <w:szCs w:val="24"/>
          <w:highlight w:val="none"/>
        </w:rPr>
        <w:t xml:space="preserve">    经营期限：</w:t>
      </w:r>
    </w:p>
    <w:p>
      <w:pPr>
        <w:spacing w:line="500" w:lineRule="exact"/>
        <w:ind w:firstLine="480" w:firstLineChars="200"/>
        <w:rPr>
          <w:rFonts w:hAnsi="宋体"/>
          <w:color w:val="auto"/>
          <w:sz w:val="24"/>
          <w:szCs w:val="24"/>
          <w:highlight w:val="none"/>
        </w:rPr>
      </w:pPr>
      <w:r>
        <w:rPr>
          <w:rFonts w:hAnsi="宋体"/>
          <w:color w:val="auto"/>
          <w:sz w:val="24"/>
          <w:szCs w:val="24"/>
          <w:highlight w:val="none"/>
          <w:u w:val="single"/>
        </w:rPr>
        <w:t xml:space="preserve">XXXX </w:t>
      </w:r>
      <w:r>
        <w:rPr>
          <w:rFonts w:hint="eastAsia" w:hAnsi="宋体"/>
          <w:color w:val="auto"/>
          <w:sz w:val="24"/>
          <w:szCs w:val="24"/>
          <w:highlight w:val="none"/>
        </w:rPr>
        <w:t>（法定代表人/负责人姓名/性别/职务）系</w:t>
      </w:r>
      <w:r>
        <w:rPr>
          <w:rFonts w:hint="eastAsia" w:hAnsi="宋体"/>
          <w:color w:val="auto"/>
          <w:sz w:val="24"/>
          <w:szCs w:val="24"/>
          <w:highlight w:val="none"/>
          <w:u w:val="single"/>
        </w:rPr>
        <w:t>XXXX</w:t>
      </w:r>
      <w:r>
        <w:rPr>
          <w:rFonts w:hint="eastAsia" w:hAnsi="宋体"/>
          <w:color w:val="auto"/>
          <w:sz w:val="24"/>
          <w:szCs w:val="24"/>
          <w:highlight w:val="none"/>
        </w:rPr>
        <w:t>（供应商名称）的法定代表人/负责人。</w:t>
      </w:r>
    </w:p>
    <w:p>
      <w:pPr>
        <w:pStyle w:val="2"/>
        <w:rPr>
          <w:rFonts w:hAnsi="宋体"/>
          <w:color w:val="auto"/>
          <w:highlight w:val="none"/>
        </w:rPr>
      </w:pPr>
    </w:p>
    <w:p>
      <w:pPr>
        <w:pStyle w:val="2"/>
        <w:rPr>
          <w:rFonts w:hAnsi="宋体"/>
          <w:color w:val="auto"/>
          <w:highlight w:val="none"/>
        </w:rPr>
      </w:pP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 xml:space="preserve">   特此证明</w:t>
      </w:r>
    </w:p>
    <w:p>
      <w:pPr>
        <w:spacing w:line="500" w:lineRule="exact"/>
        <w:rPr>
          <w:rFonts w:hAnsi="宋体"/>
          <w:color w:val="auto"/>
          <w:sz w:val="24"/>
          <w:szCs w:val="24"/>
          <w:highlight w:val="none"/>
        </w:rPr>
      </w:pPr>
    </w:p>
    <w:p>
      <w:pPr>
        <w:spacing w:line="500" w:lineRule="exact"/>
        <w:jc w:val="right"/>
        <w:rPr>
          <w:rFonts w:hAnsi="宋体"/>
          <w:color w:val="auto"/>
          <w:sz w:val="24"/>
          <w:szCs w:val="24"/>
          <w:highlight w:val="none"/>
        </w:rPr>
      </w:pPr>
      <w:r>
        <w:rPr>
          <w:rFonts w:hint="eastAsia" w:hAnsi="宋体"/>
          <w:color w:val="auto"/>
          <w:sz w:val="24"/>
          <w:szCs w:val="24"/>
          <w:highlight w:val="none"/>
        </w:rPr>
        <w:t xml:space="preserve">  供应商名称：         （盖章）</w:t>
      </w:r>
    </w:p>
    <w:p>
      <w:pPr>
        <w:pStyle w:val="13"/>
        <w:spacing w:line="500" w:lineRule="exact"/>
        <w:ind w:firstLine="0" w:firstLineChars="0"/>
        <w:jc w:val="right"/>
        <w:rPr>
          <w:color w:val="auto"/>
          <w:sz w:val="24"/>
          <w:highlight w:val="none"/>
        </w:rPr>
      </w:pPr>
    </w:p>
    <w:p>
      <w:pPr>
        <w:pStyle w:val="13"/>
        <w:spacing w:line="500" w:lineRule="exact"/>
        <w:ind w:firstLine="0" w:firstLineChars="0"/>
        <w:jc w:val="right"/>
        <w:rPr>
          <w:color w:val="auto"/>
          <w:sz w:val="24"/>
          <w:highlight w:val="none"/>
        </w:rPr>
      </w:pPr>
      <w:r>
        <w:rPr>
          <w:rFonts w:hint="eastAsia"/>
          <w:color w:val="auto"/>
          <w:sz w:val="24"/>
          <w:highlight w:val="none"/>
        </w:rPr>
        <w:t xml:space="preserve"> 年     月    日 </w:t>
      </w:r>
    </w:p>
    <w:p>
      <w:pPr>
        <w:jc w:val="right"/>
        <w:rPr>
          <w:rFonts w:hAnsi="宋体" w:cs="宋体"/>
          <w:color w:val="auto"/>
          <w:sz w:val="24"/>
          <w:szCs w:val="24"/>
          <w:highlight w:val="none"/>
        </w:rPr>
      </w:pPr>
    </w:p>
    <w:p>
      <w:pPr>
        <w:rPr>
          <w:rFonts w:hAnsi="宋体" w:cs="宋体"/>
          <w:color w:val="auto"/>
          <w:sz w:val="24"/>
          <w:szCs w:val="24"/>
          <w:highlight w:val="none"/>
        </w:rPr>
      </w:pPr>
    </w:p>
    <w:p>
      <w:pPr>
        <w:rPr>
          <w:rFonts w:hAnsi="宋体" w:cs="宋体"/>
          <w:color w:val="auto"/>
          <w:sz w:val="24"/>
          <w:szCs w:val="24"/>
          <w:highlight w:val="none"/>
        </w:rPr>
      </w:pPr>
      <w:r>
        <w:rPr>
          <w:rFonts w:hint="eastAsia" w:hAnsi="宋体" w:cs="宋体"/>
          <w:color w:val="auto"/>
          <w:sz w:val="24"/>
          <w:szCs w:val="24"/>
          <w:highlight w:val="none"/>
        </w:rPr>
        <w:t>注：该项仅为</w:t>
      </w:r>
      <w:r>
        <w:rPr>
          <w:rFonts w:hAnsi="宋体" w:cs="宋体"/>
          <w:color w:val="auto"/>
          <w:sz w:val="24"/>
          <w:szCs w:val="24"/>
          <w:highlight w:val="none"/>
        </w:rPr>
        <w:t>法定代表人</w:t>
      </w:r>
      <w:r>
        <w:rPr>
          <w:rFonts w:hint="eastAsia"/>
          <w:color w:val="auto"/>
          <w:sz w:val="24"/>
          <w:szCs w:val="24"/>
          <w:highlight w:val="none"/>
        </w:rPr>
        <w:t>/负责人</w:t>
      </w:r>
      <w:r>
        <w:rPr>
          <w:rFonts w:hAnsi="宋体" w:cs="宋体"/>
          <w:color w:val="auto"/>
          <w:sz w:val="24"/>
          <w:szCs w:val="24"/>
          <w:highlight w:val="none"/>
        </w:rPr>
        <w:t>参与</w:t>
      </w:r>
      <w:r>
        <w:rPr>
          <w:rFonts w:hint="eastAsia" w:hAnsi="宋体" w:cs="宋体"/>
          <w:color w:val="auto"/>
          <w:sz w:val="24"/>
          <w:szCs w:val="24"/>
          <w:highlight w:val="none"/>
        </w:rPr>
        <w:t>磋商</w:t>
      </w:r>
      <w:r>
        <w:rPr>
          <w:rFonts w:hAnsi="宋体" w:cs="宋体"/>
          <w:color w:val="auto"/>
          <w:sz w:val="24"/>
          <w:szCs w:val="24"/>
          <w:highlight w:val="none"/>
        </w:rPr>
        <w:t>时提供</w:t>
      </w:r>
      <w:r>
        <w:rPr>
          <w:rFonts w:hint="eastAsia" w:hAnsi="宋体" w:cs="宋体"/>
          <w:color w:val="auto"/>
          <w:sz w:val="24"/>
          <w:szCs w:val="24"/>
          <w:highlight w:val="none"/>
        </w:rPr>
        <w:t>。</w:t>
      </w:r>
    </w:p>
    <w:p>
      <w:pPr>
        <w:spacing w:line="360" w:lineRule="auto"/>
        <w:rPr>
          <w:rFonts w:hAnsi="宋体"/>
          <w:color w:val="auto"/>
          <w:highlight w:val="none"/>
          <w:u w:val="single"/>
        </w:rPr>
      </w:pPr>
    </w:p>
    <w:p>
      <w:pPr>
        <w:spacing w:line="360" w:lineRule="auto"/>
        <w:rPr>
          <w:rFonts w:hAnsi="宋体"/>
          <w:color w:val="auto"/>
          <w:highlight w:val="none"/>
          <w:u w:val="single"/>
        </w:rPr>
      </w:pPr>
    </w:p>
    <w:p>
      <w:pPr>
        <w:spacing w:line="360" w:lineRule="auto"/>
        <w:rPr>
          <w:rFonts w:hAnsi="宋体"/>
          <w:color w:val="auto"/>
          <w:highlight w:val="none"/>
          <w:u w:val="single"/>
        </w:rPr>
      </w:pPr>
    </w:p>
    <w:p>
      <w:pPr>
        <w:spacing w:line="420" w:lineRule="exact"/>
        <w:jc w:val="center"/>
        <w:outlineLvl w:val="1"/>
        <w:rPr>
          <w:rFonts w:hAnsi="宋体"/>
          <w:b/>
          <w:color w:val="auto"/>
          <w:sz w:val="30"/>
          <w:szCs w:val="30"/>
          <w:highlight w:val="none"/>
        </w:rPr>
      </w:pPr>
      <w:r>
        <w:rPr>
          <w:rFonts w:hAnsi="宋体"/>
          <w:b/>
          <w:color w:val="auto"/>
          <w:highlight w:val="none"/>
        </w:rPr>
        <w:br w:type="page"/>
      </w:r>
      <w:r>
        <w:rPr>
          <w:rFonts w:hint="eastAsia" w:hAnsi="宋体"/>
          <w:b/>
          <w:color w:val="auto"/>
          <w:sz w:val="30"/>
          <w:szCs w:val="30"/>
          <w:highlight w:val="none"/>
        </w:rPr>
        <w:t>三、供应商符合《中华人民共和国政府采购法》第二十二条规定条件的承诺函</w:t>
      </w:r>
    </w:p>
    <w:p>
      <w:pPr>
        <w:pStyle w:val="2"/>
        <w:rPr>
          <w:color w:val="auto"/>
          <w:highlight w:val="none"/>
        </w:rPr>
      </w:pPr>
    </w:p>
    <w:p>
      <w:pPr>
        <w:pStyle w:val="19"/>
        <w:spacing w:line="420" w:lineRule="exact"/>
        <w:ind w:firstLine="0" w:firstLineChars="0"/>
        <w:rPr>
          <w:rFonts w:hAnsi="宋体"/>
          <w:color w:val="auto"/>
          <w:sz w:val="24"/>
          <w:highlight w:val="none"/>
        </w:rPr>
      </w:pPr>
      <w:r>
        <w:rPr>
          <w:rFonts w:hint="eastAsia" w:hAnsi="宋体"/>
          <w:color w:val="auto"/>
          <w:sz w:val="24"/>
          <w:highlight w:val="none"/>
        </w:rPr>
        <w:t>致：</w:t>
      </w:r>
      <w:r>
        <w:rPr>
          <w:rFonts w:hint="eastAsia" w:hAnsi="宋体"/>
          <w:color w:val="auto"/>
          <w:highlight w:val="none"/>
          <w:u w:val="single"/>
        </w:rPr>
        <w:t xml:space="preserve">   （</w:t>
      </w:r>
      <w:r>
        <w:rPr>
          <w:rFonts w:hint="eastAsia" w:hAnsi="宋体"/>
          <w:color w:val="auto"/>
          <w:sz w:val="24"/>
          <w:highlight w:val="none"/>
          <w:u w:val="single"/>
        </w:rPr>
        <w:t xml:space="preserve">采购代理机构） </w:t>
      </w:r>
      <w:r>
        <w:rPr>
          <w:rFonts w:hint="eastAsia" w:hAnsi="宋体"/>
          <w:color w:val="auto"/>
          <w:sz w:val="24"/>
          <w:highlight w:val="none"/>
        </w:rPr>
        <w:t xml:space="preserve">： </w:t>
      </w:r>
    </w:p>
    <w:p>
      <w:pPr>
        <w:pStyle w:val="19"/>
        <w:spacing w:line="420" w:lineRule="exact"/>
        <w:ind w:firstLineChars="225"/>
        <w:rPr>
          <w:rFonts w:hAnsi="宋体"/>
          <w:color w:val="auto"/>
          <w:sz w:val="24"/>
          <w:highlight w:val="none"/>
        </w:rPr>
      </w:pPr>
      <w:r>
        <w:rPr>
          <w:rFonts w:hint="eastAsia" w:hAnsi="宋体"/>
          <w:color w:val="auto"/>
          <w:sz w:val="24"/>
          <w:highlight w:val="none"/>
        </w:rPr>
        <w:t>本单位</w:t>
      </w:r>
      <w:r>
        <w:rPr>
          <w:rFonts w:hAnsi="宋体"/>
          <w:color w:val="auto"/>
          <w:sz w:val="24"/>
          <w:highlight w:val="none"/>
          <w:u w:val="single"/>
        </w:rPr>
        <w:t xml:space="preserve">XXXX </w:t>
      </w:r>
      <w:r>
        <w:rPr>
          <w:rFonts w:hint="eastAsia" w:hAnsi="宋体"/>
          <w:color w:val="auto"/>
          <w:sz w:val="24"/>
          <w:highlight w:val="none"/>
        </w:rPr>
        <w:t>（供应商名称）参加</w:t>
      </w:r>
      <w:r>
        <w:rPr>
          <w:rFonts w:hAnsi="宋体"/>
          <w:color w:val="auto"/>
          <w:sz w:val="24"/>
          <w:highlight w:val="none"/>
          <w:u w:val="single"/>
        </w:rPr>
        <w:t xml:space="preserve">XXXX </w:t>
      </w:r>
      <w:r>
        <w:rPr>
          <w:rFonts w:hint="eastAsia" w:hAnsi="宋体"/>
          <w:color w:val="auto"/>
          <w:sz w:val="24"/>
          <w:highlight w:val="none"/>
        </w:rPr>
        <w:t>（项目名称）的磋商活动，现承诺：</w:t>
      </w:r>
    </w:p>
    <w:p>
      <w:pPr>
        <w:pStyle w:val="19"/>
        <w:spacing w:line="420" w:lineRule="exact"/>
        <w:ind w:firstLineChars="225"/>
        <w:rPr>
          <w:rFonts w:hAnsi="宋体"/>
          <w:color w:val="auto"/>
          <w:sz w:val="24"/>
          <w:highlight w:val="none"/>
        </w:rPr>
      </w:pPr>
      <w:r>
        <w:rPr>
          <w:rFonts w:hint="eastAsia" w:hAnsi="宋体"/>
          <w:color w:val="auto"/>
          <w:sz w:val="24"/>
          <w:highlight w:val="none"/>
        </w:rPr>
        <w:t>我单位满足中华人民共和国政府采购法第二十二条关于供应商的资格要求：</w:t>
      </w:r>
    </w:p>
    <w:p>
      <w:pPr>
        <w:pStyle w:val="19"/>
        <w:spacing w:line="420" w:lineRule="exact"/>
        <w:ind w:firstLine="432"/>
        <w:rPr>
          <w:rFonts w:hAnsi="宋体"/>
          <w:color w:val="auto"/>
          <w:sz w:val="24"/>
          <w:highlight w:val="none"/>
        </w:rPr>
      </w:pPr>
      <w:r>
        <w:rPr>
          <w:rFonts w:hint="eastAsia" w:hAnsi="宋体"/>
          <w:color w:val="auto"/>
          <w:sz w:val="24"/>
          <w:highlight w:val="none"/>
        </w:rPr>
        <w:t xml:space="preserve">（一）具有独立承担民事责任的能力； </w:t>
      </w:r>
    </w:p>
    <w:p>
      <w:pPr>
        <w:pStyle w:val="19"/>
        <w:spacing w:line="420" w:lineRule="exact"/>
        <w:ind w:firstLine="432"/>
        <w:rPr>
          <w:rFonts w:hAnsi="宋体"/>
          <w:color w:val="auto"/>
          <w:sz w:val="24"/>
          <w:highlight w:val="none"/>
        </w:rPr>
      </w:pPr>
      <w:r>
        <w:rPr>
          <w:rFonts w:hint="eastAsia" w:hAnsi="宋体"/>
          <w:color w:val="auto"/>
          <w:sz w:val="24"/>
          <w:highlight w:val="none"/>
        </w:rPr>
        <w:t xml:space="preserve">（二）具有良好的商业信誉和健全的财务会计制度； </w:t>
      </w:r>
    </w:p>
    <w:p>
      <w:pPr>
        <w:pStyle w:val="19"/>
        <w:spacing w:line="420" w:lineRule="exact"/>
        <w:ind w:firstLine="432"/>
        <w:rPr>
          <w:rFonts w:hAnsi="宋体"/>
          <w:color w:val="auto"/>
          <w:sz w:val="24"/>
          <w:highlight w:val="none"/>
        </w:rPr>
      </w:pPr>
      <w:r>
        <w:rPr>
          <w:rFonts w:hint="eastAsia" w:hAnsi="宋体"/>
          <w:color w:val="auto"/>
          <w:sz w:val="24"/>
          <w:highlight w:val="none"/>
        </w:rPr>
        <w:t xml:space="preserve">（三）具有履行合同所必需的设备和专业技术能力； </w:t>
      </w:r>
    </w:p>
    <w:p>
      <w:pPr>
        <w:pStyle w:val="19"/>
        <w:spacing w:line="420" w:lineRule="exact"/>
        <w:ind w:firstLine="432"/>
        <w:rPr>
          <w:rFonts w:hAnsi="宋体"/>
          <w:color w:val="auto"/>
          <w:sz w:val="24"/>
          <w:highlight w:val="none"/>
        </w:rPr>
      </w:pPr>
      <w:r>
        <w:rPr>
          <w:rFonts w:hint="eastAsia" w:hAnsi="宋体"/>
          <w:color w:val="auto"/>
          <w:sz w:val="24"/>
          <w:highlight w:val="none"/>
        </w:rPr>
        <w:t xml:space="preserve">（四）有依法缴纳税收和社会保障资金的良好记录； </w:t>
      </w:r>
    </w:p>
    <w:p>
      <w:pPr>
        <w:spacing w:line="420" w:lineRule="exact"/>
        <w:ind w:firstLine="480"/>
        <w:rPr>
          <w:rFonts w:hAnsi="宋体"/>
          <w:color w:val="auto"/>
          <w:sz w:val="24"/>
          <w:highlight w:val="none"/>
        </w:rPr>
      </w:pPr>
      <w:r>
        <w:rPr>
          <w:rFonts w:hint="eastAsia" w:hAnsi="宋体"/>
          <w:color w:val="auto"/>
          <w:sz w:val="24"/>
          <w:highlight w:val="none"/>
        </w:rPr>
        <w:t xml:space="preserve">（五）参加政府采购活动前三年内，在经营活动中没有重大违法记录； </w:t>
      </w:r>
    </w:p>
    <w:p>
      <w:pPr>
        <w:pStyle w:val="2"/>
        <w:ind w:firstLine="480"/>
        <w:rPr>
          <w:color w:val="auto"/>
          <w:highlight w:val="none"/>
        </w:rPr>
      </w:pPr>
      <w:r>
        <w:rPr>
          <w:rFonts w:hint="eastAsia" w:hAnsi="宋体"/>
          <w:color w:val="auto"/>
          <w:highlight w:val="none"/>
        </w:rPr>
        <w:t>（六）</w:t>
      </w:r>
      <w:r>
        <w:rPr>
          <w:rFonts w:hint="eastAsia"/>
          <w:color w:val="auto"/>
          <w:highlight w:val="none"/>
        </w:rPr>
        <w:t>法律、行政法规规定的其他条件。</w:t>
      </w:r>
    </w:p>
    <w:p>
      <w:pPr>
        <w:spacing w:line="420" w:lineRule="exact"/>
        <w:ind w:firstLine="720" w:firstLineChars="300"/>
        <w:rPr>
          <w:rFonts w:hAnsi="宋体"/>
          <w:color w:val="auto"/>
          <w:sz w:val="24"/>
          <w:highlight w:val="none"/>
        </w:rPr>
      </w:pPr>
      <w:r>
        <w:rPr>
          <w:rFonts w:hint="eastAsia" w:hAnsi="宋体"/>
          <w:color w:val="auto"/>
          <w:sz w:val="24"/>
          <w:highlight w:val="none"/>
        </w:rPr>
        <w:t>同时也满足本项目法律法规规章规定关于供应商的其他资格性条件，未参与本采购项目前期咨询论证，不属于禁止参加磋商的供应商。</w:t>
      </w:r>
    </w:p>
    <w:p>
      <w:pPr>
        <w:spacing w:line="420" w:lineRule="exact"/>
        <w:ind w:firstLine="720" w:firstLineChars="300"/>
        <w:rPr>
          <w:rFonts w:hAnsi="宋体"/>
          <w:color w:val="auto"/>
          <w:sz w:val="24"/>
          <w:highlight w:val="none"/>
        </w:rPr>
      </w:pPr>
      <w:r>
        <w:rPr>
          <w:rFonts w:hint="eastAsia" w:hAnsi="宋体"/>
          <w:color w:val="auto"/>
          <w:sz w:val="24"/>
          <w:highlight w:val="none"/>
        </w:rPr>
        <w:t>如违反以上承诺，本单位愿承担一切法律责任。</w:t>
      </w:r>
    </w:p>
    <w:p>
      <w:pPr>
        <w:spacing w:line="420" w:lineRule="exact"/>
        <w:rPr>
          <w:rFonts w:hAnsi="宋体"/>
          <w:color w:val="auto"/>
          <w:sz w:val="24"/>
          <w:highlight w:val="none"/>
        </w:rPr>
      </w:pPr>
    </w:p>
    <w:p>
      <w:pPr>
        <w:spacing w:line="420" w:lineRule="exact"/>
        <w:rPr>
          <w:rFonts w:hAnsi="宋体"/>
          <w:color w:val="auto"/>
          <w:sz w:val="24"/>
          <w:highlight w:val="none"/>
        </w:rPr>
      </w:pPr>
    </w:p>
    <w:p>
      <w:pPr>
        <w:spacing w:line="420" w:lineRule="exact"/>
        <w:rPr>
          <w:rFonts w:hAnsi="宋体"/>
          <w:color w:val="auto"/>
          <w:sz w:val="24"/>
          <w:highlight w:val="none"/>
        </w:rPr>
      </w:pPr>
    </w:p>
    <w:p>
      <w:pPr>
        <w:spacing w:line="420" w:lineRule="exact"/>
        <w:rPr>
          <w:rFonts w:hAnsi="宋体"/>
          <w:color w:val="auto"/>
          <w:sz w:val="24"/>
          <w:highlight w:val="none"/>
        </w:rPr>
      </w:pPr>
      <w:r>
        <w:rPr>
          <w:rFonts w:hint="eastAsia" w:hAnsi="宋体"/>
          <w:color w:val="auto"/>
          <w:sz w:val="24"/>
          <w:highlight w:val="none"/>
        </w:rPr>
        <w:t xml:space="preserve">供应商（全称并盖章）： </w:t>
      </w:r>
    </w:p>
    <w:p>
      <w:pPr>
        <w:spacing w:line="420" w:lineRule="exact"/>
        <w:rPr>
          <w:rFonts w:hAnsi="宋体"/>
          <w:color w:val="auto"/>
          <w:sz w:val="24"/>
          <w:highlight w:val="none"/>
        </w:rPr>
      </w:pPr>
      <w:r>
        <w:rPr>
          <w:rFonts w:hint="eastAsia" w:hAnsi="宋体"/>
          <w:color w:val="auto"/>
          <w:sz w:val="24"/>
          <w:highlight w:val="none"/>
        </w:rPr>
        <w:t>法定代表人/负责人或授权代表（签名或加盖个人名章）：</w:t>
      </w:r>
    </w:p>
    <w:p>
      <w:pPr>
        <w:spacing w:line="420" w:lineRule="exact"/>
        <w:rPr>
          <w:rFonts w:hAnsi="宋体"/>
          <w:color w:val="auto"/>
          <w:sz w:val="24"/>
          <w:highlight w:val="none"/>
        </w:rPr>
      </w:pPr>
      <w:r>
        <w:rPr>
          <w:rFonts w:hint="eastAsia" w:hAnsi="宋体"/>
          <w:color w:val="auto"/>
          <w:sz w:val="24"/>
          <w:highlight w:val="none"/>
        </w:rPr>
        <w:t xml:space="preserve">日      期： </w:t>
      </w:r>
    </w:p>
    <w:p>
      <w:pPr>
        <w:spacing w:line="420" w:lineRule="exact"/>
        <w:rPr>
          <w:rFonts w:hAnsi="宋体"/>
          <w:color w:val="auto"/>
          <w:sz w:val="24"/>
          <w:highlight w:val="none"/>
        </w:rPr>
      </w:pPr>
    </w:p>
    <w:p>
      <w:pPr>
        <w:spacing w:line="420" w:lineRule="exact"/>
        <w:rPr>
          <w:rFonts w:hAnsi="宋体"/>
          <w:color w:val="auto"/>
          <w:sz w:val="24"/>
          <w:szCs w:val="24"/>
          <w:highlight w:val="none"/>
        </w:rPr>
      </w:pPr>
      <w:r>
        <w:rPr>
          <w:rFonts w:hint="eastAsia" w:hAnsi="宋体"/>
          <w:color w:val="auto"/>
          <w:sz w:val="24"/>
          <w:szCs w:val="24"/>
          <w:highlight w:val="none"/>
        </w:rPr>
        <w:t>注：</w:t>
      </w:r>
    </w:p>
    <w:p>
      <w:pPr>
        <w:spacing w:line="420" w:lineRule="exact"/>
        <w:rPr>
          <w:rFonts w:hAnsi="宋体"/>
          <w:color w:val="auto"/>
          <w:sz w:val="24"/>
          <w:szCs w:val="24"/>
          <w:highlight w:val="none"/>
        </w:rPr>
      </w:pPr>
      <w:r>
        <w:rPr>
          <w:rFonts w:hint="eastAsia" w:hAnsi="宋体"/>
          <w:color w:val="auto"/>
          <w:sz w:val="24"/>
          <w:szCs w:val="24"/>
          <w:highlight w:val="none"/>
        </w:rPr>
        <w:t>1.本承诺函可自行提供具有有效签字或盖章的格式。</w:t>
      </w:r>
    </w:p>
    <w:p>
      <w:pPr>
        <w:spacing w:line="420" w:lineRule="exact"/>
        <w:rPr>
          <w:rFonts w:hAnsi="宋体"/>
          <w:color w:val="auto"/>
          <w:sz w:val="24"/>
          <w:szCs w:val="24"/>
          <w:highlight w:val="none"/>
        </w:rPr>
      </w:pPr>
      <w:r>
        <w:rPr>
          <w:rFonts w:hint="eastAsia" w:hAnsi="宋体"/>
          <w:color w:val="auto"/>
          <w:sz w:val="24"/>
          <w:szCs w:val="24"/>
          <w:highlight w:val="none"/>
        </w:rPr>
        <w:t>2.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spacing w:line="420" w:lineRule="exact"/>
        <w:rPr>
          <w:rFonts w:hAnsi="宋体"/>
          <w:color w:val="auto"/>
          <w:sz w:val="24"/>
          <w:szCs w:val="24"/>
          <w:highlight w:val="none"/>
        </w:rPr>
      </w:pPr>
      <w:r>
        <w:rPr>
          <w:rFonts w:hint="eastAsia" w:hAnsi="宋体"/>
          <w:color w:val="auto"/>
          <w:sz w:val="24"/>
          <w:szCs w:val="24"/>
          <w:highlight w:val="none"/>
        </w:rPr>
        <w:t>3.供应商在参加政府采购活动前，被纳入法院、工商行政管理部门、税务部门、银行认定的失信名单且在有效期内，或者在前三年政府采购合同履约过程中及其他经营活动履约过程中未依法履约被有关部门处罚（处理）的，不能认定为具有良好的商业信誉。</w:t>
      </w:r>
    </w:p>
    <w:p>
      <w:pPr>
        <w:pStyle w:val="2"/>
        <w:rPr>
          <w:color w:val="auto"/>
          <w:highlight w:val="none"/>
        </w:rPr>
      </w:pP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t>四、供应商的承诺函</w:t>
      </w:r>
    </w:p>
    <w:p>
      <w:pPr>
        <w:pStyle w:val="19"/>
        <w:spacing w:line="480" w:lineRule="exact"/>
        <w:ind w:firstLine="0" w:firstLineChars="0"/>
        <w:rPr>
          <w:rFonts w:hAnsi="宋体"/>
          <w:color w:val="auto"/>
          <w:sz w:val="24"/>
          <w:highlight w:val="none"/>
        </w:rPr>
      </w:pPr>
      <w:r>
        <w:rPr>
          <w:rFonts w:hint="eastAsia" w:hAnsi="宋体"/>
          <w:color w:val="auto"/>
          <w:sz w:val="24"/>
          <w:highlight w:val="none"/>
        </w:rPr>
        <w:t>致：</w:t>
      </w:r>
      <w:r>
        <w:rPr>
          <w:rFonts w:hint="eastAsia" w:hAnsi="宋体"/>
          <w:color w:val="auto"/>
          <w:highlight w:val="none"/>
          <w:u w:val="single"/>
        </w:rPr>
        <w:t xml:space="preserve">   （</w:t>
      </w:r>
      <w:r>
        <w:rPr>
          <w:rFonts w:hint="eastAsia" w:hAnsi="宋体"/>
          <w:color w:val="auto"/>
          <w:sz w:val="24"/>
          <w:highlight w:val="none"/>
          <w:u w:val="single"/>
        </w:rPr>
        <w:t xml:space="preserve">采购代理机构）  </w:t>
      </w:r>
      <w:r>
        <w:rPr>
          <w:rFonts w:hint="eastAsia" w:hAnsi="宋体"/>
          <w:color w:val="auto"/>
          <w:sz w:val="24"/>
          <w:highlight w:val="none"/>
        </w:rPr>
        <w:t xml:space="preserve">： </w:t>
      </w:r>
    </w:p>
    <w:p>
      <w:pPr>
        <w:pStyle w:val="19"/>
        <w:spacing w:line="480" w:lineRule="exact"/>
        <w:ind w:firstLine="480" w:firstLineChars="200"/>
        <w:rPr>
          <w:rFonts w:hAnsi="宋体"/>
          <w:color w:val="auto"/>
          <w:sz w:val="24"/>
          <w:highlight w:val="none"/>
        </w:rPr>
      </w:pPr>
      <w:r>
        <w:rPr>
          <w:rFonts w:hint="eastAsia" w:hAnsi="宋体"/>
          <w:color w:val="auto"/>
          <w:sz w:val="24"/>
          <w:highlight w:val="none"/>
        </w:rPr>
        <w:t>本单位</w:t>
      </w:r>
      <w:r>
        <w:rPr>
          <w:rFonts w:hAnsi="宋体"/>
          <w:color w:val="auto"/>
          <w:sz w:val="24"/>
          <w:highlight w:val="none"/>
          <w:u w:val="single"/>
        </w:rPr>
        <w:t xml:space="preserve">XXXX  </w:t>
      </w:r>
      <w:r>
        <w:rPr>
          <w:rFonts w:hint="eastAsia" w:hAnsi="宋体"/>
          <w:color w:val="auto"/>
          <w:sz w:val="24"/>
          <w:highlight w:val="none"/>
        </w:rPr>
        <w:t>（供应商名称）参加</w:t>
      </w:r>
      <w:r>
        <w:rPr>
          <w:rFonts w:hAnsi="宋体"/>
          <w:color w:val="auto"/>
          <w:sz w:val="24"/>
          <w:highlight w:val="none"/>
          <w:u w:val="single"/>
        </w:rPr>
        <w:t xml:space="preserve">XXXX  </w:t>
      </w:r>
      <w:r>
        <w:rPr>
          <w:rFonts w:hint="eastAsia" w:hAnsi="宋体"/>
          <w:color w:val="auto"/>
          <w:sz w:val="24"/>
          <w:highlight w:val="none"/>
        </w:rPr>
        <w:t>（项目名称）的磋商活动，现本单位做出如下承诺：</w:t>
      </w:r>
    </w:p>
    <w:p>
      <w:pPr>
        <w:pStyle w:val="19"/>
        <w:spacing w:line="480" w:lineRule="exact"/>
        <w:ind w:firstLine="480" w:firstLineChars="200"/>
        <w:rPr>
          <w:rFonts w:hAnsi="宋体"/>
          <w:color w:val="auto"/>
          <w:sz w:val="24"/>
          <w:highlight w:val="none"/>
        </w:rPr>
      </w:pPr>
      <w:r>
        <w:rPr>
          <w:rFonts w:hint="eastAsia" w:hAnsi="宋体"/>
          <w:color w:val="auto"/>
          <w:sz w:val="24"/>
          <w:highlight w:val="none"/>
        </w:rPr>
        <w:t>（一）</w:t>
      </w:r>
      <w:r>
        <w:rPr>
          <w:color w:val="auto"/>
          <w:sz w:val="24"/>
          <w:highlight w:val="none"/>
        </w:rPr>
        <w:t>完全接受和满足本项目</w:t>
      </w:r>
      <w:r>
        <w:rPr>
          <w:rFonts w:hint="eastAsia"/>
          <w:color w:val="auto"/>
          <w:sz w:val="24"/>
          <w:highlight w:val="none"/>
        </w:rPr>
        <w:t>磋商文件</w:t>
      </w:r>
      <w:r>
        <w:rPr>
          <w:color w:val="auto"/>
          <w:sz w:val="24"/>
          <w:highlight w:val="none"/>
        </w:rPr>
        <w:t>中规定的实质性要求，如对</w:t>
      </w:r>
      <w:r>
        <w:rPr>
          <w:rFonts w:hint="eastAsia"/>
          <w:color w:val="auto"/>
          <w:sz w:val="24"/>
          <w:highlight w:val="none"/>
        </w:rPr>
        <w:t>磋商文件</w:t>
      </w:r>
      <w:r>
        <w:rPr>
          <w:color w:val="auto"/>
          <w:sz w:val="24"/>
          <w:highlight w:val="none"/>
        </w:rPr>
        <w:t>有异议，已经在</w:t>
      </w:r>
      <w:r>
        <w:rPr>
          <w:rFonts w:hint="eastAsia"/>
          <w:color w:val="auto"/>
          <w:sz w:val="24"/>
          <w:highlight w:val="none"/>
        </w:rPr>
        <w:t>响应</w:t>
      </w:r>
      <w:r>
        <w:rPr>
          <w:color w:val="auto"/>
          <w:sz w:val="24"/>
          <w:highlight w:val="none"/>
        </w:rPr>
        <w:t>截止时间届满前依法进行维权救济，不存在对</w:t>
      </w:r>
      <w:r>
        <w:rPr>
          <w:rFonts w:hint="eastAsia"/>
          <w:color w:val="auto"/>
          <w:sz w:val="24"/>
          <w:highlight w:val="none"/>
        </w:rPr>
        <w:t>磋商文件</w:t>
      </w:r>
      <w:r>
        <w:rPr>
          <w:color w:val="auto"/>
          <w:sz w:val="24"/>
          <w:highlight w:val="none"/>
        </w:rPr>
        <w:t>有异议的同时又参加</w:t>
      </w:r>
      <w:r>
        <w:rPr>
          <w:rFonts w:hint="eastAsia"/>
          <w:color w:val="auto"/>
          <w:sz w:val="24"/>
          <w:highlight w:val="none"/>
        </w:rPr>
        <w:t>响应</w:t>
      </w:r>
      <w:r>
        <w:rPr>
          <w:color w:val="auto"/>
          <w:sz w:val="24"/>
          <w:highlight w:val="none"/>
        </w:rPr>
        <w:t>以求侥幸</w:t>
      </w:r>
      <w:r>
        <w:rPr>
          <w:rFonts w:hint="eastAsia"/>
          <w:color w:val="auto"/>
          <w:sz w:val="24"/>
          <w:highlight w:val="none"/>
        </w:rPr>
        <w:t>成交</w:t>
      </w:r>
      <w:r>
        <w:rPr>
          <w:color w:val="auto"/>
          <w:sz w:val="24"/>
          <w:highlight w:val="none"/>
        </w:rPr>
        <w:t>或者为实现其他非法目的的行为。</w:t>
      </w:r>
    </w:p>
    <w:p>
      <w:pPr>
        <w:pStyle w:val="19"/>
        <w:spacing w:line="480" w:lineRule="exact"/>
        <w:ind w:firstLine="480" w:firstLineChars="200"/>
        <w:rPr>
          <w:rFonts w:hAnsi="宋体"/>
          <w:color w:val="auto"/>
          <w:sz w:val="24"/>
          <w:highlight w:val="none"/>
        </w:rPr>
      </w:pPr>
      <w:r>
        <w:rPr>
          <w:rFonts w:hint="eastAsia" w:hAnsi="宋体"/>
          <w:color w:val="auto"/>
          <w:sz w:val="24"/>
          <w:highlight w:val="none"/>
        </w:rPr>
        <w:t>（二）单位负责人为同一人或者存在直接控股、管理关系的不同供应商，不得参加同一合同项下的政府采购活动。</w:t>
      </w:r>
    </w:p>
    <w:p>
      <w:pPr>
        <w:pStyle w:val="19"/>
        <w:spacing w:line="480" w:lineRule="exact"/>
        <w:ind w:firstLine="480" w:firstLineChars="200"/>
        <w:rPr>
          <w:rFonts w:hAnsi="宋体"/>
          <w:color w:val="auto"/>
          <w:sz w:val="24"/>
          <w:highlight w:val="none"/>
        </w:rPr>
      </w:pPr>
      <w:r>
        <w:rPr>
          <w:rFonts w:hint="eastAsia" w:hAnsi="宋体"/>
          <w:color w:val="auto"/>
          <w:sz w:val="24"/>
          <w:highlight w:val="none"/>
        </w:rPr>
        <w:t>（三）供应商未对本次采购项目提供过整体设计、规范编制或者项目管理、监理、检测等服务。</w:t>
      </w:r>
    </w:p>
    <w:p>
      <w:pPr>
        <w:pStyle w:val="19"/>
        <w:spacing w:line="480" w:lineRule="exact"/>
        <w:ind w:firstLine="480" w:firstLineChars="200"/>
        <w:rPr>
          <w:rFonts w:hAnsi="宋体"/>
          <w:color w:val="auto"/>
          <w:sz w:val="24"/>
          <w:highlight w:val="none"/>
        </w:rPr>
      </w:pPr>
    </w:p>
    <w:p>
      <w:pPr>
        <w:pStyle w:val="19"/>
        <w:spacing w:line="480" w:lineRule="exact"/>
        <w:ind w:firstLine="480" w:firstLineChars="200"/>
        <w:rPr>
          <w:rFonts w:hAnsi="宋体"/>
          <w:color w:val="auto"/>
          <w:sz w:val="24"/>
          <w:highlight w:val="none"/>
        </w:rPr>
      </w:pPr>
    </w:p>
    <w:p>
      <w:pPr>
        <w:pStyle w:val="19"/>
        <w:spacing w:line="480" w:lineRule="exact"/>
        <w:ind w:firstLine="480" w:firstLineChars="200"/>
        <w:rPr>
          <w:rFonts w:hAnsi="宋体"/>
          <w:color w:val="auto"/>
          <w:sz w:val="24"/>
          <w:highlight w:val="none"/>
        </w:rPr>
      </w:pPr>
      <w:r>
        <w:rPr>
          <w:rFonts w:hint="eastAsia" w:hAnsi="宋体"/>
          <w:color w:val="auto"/>
          <w:sz w:val="24"/>
          <w:highlight w:val="none"/>
        </w:rPr>
        <w:t>如违反以上承诺，本单位愿承担一切法律责任。</w:t>
      </w:r>
    </w:p>
    <w:p>
      <w:pPr>
        <w:pStyle w:val="19"/>
        <w:spacing w:line="480" w:lineRule="exact"/>
        <w:ind w:firstLine="480" w:firstLineChars="200"/>
        <w:rPr>
          <w:rFonts w:hAnsi="宋体"/>
          <w:color w:val="auto"/>
          <w:sz w:val="24"/>
          <w:highlight w:val="none"/>
        </w:rPr>
      </w:pPr>
    </w:p>
    <w:p>
      <w:pPr>
        <w:spacing w:line="480" w:lineRule="exact"/>
        <w:ind w:firstLine="480" w:firstLineChars="200"/>
        <w:rPr>
          <w:rFonts w:hAnsi="宋体"/>
          <w:color w:val="auto"/>
          <w:sz w:val="24"/>
          <w:highlight w:val="none"/>
        </w:rPr>
      </w:pPr>
      <w:r>
        <w:rPr>
          <w:rFonts w:hint="eastAsia" w:hAnsi="宋体"/>
          <w:color w:val="auto"/>
          <w:sz w:val="24"/>
          <w:highlight w:val="none"/>
        </w:rPr>
        <w:t>供应商名称：        （盖章）</w:t>
      </w:r>
    </w:p>
    <w:p>
      <w:pPr>
        <w:spacing w:line="480" w:lineRule="exact"/>
        <w:ind w:firstLine="480" w:firstLineChars="200"/>
        <w:rPr>
          <w:rFonts w:hAnsi="宋体"/>
          <w:color w:val="auto"/>
          <w:sz w:val="24"/>
          <w:highlight w:val="none"/>
        </w:rPr>
      </w:pPr>
      <w:r>
        <w:rPr>
          <w:rFonts w:hint="eastAsia" w:hAnsi="宋体"/>
          <w:color w:val="auto"/>
          <w:sz w:val="24"/>
          <w:highlight w:val="none"/>
        </w:rPr>
        <w:t>法定代表人/负责人或授权代表（签名或加盖个人名章）：</w:t>
      </w:r>
    </w:p>
    <w:p>
      <w:pPr>
        <w:spacing w:line="480" w:lineRule="exact"/>
        <w:ind w:firstLine="480" w:firstLineChars="200"/>
        <w:rPr>
          <w:rFonts w:hAnsi="宋体"/>
          <w:color w:val="auto"/>
          <w:sz w:val="24"/>
          <w:highlight w:val="none"/>
        </w:rPr>
      </w:pPr>
      <w:r>
        <w:rPr>
          <w:rFonts w:hint="eastAsia" w:hAnsi="宋体"/>
          <w:color w:val="auto"/>
          <w:sz w:val="24"/>
          <w:highlight w:val="none"/>
        </w:rPr>
        <w:t>日期</w:t>
      </w:r>
      <w:r>
        <w:rPr>
          <w:rFonts w:hAnsi="宋体"/>
          <w:color w:val="auto"/>
          <w:sz w:val="24"/>
          <w:highlight w:val="none"/>
        </w:rPr>
        <w:t>:</w:t>
      </w:r>
    </w:p>
    <w:p>
      <w:pPr>
        <w:spacing w:line="480" w:lineRule="exact"/>
        <w:ind w:firstLine="680" w:firstLineChars="200"/>
        <w:rPr>
          <w:color w:val="auto"/>
          <w:highlight w:val="none"/>
        </w:rPr>
      </w:pPr>
    </w:p>
    <w:p>
      <w:pPr>
        <w:spacing w:line="480" w:lineRule="exact"/>
        <w:ind w:left="840" w:firstLine="480" w:firstLineChars="200"/>
        <w:rPr>
          <w:color w:val="auto"/>
          <w:sz w:val="24"/>
          <w:highlight w:val="none"/>
        </w:rPr>
      </w:pPr>
      <w:r>
        <w:rPr>
          <w:rFonts w:hint="eastAsia"/>
          <w:color w:val="auto"/>
          <w:sz w:val="24"/>
          <w:highlight w:val="none"/>
        </w:rPr>
        <w:t>注：</w:t>
      </w:r>
    </w:p>
    <w:p>
      <w:pPr>
        <w:keepNext/>
        <w:keepLines/>
        <w:widowControl w:val="0"/>
        <w:spacing w:line="480" w:lineRule="exact"/>
        <w:ind w:firstLine="480" w:firstLineChars="200"/>
        <w:rPr>
          <w:color w:val="auto"/>
          <w:sz w:val="24"/>
          <w:highlight w:val="none"/>
        </w:rPr>
      </w:pPr>
      <w:r>
        <w:rPr>
          <w:rFonts w:hint="eastAsia"/>
          <w:color w:val="auto"/>
          <w:sz w:val="24"/>
          <w:highlight w:val="none"/>
        </w:rPr>
        <w:t>1.此承诺函为参考格式，供应商可根据自身情况调整。</w:t>
      </w:r>
    </w:p>
    <w:p>
      <w:pPr>
        <w:spacing w:line="480" w:lineRule="exact"/>
        <w:ind w:firstLine="480" w:firstLineChars="200"/>
        <w:rPr>
          <w:color w:val="auto"/>
          <w:sz w:val="24"/>
          <w:highlight w:val="none"/>
        </w:rPr>
      </w:pPr>
    </w:p>
    <w:p>
      <w:pPr>
        <w:spacing w:line="480" w:lineRule="exact"/>
        <w:rPr>
          <w:color w:val="auto"/>
          <w:sz w:val="24"/>
          <w:highlight w:val="none"/>
        </w:rPr>
      </w:pPr>
    </w:p>
    <w:p>
      <w:pPr>
        <w:pStyle w:val="2"/>
        <w:rPr>
          <w:color w:val="auto"/>
          <w:highlight w:val="none"/>
        </w:rPr>
      </w:pPr>
    </w:p>
    <w:p>
      <w:pPr>
        <w:spacing w:line="420" w:lineRule="exact"/>
        <w:jc w:val="center"/>
        <w:outlineLvl w:val="1"/>
        <w:rPr>
          <w:rFonts w:hAnsi="宋体"/>
          <w:b/>
          <w:color w:val="auto"/>
          <w:sz w:val="30"/>
          <w:szCs w:val="30"/>
          <w:highlight w:val="none"/>
        </w:rPr>
      </w:pPr>
      <w:r>
        <w:rPr>
          <w:rFonts w:hAnsi="宋体"/>
          <w:b/>
          <w:color w:val="auto"/>
          <w:sz w:val="30"/>
          <w:szCs w:val="30"/>
          <w:highlight w:val="none"/>
        </w:rPr>
        <w:br w:type="page"/>
      </w:r>
      <w:r>
        <w:rPr>
          <w:rFonts w:hint="eastAsia" w:hAnsi="宋体"/>
          <w:b/>
          <w:color w:val="auto"/>
          <w:sz w:val="30"/>
          <w:szCs w:val="30"/>
          <w:highlight w:val="none"/>
        </w:rPr>
        <w:t>五、</w:t>
      </w:r>
      <w:r>
        <w:rPr>
          <w:rFonts w:hAnsi="宋体"/>
          <w:b/>
          <w:color w:val="auto"/>
          <w:sz w:val="30"/>
          <w:szCs w:val="30"/>
          <w:highlight w:val="none"/>
        </w:rPr>
        <w:t>供应商</w:t>
      </w:r>
      <w:r>
        <w:rPr>
          <w:rFonts w:hint="eastAsia" w:hAnsi="宋体"/>
          <w:b/>
          <w:color w:val="auto"/>
          <w:sz w:val="30"/>
          <w:szCs w:val="30"/>
          <w:highlight w:val="none"/>
        </w:rPr>
        <w:t>基本情况表</w:t>
      </w:r>
    </w:p>
    <w:p>
      <w:pPr>
        <w:pStyle w:val="2"/>
        <w:rPr>
          <w:color w:val="auto"/>
          <w:highlight w:val="none"/>
        </w:rPr>
      </w:pPr>
    </w:p>
    <w:tbl>
      <w:tblPr>
        <w:tblStyle w:val="44"/>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082"/>
        <w:gridCol w:w="1401"/>
        <w:gridCol w:w="1410"/>
        <w:gridCol w:w="1492"/>
        <w:gridCol w:w="179"/>
        <w:gridCol w:w="782"/>
        <w:gridCol w:w="1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spacing w:line="500" w:lineRule="exact"/>
              <w:rPr>
                <w:color w:val="auto"/>
                <w:sz w:val="24"/>
                <w:highlight w:val="none"/>
              </w:rPr>
            </w:pPr>
            <w:r>
              <w:rPr>
                <w:rFonts w:hint="eastAsia"/>
                <w:color w:val="auto"/>
                <w:sz w:val="24"/>
                <w:highlight w:val="none"/>
              </w:rPr>
              <w:t>供应商名称</w:t>
            </w:r>
          </w:p>
        </w:tc>
        <w:tc>
          <w:tcPr>
            <w:tcW w:w="7567" w:type="dxa"/>
            <w:gridSpan w:val="7"/>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spacing w:line="500" w:lineRule="exact"/>
              <w:rPr>
                <w:color w:val="auto"/>
                <w:sz w:val="24"/>
                <w:highlight w:val="none"/>
              </w:rPr>
            </w:pPr>
            <w:r>
              <w:rPr>
                <w:rFonts w:hint="eastAsia"/>
                <w:color w:val="auto"/>
                <w:sz w:val="24"/>
                <w:highlight w:val="none"/>
              </w:rPr>
              <w:t>注册地址</w:t>
            </w:r>
          </w:p>
        </w:tc>
        <w:tc>
          <w:tcPr>
            <w:tcW w:w="3893" w:type="dxa"/>
            <w:gridSpan w:val="3"/>
            <w:vAlign w:val="center"/>
          </w:tcPr>
          <w:p>
            <w:pPr>
              <w:spacing w:line="500" w:lineRule="exact"/>
              <w:ind w:firstLine="470" w:firstLineChars="196"/>
              <w:rPr>
                <w:color w:val="auto"/>
                <w:sz w:val="24"/>
                <w:highlight w:val="none"/>
              </w:rPr>
            </w:pPr>
          </w:p>
        </w:tc>
        <w:tc>
          <w:tcPr>
            <w:tcW w:w="1492" w:type="dxa"/>
            <w:vAlign w:val="center"/>
          </w:tcPr>
          <w:p>
            <w:pPr>
              <w:spacing w:line="500" w:lineRule="exact"/>
              <w:rPr>
                <w:color w:val="auto"/>
                <w:sz w:val="24"/>
                <w:highlight w:val="none"/>
              </w:rPr>
            </w:pPr>
            <w:r>
              <w:rPr>
                <w:rFonts w:hint="eastAsia"/>
                <w:color w:val="auto"/>
                <w:sz w:val="24"/>
                <w:highlight w:val="none"/>
              </w:rPr>
              <w:t>邮政编码</w:t>
            </w:r>
          </w:p>
        </w:tc>
        <w:tc>
          <w:tcPr>
            <w:tcW w:w="2182" w:type="dxa"/>
            <w:gridSpan w:val="3"/>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Merge w:val="restart"/>
            <w:vAlign w:val="center"/>
          </w:tcPr>
          <w:p>
            <w:pPr>
              <w:spacing w:line="500" w:lineRule="exact"/>
              <w:rPr>
                <w:color w:val="auto"/>
                <w:sz w:val="24"/>
                <w:highlight w:val="none"/>
              </w:rPr>
            </w:pPr>
            <w:r>
              <w:rPr>
                <w:rFonts w:hint="eastAsia"/>
                <w:color w:val="auto"/>
                <w:sz w:val="24"/>
                <w:highlight w:val="none"/>
              </w:rPr>
              <w:t>联系方式</w:t>
            </w:r>
          </w:p>
        </w:tc>
        <w:tc>
          <w:tcPr>
            <w:tcW w:w="1082" w:type="dxa"/>
            <w:vAlign w:val="center"/>
          </w:tcPr>
          <w:p>
            <w:pPr>
              <w:spacing w:line="500" w:lineRule="exact"/>
              <w:rPr>
                <w:color w:val="auto"/>
                <w:sz w:val="24"/>
                <w:highlight w:val="none"/>
              </w:rPr>
            </w:pPr>
            <w:r>
              <w:rPr>
                <w:rFonts w:hint="eastAsia"/>
                <w:color w:val="auto"/>
                <w:sz w:val="24"/>
                <w:highlight w:val="none"/>
              </w:rPr>
              <w:t>联系人</w:t>
            </w:r>
          </w:p>
        </w:tc>
        <w:tc>
          <w:tcPr>
            <w:tcW w:w="2811" w:type="dxa"/>
            <w:gridSpan w:val="2"/>
            <w:vAlign w:val="center"/>
          </w:tcPr>
          <w:p>
            <w:pPr>
              <w:spacing w:line="500" w:lineRule="exact"/>
              <w:ind w:firstLine="470" w:firstLineChars="196"/>
              <w:rPr>
                <w:color w:val="auto"/>
                <w:sz w:val="24"/>
                <w:highlight w:val="none"/>
              </w:rPr>
            </w:pPr>
          </w:p>
        </w:tc>
        <w:tc>
          <w:tcPr>
            <w:tcW w:w="1492" w:type="dxa"/>
            <w:vAlign w:val="center"/>
          </w:tcPr>
          <w:p>
            <w:pPr>
              <w:spacing w:line="500" w:lineRule="exact"/>
              <w:ind w:firstLine="470" w:firstLineChars="196"/>
              <w:rPr>
                <w:color w:val="auto"/>
                <w:sz w:val="24"/>
                <w:highlight w:val="none"/>
              </w:rPr>
            </w:pPr>
            <w:r>
              <w:rPr>
                <w:rFonts w:hint="eastAsia"/>
                <w:color w:val="auto"/>
                <w:sz w:val="24"/>
                <w:highlight w:val="none"/>
              </w:rPr>
              <w:t>电话</w:t>
            </w:r>
          </w:p>
        </w:tc>
        <w:tc>
          <w:tcPr>
            <w:tcW w:w="2182" w:type="dxa"/>
            <w:gridSpan w:val="3"/>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21" w:type="dxa"/>
            <w:vMerge w:val="continue"/>
            <w:vAlign w:val="center"/>
          </w:tcPr>
          <w:p>
            <w:pPr>
              <w:spacing w:line="500" w:lineRule="exact"/>
              <w:rPr>
                <w:color w:val="auto"/>
                <w:highlight w:val="none"/>
              </w:rPr>
            </w:pPr>
          </w:p>
        </w:tc>
        <w:tc>
          <w:tcPr>
            <w:tcW w:w="1082" w:type="dxa"/>
            <w:vAlign w:val="center"/>
          </w:tcPr>
          <w:p>
            <w:pPr>
              <w:spacing w:line="500" w:lineRule="exact"/>
              <w:rPr>
                <w:color w:val="auto"/>
                <w:sz w:val="24"/>
                <w:highlight w:val="none"/>
              </w:rPr>
            </w:pPr>
            <w:r>
              <w:rPr>
                <w:rFonts w:hint="eastAsia"/>
                <w:color w:val="auto"/>
                <w:sz w:val="24"/>
                <w:highlight w:val="none"/>
              </w:rPr>
              <w:t>传真</w:t>
            </w:r>
          </w:p>
        </w:tc>
        <w:tc>
          <w:tcPr>
            <w:tcW w:w="2811" w:type="dxa"/>
            <w:gridSpan w:val="2"/>
            <w:vAlign w:val="center"/>
          </w:tcPr>
          <w:p>
            <w:pPr>
              <w:spacing w:line="500" w:lineRule="exact"/>
              <w:ind w:firstLine="470" w:firstLineChars="196"/>
              <w:rPr>
                <w:color w:val="auto"/>
                <w:sz w:val="24"/>
                <w:highlight w:val="none"/>
              </w:rPr>
            </w:pPr>
          </w:p>
        </w:tc>
        <w:tc>
          <w:tcPr>
            <w:tcW w:w="1492" w:type="dxa"/>
            <w:vAlign w:val="center"/>
          </w:tcPr>
          <w:p>
            <w:pPr>
              <w:spacing w:line="500" w:lineRule="exact"/>
              <w:ind w:firstLine="470" w:firstLineChars="196"/>
              <w:rPr>
                <w:color w:val="auto"/>
                <w:sz w:val="24"/>
                <w:highlight w:val="none"/>
              </w:rPr>
            </w:pPr>
            <w:r>
              <w:rPr>
                <w:rFonts w:hint="eastAsia"/>
                <w:color w:val="auto"/>
                <w:sz w:val="24"/>
                <w:highlight w:val="none"/>
              </w:rPr>
              <w:t>网址</w:t>
            </w:r>
          </w:p>
        </w:tc>
        <w:tc>
          <w:tcPr>
            <w:tcW w:w="2182" w:type="dxa"/>
            <w:gridSpan w:val="3"/>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spacing w:line="500" w:lineRule="exact"/>
              <w:rPr>
                <w:color w:val="auto"/>
                <w:sz w:val="24"/>
                <w:highlight w:val="none"/>
              </w:rPr>
            </w:pPr>
            <w:r>
              <w:rPr>
                <w:rFonts w:hint="eastAsia"/>
                <w:color w:val="auto"/>
                <w:sz w:val="24"/>
                <w:highlight w:val="none"/>
              </w:rPr>
              <w:t>组织结构</w:t>
            </w:r>
          </w:p>
        </w:tc>
        <w:tc>
          <w:tcPr>
            <w:tcW w:w="7567" w:type="dxa"/>
            <w:gridSpan w:val="7"/>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721" w:type="dxa"/>
            <w:vAlign w:val="center"/>
          </w:tcPr>
          <w:p>
            <w:pPr>
              <w:spacing w:line="500" w:lineRule="exact"/>
              <w:rPr>
                <w:color w:val="auto"/>
                <w:sz w:val="24"/>
                <w:highlight w:val="none"/>
              </w:rPr>
            </w:pPr>
            <w:r>
              <w:rPr>
                <w:rFonts w:hint="eastAsia"/>
                <w:color w:val="auto"/>
                <w:sz w:val="24"/>
                <w:highlight w:val="none"/>
              </w:rPr>
              <w:t>法定代表人/负责人</w:t>
            </w:r>
          </w:p>
        </w:tc>
        <w:tc>
          <w:tcPr>
            <w:tcW w:w="1082" w:type="dxa"/>
            <w:vAlign w:val="center"/>
          </w:tcPr>
          <w:p>
            <w:pPr>
              <w:spacing w:line="500" w:lineRule="exact"/>
              <w:rPr>
                <w:color w:val="auto"/>
                <w:sz w:val="24"/>
                <w:highlight w:val="none"/>
              </w:rPr>
            </w:pPr>
            <w:r>
              <w:rPr>
                <w:rFonts w:hint="eastAsia"/>
                <w:color w:val="auto"/>
                <w:sz w:val="24"/>
                <w:highlight w:val="none"/>
              </w:rPr>
              <w:t>姓名</w:t>
            </w:r>
          </w:p>
        </w:tc>
        <w:tc>
          <w:tcPr>
            <w:tcW w:w="1401" w:type="dxa"/>
            <w:vAlign w:val="center"/>
          </w:tcPr>
          <w:p>
            <w:pPr>
              <w:spacing w:line="500" w:lineRule="exact"/>
              <w:ind w:firstLine="470" w:firstLineChars="196"/>
              <w:rPr>
                <w:color w:val="auto"/>
                <w:sz w:val="24"/>
                <w:highlight w:val="none"/>
              </w:rPr>
            </w:pPr>
          </w:p>
        </w:tc>
        <w:tc>
          <w:tcPr>
            <w:tcW w:w="1410" w:type="dxa"/>
            <w:vAlign w:val="center"/>
          </w:tcPr>
          <w:p>
            <w:pPr>
              <w:spacing w:line="500" w:lineRule="exact"/>
              <w:rPr>
                <w:color w:val="auto"/>
                <w:sz w:val="24"/>
                <w:highlight w:val="none"/>
              </w:rPr>
            </w:pPr>
            <w:r>
              <w:rPr>
                <w:rFonts w:hint="eastAsia"/>
                <w:color w:val="auto"/>
                <w:sz w:val="24"/>
                <w:highlight w:val="none"/>
              </w:rPr>
              <w:t>技术职称</w:t>
            </w:r>
          </w:p>
        </w:tc>
        <w:tc>
          <w:tcPr>
            <w:tcW w:w="1492" w:type="dxa"/>
            <w:vAlign w:val="center"/>
          </w:tcPr>
          <w:p>
            <w:pPr>
              <w:spacing w:line="500" w:lineRule="exact"/>
              <w:ind w:firstLine="470" w:firstLineChars="196"/>
              <w:rPr>
                <w:color w:val="auto"/>
                <w:sz w:val="24"/>
                <w:highlight w:val="none"/>
              </w:rPr>
            </w:pPr>
          </w:p>
        </w:tc>
        <w:tc>
          <w:tcPr>
            <w:tcW w:w="961" w:type="dxa"/>
            <w:gridSpan w:val="2"/>
            <w:vAlign w:val="center"/>
          </w:tcPr>
          <w:p>
            <w:pPr>
              <w:spacing w:line="500" w:lineRule="exact"/>
              <w:rPr>
                <w:color w:val="auto"/>
                <w:sz w:val="24"/>
                <w:highlight w:val="none"/>
              </w:rPr>
            </w:pPr>
            <w:r>
              <w:rPr>
                <w:rFonts w:hint="eastAsia"/>
                <w:color w:val="auto"/>
                <w:sz w:val="24"/>
                <w:highlight w:val="none"/>
              </w:rPr>
              <w:t>电话</w:t>
            </w:r>
          </w:p>
        </w:tc>
        <w:tc>
          <w:tcPr>
            <w:tcW w:w="1221" w:type="dxa"/>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21" w:type="dxa"/>
            <w:vAlign w:val="center"/>
          </w:tcPr>
          <w:p>
            <w:pPr>
              <w:spacing w:line="500" w:lineRule="exact"/>
              <w:rPr>
                <w:color w:val="auto"/>
                <w:sz w:val="24"/>
                <w:highlight w:val="none"/>
              </w:rPr>
            </w:pPr>
            <w:r>
              <w:rPr>
                <w:rFonts w:hint="eastAsia"/>
                <w:color w:val="auto"/>
                <w:sz w:val="24"/>
                <w:highlight w:val="none"/>
              </w:rPr>
              <w:t>技术负责人</w:t>
            </w:r>
          </w:p>
        </w:tc>
        <w:tc>
          <w:tcPr>
            <w:tcW w:w="1082" w:type="dxa"/>
            <w:vAlign w:val="center"/>
          </w:tcPr>
          <w:p>
            <w:pPr>
              <w:spacing w:line="500" w:lineRule="exact"/>
              <w:rPr>
                <w:color w:val="auto"/>
                <w:sz w:val="24"/>
                <w:highlight w:val="none"/>
              </w:rPr>
            </w:pPr>
            <w:r>
              <w:rPr>
                <w:rFonts w:hint="eastAsia"/>
                <w:color w:val="auto"/>
                <w:sz w:val="24"/>
                <w:highlight w:val="none"/>
              </w:rPr>
              <w:t>姓名</w:t>
            </w:r>
          </w:p>
        </w:tc>
        <w:tc>
          <w:tcPr>
            <w:tcW w:w="1401" w:type="dxa"/>
            <w:vAlign w:val="center"/>
          </w:tcPr>
          <w:p>
            <w:pPr>
              <w:spacing w:line="500" w:lineRule="exact"/>
              <w:ind w:firstLine="470" w:firstLineChars="196"/>
              <w:rPr>
                <w:color w:val="auto"/>
                <w:sz w:val="24"/>
                <w:highlight w:val="none"/>
              </w:rPr>
            </w:pPr>
          </w:p>
        </w:tc>
        <w:tc>
          <w:tcPr>
            <w:tcW w:w="1410" w:type="dxa"/>
            <w:vAlign w:val="center"/>
          </w:tcPr>
          <w:p>
            <w:pPr>
              <w:spacing w:line="500" w:lineRule="exact"/>
              <w:rPr>
                <w:color w:val="auto"/>
                <w:sz w:val="24"/>
                <w:highlight w:val="none"/>
              </w:rPr>
            </w:pPr>
            <w:r>
              <w:rPr>
                <w:rFonts w:hint="eastAsia"/>
                <w:color w:val="auto"/>
                <w:sz w:val="24"/>
                <w:highlight w:val="none"/>
              </w:rPr>
              <w:t>技术职称</w:t>
            </w:r>
          </w:p>
        </w:tc>
        <w:tc>
          <w:tcPr>
            <w:tcW w:w="1492" w:type="dxa"/>
            <w:vAlign w:val="center"/>
          </w:tcPr>
          <w:p>
            <w:pPr>
              <w:spacing w:line="500" w:lineRule="exact"/>
              <w:ind w:firstLine="470" w:firstLineChars="196"/>
              <w:rPr>
                <w:color w:val="auto"/>
                <w:sz w:val="24"/>
                <w:highlight w:val="none"/>
              </w:rPr>
            </w:pPr>
          </w:p>
        </w:tc>
        <w:tc>
          <w:tcPr>
            <w:tcW w:w="961" w:type="dxa"/>
            <w:gridSpan w:val="2"/>
            <w:vAlign w:val="center"/>
          </w:tcPr>
          <w:p>
            <w:pPr>
              <w:spacing w:line="500" w:lineRule="exact"/>
              <w:rPr>
                <w:color w:val="auto"/>
                <w:sz w:val="24"/>
                <w:highlight w:val="none"/>
              </w:rPr>
            </w:pPr>
            <w:r>
              <w:rPr>
                <w:rFonts w:hint="eastAsia"/>
                <w:color w:val="auto"/>
                <w:sz w:val="24"/>
                <w:highlight w:val="none"/>
              </w:rPr>
              <w:t>电话</w:t>
            </w:r>
          </w:p>
        </w:tc>
        <w:tc>
          <w:tcPr>
            <w:tcW w:w="1221" w:type="dxa"/>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spacing w:line="500" w:lineRule="exact"/>
              <w:rPr>
                <w:color w:val="auto"/>
                <w:sz w:val="24"/>
                <w:highlight w:val="none"/>
              </w:rPr>
            </w:pPr>
            <w:r>
              <w:rPr>
                <w:rFonts w:hint="eastAsia"/>
                <w:color w:val="auto"/>
                <w:sz w:val="24"/>
                <w:highlight w:val="none"/>
              </w:rPr>
              <w:t>成立时间</w:t>
            </w:r>
          </w:p>
        </w:tc>
        <w:tc>
          <w:tcPr>
            <w:tcW w:w="2483" w:type="dxa"/>
            <w:gridSpan w:val="2"/>
            <w:vAlign w:val="center"/>
          </w:tcPr>
          <w:p>
            <w:pPr>
              <w:spacing w:line="500" w:lineRule="exact"/>
              <w:ind w:firstLine="470" w:firstLineChars="196"/>
              <w:rPr>
                <w:color w:val="auto"/>
                <w:sz w:val="24"/>
                <w:highlight w:val="none"/>
              </w:rPr>
            </w:pPr>
          </w:p>
        </w:tc>
        <w:tc>
          <w:tcPr>
            <w:tcW w:w="5084" w:type="dxa"/>
            <w:gridSpan w:val="5"/>
            <w:vAlign w:val="center"/>
          </w:tcPr>
          <w:p>
            <w:pPr>
              <w:spacing w:line="500" w:lineRule="exact"/>
              <w:rPr>
                <w:color w:val="auto"/>
                <w:sz w:val="24"/>
                <w:highlight w:val="none"/>
              </w:rPr>
            </w:pPr>
            <w:r>
              <w:rPr>
                <w:rFonts w:hint="eastAsia"/>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spacing w:line="500" w:lineRule="exact"/>
              <w:rPr>
                <w:color w:val="auto"/>
                <w:sz w:val="24"/>
                <w:highlight w:val="none"/>
              </w:rPr>
            </w:pPr>
            <w:r>
              <w:rPr>
                <w:rFonts w:hint="eastAsia"/>
                <w:color w:val="auto"/>
                <w:sz w:val="24"/>
                <w:highlight w:val="none"/>
              </w:rPr>
              <w:t>企业资质等级</w:t>
            </w:r>
          </w:p>
        </w:tc>
        <w:tc>
          <w:tcPr>
            <w:tcW w:w="2483" w:type="dxa"/>
            <w:gridSpan w:val="2"/>
            <w:vAlign w:val="center"/>
          </w:tcPr>
          <w:p>
            <w:pPr>
              <w:spacing w:line="500" w:lineRule="exact"/>
              <w:ind w:firstLine="470" w:firstLineChars="196"/>
              <w:rPr>
                <w:color w:val="auto"/>
                <w:sz w:val="24"/>
                <w:highlight w:val="none"/>
              </w:rPr>
            </w:pPr>
          </w:p>
        </w:tc>
        <w:tc>
          <w:tcPr>
            <w:tcW w:w="1410" w:type="dxa"/>
            <w:vMerge w:val="restart"/>
            <w:vAlign w:val="center"/>
          </w:tcPr>
          <w:p>
            <w:pPr>
              <w:spacing w:line="500" w:lineRule="exact"/>
              <w:ind w:firstLine="470" w:firstLineChars="196"/>
              <w:rPr>
                <w:color w:val="auto"/>
                <w:sz w:val="24"/>
                <w:highlight w:val="none"/>
              </w:rPr>
            </w:pPr>
            <w:r>
              <w:rPr>
                <w:rFonts w:hint="eastAsia"/>
                <w:color w:val="auto"/>
                <w:sz w:val="24"/>
                <w:highlight w:val="none"/>
              </w:rPr>
              <w:t>其中</w:t>
            </w:r>
          </w:p>
        </w:tc>
        <w:tc>
          <w:tcPr>
            <w:tcW w:w="1671" w:type="dxa"/>
            <w:gridSpan w:val="2"/>
            <w:vAlign w:val="center"/>
          </w:tcPr>
          <w:p>
            <w:pPr>
              <w:spacing w:line="500" w:lineRule="exact"/>
              <w:rPr>
                <w:color w:val="auto"/>
                <w:sz w:val="24"/>
                <w:highlight w:val="none"/>
              </w:rPr>
            </w:pPr>
            <w:r>
              <w:rPr>
                <w:rFonts w:hint="eastAsia"/>
                <w:color w:val="auto"/>
                <w:sz w:val="24"/>
                <w:highlight w:val="none"/>
              </w:rPr>
              <w:t>项目经理</w:t>
            </w:r>
          </w:p>
        </w:tc>
        <w:tc>
          <w:tcPr>
            <w:tcW w:w="2003" w:type="dxa"/>
            <w:gridSpan w:val="2"/>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spacing w:line="500" w:lineRule="exact"/>
              <w:rPr>
                <w:color w:val="auto"/>
                <w:sz w:val="24"/>
                <w:highlight w:val="none"/>
              </w:rPr>
            </w:pPr>
            <w:r>
              <w:rPr>
                <w:rFonts w:hint="eastAsia"/>
                <w:color w:val="auto"/>
                <w:sz w:val="24"/>
                <w:highlight w:val="none"/>
              </w:rPr>
              <w:t>营业执照号</w:t>
            </w:r>
          </w:p>
        </w:tc>
        <w:tc>
          <w:tcPr>
            <w:tcW w:w="2483" w:type="dxa"/>
            <w:gridSpan w:val="2"/>
            <w:vAlign w:val="center"/>
          </w:tcPr>
          <w:p>
            <w:pPr>
              <w:spacing w:line="500" w:lineRule="exact"/>
              <w:ind w:firstLine="470" w:firstLineChars="196"/>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spacing w:line="500" w:lineRule="exact"/>
              <w:rPr>
                <w:color w:val="auto"/>
                <w:sz w:val="24"/>
                <w:highlight w:val="none"/>
              </w:rPr>
            </w:pPr>
            <w:r>
              <w:rPr>
                <w:rFonts w:hint="eastAsia"/>
                <w:color w:val="auto"/>
                <w:sz w:val="24"/>
                <w:highlight w:val="none"/>
              </w:rPr>
              <w:t>高级职称人员</w:t>
            </w:r>
          </w:p>
        </w:tc>
        <w:tc>
          <w:tcPr>
            <w:tcW w:w="2003" w:type="dxa"/>
            <w:gridSpan w:val="2"/>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spacing w:line="500" w:lineRule="exact"/>
              <w:rPr>
                <w:color w:val="auto"/>
                <w:sz w:val="24"/>
                <w:highlight w:val="none"/>
              </w:rPr>
            </w:pPr>
            <w:r>
              <w:rPr>
                <w:rFonts w:hint="eastAsia"/>
                <w:color w:val="auto"/>
                <w:sz w:val="24"/>
                <w:highlight w:val="none"/>
              </w:rPr>
              <w:t>注册资金</w:t>
            </w:r>
          </w:p>
        </w:tc>
        <w:tc>
          <w:tcPr>
            <w:tcW w:w="2483" w:type="dxa"/>
            <w:gridSpan w:val="2"/>
            <w:vAlign w:val="center"/>
          </w:tcPr>
          <w:p>
            <w:pPr>
              <w:spacing w:line="500" w:lineRule="exact"/>
              <w:ind w:firstLine="470" w:firstLineChars="196"/>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spacing w:line="500" w:lineRule="exact"/>
              <w:rPr>
                <w:color w:val="auto"/>
                <w:sz w:val="24"/>
                <w:highlight w:val="none"/>
              </w:rPr>
            </w:pPr>
            <w:r>
              <w:rPr>
                <w:rFonts w:hint="eastAsia"/>
                <w:color w:val="auto"/>
                <w:sz w:val="24"/>
                <w:highlight w:val="none"/>
              </w:rPr>
              <w:t>中级职称人员</w:t>
            </w:r>
          </w:p>
        </w:tc>
        <w:tc>
          <w:tcPr>
            <w:tcW w:w="2003" w:type="dxa"/>
            <w:gridSpan w:val="2"/>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spacing w:line="500" w:lineRule="exact"/>
              <w:rPr>
                <w:color w:val="auto"/>
                <w:sz w:val="24"/>
                <w:highlight w:val="none"/>
              </w:rPr>
            </w:pPr>
            <w:r>
              <w:rPr>
                <w:rFonts w:hint="eastAsia"/>
                <w:color w:val="auto"/>
                <w:sz w:val="24"/>
                <w:highlight w:val="none"/>
              </w:rPr>
              <w:t>开户银行</w:t>
            </w:r>
          </w:p>
        </w:tc>
        <w:tc>
          <w:tcPr>
            <w:tcW w:w="2483" w:type="dxa"/>
            <w:gridSpan w:val="2"/>
            <w:vAlign w:val="center"/>
          </w:tcPr>
          <w:p>
            <w:pPr>
              <w:spacing w:line="500" w:lineRule="exact"/>
              <w:ind w:firstLine="470" w:firstLineChars="196"/>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spacing w:line="500" w:lineRule="exact"/>
              <w:rPr>
                <w:color w:val="auto"/>
                <w:sz w:val="24"/>
                <w:highlight w:val="none"/>
              </w:rPr>
            </w:pPr>
            <w:r>
              <w:rPr>
                <w:rFonts w:hint="eastAsia"/>
                <w:color w:val="auto"/>
                <w:sz w:val="24"/>
                <w:highlight w:val="none"/>
              </w:rPr>
              <w:t>初级职称人员</w:t>
            </w:r>
          </w:p>
        </w:tc>
        <w:tc>
          <w:tcPr>
            <w:tcW w:w="2003" w:type="dxa"/>
            <w:gridSpan w:val="2"/>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spacing w:line="500" w:lineRule="exact"/>
              <w:ind w:firstLine="470" w:firstLineChars="196"/>
              <w:rPr>
                <w:color w:val="auto"/>
                <w:sz w:val="24"/>
                <w:highlight w:val="none"/>
              </w:rPr>
            </w:pPr>
            <w:r>
              <w:rPr>
                <w:rFonts w:hint="eastAsia"/>
                <w:color w:val="auto"/>
                <w:sz w:val="24"/>
                <w:highlight w:val="none"/>
              </w:rPr>
              <w:t>账号</w:t>
            </w:r>
          </w:p>
        </w:tc>
        <w:tc>
          <w:tcPr>
            <w:tcW w:w="2483" w:type="dxa"/>
            <w:gridSpan w:val="2"/>
            <w:vAlign w:val="center"/>
          </w:tcPr>
          <w:p>
            <w:pPr>
              <w:spacing w:line="500" w:lineRule="exact"/>
              <w:ind w:firstLine="470" w:firstLineChars="196"/>
              <w:rPr>
                <w:color w:val="auto"/>
                <w:sz w:val="24"/>
                <w:highlight w:val="none"/>
              </w:rPr>
            </w:pPr>
          </w:p>
        </w:tc>
        <w:tc>
          <w:tcPr>
            <w:tcW w:w="1410" w:type="dxa"/>
            <w:vMerge w:val="continue"/>
            <w:vAlign w:val="center"/>
          </w:tcPr>
          <w:p>
            <w:pPr>
              <w:spacing w:line="500" w:lineRule="exact"/>
              <w:rPr>
                <w:color w:val="auto"/>
                <w:highlight w:val="none"/>
              </w:rPr>
            </w:pPr>
          </w:p>
        </w:tc>
        <w:tc>
          <w:tcPr>
            <w:tcW w:w="1671" w:type="dxa"/>
            <w:gridSpan w:val="2"/>
            <w:vAlign w:val="center"/>
          </w:tcPr>
          <w:p>
            <w:pPr>
              <w:spacing w:line="500" w:lineRule="exact"/>
              <w:ind w:firstLine="470" w:firstLineChars="196"/>
              <w:rPr>
                <w:color w:val="auto"/>
                <w:sz w:val="24"/>
                <w:highlight w:val="none"/>
              </w:rPr>
            </w:pPr>
            <w:r>
              <w:rPr>
                <w:rFonts w:hint="eastAsia"/>
                <w:color w:val="auto"/>
                <w:sz w:val="24"/>
                <w:highlight w:val="none"/>
              </w:rPr>
              <w:t>技工</w:t>
            </w:r>
          </w:p>
        </w:tc>
        <w:tc>
          <w:tcPr>
            <w:tcW w:w="2003" w:type="dxa"/>
            <w:gridSpan w:val="2"/>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175" w:hRule="atLeast"/>
        </w:trPr>
        <w:tc>
          <w:tcPr>
            <w:tcW w:w="1721" w:type="dxa"/>
            <w:vAlign w:val="center"/>
          </w:tcPr>
          <w:p>
            <w:pPr>
              <w:spacing w:line="500" w:lineRule="exact"/>
              <w:rPr>
                <w:color w:val="auto"/>
                <w:sz w:val="24"/>
                <w:highlight w:val="none"/>
              </w:rPr>
            </w:pPr>
            <w:r>
              <w:rPr>
                <w:rFonts w:hint="eastAsia"/>
                <w:color w:val="auto"/>
                <w:sz w:val="24"/>
                <w:highlight w:val="none"/>
              </w:rPr>
              <w:t>经营范围</w:t>
            </w:r>
          </w:p>
        </w:tc>
        <w:tc>
          <w:tcPr>
            <w:tcW w:w="7567" w:type="dxa"/>
            <w:gridSpan w:val="7"/>
            <w:vAlign w:val="center"/>
          </w:tcPr>
          <w:p>
            <w:pPr>
              <w:spacing w:line="500" w:lineRule="exact"/>
              <w:ind w:firstLine="470" w:firstLineChars="196"/>
              <w:rPr>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77" w:hRule="atLeast"/>
        </w:trPr>
        <w:tc>
          <w:tcPr>
            <w:tcW w:w="1721" w:type="dxa"/>
          </w:tcPr>
          <w:p>
            <w:pPr>
              <w:spacing w:line="500" w:lineRule="exact"/>
              <w:ind w:firstLine="470" w:firstLineChars="196"/>
              <w:rPr>
                <w:color w:val="auto"/>
                <w:sz w:val="24"/>
                <w:highlight w:val="none"/>
              </w:rPr>
            </w:pPr>
            <w:r>
              <w:rPr>
                <w:rFonts w:hint="eastAsia"/>
                <w:color w:val="auto"/>
                <w:sz w:val="24"/>
                <w:highlight w:val="none"/>
              </w:rPr>
              <w:t>备注</w:t>
            </w:r>
          </w:p>
        </w:tc>
        <w:tc>
          <w:tcPr>
            <w:tcW w:w="7567" w:type="dxa"/>
            <w:gridSpan w:val="7"/>
          </w:tcPr>
          <w:p>
            <w:pPr>
              <w:spacing w:line="500" w:lineRule="exact"/>
              <w:ind w:firstLine="470" w:firstLineChars="196"/>
              <w:rPr>
                <w:color w:val="auto"/>
                <w:sz w:val="24"/>
                <w:highlight w:val="none"/>
              </w:rPr>
            </w:pPr>
          </w:p>
        </w:tc>
      </w:tr>
    </w:tbl>
    <w:p>
      <w:pPr>
        <w:spacing w:line="480" w:lineRule="exact"/>
        <w:rPr>
          <w:color w:val="auto"/>
          <w:sz w:val="24"/>
          <w:highlight w:val="none"/>
        </w:rPr>
      </w:pPr>
    </w:p>
    <w:p>
      <w:pPr>
        <w:spacing w:line="360" w:lineRule="auto"/>
        <w:rPr>
          <w:color w:val="auto"/>
          <w:sz w:val="24"/>
          <w:szCs w:val="24"/>
          <w:highlight w:val="none"/>
        </w:rPr>
      </w:pPr>
      <w:r>
        <w:rPr>
          <w:rFonts w:hAnsi="宋体"/>
          <w:color w:val="auto"/>
          <w:sz w:val="24"/>
          <w:szCs w:val="24"/>
          <w:highlight w:val="none"/>
        </w:rPr>
        <w:t>供应商（单位公章）：</w:t>
      </w:r>
    </w:p>
    <w:p>
      <w:pPr>
        <w:spacing w:line="360" w:lineRule="auto"/>
        <w:rPr>
          <w:color w:val="auto"/>
          <w:sz w:val="24"/>
          <w:szCs w:val="24"/>
          <w:highlight w:val="none"/>
          <w:u w:val="single"/>
        </w:rPr>
      </w:pPr>
      <w:r>
        <w:rPr>
          <w:rFonts w:hAnsi="宋体"/>
          <w:color w:val="auto"/>
          <w:sz w:val="24"/>
          <w:szCs w:val="24"/>
          <w:highlight w:val="none"/>
        </w:rPr>
        <w:t>法定代表人或授权代表（签</w:t>
      </w:r>
      <w:r>
        <w:rPr>
          <w:rFonts w:hint="eastAsia" w:hAnsi="宋体"/>
          <w:color w:val="auto"/>
          <w:sz w:val="24"/>
          <w:szCs w:val="24"/>
          <w:highlight w:val="none"/>
        </w:rPr>
        <w:t>名</w:t>
      </w:r>
      <w:r>
        <w:rPr>
          <w:rFonts w:hAnsi="宋体"/>
          <w:color w:val="auto"/>
          <w:sz w:val="24"/>
          <w:szCs w:val="24"/>
          <w:highlight w:val="none"/>
        </w:rPr>
        <w:t>）</w:t>
      </w:r>
      <w:r>
        <w:rPr>
          <w:rFonts w:hAnsi="宋体"/>
          <w:bCs/>
          <w:color w:val="auto"/>
          <w:sz w:val="24"/>
          <w:szCs w:val="24"/>
          <w:highlight w:val="none"/>
        </w:rPr>
        <w:t>：</w:t>
      </w:r>
    </w:p>
    <w:p>
      <w:pPr>
        <w:spacing w:line="360" w:lineRule="auto"/>
        <w:jc w:val="both"/>
        <w:rPr>
          <w:rFonts w:hAnsi="宋体"/>
          <w:color w:val="auto"/>
          <w:sz w:val="24"/>
          <w:szCs w:val="24"/>
          <w:highlight w:val="none"/>
        </w:rPr>
      </w:pPr>
      <w:r>
        <w:rPr>
          <w:rFonts w:hAnsi="宋体"/>
          <w:color w:val="auto"/>
          <w:sz w:val="24"/>
          <w:szCs w:val="24"/>
          <w:highlight w:val="none"/>
        </w:rPr>
        <w:t>日期：</w:t>
      </w: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t>六、磋商文件要求提供的其他证明文件</w:t>
      </w:r>
    </w:p>
    <w:p>
      <w:pPr>
        <w:pStyle w:val="2"/>
        <w:jc w:val="center"/>
        <w:rPr>
          <w:b/>
          <w:bCs/>
          <w:color w:val="auto"/>
          <w:highlight w:val="none"/>
        </w:rPr>
      </w:pPr>
      <w:r>
        <w:rPr>
          <w:rFonts w:hint="eastAsia"/>
          <w:b/>
          <w:bCs/>
          <w:color w:val="auto"/>
          <w:highlight w:val="none"/>
        </w:rPr>
        <w:t>（格式自拟）</w:t>
      </w:r>
    </w:p>
    <w:p>
      <w:pPr>
        <w:tabs>
          <w:tab w:val="left" w:pos="900"/>
        </w:tabs>
        <w:spacing w:line="360" w:lineRule="auto"/>
        <w:jc w:val="center"/>
        <w:outlineLvl w:val="1"/>
        <w:rPr>
          <w:rFonts w:hAnsi="宋体"/>
          <w:b/>
          <w:color w:val="auto"/>
          <w:sz w:val="24"/>
          <w:szCs w:val="24"/>
          <w:highlight w:val="none"/>
        </w:rPr>
      </w:pPr>
      <w:r>
        <w:rPr>
          <w:rFonts w:hint="eastAsia" w:hAnsi="宋体"/>
          <w:b/>
          <w:color w:val="auto"/>
          <w:sz w:val="30"/>
          <w:szCs w:val="30"/>
          <w:highlight w:val="none"/>
        </w:rPr>
        <w:br w:type="page"/>
      </w:r>
      <w:r>
        <w:rPr>
          <w:rFonts w:hAnsi="宋体"/>
          <w:b/>
          <w:color w:val="auto"/>
          <w:sz w:val="32"/>
          <w:highlight w:val="none"/>
        </w:rPr>
        <w:t>第二部分  技术</w:t>
      </w:r>
      <w:r>
        <w:rPr>
          <w:rFonts w:hint="eastAsia" w:hAnsi="宋体"/>
          <w:b/>
          <w:color w:val="auto"/>
          <w:sz w:val="32"/>
          <w:highlight w:val="none"/>
        </w:rPr>
        <w:t>、服务</w:t>
      </w:r>
      <w:r>
        <w:rPr>
          <w:rFonts w:hAnsi="宋体"/>
          <w:b/>
          <w:color w:val="auto"/>
          <w:sz w:val="32"/>
          <w:highlight w:val="none"/>
        </w:rPr>
        <w:t>性响应文件（格式）</w:t>
      </w:r>
    </w:p>
    <w:p>
      <w:pPr>
        <w:spacing w:line="420" w:lineRule="exact"/>
        <w:jc w:val="center"/>
        <w:outlineLvl w:val="1"/>
        <w:rPr>
          <w:rFonts w:hAnsi="宋体"/>
          <w:b/>
          <w:color w:val="auto"/>
          <w:sz w:val="30"/>
          <w:szCs w:val="30"/>
          <w:highlight w:val="none"/>
        </w:rPr>
      </w:pPr>
      <w:r>
        <w:rPr>
          <w:rFonts w:hAnsi="宋体"/>
          <w:b/>
          <w:color w:val="auto"/>
          <w:sz w:val="30"/>
          <w:szCs w:val="30"/>
          <w:highlight w:val="none"/>
        </w:rPr>
        <w:t xml:space="preserve">一、响 应 </w:t>
      </w:r>
      <w:r>
        <w:rPr>
          <w:rFonts w:hint="eastAsia" w:hAnsi="宋体"/>
          <w:b/>
          <w:color w:val="auto"/>
          <w:sz w:val="30"/>
          <w:szCs w:val="30"/>
          <w:highlight w:val="none"/>
        </w:rPr>
        <w:t>函</w:t>
      </w:r>
    </w:p>
    <w:p>
      <w:pPr>
        <w:pStyle w:val="23"/>
        <w:spacing w:line="360" w:lineRule="exact"/>
        <w:rPr>
          <w:rFonts w:hint="default" w:hAnsi="宋体"/>
          <w:color w:val="auto"/>
          <w:sz w:val="24"/>
          <w:szCs w:val="24"/>
          <w:highlight w:val="none"/>
        </w:rPr>
      </w:pPr>
      <w:r>
        <w:rPr>
          <w:rFonts w:hAnsi="宋体"/>
          <w:color w:val="auto"/>
          <w:sz w:val="24"/>
          <w:szCs w:val="24"/>
          <w:highlight w:val="none"/>
        </w:rPr>
        <w:t>致：</w:t>
      </w:r>
      <w:r>
        <w:rPr>
          <w:rFonts w:hAnsi="宋体"/>
          <w:color w:val="auto"/>
          <w:sz w:val="24"/>
          <w:szCs w:val="24"/>
          <w:highlight w:val="none"/>
          <w:u w:val="single"/>
        </w:rPr>
        <w:t xml:space="preserve">  （采购代理机构）      </w:t>
      </w:r>
    </w:p>
    <w:p>
      <w:pPr>
        <w:autoSpaceDE w:val="0"/>
        <w:autoSpaceDN w:val="0"/>
        <w:snapToGrid w:val="0"/>
        <w:spacing w:line="480" w:lineRule="exact"/>
        <w:ind w:firstLine="360" w:firstLineChars="150"/>
        <w:rPr>
          <w:rFonts w:hAnsi="宋体"/>
          <w:color w:val="auto"/>
          <w:sz w:val="24"/>
          <w:szCs w:val="24"/>
          <w:highlight w:val="none"/>
          <w:u w:val="single"/>
        </w:rPr>
      </w:pPr>
      <w:r>
        <w:rPr>
          <w:rFonts w:hAnsi="宋体"/>
          <w:color w:val="auto"/>
          <w:sz w:val="24"/>
          <w:szCs w:val="24"/>
          <w:highlight w:val="none"/>
        </w:rPr>
        <w:t>根据贵方</w:t>
      </w:r>
      <w:r>
        <w:rPr>
          <w:rFonts w:hAnsi="宋体"/>
          <w:color w:val="auto"/>
          <w:sz w:val="24"/>
          <w:szCs w:val="24"/>
          <w:highlight w:val="none"/>
          <w:u w:val="single"/>
        </w:rPr>
        <w:t xml:space="preserve">  XXXX     </w:t>
      </w:r>
      <w:r>
        <w:rPr>
          <w:rFonts w:hAnsi="宋体"/>
          <w:color w:val="auto"/>
          <w:sz w:val="24"/>
          <w:szCs w:val="24"/>
          <w:highlight w:val="none"/>
        </w:rPr>
        <w:t>项目，</w:t>
      </w:r>
      <w:r>
        <w:rPr>
          <w:rFonts w:hint="eastAsia" w:hAnsi="宋体"/>
          <w:color w:val="auto"/>
          <w:sz w:val="24"/>
          <w:szCs w:val="24"/>
          <w:highlight w:val="none"/>
        </w:rPr>
        <w:t>项目</w:t>
      </w:r>
      <w:r>
        <w:rPr>
          <w:rFonts w:hAnsi="宋体"/>
          <w:color w:val="auto"/>
          <w:sz w:val="24"/>
          <w:szCs w:val="24"/>
          <w:highlight w:val="none"/>
        </w:rPr>
        <w:t>编号为</w:t>
      </w:r>
      <w:r>
        <w:rPr>
          <w:rFonts w:hAnsi="宋体"/>
          <w:color w:val="auto"/>
          <w:sz w:val="24"/>
          <w:szCs w:val="24"/>
          <w:highlight w:val="none"/>
          <w:u w:val="single"/>
        </w:rPr>
        <w:t xml:space="preserve">   XXXX     </w:t>
      </w:r>
      <w:r>
        <w:rPr>
          <w:rFonts w:hAnsi="宋体"/>
          <w:color w:val="auto"/>
          <w:sz w:val="24"/>
          <w:szCs w:val="24"/>
          <w:highlight w:val="none"/>
        </w:rPr>
        <w:t>的磋商邀请，正式授权的下述签字人</w:t>
      </w:r>
      <w:r>
        <w:rPr>
          <w:rFonts w:hAnsi="宋体"/>
          <w:color w:val="auto"/>
          <w:sz w:val="24"/>
          <w:szCs w:val="24"/>
          <w:highlight w:val="none"/>
          <w:u w:val="single"/>
        </w:rPr>
        <w:t xml:space="preserve">  XXXX   </w:t>
      </w:r>
      <w:r>
        <w:rPr>
          <w:rFonts w:hAnsi="宋体"/>
          <w:color w:val="auto"/>
          <w:sz w:val="24"/>
          <w:szCs w:val="24"/>
          <w:highlight w:val="none"/>
        </w:rPr>
        <w:t xml:space="preserve"> (姓名和职务)代表供应商</w:t>
      </w:r>
      <w:r>
        <w:rPr>
          <w:rFonts w:hAnsi="宋体"/>
          <w:color w:val="auto"/>
          <w:sz w:val="24"/>
          <w:szCs w:val="24"/>
          <w:highlight w:val="none"/>
          <w:u w:val="single"/>
        </w:rPr>
        <w:t xml:space="preserve">XXXX </w:t>
      </w:r>
      <w:r>
        <w:rPr>
          <w:rFonts w:hAnsi="宋体"/>
          <w:color w:val="auto"/>
          <w:sz w:val="24"/>
          <w:szCs w:val="24"/>
          <w:highlight w:val="none"/>
        </w:rPr>
        <w:t xml:space="preserve"> (供应商的名称)，提交</w:t>
      </w:r>
      <w:r>
        <w:rPr>
          <w:rFonts w:hint="eastAsia" w:hAnsi="宋体"/>
          <w:color w:val="auto"/>
          <w:sz w:val="24"/>
          <w:szCs w:val="24"/>
          <w:highlight w:val="none"/>
        </w:rPr>
        <w:t>响应</w:t>
      </w:r>
      <w:r>
        <w:rPr>
          <w:rFonts w:hAnsi="宋体"/>
          <w:color w:val="auto"/>
          <w:sz w:val="24"/>
          <w:szCs w:val="24"/>
          <w:highlight w:val="none"/>
        </w:rPr>
        <w:t>文件正本1份，副本</w:t>
      </w:r>
      <w:r>
        <w:rPr>
          <w:rFonts w:hint="eastAsia" w:hAnsi="宋体"/>
          <w:color w:val="auto"/>
          <w:sz w:val="24"/>
          <w:szCs w:val="24"/>
          <w:highlight w:val="none"/>
          <w:u w:val="single"/>
        </w:rPr>
        <w:t>XX</w:t>
      </w:r>
      <w:r>
        <w:rPr>
          <w:rFonts w:hAnsi="宋体"/>
          <w:color w:val="auto"/>
          <w:sz w:val="24"/>
          <w:szCs w:val="24"/>
          <w:highlight w:val="none"/>
        </w:rPr>
        <w:t>份</w:t>
      </w:r>
      <w:r>
        <w:rPr>
          <w:rFonts w:hint="eastAsia" w:hAnsi="宋体"/>
          <w:color w:val="auto"/>
          <w:sz w:val="24"/>
          <w:szCs w:val="24"/>
          <w:highlight w:val="none"/>
        </w:rPr>
        <w:t>，电子文档</w:t>
      </w:r>
      <w:r>
        <w:rPr>
          <w:rFonts w:hint="eastAsia" w:hAnsi="宋体"/>
          <w:color w:val="auto"/>
          <w:sz w:val="24"/>
          <w:szCs w:val="24"/>
          <w:highlight w:val="none"/>
          <w:u w:val="single"/>
        </w:rPr>
        <w:t xml:space="preserve">  XX  </w:t>
      </w:r>
      <w:r>
        <w:rPr>
          <w:rFonts w:hint="eastAsia" w:hAnsi="宋体"/>
          <w:color w:val="auto"/>
          <w:sz w:val="24"/>
          <w:szCs w:val="24"/>
          <w:highlight w:val="none"/>
        </w:rPr>
        <w:t>份</w:t>
      </w:r>
      <w:r>
        <w:rPr>
          <w:rFonts w:hAnsi="宋体"/>
          <w:color w:val="auto"/>
          <w:sz w:val="24"/>
          <w:szCs w:val="24"/>
          <w:highlight w:val="none"/>
        </w:rPr>
        <w:t>。</w:t>
      </w:r>
    </w:p>
    <w:p>
      <w:pPr>
        <w:autoSpaceDE w:val="0"/>
        <w:autoSpaceDN w:val="0"/>
        <w:snapToGrid w:val="0"/>
        <w:spacing w:line="480" w:lineRule="exact"/>
        <w:ind w:firstLine="571" w:firstLineChars="238"/>
        <w:rPr>
          <w:rFonts w:hAnsi="宋体"/>
          <w:color w:val="auto"/>
          <w:sz w:val="24"/>
          <w:szCs w:val="24"/>
          <w:highlight w:val="none"/>
        </w:rPr>
      </w:pPr>
      <w:r>
        <w:rPr>
          <w:rFonts w:hAnsi="宋体"/>
          <w:color w:val="auto"/>
          <w:sz w:val="24"/>
          <w:szCs w:val="24"/>
          <w:highlight w:val="none"/>
        </w:rPr>
        <w:t>据此函，签字人兹宣布同意如下：</w:t>
      </w:r>
    </w:p>
    <w:p>
      <w:pPr>
        <w:autoSpaceDE w:val="0"/>
        <w:autoSpaceDN w:val="0"/>
        <w:snapToGrid w:val="0"/>
        <w:spacing w:line="480" w:lineRule="exact"/>
        <w:ind w:left="398" w:hanging="398" w:hangingChars="166"/>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1</w:t>
      </w:r>
      <w:r>
        <w:rPr>
          <w:rFonts w:hAnsi="宋体"/>
          <w:color w:val="auto"/>
          <w:sz w:val="24"/>
          <w:szCs w:val="24"/>
          <w:highlight w:val="none"/>
        </w:rPr>
        <w:t>) 我们根据磋商文件的规定，承担完成合同的责任和义务。</w:t>
      </w:r>
    </w:p>
    <w:p>
      <w:pPr>
        <w:autoSpaceDE w:val="0"/>
        <w:autoSpaceDN w:val="0"/>
        <w:snapToGrid w:val="0"/>
        <w:spacing w:line="480" w:lineRule="exact"/>
        <w:ind w:left="398" w:hanging="398" w:hangingChars="166"/>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2</w:t>
      </w:r>
      <w:r>
        <w:rPr>
          <w:rFonts w:hAnsi="宋体"/>
          <w:color w:val="auto"/>
          <w:sz w:val="24"/>
          <w:szCs w:val="24"/>
          <w:highlight w:val="none"/>
        </w:rPr>
        <w:t>) 我们已详细审核全部磋商文件，包括磋商文件修改书(如果有的话)，参考资料及有关附件，我们完全理解并放弃提出含糊不清或误解的问题的权利。</w:t>
      </w:r>
    </w:p>
    <w:p>
      <w:pPr>
        <w:snapToGrid w:val="0"/>
        <w:spacing w:line="480" w:lineRule="exact"/>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3</w:t>
      </w:r>
      <w:r>
        <w:rPr>
          <w:rFonts w:hAnsi="宋体"/>
          <w:color w:val="auto"/>
          <w:sz w:val="24"/>
          <w:szCs w:val="24"/>
          <w:highlight w:val="none"/>
        </w:rPr>
        <w:t>) 本报价有效期为</w:t>
      </w:r>
      <w:r>
        <w:rPr>
          <w:rFonts w:hint="eastAsia" w:hAnsi="宋体"/>
          <w:color w:val="auto"/>
          <w:sz w:val="24"/>
          <w:szCs w:val="24"/>
          <w:highlight w:val="none"/>
        </w:rPr>
        <w:t>递交磋商响应文件截止之日起90天，</w:t>
      </w:r>
      <w:r>
        <w:rPr>
          <w:rFonts w:hAnsi="宋体"/>
          <w:color w:val="auto"/>
          <w:sz w:val="24"/>
          <w:szCs w:val="24"/>
          <w:highlight w:val="none"/>
        </w:rPr>
        <w:t>报价有效期满之前均具有约束力。</w:t>
      </w:r>
    </w:p>
    <w:p>
      <w:pPr>
        <w:autoSpaceDE w:val="0"/>
        <w:autoSpaceDN w:val="0"/>
        <w:snapToGrid w:val="0"/>
        <w:spacing w:line="480" w:lineRule="exact"/>
        <w:ind w:left="398" w:hanging="398" w:hangingChars="166"/>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4</w:t>
      </w:r>
      <w:r>
        <w:rPr>
          <w:rFonts w:hAnsi="宋体"/>
          <w:color w:val="auto"/>
          <w:sz w:val="24"/>
          <w:szCs w:val="24"/>
          <w:highlight w:val="none"/>
        </w:rPr>
        <w:t>) 同意向贵方提供贵方可能要求的与本报价有关任何证据或资料。</w:t>
      </w:r>
    </w:p>
    <w:p>
      <w:pPr>
        <w:autoSpaceDE w:val="0"/>
        <w:autoSpaceDN w:val="0"/>
        <w:snapToGrid w:val="0"/>
        <w:spacing w:line="480" w:lineRule="exact"/>
        <w:ind w:left="398" w:hanging="398" w:hangingChars="166"/>
        <w:rPr>
          <w:rFonts w:hAnsi="宋体"/>
          <w:color w:val="auto"/>
          <w:sz w:val="24"/>
          <w:szCs w:val="24"/>
          <w:highlight w:val="none"/>
        </w:rPr>
      </w:pPr>
      <w:r>
        <w:rPr>
          <w:rFonts w:hAnsi="宋体"/>
          <w:color w:val="auto"/>
          <w:sz w:val="24"/>
          <w:szCs w:val="24"/>
          <w:highlight w:val="none"/>
        </w:rPr>
        <w:t>(</w:t>
      </w:r>
      <w:r>
        <w:rPr>
          <w:rFonts w:hint="eastAsia" w:hAnsi="宋体"/>
          <w:color w:val="auto"/>
          <w:sz w:val="24"/>
          <w:szCs w:val="24"/>
          <w:highlight w:val="none"/>
        </w:rPr>
        <w:t>5</w:t>
      </w:r>
      <w:r>
        <w:rPr>
          <w:rFonts w:hAnsi="宋体"/>
          <w:color w:val="auto"/>
          <w:sz w:val="24"/>
          <w:szCs w:val="24"/>
          <w:highlight w:val="none"/>
        </w:rPr>
        <w:t>) 我们完全理解贵方不一定要接受最低报价的报价或收到的任何报价。</w:t>
      </w:r>
    </w:p>
    <w:p>
      <w:pPr>
        <w:autoSpaceDE w:val="0"/>
        <w:autoSpaceDN w:val="0"/>
        <w:snapToGrid w:val="0"/>
        <w:spacing w:line="460" w:lineRule="exact"/>
        <w:ind w:left="398" w:hanging="398" w:hangingChars="166"/>
        <w:rPr>
          <w:rFonts w:hAnsi="宋体"/>
          <w:color w:val="auto"/>
          <w:sz w:val="24"/>
          <w:szCs w:val="24"/>
          <w:highlight w:val="none"/>
        </w:rPr>
      </w:pPr>
      <w:r>
        <w:rPr>
          <w:rFonts w:hAnsi="宋体"/>
          <w:color w:val="auto"/>
          <w:sz w:val="24"/>
          <w:szCs w:val="24"/>
          <w:highlight w:val="none"/>
        </w:rPr>
        <w:t>与本报价有关的正式通讯地址为：</w:t>
      </w:r>
    </w:p>
    <w:p>
      <w:pPr>
        <w:autoSpaceDE w:val="0"/>
        <w:autoSpaceDN w:val="0"/>
        <w:snapToGrid w:val="0"/>
        <w:spacing w:line="460" w:lineRule="exact"/>
        <w:ind w:firstLine="960" w:firstLineChars="400"/>
        <w:rPr>
          <w:rFonts w:hAnsi="宋体"/>
          <w:color w:val="auto"/>
          <w:sz w:val="24"/>
          <w:szCs w:val="24"/>
          <w:highlight w:val="none"/>
          <w:u w:val="single"/>
        </w:rPr>
      </w:pPr>
      <w:r>
        <w:rPr>
          <w:rFonts w:hAnsi="宋体"/>
          <w:color w:val="auto"/>
          <w:sz w:val="24"/>
          <w:szCs w:val="24"/>
          <w:highlight w:val="none"/>
        </w:rPr>
        <w:t>供应商名称：</w:t>
      </w:r>
    </w:p>
    <w:p>
      <w:pPr>
        <w:autoSpaceDE w:val="0"/>
        <w:autoSpaceDN w:val="0"/>
        <w:snapToGrid w:val="0"/>
        <w:spacing w:line="460" w:lineRule="exact"/>
        <w:ind w:firstLine="960" w:firstLineChars="400"/>
        <w:rPr>
          <w:rFonts w:hAnsi="宋体"/>
          <w:color w:val="auto"/>
          <w:sz w:val="24"/>
          <w:szCs w:val="24"/>
          <w:highlight w:val="none"/>
          <w:u w:val="single"/>
        </w:rPr>
      </w:pPr>
      <w:r>
        <w:rPr>
          <w:rFonts w:hAnsi="宋体"/>
          <w:color w:val="auto"/>
          <w:sz w:val="24"/>
          <w:szCs w:val="24"/>
          <w:highlight w:val="none"/>
        </w:rPr>
        <w:t>地址：</w:t>
      </w:r>
    </w:p>
    <w:p>
      <w:pPr>
        <w:autoSpaceDE w:val="0"/>
        <w:autoSpaceDN w:val="0"/>
        <w:snapToGrid w:val="0"/>
        <w:spacing w:line="460" w:lineRule="exact"/>
        <w:ind w:firstLine="955" w:firstLineChars="398"/>
        <w:rPr>
          <w:rFonts w:hAnsi="宋体"/>
          <w:color w:val="auto"/>
          <w:sz w:val="24"/>
          <w:szCs w:val="24"/>
          <w:highlight w:val="none"/>
        </w:rPr>
      </w:pPr>
      <w:r>
        <w:rPr>
          <w:rFonts w:hAnsi="宋体"/>
          <w:color w:val="auto"/>
          <w:sz w:val="24"/>
          <w:szCs w:val="24"/>
          <w:highlight w:val="none"/>
        </w:rPr>
        <w:t>电话：</w:t>
      </w:r>
    </w:p>
    <w:p>
      <w:pPr>
        <w:autoSpaceDE w:val="0"/>
        <w:autoSpaceDN w:val="0"/>
        <w:snapToGrid w:val="0"/>
        <w:spacing w:line="460" w:lineRule="exact"/>
        <w:ind w:firstLine="960" w:firstLineChars="400"/>
        <w:rPr>
          <w:rFonts w:hAnsi="宋体"/>
          <w:color w:val="auto"/>
          <w:sz w:val="24"/>
          <w:szCs w:val="24"/>
          <w:highlight w:val="none"/>
        </w:rPr>
      </w:pPr>
      <w:r>
        <w:rPr>
          <w:rFonts w:hAnsi="宋体"/>
          <w:color w:val="auto"/>
          <w:sz w:val="24"/>
          <w:szCs w:val="24"/>
          <w:highlight w:val="none"/>
        </w:rPr>
        <w:t xml:space="preserve">传真：              </w:t>
      </w:r>
    </w:p>
    <w:p>
      <w:pPr>
        <w:autoSpaceDE w:val="0"/>
        <w:autoSpaceDN w:val="0"/>
        <w:snapToGrid w:val="0"/>
        <w:spacing w:line="460" w:lineRule="exact"/>
        <w:ind w:firstLine="960" w:firstLineChars="400"/>
        <w:rPr>
          <w:rFonts w:hAnsi="宋体"/>
          <w:color w:val="auto"/>
          <w:sz w:val="24"/>
          <w:szCs w:val="24"/>
          <w:highlight w:val="none"/>
        </w:rPr>
      </w:pPr>
      <w:r>
        <w:rPr>
          <w:rFonts w:hAnsi="宋体"/>
          <w:color w:val="auto"/>
          <w:sz w:val="24"/>
          <w:szCs w:val="24"/>
          <w:highlight w:val="none"/>
        </w:rPr>
        <w:t xml:space="preserve">邮政编码：                           </w:t>
      </w:r>
    </w:p>
    <w:p>
      <w:pPr>
        <w:autoSpaceDE w:val="0"/>
        <w:autoSpaceDN w:val="0"/>
        <w:snapToGrid w:val="0"/>
        <w:spacing w:line="460" w:lineRule="exact"/>
        <w:ind w:firstLine="960" w:firstLineChars="400"/>
        <w:rPr>
          <w:rFonts w:hAnsi="宋体"/>
          <w:color w:val="auto"/>
          <w:sz w:val="24"/>
          <w:szCs w:val="24"/>
          <w:highlight w:val="none"/>
        </w:rPr>
      </w:pPr>
      <w:r>
        <w:rPr>
          <w:rFonts w:hint="eastAsia" w:hAnsi="宋体"/>
          <w:color w:val="auto"/>
          <w:sz w:val="24"/>
          <w:szCs w:val="24"/>
          <w:highlight w:val="none"/>
        </w:rPr>
        <w:t>法定代表人/单位负责人或授权代表（签名或加盖个人名章）</w:t>
      </w:r>
      <w:r>
        <w:rPr>
          <w:rFonts w:hAnsi="宋体"/>
          <w:color w:val="auto"/>
          <w:sz w:val="24"/>
          <w:szCs w:val="24"/>
          <w:highlight w:val="none"/>
        </w:rPr>
        <w:t xml:space="preserve">：       </w:t>
      </w:r>
    </w:p>
    <w:p>
      <w:pPr>
        <w:autoSpaceDE w:val="0"/>
        <w:autoSpaceDN w:val="0"/>
        <w:snapToGrid w:val="0"/>
        <w:spacing w:line="460" w:lineRule="exact"/>
        <w:ind w:firstLine="955" w:firstLineChars="398"/>
        <w:rPr>
          <w:rFonts w:hAnsi="宋体"/>
          <w:color w:val="auto"/>
          <w:sz w:val="24"/>
          <w:szCs w:val="24"/>
          <w:highlight w:val="none"/>
          <w:u w:val="single"/>
        </w:rPr>
      </w:pPr>
      <w:r>
        <w:rPr>
          <w:rFonts w:hAnsi="宋体"/>
          <w:color w:val="auto"/>
          <w:sz w:val="24"/>
          <w:szCs w:val="24"/>
          <w:highlight w:val="none"/>
        </w:rPr>
        <w:t>公章：</w:t>
      </w:r>
    </w:p>
    <w:p>
      <w:pPr>
        <w:autoSpaceDE w:val="0"/>
        <w:autoSpaceDN w:val="0"/>
        <w:snapToGrid w:val="0"/>
        <w:spacing w:line="460" w:lineRule="exact"/>
        <w:ind w:firstLine="955" w:firstLineChars="398"/>
        <w:rPr>
          <w:rFonts w:hAnsi="宋体"/>
          <w:color w:val="auto"/>
          <w:sz w:val="24"/>
          <w:szCs w:val="24"/>
          <w:highlight w:val="none"/>
          <w:u w:val="single"/>
        </w:rPr>
      </w:pPr>
      <w:r>
        <w:rPr>
          <w:rFonts w:hAnsi="宋体"/>
          <w:color w:val="auto"/>
          <w:sz w:val="24"/>
          <w:szCs w:val="24"/>
          <w:highlight w:val="none"/>
        </w:rPr>
        <w:t>日期：</w:t>
      </w:r>
      <w:r>
        <w:rPr>
          <w:rFonts w:hAnsi="宋体"/>
          <w:color w:val="auto"/>
          <w:sz w:val="24"/>
          <w:szCs w:val="24"/>
          <w:highlight w:val="none"/>
          <w:u w:val="single"/>
        </w:rPr>
        <w:t xml:space="preserve">        年      月      日      </w:t>
      </w:r>
    </w:p>
    <w:p>
      <w:pPr>
        <w:pStyle w:val="2"/>
        <w:rPr>
          <w:color w:val="auto"/>
          <w:highlight w:val="none"/>
        </w:rPr>
      </w:pPr>
    </w:p>
    <w:p>
      <w:pPr>
        <w:pStyle w:val="32"/>
        <w:rPr>
          <w:color w:val="auto"/>
          <w:highlight w:val="none"/>
        </w:rPr>
      </w:pPr>
    </w:p>
    <w:p>
      <w:pPr>
        <w:rPr>
          <w:color w:val="auto"/>
          <w:highlight w:val="none"/>
        </w:rPr>
      </w:pPr>
    </w:p>
    <w:p>
      <w:pPr>
        <w:pStyle w:val="2"/>
        <w:rPr>
          <w:color w:val="auto"/>
          <w:highlight w:val="none"/>
        </w:rPr>
      </w:pP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br w:type="page"/>
      </w:r>
      <w:r>
        <w:rPr>
          <w:rFonts w:hint="eastAsia" w:hAnsi="宋体"/>
          <w:b/>
          <w:color w:val="auto"/>
          <w:sz w:val="30"/>
          <w:szCs w:val="30"/>
          <w:highlight w:val="none"/>
        </w:rPr>
        <w:t>二</w:t>
      </w:r>
      <w:r>
        <w:rPr>
          <w:rFonts w:hAnsi="宋体"/>
          <w:b/>
          <w:color w:val="auto"/>
          <w:sz w:val="30"/>
          <w:szCs w:val="30"/>
          <w:highlight w:val="none"/>
        </w:rPr>
        <w:t>、</w:t>
      </w:r>
      <w:r>
        <w:rPr>
          <w:rFonts w:hint="eastAsia" w:hAnsi="宋体"/>
          <w:b/>
          <w:color w:val="auto"/>
          <w:sz w:val="30"/>
          <w:szCs w:val="30"/>
          <w:highlight w:val="none"/>
        </w:rPr>
        <w:t>响应产品品牌型号</w:t>
      </w:r>
    </w:p>
    <w:p>
      <w:pPr>
        <w:spacing w:after="120"/>
        <w:rPr>
          <w:rFonts w:hAnsi="宋体" w:cs="宋体"/>
          <w:b/>
          <w:color w:val="auto"/>
          <w:kern w:val="2"/>
          <w:sz w:val="24"/>
          <w:szCs w:val="24"/>
          <w:highlight w:val="none"/>
        </w:rPr>
      </w:pPr>
      <w:r>
        <w:rPr>
          <w:rFonts w:hint="eastAsia" w:hAnsi="宋体" w:cs="宋体"/>
          <w:b/>
          <w:color w:val="auto"/>
          <w:kern w:val="2"/>
          <w:sz w:val="24"/>
          <w:szCs w:val="24"/>
          <w:highlight w:val="none"/>
        </w:rPr>
        <w:t>供应商名称：                                  项目编号：</w:t>
      </w:r>
    </w:p>
    <w:tbl>
      <w:tblPr>
        <w:tblStyle w:val="44"/>
        <w:tblW w:w="88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6"/>
        <w:gridCol w:w="3541"/>
        <w:gridCol w:w="1170"/>
        <w:gridCol w:w="2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6" w:type="dxa"/>
            <w:vAlign w:val="center"/>
          </w:tcPr>
          <w:p>
            <w:pPr>
              <w:jc w:val="center"/>
              <w:rPr>
                <w:rFonts w:hAnsi="宋体"/>
                <w:color w:val="auto"/>
                <w:sz w:val="24"/>
                <w:szCs w:val="24"/>
                <w:highlight w:val="none"/>
              </w:rPr>
            </w:pPr>
            <w:r>
              <w:rPr>
                <w:rFonts w:hint="eastAsia" w:hAnsi="宋体"/>
                <w:color w:val="auto"/>
                <w:sz w:val="24"/>
                <w:szCs w:val="24"/>
                <w:highlight w:val="none"/>
              </w:rPr>
              <w:t>序号</w:t>
            </w:r>
          </w:p>
        </w:tc>
        <w:tc>
          <w:tcPr>
            <w:tcW w:w="3541" w:type="dxa"/>
            <w:vAlign w:val="center"/>
          </w:tcPr>
          <w:p>
            <w:pPr>
              <w:jc w:val="center"/>
              <w:rPr>
                <w:rFonts w:hAnsi="宋体"/>
                <w:color w:val="auto"/>
                <w:sz w:val="24"/>
                <w:szCs w:val="24"/>
                <w:highlight w:val="none"/>
              </w:rPr>
            </w:pPr>
            <w:r>
              <w:rPr>
                <w:rFonts w:hint="eastAsia" w:hAnsi="宋体"/>
                <w:color w:val="auto"/>
                <w:sz w:val="24"/>
                <w:szCs w:val="24"/>
                <w:highlight w:val="none"/>
              </w:rPr>
              <w:t>产品名称</w:t>
            </w:r>
          </w:p>
        </w:tc>
        <w:tc>
          <w:tcPr>
            <w:tcW w:w="1170" w:type="dxa"/>
            <w:vAlign w:val="center"/>
          </w:tcPr>
          <w:p>
            <w:pPr>
              <w:jc w:val="center"/>
              <w:rPr>
                <w:rFonts w:hAnsi="宋体"/>
                <w:color w:val="auto"/>
                <w:sz w:val="24"/>
                <w:szCs w:val="24"/>
                <w:highlight w:val="none"/>
              </w:rPr>
            </w:pPr>
            <w:r>
              <w:rPr>
                <w:rFonts w:hint="eastAsia" w:hAnsi="宋体"/>
                <w:color w:val="auto"/>
                <w:sz w:val="24"/>
                <w:szCs w:val="24"/>
                <w:highlight w:val="none"/>
              </w:rPr>
              <w:t>规格</w:t>
            </w:r>
          </w:p>
        </w:tc>
        <w:tc>
          <w:tcPr>
            <w:tcW w:w="2940" w:type="dxa"/>
            <w:vAlign w:val="center"/>
          </w:tcPr>
          <w:p>
            <w:pPr>
              <w:jc w:val="center"/>
              <w:rPr>
                <w:rFonts w:hAnsi="宋体"/>
                <w:color w:val="auto"/>
                <w:sz w:val="24"/>
                <w:szCs w:val="24"/>
                <w:highlight w:val="none"/>
              </w:rPr>
            </w:pPr>
            <w:r>
              <w:rPr>
                <w:rFonts w:hint="eastAsia" w:hAnsi="宋体"/>
                <w:color w:val="auto"/>
                <w:sz w:val="24"/>
                <w:szCs w:val="24"/>
                <w:highlight w:val="none"/>
              </w:rPr>
              <w:t>品牌型号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6" w:type="dxa"/>
            <w:vAlign w:val="center"/>
          </w:tcPr>
          <w:p>
            <w:pPr>
              <w:spacing w:after="120"/>
              <w:jc w:val="center"/>
              <w:rPr>
                <w:rFonts w:hAnsi="宋体" w:cs="宋体"/>
                <w:color w:val="auto"/>
                <w:sz w:val="21"/>
                <w:highlight w:val="none"/>
              </w:rPr>
            </w:pPr>
          </w:p>
        </w:tc>
        <w:tc>
          <w:tcPr>
            <w:tcW w:w="3541" w:type="dxa"/>
            <w:vAlign w:val="center"/>
          </w:tcPr>
          <w:p>
            <w:pPr>
              <w:spacing w:after="120"/>
              <w:jc w:val="center"/>
              <w:rPr>
                <w:rFonts w:hAnsi="宋体" w:cs="宋体"/>
                <w:color w:val="auto"/>
                <w:sz w:val="21"/>
                <w:highlight w:val="none"/>
              </w:rPr>
            </w:pPr>
          </w:p>
        </w:tc>
        <w:tc>
          <w:tcPr>
            <w:tcW w:w="1170" w:type="dxa"/>
            <w:vAlign w:val="center"/>
          </w:tcPr>
          <w:p>
            <w:pPr>
              <w:spacing w:after="120"/>
              <w:jc w:val="center"/>
              <w:rPr>
                <w:rFonts w:hAnsi="宋体" w:cs="宋体"/>
                <w:color w:val="auto"/>
                <w:sz w:val="21"/>
                <w:highlight w:val="none"/>
              </w:rPr>
            </w:pPr>
          </w:p>
        </w:tc>
        <w:tc>
          <w:tcPr>
            <w:tcW w:w="2940" w:type="dxa"/>
            <w:vAlign w:val="center"/>
          </w:tcPr>
          <w:p>
            <w:pPr>
              <w:spacing w:after="120"/>
              <w:jc w:val="center"/>
              <w:rPr>
                <w:rFonts w:hAnsi="宋体" w:cs="宋体"/>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6" w:type="dxa"/>
            <w:vAlign w:val="center"/>
          </w:tcPr>
          <w:p>
            <w:pPr>
              <w:spacing w:after="120"/>
              <w:jc w:val="center"/>
              <w:rPr>
                <w:rFonts w:hAnsi="宋体" w:cs="宋体"/>
                <w:color w:val="auto"/>
                <w:sz w:val="21"/>
                <w:highlight w:val="none"/>
              </w:rPr>
            </w:pPr>
          </w:p>
        </w:tc>
        <w:tc>
          <w:tcPr>
            <w:tcW w:w="3541" w:type="dxa"/>
            <w:vAlign w:val="center"/>
          </w:tcPr>
          <w:p>
            <w:pPr>
              <w:spacing w:after="120"/>
              <w:jc w:val="center"/>
              <w:rPr>
                <w:rFonts w:hAnsi="宋体" w:cs="宋体"/>
                <w:color w:val="auto"/>
                <w:sz w:val="21"/>
                <w:highlight w:val="none"/>
              </w:rPr>
            </w:pPr>
          </w:p>
        </w:tc>
        <w:tc>
          <w:tcPr>
            <w:tcW w:w="1170" w:type="dxa"/>
            <w:vAlign w:val="center"/>
          </w:tcPr>
          <w:p>
            <w:pPr>
              <w:spacing w:after="120"/>
              <w:jc w:val="center"/>
              <w:rPr>
                <w:rFonts w:hAnsi="宋体" w:cs="宋体"/>
                <w:color w:val="auto"/>
                <w:sz w:val="21"/>
                <w:highlight w:val="none"/>
              </w:rPr>
            </w:pPr>
          </w:p>
        </w:tc>
        <w:tc>
          <w:tcPr>
            <w:tcW w:w="2940" w:type="dxa"/>
            <w:vAlign w:val="center"/>
          </w:tcPr>
          <w:p>
            <w:pPr>
              <w:spacing w:after="120"/>
              <w:jc w:val="center"/>
              <w:rPr>
                <w:rFonts w:hAnsi="宋体" w:cs="宋体"/>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226" w:type="dxa"/>
            <w:vAlign w:val="center"/>
          </w:tcPr>
          <w:p>
            <w:pPr>
              <w:spacing w:after="120"/>
              <w:jc w:val="center"/>
              <w:rPr>
                <w:rFonts w:hAnsi="宋体" w:cs="宋体"/>
                <w:color w:val="auto"/>
                <w:sz w:val="21"/>
                <w:highlight w:val="none"/>
              </w:rPr>
            </w:pPr>
          </w:p>
        </w:tc>
        <w:tc>
          <w:tcPr>
            <w:tcW w:w="3541" w:type="dxa"/>
            <w:vAlign w:val="center"/>
          </w:tcPr>
          <w:p>
            <w:pPr>
              <w:spacing w:after="120"/>
              <w:jc w:val="center"/>
              <w:rPr>
                <w:rFonts w:hAnsi="宋体" w:cs="宋体"/>
                <w:color w:val="auto"/>
                <w:sz w:val="21"/>
                <w:highlight w:val="none"/>
              </w:rPr>
            </w:pPr>
          </w:p>
        </w:tc>
        <w:tc>
          <w:tcPr>
            <w:tcW w:w="1170" w:type="dxa"/>
            <w:vAlign w:val="center"/>
          </w:tcPr>
          <w:p>
            <w:pPr>
              <w:spacing w:after="120"/>
              <w:jc w:val="center"/>
              <w:rPr>
                <w:rFonts w:hAnsi="宋体" w:cs="宋体"/>
                <w:color w:val="auto"/>
                <w:sz w:val="21"/>
                <w:highlight w:val="none"/>
              </w:rPr>
            </w:pPr>
          </w:p>
        </w:tc>
        <w:tc>
          <w:tcPr>
            <w:tcW w:w="2940" w:type="dxa"/>
            <w:vAlign w:val="center"/>
          </w:tcPr>
          <w:p>
            <w:pPr>
              <w:spacing w:after="120"/>
              <w:jc w:val="center"/>
              <w:rPr>
                <w:rFonts w:hAnsi="宋体" w:cs="宋体"/>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6" w:type="dxa"/>
            <w:vAlign w:val="center"/>
          </w:tcPr>
          <w:p>
            <w:pPr>
              <w:spacing w:after="120"/>
              <w:jc w:val="center"/>
              <w:rPr>
                <w:rFonts w:hAnsi="宋体" w:cs="宋体"/>
                <w:color w:val="auto"/>
                <w:sz w:val="21"/>
                <w:highlight w:val="none"/>
              </w:rPr>
            </w:pPr>
          </w:p>
        </w:tc>
        <w:tc>
          <w:tcPr>
            <w:tcW w:w="3541" w:type="dxa"/>
            <w:vAlign w:val="center"/>
          </w:tcPr>
          <w:p>
            <w:pPr>
              <w:spacing w:after="120"/>
              <w:jc w:val="center"/>
              <w:rPr>
                <w:rFonts w:hAnsi="宋体" w:cs="宋体"/>
                <w:color w:val="auto"/>
                <w:sz w:val="21"/>
                <w:highlight w:val="none"/>
              </w:rPr>
            </w:pPr>
          </w:p>
        </w:tc>
        <w:tc>
          <w:tcPr>
            <w:tcW w:w="1170" w:type="dxa"/>
            <w:vAlign w:val="center"/>
          </w:tcPr>
          <w:p>
            <w:pPr>
              <w:spacing w:after="120"/>
              <w:jc w:val="center"/>
              <w:rPr>
                <w:rFonts w:hAnsi="宋体" w:cs="宋体"/>
                <w:color w:val="auto"/>
                <w:sz w:val="21"/>
                <w:highlight w:val="none"/>
              </w:rPr>
            </w:pPr>
          </w:p>
        </w:tc>
        <w:tc>
          <w:tcPr>
            <w:tcW w:w="2940" w:type="dxa"/>
            <w:vAlign w:val="center"/>
          </w:tcPr>
          <w:p>
            <w:pPr>
              <w:spacing w:after="120"/>
              <w:jc w:val="center"/>
              <w:rPr>
                <w:rFonts w:hAnsi="宋体" w:cs="宋体"/>
                <w:color w:val="auto"/>
                <w:sz w:val="21"/>
                <w:highlight w:val="none"/>
              </w:rPr>
            </w:pPr>
          </w:p>
        </w:tc>
      </w:tr>
    </w:tbl>
    <w:p>
      <w:pPr>
        <w:spacing w:after="120"/>
        <w:rPr>
          <w:rFonts w:hAnsi="宋体" w:cs="宋体"/>
          <w:color w:val="auto"/>
          <w:kern w:val="2"/>
          <w:sz w:val="21"/>
          <w:szCs w:val="22"/>
          <w:highlight w:val="none"/>
        </w:rPr>
      </w:pPr>
    </w:p>
    <w:p>
      <w:pPr>
        <w:pStyle w:val="23"/>
        <w:spacing w:line="360" w:lineRule="exact"/>
        <w:rPr>
          <w:rFonts w:hint="default" w:hAnsi="宋体"/>
          <w:b/>
          <w:color w:val="auto"/>
          <w:spacing w:val="-4"/>
          <w:highlight w:val="none"/>
        </w:rPr>
      </w:pPr>
    </w:p>
    <w:p>
      <w:pPr>
        <w:pStyle w:val="23"/>
        <w:spacing w:line="360" w:lineRule="exact"/>
        <w:rPr>
          <w:rFonts w:hint="default" w:hAnsi="宋体"/>
          <w:b/>
          <w:color w:val="auto"/>
          <w:spacing w:val="-4"/>
          <w:highlight w:val="none"/>
        </w:rPr>
      </w:pPr>
    </w:p>
    <w:p>
      <w:pPr>
        <w:spacing w:line="400" w:lineRule="exact"/>
        <w:ind w:firstLine="420" w:firstLineChars="175"/>
        <w:rPr>
          <w:rFonts w:hAnsi="宋体"/>
          <w:color w:val="auto"/>
          <w:sz w:val="24"/>
          <w:szCs w:val="24"/>
          <w:highlight w:val="none"/>
        </w:rPr>
      </w:pPr>
      <w:r>
        <w:rPr>
          <w:rFonts w:hAnsi="宋体"/>
          <w:color w:val="auto"/>
          <w:sz w:val="24"/>
          <w:szCs w:val="24"/>
          <w:highlight w:val="none"/>
        </w:rPr>
        <w:t>供应商名称：         （盖章）</w:t>
      </w:r>
    </w:p>
    <w:p>
      <w:pPr>
        <w:spacing w:line="400" w:lineRule="exact"/>
        <w:ind w:firstLine="420" w:firstLineChars="175"/>
        <w:rPr>
          <w:rFonts w:hAnsi="宋体"/>
          <w:bCs/>
          <w:color w:val="auto"/>
          <w:sz w:val="24"/>
          <w:szCs w:val="24"/>
          <w:highlight w:val="none"/>
        </w:rPr>
      </w:pPr>
      <w:r>
        <w:rPr>
          <w:rFonts w:hint="eastAsia" w:hAnsi="宋体"/>
          <w:color w:val="auto"/>
          <w:sz w:val="24"/>
          <w:szCs w:val="24"/>
          <w:highlight w:val="none"/>
        </w:rPr>
        <w:t>法定代表人/负责人或授权代表（签名或加盖个人名章）</w:t>
      </w:r>
      <w:r>
        <w:rPr>
          <w:rFonts w:hAnsi="宋体"/>
          <w:bCs/>
          <w:color w:val="auto"/>
          <w:sz w:val="24"/>
          <w:szCs w:val="24"/>
          <w:highlight w:val="none"/>
        </w:rPr>
        <w:t>：</w:t>
      </w:r>
    </w:p>
    <w:p>
      <w:pPr>
        <w:spacing w:line="400" w:lineRule="exact"/>
        <w:ind w:firstLine="420" w:firstLineChars="175"/>
        <w:rPr>
          <w:rFonts w:hAnsi="宋体"/>
          <w:b/>
          <w:color w:val="auto"/>
          <w:sz w:val="24"/>
          <w:szCs w:val="24"/>
          <w:highlight w:val="none"/>
        </w:rPr>
      </w:pPr>
      <w:r>
        <w:rPr>
          <w:rFonts w:hAnsi="宋体"/>
          <w:bCs/>
          <w:color w:val="auto"/>
          <w:sz w:val="24"/>
          <w:szCs w:val="24"/>
          <w:highlight w:val="none"/>
        </w:rPr>
        <w:t>报价日期:</w:t>
      </w:r>
    </w:p>
    <w:p>
      <w:pPr>
        <w:pStyle w:val="32"/>
        <w:rPr>
          <w:color w:val="auto"/>
          <w:highlight w:val="none"/>
        </w:rPr>
      </w:pPr>
    </w:p>
    <w:p>
      <w:pPr>
        <w:rPr>
          <w:color w:val="auto"/>
          <w:highlight w:val="none"/>
        </w:rPr>
      </w:pPr>
    </w:p>
    <w:p>
      <w:pPr>
        <w:spacing w:line="420" w:lineRule="exact"/>
        <w:jc w:val="center"/>
        <w:outlineLvl w:val="1"/>
        <w:rPr>
          <w:rFonts w:hAnsi="宋体"/>
          <w:b/>
          <w:color w:val="auto"/>
          <w:sz w:val="30"/>
          <w:szCs w:val="30"/>
          <w:highlight w:val="none"/>
        </w:rPr>
      </w:pPr>
      <w:r>
        <w:rPr>
          <w:rFonts w:hAnsi="宋体"/>
          <w:color w:val="auto"/>
          <w:sz w:val="24"/>
          <w:szCs w:val="24"/>
          <w:highlight w:val="none"/>
        </w:rPr>
        <w:br w:type="page"/>
      </w:r>
      <w:r>
        <w:rPr>
          <w:rFonts w:hint="eastAsia" w:hAnsi="宋体"/>
          <w:b/>
          <w:color w:val="auto"/>
          <w:sz w:val="30"/>
          <w:szCs w:val="30"/>
          <w:highlight w:val="none"/>
        </w:rPr>
        <w:t>三</w:t>
      </w:r>
      <w:r>
        <w:rPr>
          <w:rFonts w:hAnsi="宋体"/>
          <w:b/>
          <w:color w:val="auto"/>
          <w:sz w:val="30"/>
          <w:szCs w:val="30"/>
          <w:highlight w:val="none"/>
        </w:rPr>
        <w:t>、</w:t>
      </w:r>
      <w:r>
        <w:rPr>
          <w:rFonts w:hint="eastAsia" w:hAnsi="宋体"/>
          <w:b/>
          <w:color w:val="auto"/>
          <w:sz w:val="30"/>
          <w:szCs w:val="30"/>
          <w:highlight w:val="none"/>
        </w:rPr>
        <w:t>首轮报价表</w:t>
      </w:r>
    </w:p>
    <w:p>
      <w:pPr>
        <w:spacing w:line="500" w:lineRule="exact"/>
        <w:ind w:firstLine="480" w:firstLineChars="200"/>
        <w:rPr>
          <w:color w:val="auto"/>
          <w:sz w:val="24"/>
          <w:highlight w:val="none"/>
        </w:rPr>
      </w:pPr>
      <w:r>
        <w:rPr>
          <w:rFonts w:hint="eastAsia"/>
          <w:color w:val="auto"/>
          <w:sz w:val="24"/>
          <w:highlight w:val="none"/>
        </w:rPr>
        <w:t>项目名称：</w:t>
      </w:r>
    </w:p>
    <w:p>
      <w:pPr>
        <w:spacing w:line="500" w:lineRule="exact"/>
        <w:ind w:firstLine="470" w:firstLineChars="196"/>
        <w:rPr>
          <w:color w:val="auto"/>
          <w:sz w:val="24"/>
          <w:highlight w:val="none"/>
        </w:rPr>
      </w:pPr>
      <w:r>
        <w:rPr>
          <w:rFonts w:hint="eastAsia"/>
          <w:color w:val="auto"/>
          <w:sz w:val="24"/>
          <w:highlight w:val="none"/>
        </w:rPr>
        <w:t>项目编号：</w:t>
      </w:r>
    </w:p>
    <w:tbl>
      <w:tblPr>
        <w:tblStyle w:val="44"/>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519"/>
        <w:gridCol w:w="888"/>
        <w:gridCol w:w="957"/>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spacing w:line="500" w:lineRule="exact"/>
              <w:jc w:val="center"/>
              <w:rPr>
                <w:color w:val="auto"/>
                <w:sz w:val="24"/>
                <w:highlight w:val="none"/>
              </w:rPr>
            </w:pPr>
            <w:r>
              <w:rPr>
                <w:rFonts w:hint="eastAsia"/>
                <w:color w:val="auto"/>
                <w:sz w:val="24"/>
                <w:highlight w:val="none"/>
              </w:rPr>
              <w:t>序号</w:t>
            </w:r>
          </w:p>
        </w:tc>
        <w:tc>
          <w:tcPr>
            <w:tcW w:w="1275" w:type="dxa"/>
            <w:vAlign w:val="center"/>
          </w:tcPr>
          <w:p>
            <w:pPr>
              <w:spacing w:line="500" w:lineRule="exact"/>
              <w:jc w:val="center"/>
              <w:rPr>
                <w:color w:val="auto"/>
                <w:sz w:val="24"/>
                <w:highlight w:val="none"/>
              </w:rPr>
            </w:pPr>
            <w:r>
              <w:rPr>
                <w:rFonts w:hint="eastAsia"/>
                <w:color w:val="auto"/>
                <w:sz w:val="24"/>
                <w:highlight w:val="none"/>
              </w:rPr>
              <w:t>产品名称</w:t>
            </w:r>
          </w:p>
        </w:tc>
        <w:tc>
          <w:tcPr>
            <w:tcW w:w="1519" w:type="dxa"/>
            <w:vAlign w:val="center"/>
          </w:tcPr>
          <w:p>
            <w:pPr>
              <w:spacing w:line="500" w:lineRule="exact"/>
              <w:jc w:val="center"/>
              <w:rPr>
                <w:color w:val="auto"/>
                <w:sz w:val="24"/>
                <w:highlight w:val="none"/>
              </w:rPr>
            </w:pPr>
            <w:r>
              <w:rPr>
                <w:rFonts w:hint="eastAsia"/>
                <w:color w:val="auto"/>
                <w:sz w:val="24"/>
                <w:highlight w:val="none"/>
              </w:rPr>
              <w:t>规格型号</w:t>
            </w:r>
          </w:p>
        </w:tc>
        <w:tc>
          <w:tcPr>
            <w:tcW w:w="888" w:type="dxa"/>
            <w:vAlign w:val="center"/>
          </w:tcPr>
          <w:p>
            <w:pPr>
              <w:spacing w:line="500" w:lineRule="exact"/>
              <w:jc w:val="center"/>
              <w:rPr>
                <w:color w:val="auto"/>
                <w:sz w:val="24"/>
                <w:highlight w:val="none"/>
              </w:rPr>
            </w:pPr>
            <w:r>
              <w:rPr>
                <w:rFonts w:hint="eastAsia"/>
                <w:color w:val="auto"/>
                <w:sz w:val="24"/>
                <w:highlight w:val="none"/>
              </w:rPr>
              <w:t>品牌</w:t>
            </w:r>
          </w:p>
        </w:tc>
        <w:tc>
          <w:tcPr>
            <w:tcW w:w="957" w:type="dxa"/>
            <w:vAlign w:val="center"/>
          </w:tcPr>
          <w:p>
            <w:pPr>
              <w:spacing w:line="500" w:lineRule="exact"/>
              <w:jc w:val="center"/>
              <w:rPr>
                <w:color w:val="auto"/>
                <w:sz w:val="24"/>
                <w:highlight w:val="none"/>
              </w:rPr>
            </w:pPr>
            <w:r>
              <w:rPr>
                <w:rFonts w:hint="eastAsia"/>
                <w:color w:val="auto"/>
                <w:sz w:val="24"/>
                <w:highlight w:val="none"/>
              </w:rPr>
              <w:t>单位</w:t>
            </w:r>
          </w:p>
        </w:tc>
        <w:tc>
          <w:tcPr>
            <w:tcW w:w="840" w:type="dxa"/>
            <w:vAlign w:val="center"/>
          </w:tcPr>
          <w:p>
            <w:pPr>
              <w:spacing w:line="500" w:lineRule="exact"/>
              <w:jc w:val="center"/>
              <w:rPr>
                <w:color w:val="auto"/>
                <w:sz w:val="24"/>
                <w:highlight w:val="none"/>
              </w:rPr>
            </w:pPr>
            <w:r>
              <w:rPr>
                <w:rFonts w:hint="eastAsia"/>
                <w:color w:val="auto"/>
                <w:sz w:val="24"/>
                <w:highlight w:val="none"/>
              </w:rPr>
              <w:t>数量</w:t>
            </w:r>
          </w:p>
        </w:tc>
        <w:tc>
          <w:tcPr>
            <w:tcW w:w="841" w:type="dxa"/>
            <w:vAlign w:val="center"/>
          </w:tcPr>
          <w:p>
            <w:pPr>
              <w:spacing w:line="500" w:lineRule="exact"/>
              <w:jc w:val="center"/>
              <w:rPr>
                <w:color w:val="auto"/>
                <w:sz w:val="24"/>
                <w:highlight w:val="none"/>
              </w:rPr>
            </w:pPr>
            <w:r>
              <w:rPr>
                <w:rFonts w:hint="eastAsia"/>
                <w:color w:val="auto"/>
                <w:sz w:val="24"/>
                <w:highlight w:val="none"/>
              </w:rPr>
              <w:t>单价</w:t>
            </w:r>
          </w:p>
        </w:tc>
        <w:tc>
          <w:tcPr>
            <w:tcW w:w="876" w:type="dxa"/>
            <w:vAlign w:val="center"/>
          </w:tcPr>
          <w:p>
            <w:pPr>
              <w:spacing w:line="500" w:lineRule="exact"/>
              <w:jc w:val="center"/>
              <w:rPr>
                <w:color w:val="auto"/>
                <w:sz w:val="24"/>
                <w:highlight w:val="none"/>
              </w:rPr>
            </w:pPr>
            <w:r>
              <w:rPr>
                <w:rFonts w:hint="eastAsia"/>
                <w:color w:val="auto"/>
                <w:sz w:val="24"/>
                <w:highlight w:val="none"/>
              </w:rPr>
              <w:t>金额</w:t>
            </w:r>
          </w:p>
        </w:tc>
        <w:tc>
          <w:tcPr>
            <w:tcW w:w="843" w:type="dxa"/>
            <w:vAlign w:val="center"/>
          </w:tcPr>
          <w:p>
            <w:pPr>
              <w:spacing w:line="500" w:lineRule="exact"/>
              <w:jc w:val="center"/>
              <w:rPr>
                <w:color w:val="auto"/>
                <w:sz w:val="24"/>
                <w:highlight w:val="none"/>
              </w:rPr>
            </w:pPr>
            <w:r>
              <w:rPr>
                <w:rFonts w:hint="eastAsia"/>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500" w:lineRule="exact"/>
              <w:ind w:firstLine="470" w:firstLineChars="196"/>
              <w:rPr>
                <w:color w:val="auto"/>
                <w:sz w:val="24"/>
                <w:highlight w:val="none"/>
              </w:rPr>
            </w:pPr>
          </w:p>
        </w:tc>
        <w:tc>
          <w:tcPr>
            <w:tcW w:w="1275" w:type="dxa"/>
            <w:vAlign w:val="center"/>
          </w:tcPr>
          <w:p>
            <w:pPr>
              <w:spacing w:line="500" w:lineRule="exact"/>
              <w:ind w:firstLine="470" w:firstLineChars="196"/>
              <w:rPr>
                <w:color w:val="auto"/>
                <w:sz w:val="24"/>
                <w:highlight w:val="none"/>
              </w:rPr>
            </w:pPr>
          </w:p>
        </w:tc>
        <w:tc>
          <w:tcPr>
            <w:tcW w:w="1519" w:type="dxa"/>
            <w:vAlign w:val="center"/>
          </w:tcPr>
          <w:p>
            <w:pPr>
              <w:spacing w:line="500" w:lineRule="exact"/>
              <w:ind w:firstLine="470" w:firstLineChars="196"/>
              <w:rPr>
                <w:color w:val="auto"/>
                <w:sz w:val="24"/>
                <w:highlight w:val="none"/>
              </w:rPr>
            </w:pPr>
          </w:p>
        </w:tc>
        <w:tc>
          <w:tcPr>
            <w:tcW w:w="888" w:type="dxa"/>
            <w:vAlign w:val="center"/>
          </w:tcPr>
          <w:p>
            <w:pPr>
              <w:spacing w:line="500" w:lineRule="exact"/>
              <w:ind w:firstLine="470" w:firstLineChars="196"/>
              <w:rPr>
                <w:color w:val="auto"/>
                <w:sz w:val="24"/>
                <w:highlight w:val="none"/>
              </w:rPr>
            </w:pPr>
          </w:p>
        </w:tc>
        <w:tc>
          <w:tcPr>
            <w:tcW w:w="957" w:type="dxa"/>
            <w:vAlign w:val="center"/>
          </w:tcPr>
          <w:p>
            <w:pPr>
              <w:spacing w:line="500" w:lineRule="exact"/>
              <w:ind w:firstLine="470" w:firstLineChars="196"/>
              <w:rPr>
                <w:color w:val="auto"/>
                <w:sz w:val="24"/>
                <w:highlight w:val="none"/>
              </w:rPr>
            </w:pPr>
          </w:p>
        </w:tc>
        <w:tc>
          <w:tcPr>
            <w:tcW w:w="840" w:type="dxa"/>
            <w:vAlign w:val="center"/>
          </w:tcPr>
          <w:p>
            <w:pPr>
              <w:spacing w:line="500" w:lineRule="exact"/>
              <w:ind w:firstLine="470" w:firstLineChars="196"/>
              <w:rPr>
                <w:color w:val="auto"/>
                <w:sz w:val="24"/>
                <w:highlight w:val="none"/>
              </w:rPr>
            </w:pPr>
          </w:p>
        </w:tc>
        <w:tc>
          <w:tcPr>
            <w:tcW w:w="841" w:type="dxa"/>
            <w:vAlign w:val="center"/>
          </w:tcPr>
          <w:p>
            <w:pPr>
              <w:spacing w:line="500" w:lineRule="exact"/>
              <w:ind w:firstLine="470" w:firstLineChars="196"/>
              <w:rPr>
                <w:color w:val="auto"/>
                <w:sz w:val="24"/>
                <w:highlight w:val="none"/>
              </w:rPr>
            </w:pPr>
          </w:p>
        </w:tc>
        <w:tc>
          <w:tcPr>
            <w:tcW w:w="876" w:type="dxa"/>
            <w:vAlign w:val="center"/>
          </w:tcPr>
          <w:p>
            <w:pPr>
              <w:spacing w:line="500" w:lineRule="exact"/>
              <w:ind w:firstLine="470" w:firstLineChars="196"/>
              <w:rPr>
                <w:color w:val="auto"/>
                <w:sz w:val="24"/>
                <w:highlight w:val="none"/>
              </w:rPr>
            </w:pPr>
          </w:p>
        </w:tc>
        <w:tc>
          <w:tcPr>
            <w:tcW w:w="843" w:type="dxa"/>
            <w:vAlign w:val="center"/>
          </w:tcPr>
          <w:p>
            <w:pPr>
              <w:spacing w:line="500" w:lineRule="exact"/>
              <w:ind w:firstLine="470" w:firstLineChars="196"/>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500" w:lineRule="exact"/>
              <w:ind w:firstLine="470" w:firstLineChars="196"/>
              <w:rPr>
                <w:color w:val="auto"/>
                <w:sz w:val="24"/>
                <w:highlight w:val="none"/>
              </w:rPr>
            </w:pPr>
          </w:p>
        </w:tc>
        <w:tc>
          <w:tcPr>
            <w:tcW w:w="1275" w:type="dxa"/>
            <w:vAlign w:val="center"/>
          </w:tcPr>
          <w:p>
            <w:pPr>
              <w:spacing w:line="500" w:lineRule="exact"/>
              <w:ind w:firstLine="470" w:firstLineChars="196"/>
              <w:rPr>
                <w:color w:val="auto"/>
                <w:sz w:val="24"/>
                <w:highlight w:val="none"/>
              </w:rPr>
            </w:pPr>
          </w:p>
        </w:tc>
        <w:tc>
          <w:tcPr>
            <w:tcW w:w="1519" w:type="dxa"/>
            <w:vAlign w:val="center"/>
          </w:tcPr>
          <w:p>
            <w:pPr>
              <w:spacing w:line="500" w:lineRule="exact"/>
              <w:ind w:firstLine="470" w:firstLineChars="196"/>
              <w:rPr>
                <w:color w:val="auto"/>
                <w:sz w:val="24"/>
                <w:highlight w:val="none"/>
              </w:rPr>
            </w:pPr>
          </w:p>
        </w:tc>
        <w:tc>
          <w:tcPr>
            <w:tcW w:w="888" w:type="dxa"/>
            <w:vAlign w:val="center"/>
          </w:tcPr>
          <w:p>
            <w:pPr>
              <w:spacing w:line="500" w:lineRule="exact"/>
              <w:ind w:firstLine="470" w:firstLineChars="196"/>
              <w:rPr>
                <w:color w:val="auto"/>
                <w:sz w:val="24"/>
                <w:highlight w:val="none"/>
              </w:rPr>
            </w:pPr>
          </w:p>
        </w:tc>
        <w:tc>
          <w:tcPr>
            <w:tcW w:w="957" w:type="dxa"/>
            <w:vAlign w:val="center"/>
          </w:tcPr>
          <w:p>
            <w:pPr>
              <w:spacing w:line="500" w:lineRule="exact"/>
              <w:ind w:firstLine="470" w:firstLineChars="196"/>
              <w:rPr>
                <w:color w:val="auto"/>
                <w:sz w:val="24"/>
                <w:highlight w:val="none"/>
              </w:rPr>
            </w:pPr>
          </w:p>
        </w:tc>
        <w:tc>
          <w:tcPr>
            <w:tcW w:w="840" w:type="dxa"/>
            <w:vAlign w:val="center"/>
          </w:tcPr>
          <w:p>
            <w:pPr>
              <w:spacing w:line="500" w:lineRule="exact"/>
              <w:ind w:firstLine="470" w:firstLineChars="196"/>
              <w:rPr>
                <w:color w:val="auto"/>
                <w:sz w:val="24"/>
                <w:highlight w:val="none"/>
              </w:rPr>
            </w:pPr>
          </w:p>
        </w:tc>
        <w:tc>
          <w:tcPr>
            <w:tcW w:w="841" w:type="dxa"/>
            <w:vAlign w:val="center"/>
          </w:tcPr>
          <w:p>
            <w:pPr>
              <w:spacing w:line="500" w:lineRule="exact"/>
              <w:ind w:firstLine="470" w:firstLineChars="196"/>
              <w:rPr>
                <w:color w:val="auto"/>
                <w:sz w:val="24"/>
                <w:highlight w:val="none"/>
              </w:rPr>
            </w:pPr>
          </w:p>
        </w:tc>
        <w:tc>
          <w:tcPr>
            <w:tcW w:w="876" w:type="dxa"/>
            <w:vAlign w:val="center"/>
          </w:tcPr>
          <w:p>
            <w:pPr>
              <w:spacing w:line="500" w:lineRule="exact"/>
              <w:ind w:firstLine="470" w:firstLineChars="196"/>
              <w:rPr>
                <w:color w:val="auto"/>
                <w:sz w:val="24"/>
                <w:highlight w:val="none"/>
              </w:rPr>
            </w:pPr>
          </w:p>
        </w:tc>
        <w:tc>
          <w:tcPr>
            <w:tcW w:w="843" w:type="dxa"/>
            <w:vAlign w:val="center"/>
          </w:tcPr>
          <w:p>
            <w:pPr>
              <w:spacing w:line="500" w:lineRule="exact"/>
              <w:ind w:firstLine="470" w:firstLineChars="196"/>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500" w:lineRule="exact"/>
              <w:ind w:firstLine="470" w:firstLineChars="196"/>
              <w:rPr>
                <w:color w:val="auto"/>
                <w:sz w:val="24"/>
                <w:highlight w:val="none"/>
              </w:rPr>
            </w:pPr>
          </w:p>
        </w:tc>
        <w:tc>
          <w:tcPr>
            <w:tcW w:w="1275" w:type="dxa"/>
            <w:vAlign w:val="center"/>
          </w:tcPr>
          <w:p>
            <w:pPr>
              <w:spacing w:line="500" w:lineRule="exact"/>
              <w:ind w:firstLine="470" w:firstLineChars="196"/>
              <w:rPr>
                <w:color w:val="auto"/>
                <w:sz w:val="24"/>
                <w:highlight w:val="none"/>
              </w:rPr>
            </w:pPr>
          </w:p>
        </w:tc>
        <w:tc>
          <w:tcPr>
            <w:tcW w:w="1519" w:type="dxa"/>
            <w:vAlign w:val="center"/>
          </w:tcPr>
          <w:p>
            <w:pPr>
              <w:spacing w:line="500" w:lineRule="exact"/>
              <w:ind w:firstLine="470" w:firstLineChars="196"/>
              <w:rPr>
                <w:color w:val="auto"/>
                <w:sz w:val="24"/>
                <w:highlight w:val="none"/>
              </w:rPr>
            </w:pPr>
          </w:p>
        </w:tc>
        <w:tc>
          <w:tcPr>
            <w:tcW w:w="888" w:type="dxa"/>
            <w:vAlign w:val="center"/>
          </w:tcPr>
          <w:p>
            <w:pPr>
              <w:spacing w:line="500" w:lineRule="exact"/>
              <w:ind w:firstLine="470" w:firstLineChars="196"/>
              <w:rPr>
                <w:color w:val="auto"/>
                <w:sz w:val="24"/>
                <w:highlight w:val="none"/>
              </w:rPr>
            </w:pPr>
          </w:p>
        </w:tc>
        <w:tc>
          <w:tcPr>
            <w:tcW w:w="957" w:type="dxa"/>
            <w:vAlign w:val="center"/>
          </w:tcPr>
          <w:p>
            <w:pPr>
              <w:spacing w:line="500" w:lineRule="exact"/>
              <w:ind w:firstLine="470" w:firstLineChars="196"/>
              <w:rPr>
                <w:color w:val="auto"/>
                <w:sz w:val="24"/>
                <w:highlight w:val="none"/>
              </w:rPr>
            </w:pPr>
          </w:p>
        </w:tc>
        <w:tc>
          <w:tcPr>
            <w:tcW w:w="840" w:type="dxa"/>
            <w:vAlign w:val="center"/>
          </w:tcPr>
          <w:p>
            <w:pPr>
              <w:spacing w:line="500" w:lineRule="exact"/>
              <w:ind w:firstLine="470" w:firstLineChars="196"/>
              <w:rPr>
                <w:color w:val="auto"/>
                <w:sz w:val="24"/>
                <w:highlight w:val="none"/>
              </w:rPr>
            </w:pPr>
          </w:p>
        </w:tc>
        <w:tc>
          <w:tcPr>
            <w:tcW w:w="841" w:type="dxa"/>
            <w:vAlign w:val="center"/>
          </w:tcPr>
          <w:p>
            <w:pPr>
              <w:spacing w:line="500" w:lineRule="exact"/>
              <w:ind w:firstLine="470" w:firstLineChars="196"/>
              <w:rPr>
                <w:color w:val="auto"/>
                <w:sz w:val="24"/>
                <w:highlight w:val="none"/>
              </w:rPr>
            </w:pPr>
          </w:p>
        </w:tc>
        <w:tc>
          <w:tcPr>
            <w:tcW w:w="876" w:type="dxa"/>
            <w:vAlign w:val="center"/>
          </w:tcPr>
          <w:p>
            <w:pPr>
              <w:spacing w:line="500" w:lineRule="exact"/>
              <w:ind w:firstLine="470" w:firstLineChars="196"/>
              <w:rPr>
                <w:color w:val="auto"/>
                <w:sz w:val="24"/>
                <w:highlight w:val="none"/>
              </w:rPr>
            </w:pPr>
          </w:p>
        </w:tc>
        <w:tc>
          <w:tcPr>
            <w:tcW w:w="843" w:type="dxa"/>
            <w:vAlign w:val="center"/>
          </w:tcPr>
          <w:p>
            <w:pPr>
              <w:spacing w:line="500" w:lineRule="exact"/>
              <w:ind w:firstLine="470" w:firstLineChars="196"/>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spacing w:line="500" w:lineRule="exact"/>
              <w:ind w:firstLine="470" w:firstLineChars="196"/>
              <w:rPr>
                <w:color w:val="auto"/>
                <w:sz w:val="24"/>
                <w:highlight w:val="none"/>
              </w:rPr>
            </w:pPr>
          </w:p>
        </w:tc>
        <w:tc>
          <w:tcPr>
            <w:tcW w:w="1275" w:type="dxa"/>
            <w:vAlign w:val="center"/>
          </w:tcPr>
          <w:p>
            <w:pPr>
              <w:spacing w:line="500" w:lineRule="exact"/>
              <w:ind w:firstLine="470" w:firstLineChars="196"/>
              <w:rPr>
                <w:color w:val="auto"/>
                <w:sz w:val="24"/>
                <w:highlight w:val="none"/>
              </w:rPr>
            </w:pPr>
          </w:p>
        </w:tc>
        <w:tc>
          <w:tcPr>
            <w:tcW w:w="1519" w:type="dxa"/>
            <w:vAlign w:val="center"/>
          </w:tcPr>
          <w:p>
            <w:pPr>
              <w:spacing w:line="500" w:lineRule="exact"/>
              <w:ind w:firstLine="470" w:firstLineChars="196"/>
              <w:rPr>
                <w:color w:val="auto"/>
                <w:sz w:val="24"/>
                <w:highlight w:val="none"/>
              </w:rPr>
            </w:pPr>
          </w:p>
        </w:tc>
        <w:tc>
          <w:tcPr>
            <w:tcW w:w="888" w:type="dxa"/>
            <w:vAlign w:val="center"/>
          </w:tcPr>
          <w:p>
            <w:pPr>
              <w:spacing w:line="500" w:lineRule="exact"/>
              <w:ind w:firstLine="470" w:firstLineChars="196"/>
              <w:rPr>
                <w:color w:val="auto"/>
                <w:sz w:val="24"/>
                <w:highlight w:val="none"/>
              </w:rPr>
            </w:pPr>
          </w:p>
        </w:tc>
        <w:tc>
          <w:tcPr>
            <w:tcW w:w="957" w:type="dxa"/>
            <w:vAlign w:val="center"/>
          </w:tcPr>
          <w:p>
            <w:pPr>
              <w:spacing w:line="500" w:lineRule="exact"/>
              <w:ind w:firstLine="470" w:firstLineChars="196"/>
              <w:rPr>
                <w:color w:val="auto"/>
                <w:sz w:val="24"/>
                <w:highlight w:val="none"/>
              </w:rPr>
            </w:pPr>
          </w:p>
        </w:tc>
        <w:tc>
          <w:tcPr>
            <w:tcW w:w="840" w:type="dxa"/>
            <w:vAlign w:val="center"/>
          </w:tcPr>
          <w:p>
            <w:pPr>
              <w:spacing w:line="500" w:lineRule="exact"/>
              <w:ind w:firstLine="470" w:firstLineChars="196"/>
              <w:rPr>
                <w:color w:val="auto"/>
                <w:sz w:val="24"/>
                <w:highlight w:val="none"/>
              </w:rPr>
            </w:pPr>
          </w:p>
        </w:tc>
        <w:tc>
          <w:tcPr>
            <w:tcW w:w="841" w:type="dxa"/>
            <w:vAlign w:val="center"/>
          </w:tcPr>
          <w:p>
            <w:pPr>
              <w:spacing w:line="500" w:lineRule="exact"/>
              <w:ind w:firstLine="470" w:firstLineChars="196"/>
              <w:rPr>
                <w:color w:val="auto"/>
                <w:sz w:val="24"/>
                <w:highlight w:val="none"/>
              </w:rPr>
            </w:pPr>
          </w:p>
        </w:tc>
        <w:tc>
          <w:tcPr>
            <w:tcW w:w="876" w:type="dxa"/>
            <w:vAlign w:val="center"/>
          </w:tcPr>
          <w:p>
            <w:pPr>
              <w:spacing w:line="500" w:lineRule="exact"/>
              <w:ind w:firstLine="470" w:firstLineChars="196"/>
              <w:rPr>
                <w:color w:val="auto"/>
                <w:sz w:val="24"/>
                <w:highlight w:val="none"/>
              </w:rPr>
            </w:pPr>
          </w:p>
        </w:tc>
        <w:tc>
          <w:tcPr>
            <w:tcW w:w="843" w:type="dxa"/>
            <w:vAlign w:val="center"/>
          </w:tcPr>
          <w:p>
            <w:pPr>
              <w:spacing w:line="500" w:lineRule="exact"/>
              <w:ind w:firstLine="470" w:firstLineChars="196"/>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500" w:lineRule="exact"/>
              <w:ind w:firstLine="470" w:firstLineChars="196"/>
              <w:rPr>
                <w:color w:val="auto"/>
                <w:sz w:val="24"/>
                <w:highlight w:val="none"/>
              </w:rPr>
            </w:pPr>
          </w:p>
        </w:tc>
        <w:tc>
          <w:tcPr>
            <w:tcW w:w="1275" w:type="dxa"/>
            <w:vAlign w:val="center"/>
          </w:tcPr>
          <w:p>
            <w:pPr>
              <w:spacing w:line="500" w:lineRule="exact"/>
              <w:ind w:firstLine="470" w:firstLineChars="196"/>
              <w:rPr>
                <w:color w:val="auto"/>
                <w:sz w:val="24"/>
                <w:highlight w:val="none"/>
              </w:rPr>
            </w:pPr>
          </w:p>
        </w:tc>
        <w:tc>
          <w:tcPr>
            <w:tcW w:w="1519" w:type="dxa"/>
            <w:vAlign w:val="center"/>
          </w:tcPr>
          <w:p>
            <w:pPr>
              <w:spacing w:line="500" w:lineRule="exact"/>
              <w:ind w:firstLine="470" w:firstLineChars="196"/>
              <w:rPr>
                <w:color w:val="auto"/>
                <w:sz w:val="24"/>
                <w:highlight w:val="none"/>
              </w:rPr>
            </w:pPr>
          </w:p>
        </w:tc>
        <w:tc>
          <w:tcPr>
            <w:tcW w:w="888" w:type="dxa"/>
            <w:vAlign w:val="center"/>
          </w:tcPr>
          <w:p>
            <w:pPr>
              <w:spacing w:line="500" w:lineRule="exact"/>
              <w:ind w:firstLine="470" w:firstLineChars="196"/>
              <w:rPr>
                <w:color w:val="auto"/>
                <w:sz w:val="24"/>
                <w:highlight w:val="none"/>
              </w:rPr>
            </w:pPr>
          </w:p>
        </w:tc>
        <w:tc>
          <w:tcPr>
            <w:tcW w:w="957" w:type="dxa"/>
            <w:vAlign w:val="center"/>
          </w:tcPr>
          <w:p>
            <w:pPr>
              <w:spacing w:line="500" w:lineRule="exact"/>
              <w:ind w:firstLine="470" w:firstLineChars="196"/>
              <w:rPr>
                <w:color w:val="auto"/>
                <w:sz w:val="24"/>
                <w:highlight w:val="none"/>
              </w:rPr>
            </w:pPr>
          </w:p>
        </w:tc>
        <w:tc>
          <w:tcPr>
            <w:tcW w:w="840" w:type="dxa"/>
            <w:vAlign w:val="center"/>
          </w:tcPr>
          <w:p>
            <w:pPr>
              <w:spacing w:line="500" w:lineRule="exact"/>
              <w:ind w:firstLine="470" w:firstLineChars="196"/>
              <w:rPr>
                <w:color w:val="auto"/>
                <w:sz w:val="24"/>
                <w:highlight w:val="none"/>
              </w:rPr>
            </w:pPr>
          </w:p>
        </w:tc>
        <w:tc>
          <w:tcPr>
            <w:tcW w:w="841" w:type="dxa"/>
            <w:vAlign w:val="center"/>
          </w:tcPr>
          <w:p>
            <w:pPr>
              <w:spacing w:line="500" w:lineRule="exact"/>
              <w:ind w:firstLine="470" w:firstLineChars="196"/>
              <w:rPr>
                <w:color w:val="auto"/>
                <w:sz w:val="24"/>
                <w:highlight w:val="none"/>
              </w:rPr>
            </w:pPr>
          </w:p>
        </w:tc>
        <w:tc>
          <w:tcPr>
            <w:tcW w:w="876" w:type="dxa"/>
            <w:vAlign w:val="center"/>
          </w:tcPr>
          <w:p>
            <w:pPr>
              <w:spacing w:line="500" w:lineRule="exact"/>
              <w:ind w:firstLine="470" w:firstLineChars="196"/>
              <w:rPr>
                <w:color w:val="auto"/>
                <w:sz w:val="24"/>
                <w:highlight w:val="none"/>
              </w:rPr>
            </w:pPr>
          </w:p>
        </w:tc>
        <w:tc>
          <w:tcPr>
            <w:tcW w:w="843" w:type="dxa"/>
            <w:vAlign w:val="center"/>
          </w:tcPr>
          <w:p>
            <w:pPr>
              <w:spacing w:line="500" w:lineRule="exact"/>
              <w:ind w:firstLine="470" w:firstLineChars="196"/>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500" w:lineRule="exact"/>
              <w:ind w:firstLine="470" w:firstLineChars="196"/>
              <w:rPr>
                <w:color w:val="auto"/>
                <w:sz w:val="24"/>
                <w:highlight w:val="none"/>
              </w:rPr>
            </w:pPr>
          </w:p>
        </w:tc>
        <w:tc>
          <w:tcPr>
            <w:tcW w:w="1275" w:type="dxa"/>
            <w:vAlign w:val="center"/>
          </w:tcPr>
          <w:p>
            <w:pPr>
              <w:spacing w:line="500" w:lineRule="exact"/>
              <w:ind w:firstLine="470" w:firstLineChars="196"/>
              <w:rPr>
                <w:color w:val="auto"/>
                <w:sz w:val="24"/>
                <w:highlight w:val="none"/>
              </w:rPr>
            </w:pPr>
          </w:p>
        </w:tc>
        <w:tc>
          <w:tcPr>
            <w:tcW w:w="1519" w:type="dxa"/>
            <w:vAlign w:val="center"/>
          </w:tcPr>
          <w:p>
            <w:pPr>
              <w:spacing w:line="500" w:lineRule="exact"/>
              <w:ind w:firstLine="470" w:firstLineChars="196"/>
              <w:rPr>
                <w:color w:val="auto"/>
                <w:sz w:val="24"/>
                <w:highlight w:val="none"/>
              </w:rPr>
            </w:pPr>
          </w:p>
        </w:tc>
        <w:tc>
          <w:tcPr>
            <w:tcW w:w="888" w:type="dxa"/>
            <w:vAlign w:val="center"/>
          </w:tcPr>
          <w:p>
            <w:pPr>
              <w:spacing w:line="500" w:lineRule="exact"/>
              <w:ind w:firstLine="470" w:firstLineChars="196"/>
              <w:rPr>
                <w:color w:val="auto"/>
                <w:sz w:val="24"/>
                <w:highlight w:val="none"/>
              </w:rPr>
            </w:pPr>
          </w:p>
        </w:tc>
        <w:tc>
          <w:tcPr>
            <w:tcW w:w="957" w:type="dxa"/>
            <w:vAlign w:val="center"/>
          </w:tcPr>
          <w:p>
            <w:pPr>
              <w:spacing w:line="500" w:lineRule="exact"/>
              <w:ind w:firstLine="470" w:firstLineChars="196"/>
              <w:rPr>
                <w:color w:val="auto"/>
                <w:sz w:val="24"/>
                <w:highlight w:val="none"/>
              </w:rPr>
            </w:pPr>
          </w:p>
        </w:tc>
        <w:tc>
          <w:tcPr>
            <w:tcW w:w="840" w:type="dxa"/>
            <w:vAlign w:val="center"/>
          </w:tcPr>
          <w:p>
            <w:pPr>
              <w:spacing w:line="500" w:lineRule="exact"/>
              <w:ind w:firstLine="470" w:firstLineChars="196"/>
              <w:rPr>
                <w:color w:val="auto"/>
                <w:sz w:val="24"/>
                <w:highlight w:val="none"/>
              </w:rPr>
            </w:pPr>
          </w:p>
        </w:tc>
        <w:tc>
          <w:tcPr>
            <w:tcW w:w="841" w:type="dxa"/>
            <w:vAlign w:val="center"/>
          </w:tcPr>
          <w:p>
            <w:pPr>
              <w:spacing w:line="500" w:lineRule="exact"/>
              <w:ind w:firstLine="470" w:firstLineChars="196"/>
              <w:rPr>
                <w:color w:val="auto"/>
                <w:sz w:val="24"/>
                <w:highlight w:val="none"/>
              </w:rPr>
            </w:pPr>
          </w:p>
        </w:tc>
        <w:tc>
          <w:tcPr>
            <w:tcW w:w="876" w:type="dxa"/>
            <w:vAlign w:val="center"/>
          </w:tcPr>
          <w:p>
            <w:pPr>
              <w:spacing w:line="500" w:lineRule="exact"/>
              <w:ind w:firstLine="470" w:firstLineChars="196"/>
              <w:rPr>
                <w:color w:val="auto"/>
                <w:sz w:val="24"/>
                <w:highlight w:val="none"/>
              </w:rPr>
            </w:pPr>
          </w:p>
        </w:tc>
        <w:tc>
          <w:tcPr>
            <w:tcW w:w="843" w:type="dxa"/>
            <w:vAlign w:val="center"/>
          </w:tcPr>
          <w:p>
            <w:pPr>
              <w:spacing w:line="500" w:lineRule="exact"/>
              <w:ind w:firstLine="470" w:firstLineChars="196"/>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916" w:type="dxa"/>
            <w:gridSpan w:val="9"/>
            <w:tcBorders>
              <w:top w:val="single" w:color="auto" w:sz="4" w:space="0"/>
              <w:bottom w:val="single" w:color="auto" w:sz="4" w:space="0"/>
            </w:tcBorders>
            <w:vAlign w:val="center"/>
          </w:tcPr>
          <w:p>
            <w:pPr>
              <w:spacing w:line="500" w:lineRule="exact"/>
              <w:ind w:firstLine="470" w:firstLineChars="196"/>
              <w:rPr>
                <w:color w:val="auto"/>
                <w:sz w:val="24"/>
                <w:highlight w:val="none"/>
              </w:rPr>
            </w:pPr>
            <w:r>
              <w:rPr>
                <w:rFonts w:hint="eastAsia"/>
                <w:color w:val="auto"/>
                <w:sz w:val="24"/>
                <w:highlight w:val="none"/>
              </w:rPr>
              <w:t>分项报价合计（万元）：   大写：</w:t>
            </w:r>
          </w:p>
        </w:tc>
      </w:tr>
    </w:tbl>
    <w:p>
      <w:pPr>
        <w:rPr>
          <w:color w:val="auto"/>
          <w:highlight w:val="none"/>
        </w:rPr>
      </w:pPr>
    </w:p>
    <w:p>
      <w:pPr>
        <w:spacing w:line="500" w:lineRule="exact"/>
        <w:ind w:firstLine="470" w:firstLineChars="196"/>
        <w:rPr>
          <w:color w:val="auto"/>
          <w:sz w:val="24"/>
          <w:highlight w:val="none"/>
        </w:rPr>
      </w:pPr>
      <w:r>
        <w:rPr>
          <w:rFonts w:hint="eastAsia"/>
          <w:color w:val="auto"/>
          <w:sz w:val="24"/>
          <w:highlight w:val="none"/>
        </w:rPr>
        <w:t>注：1.</w:t>
      </w:r>
      <w:r>
        <w:rPr>
          <w:rFonts w:hint="eastAsia"/>
          <w:color w:val="auto"/>
          <w:sz w:val="24"/>
          <w:szCs w:val="24"/>
          <w:highlight w:val="none"/>
        </w:rPr>
        <w:t>以上表格格式行可增减。</w:t>
      </w:r>
    </w:p>
    <w:p>
      <w:pPr>
        <w:spacing w:line="500" w:lineRule="exact"/>
        <w:ind w:firstLine="480" w:firstLineChars="200"/>
        <w:rPr>
          <w:color w:val="auto"/>
          <w:sz w:val="24"/>
          <w:highlight w:val="none"/>
        </w:rPr>
      </w:pPr>
      <w:r>
        <w:rPr>
          <w:rFonts w:hint="eastAsia"/>
          <w:color w:val="auto"/>
          <w:sz w:val="24"/>
          <w:szCs w:val="22"/>
          <w:highlight w:val="none"/>
        </w:rPr>
        <w:t>2</w:t>
      </w:r>
      <w:r>
        <w:rPr>
          <w:rFonts w:hint="eastAsia"/>
          <w:color w:val="auto"/>
          <w:sz w:val="24"/>
          <w:highlight w:val="none"/>
        </w:rPr>
        <w:t>.供应商必须按“首轮报价表”的格式详细报出响应总价的各个组成部分的报价，否则作</w:t>
      </w:r>
      <w:r>
        <w:rPr>
          <w:rFonts w:hint="eastAsia"/>
          <w:color w:val="auto"/>
          <w:sz w:val="24"/>
          <w:szCs w:val="22"/>
          <w:highlight w:val="none"/>
        </w:rPr>
        <w:t>无效响应处理</w:t>
      </w:r>
      <w:r>
        <w:rPr>
          <w:rFonts w:hint="eastAsia"/>
          <w:color w:val="auto"/>
          <w:sz w:val="24"/>
          <w:highlight w:val="none"/>
        </w:rPr>
        <w:t>。</w:t>
      </w:r>
    </w:p>
    <w:p>
      <w:pPr>
        <w:rPr>
          <w:color w:val="auto"/>
          <w:highlight w:val="none"/>
        </w:rPr>
      </w:pPr>
    </w:p>
    <w:p>
      <w:pPr>
        <w:spacing w:line="400" w:lineRule="exact"/>
        <w:ind w:firstLine="420" w:firstLineChars="175"/>
        <w:rPr>
          <w:rFonts w:hAnsi="宋体"/>
          <w:color w:val="auto"/>
          <w:sz w:val="24"/>
          <w:szCs w:val="24"/>
          <w:highlight w:val="none"/>
        </w:rPr>
      </w:pPr>
      <w:r>
        <w:rPr>
          <w:rFonts w:hAnsi="宋体"/>
          <w:color w:val="auto"/>
          <w:sz w:val="24"/>
          <w:szCs w:val="24"/>
          <w:highlight w:val="none"/>
        </w:rPr>
        <w:t>供应商名称：         （盖章）</w:t>
      </w:r>
    </w:p>
    <w:p>
      <w:pPr>
        <w:spacing w:line="400" w:lineRule="exact"/>
        <w:ind w:firstLine="420" w:firstLineChars="175"/>
        <w:rPr>
          <w:rFonts w:hAnsi="宋体"/>
          <w:bCs/>
          <w:color w:val="auto"/>
          <w:sz w:val="24"/>
          <w:szCs w:val="24"/>
          <w:highlight w:val="none"/>
        </w:rPr>
      </w:pPr>
      <w:r>
        <w:rPr>
          <w:rFonts w:hint="eastAsia" w:hAnsi="宋体"/>
          <w:color w:val="auto"/>
          <w:sz w:val="24"/>
          <w:szCs w:val="24"/>
          <w:highlight w:val="none"/>
        </w:rPr>
        <w:t>法定代表人/负责人或授权代表（签名或加盖个人名章）</w:t>
      </w:r>
      <w:r>
        <w:rPr>
          <w:rFonts w:hAnsi="宋体"/>
          <w:bCs/>
          <w:color w:val="auto"/>
          <w:sz w:val="24"/>
          <w:szCs w:val="24"/>
          <w:highlight w:val="none"/>
        </w:rPr>
        <w:t>：</w:t>
      </w:r>
    </w:p>
    <w:p>
      <w:pPr>
        <w:spacing w:line="420" w:lineRule="exact"/>
        <w:ind w:firstLine="480" w:firstLineChars="200"/>
        <w:jc w:val="both"/>
        <w:rPr>
          <w:rFonts w:hAnsi="宋体"/>
          <w:bCs/>
          <w:color w:val="auto"/>
          <w:sz w:val="24"/>
          <w:szCs w:val="24"/>
          <w:highlight w:val="none"/>
        </w:rPr>
      </w:pPr>
      <w:r>
        <w:rPr>
          <w:rFonts w:hAnsi="宋体"/>
          <w:bCs/>
          <w:color w:val="auto"/>
          <w:sz w:val="24"/>
          <w:szCs w:val="24"/>
          <w:highlight w:val="none"/>
        </w:rPr>
        <w:t>日期:</w:t>
      </w:r>
    </w:p>
    <w:p>
      <w:pPr>
        <w:spacing w:line="420" w:lineRule="exact"/>
        <w:jc w:val="center"/>
        <w:outlineLvl w:val="1"/>
        <w:rPr>
          <w:rFonts w:hAnsi="宋体"/>
          <w:b/>
          <w:color w:val="auto"/>
          <w:sz w:val="24"/>
          <w:szCs w:val="24"/>
          <w:highlight w:val="none"/>
        </w:rPr>
      </w:pPr>
      <w:r>
        <w:rPr>
          <w:rFonts w:hAnsi="宋体"/>
          <w:b/>
          <w:color w:val="auto"/>
          <w:sz w:val="30"/>
          <w:szCs w:val="30"/>
          <w:highlight w:val="none"/>
        </w:rPr>
        <w:br w:type="page"/>
      </w:r>
      <w:r>
        <w:rPr>
          <w:rFonts w:hint="eastAsia" w:hAnsi="宋体"/>
          <w:b/>
          <w:color w:val="auto"/>
          <w:sz w:val="30"/>
          <w:szCs w:val="30"/>
          <w:highlight w:val="none"/>
        </w:rPr>
        <w:t>四、技术服务要求</w:t>
      </w:r>
      <w:r>
        <w:rPr>
          <w:rFonts w:hAnsi="宋体"/>
          <w:b/>
          <w:color w:val="auto"/>
          <w:sz w:val="30"/>
          <w:szCs w:val="30"/>
          <w:highlight w:val="none"/>
        </w:rPr>
        <w:t>响应/偏离表</w:t>
      </w:r>
    </w:p>
    <w:p>
      <w:pPr>
        <w:spacing w:after="120"/>
        <w:rPr>
          <w:rFonts w:hAnsi="宋体"/>
          <w:b/>
          <w:color w:val="auto"/>
          <w:sz w:val="24"/>
          <w:szCs w:val="24"/>
          <w:highlight w:val="none"/>
        </w:rPr>
      </w:pPr>
      <w:r>
        <w:rPr>
          <w:rFonts w:hAnsi="宋体"/>
          <w:b/>
          <w:color w:val="auto"/>
          <w:sz w:val="24"/>
          <w:szCs w:val="24"/>
          <w:highlight w:val="none"/>
        </w:rPr>
        <w:t>供应商名称：</w:t>
      </w:r>
      <w:r>
        <w:rPr>
          <w:rFonts w:hint="eastAsia" w:hAnsi="宋体"/>
          <w:b/>
          <w:color w:val="auto"/>
          <w:sz w:val="24"/>
          <w:szCs w:val="24"/>
          <w:highlight w:val="none"/>
        </w:rPr>
        <w:t xml:space="preserve">      项目编号</w:t>
      </w:r>
      <w:r>
        <w:rPr>
          <w:rFonts w:hAnsi="宋体"/>
          <w:b/>
          <w:color w:val="auto"/>
          <w:sz w:val="24"/>
          <w:szCs w:val="24"/>
          <w:highlight w:val="none"/>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994"/>
        <w:gridCol w:w="3827"/>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800" w:type="dxa"/>
            <w:vAlign w:val="center"/>
          </w:tcPr>
          <w:p>
            <w:pPr>
              <w:spacing w:before="60" w:after="60"/>
              <w:jc w:val="center"/>
              <w:rPr>
                <w:rFonts w:hAnsi="宋体"/>
                <w:color w:val="auto"/>
                <w:sz w:val="24"/>
                <w:szCs w:val="24"/>
                <w:highlight w:val="none"/>
              </w:rPr>
            </w:pPr>
            <w:r>
              <w:rPr>
                <w:rFonts w:hAnsi="宋体"/>
                <w:color w:val="auto"/>
                <w:sz w:val="24"/>
                <w:szCs w:val="24"/>
                <w:highlight w:val="none"/>
              </w:rPr>
              <w:t>序号</w:t>
            </w:r>
          </w:p>
        </w:tc>
        <w:tc>
          <w:tcPr>
            <w:tcW w:w="2994" w:type="dxa"/>
            <w:vAlign w:val="center"/>
          </w:tcPr>
          <w:p>
            <w:pPr>
              <w:spacing w:before="60" w:after="60"/>
              <w:jc w:val="center"/>
              <w:rPr>
                <w:rFonts w:hAnsi="宋体"/>
                <w:color w:val="auto"/>
                <w:sz w:val="24"/>
                <w:szCs w:val="24"/>
                <w:highlight w:val="none"/>
              </w:rPr>
            </w:pPr>
            <w:r>
              <w:rPr>
                <w:rFonts w:hAnsi="宋体"/>
                <w:color w:val="auto"/>
                <w:sz w:val="24"/>
                <w:szCs w:val="24"/>
                <w:highlight w:val="none"/>
              </w:rPr>
              <w:t>磋商文件要求</w:t>
            </w:r>
          </w:p>
        </w:tc>
        <w:tc>
          <w:tcPr>
            <w:tcW w:w="3827" w:type="dxa"/>
            <w:vAlign w:val="center"/>
          </w:tcPr>
          <w:p>
            <w:pPr>
              <w:spacing w:before="60" w:after="60"/>
              <w:jc w:val="center"/>
              <w:rPr>
                <w:rFonts w:hAnsi="宋体"/>
                <w:color w:val="auto"/>
                <w:sz w:val="24"/>
                <w:szCs w:val="24"/>
                <w:highlight w:val="none"/>
              </w:rPr>
            </w:pPr>
            <w:r>
              <w:rPr>
                <w:rFonts w:hAnsi="宋体"/>
                <w:color w:val="auto"/>
                <w:sz w:val="24"/>
                <w:szCs w:val="24"/>
                <w:highlight w:val="none"/>
              </w:rPr>
              <w:t>磋商响应文件响应说明</w:t>
            </w:r>
          </w:p>
        </w:tc>
        <w:tc>
          <w:tcPr>
            <w:tcW w:w="1561" w:type="dxa"/>
            <w:vAlign w:val="center"/>
          </w:tcPr>
          <w:p>
            <w:pPr>
              <w:spacing w:before="60" w:after="60"/>
              <w:jc w:val="center"/>
              <w:rPr>
                <w:rFonts w:hAnsi="宋体"/>
                <w:color w:val="auto"/>
                <w:sz w:val="24"/>
                <w:szCs w:val="24"/>
                <w:highlight w:val="none"/>
              </w:rPr>
            </w:pPr>
            <w:r>
              <w:rPr>
                <w:rFonts w:hAnsi="宋体"/>
                <w:color w:val="auto"/>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800" w:type="dxa"/>
            <w:vAlign w:val="center"/>
          </w:tcPr>
          <w:p>
            <w:pPr>
              <w:spacing w:before="120" w:after="120"/>
              <w:jc w:val="center"/>
              <w:rPr>
                <w:rFonts w:hAnsi="宋体"/>
                <w:color w:val="auto"/>
                <w:sz w:val="24"/>
                <w:szCs w:val="24"/>
                <w:highlight w:val="none"/>
              </w:rPr>
            </w:pPr>
          </w:p>
        </w:tc>
        <w:tc>
          <w:tcPr>
            <w:tcW w:w="2994" w:type="dxa"/>
            <w:vAlign w:val="center"/>
          </w:tcPr>
          <w:p>
            <w:pPr>
              <w:spacing w:before="120" w:after="120"/>
              <w:jc w:val="center"/>
              <w:rPr>
                <w:rFonts w:hAnsi="宋体"/>
                <w:color w:val="auto"/>
                <w:sz w:val="24"/>
                <w:szCs w:val="24"/>
                <w:highlight w:val="none"/>
              </w:rPr>
            </w:pPr>
          </w:p>
        </w:tc>
        <w:tc>
          <w:tcPr>
            <w:tcW w:w="3827" w:type="dxa"/>
            <w:vAlign w:val="center"/>
          </w:tcPr>
          <w:p>
            <w:pPr>
              <w:spacing w:before="120" w:after="120"/>
              <w:jc w:val="center"/>
              <w:rPr>
                <w:rFonts w:hAnsi="宋体"/>
                <w:color w:val="auto"/>
                <w:sz w:val="24"/>
                <w:szCs w:val="24"/>
                <w:highlight w:val="none"/>
              </w:rPr>
            </w:pPr>
          </w:p>
        </w:tc>
        <w:tc>
          <w:tcPr>
            <w:tcW w:w="1561" w:type="dxa"/>
            <w:vAlign w:val="center"/>
          </w:tcPr>
          <w:p>
            <w:pPr>
              <w:spacing w:before="120" w:after="120"/>
              <w:jc w:val="center"/>
              <w:rPr>
                <w:rFonts w:hAnsi="宋体"/>
                <w:color w:val="auto"/>
                <w:sz w:val="24"/>
                <w:szCs w:val="24"/>
                <w:highlight w:val="none"/>
              </w:rPr>
            </w:pPr>
          </w:p>
        </w:tc>
      </w:tr>
    </w:tbl>
    <w:p>
      <w:pPr>
        <w:spacing w:line="400" w:lineRule="exact"/>
        <w:rPr>
          <w:rFonts w:hAnsi="宋体"/>
          <w:color w:val="auto"/>
          <w:sz w:val="24"/>
          <w:szCs w:val="24"/>
          <w:highlight w:val="none"/>
        </w:rPr>
      </w:pPr>
      <w:r>
        <w:rPr>
          <w:rFonts w:hint="eastAsia" w:hAnsi="宋体"/>
          <w:color w:val="auto"/>
          <w:sz w:val="24"/>
          <w:szCs w:val="24"/>
          <w:highlight w:val="none"/>
        </w:rPr>
        <w:t>注：</w:t>
      </w:r>
    </w:p>
    <w:p>
      <w:pPr>
        <w:spacing w:line="400" w:lineRule="exact"/>
        <w:ind w:firstLine="480" w:firstLineChars="200"/>
        <w:rPr>
          <w:rFonts w:hAnsi="宋体"/>
          <w:color w:val="auto"/>
          <w:sz w:val="24"/>
          <w:szCs w:val="24"/>
          <w:highlight w:val="none"/>
        </w:rPr>
      </w:pPr>
      <w:r>
        <w:rPr>
          <w:rFonts w:hint="eastAsia" w:hAnsi="宋体"/>
          <w:color w:val="auto"/>
          <w:sz w:val="24"/>
          <w:szCs w:val="24"/>
          <w:highlight w:val="none"/>
        </w:rPr>
        <w:t>供应商必须据实填写，不得虚假应答，否则将取消其报价或成交资格。如与磋商文件所列服务要求相关条款无偏离，则无须逐条应答。如有偏离条款（包括正偏离和负偏离），请将偏离条款逐条应答。未明确偏离的条款，视为默认接受，供应商不得籍未作应答而拒不接受。</w:t>
      </w:r>
    </w:p>
    <w:p>
      <w:pPr>
        <w:pStyle w:val="23"/>
        <w:spacing w:line="580" w:lineRule="exact"/>
        <w:ind w:left="480" w:hanging="480" w:hangingChars="200"/>
        <w:rPr>
          <w:rFonts w:hint="default" w:hAnsi="宋体"/>
          <w:bCs/>
          <w:color w:val="auto"/>
          <w:sz w:val="24"/>
          <w:szCs w:val="24"/>
          <w:highlight w:val="none"/>
        </w:rPr>
      </w:pPr>
    </w:p>
    <w:p>
      <w:pPr>
        <w:spacing w:line="400" w:lineRule="exact"/>
        <w:ind w:firstLine="420" w:firstLineChars="175"/>
        <w:rPr>
          <w:rFonts w:hAnsi="宋体"/>
          <w:color w:val="auto"/>
          <w:sz w:val="24"/>
          <w:szCs w:val="24"/>
          <w:highlight w:val="none"/>
        </w:rPr>
      </w:pPr>
      <w:r>
        <w:rPr>
          <w:rFonts w:hAnsi="宋体"/>
          <w:color w:val="auto"/>
          <w:sz w:val="24"/>
          <w:szCs w:val="24"/>
          <w:highlight w:val="none"/>
        </w:rPr>
        <w:t>供应商名称：         （盖章）</w:t>
      </w:r>
    </w:p>
    <w:p>
      <w:pPr>
        <w:spacing w:line="400" w:lineRule="exact"/>
        <w:ind w:firstLine="420" w:firstLineChars="175"/>
        <w:rPr>
          <w:rFonts w:hAnsi="宋体"/>
          <w:bCs/>
          <w:color w:val="auto"/>
          <w:sz w:val="24"/>
          <w:szCs w:val="24"/>
          <w:highlight w:val="none"/>
        </w:rPr>
      </w:pPr>
      <w:r>
        <w:rPr>
          <w:rFonts w:hint="eastAsia" w:hAnsi="宋体"/>
          <w:color w:val="auto"/>
          <w:sz w:val="24"/>
          <w:szCs w:val="24"/>
          <w:highlight w:val="none"/>
        </w:rPr>
        <w:t>法定代表人/负责人或授权代表（签名或加盖个人名章）</w:t>
      </w:r>
      <w:r>
        <w:rPr>
          <w:rFonts w:hAnsi="宋体"/>
          <w:bCs/>
          <w:color w:val="auto"/>
          <w:sz w:val="24"/>
          <w:szCs w:val="24"/>
          <w:highlight w:val="none"/>
        </w:rPr>
        <w:t>：</w:t>
      </w:r>
    </w:p>
    <w:p>
      <w:pPr>
        <w:spacing w:line="400" w:lineRule="exact"/>
        <w:ind w:firstLine="420" w:firstLineChars="175"/>
        <w:rPr>
          <w:rFonts w:hAnsi="宋体"/>
          <w:b/>
          <w:color w:val="auto"/>
          <w:sz w:val="24"/>
          <w:szCs w:val="24"/>
          <w:highlight w:val="none"/>
        </w:rPr>
      </w:pPr>
      <w:r>
        <w:rPr>
          <w:rFonts w:hAnsi="宋体"/>
          <w:bCs/>
          <w:color w:val="auto"/>
          <w:sz w:val="24"/>
          <w:szCs w:val="24"/>
          <w:highlight w:val="none"/>
        </w:rPr>
        <w:t>报价日期:</w:t>
      </w:r>
    </w:p>
    <w:p>
      <w:pPr>
        <w:spacing w:line="420" w:lineRule="exact"/>
        <w:jc w:val="center"/>
        <w:outlineLvl w:val="1"/>
        <w:rPr>
          <w:rFonts w:hAnsi="宋体"/>
          <w:b/>
          <w:color w:val="auto"/>
          <w:sz w:val="24"/>
          <w:szCs w:val="24"/>
          <w:highlight w:val="none"/>
        </w:rPr>
      </w:pPr>
      <w:r>
        <w:rPr>
          <w:rFonts w:hAnsi="宋体"/>
          <w:b/>
          <w:color w:val="auto"/>
          <w:sz w:val="24"/>
          <w:szCs w:val="24"/>
          <w:highlight w:val="none"/>
        </w:rPr>
        <w:br w:type="page"/>
      </w:r>
      <w:r>
        <w:rPr>
          <w:rFonts w:hint="eastAsia" w:hAnsi="宋体"/>
          <w:b/>
          <w:color w:val="auto"/>
          <w:sz w:val="30"/>
          <w:szCs w:val="30"/>
          <w:highlight w:val="none"/>
        </w:rPr>
        <w:t>五</w:t>
      </w:r>
      <w:r>
        <w:rPr>
          <w:rFonts w:hAnsi="宋体"/>
          <w:b/>
          <w:color w:val="auto"/>
          <w:sz w:val="30"/>
          <w:szCs w:val="30"/>
          <w:highlight w:val="none"/>
        </w:rPr>
        <w:t>、商务要求响应/偏离表</w:t>
      </w:r>
    </w:p>
    <w:p>
      <w:pPr>
        <w:jc w:val="center"/>
        <w:rPr>
          <w:rFonts w:hAnsi="宋体"/>
          <w:color w:val="auto"/>
          <w:sz w:val="24"/>
          <w:szCs w:val="24"/>
          <w:highlight w:val="none"/>
        </w:rPr>
      </w:pPr>
    </w:p>
    <w:p>
      <w:pPr>
        <w:spacing w:after="120"/>
        <w:rPr>
          <w:rFonts w:hAnsi="宋体"/>
          <w:b/>
          <w:color w:val="auto"/>
          <w:sz w:val="24"/>
          <w:szCs w:val="24"/>
          <w:highlight w:val="none"/>
        </w:rPr>
      </w:pPr>
      <w:r>
        <w:rPr>
          <w:rFonts w:hAnsi="宋体"/>
          <w:b/>
          <w:color w:val="auto"/>
          <w:sz w:val="24"/>
          <w:szCs w:val="24"/>
          <w:highlight w:val="none"/>
        </w:rPr>
        <w:t>供应商名称：</w:t>
      </w:r>
      <w:r>
        <w:rPr>
          <w:rFonts w:hint="eastAsia" w:hAnsi="宋体"/>
          <w:b/>
          <w:color w:val="auto"/>
          <w:sz w:val="24"/>
          <w:szCs w:val="24"/>
          <w:highlight w:val="none"/>
        </w:rPr>
        <w:t xml:space="preserve">                项目编号</w:t>
      </w:r>
      <w:r>
        <w:rPr>
          <w:rFonts w:hAnsi="宋体"/>
          <w:b/>
          <w:color w:val="auto"/>
          <w:sz w:val="24"/>
          <w:szCs w:val="24"/>
          <w:highlight w:val="none"/>
        </w:rPr>
        <w:t>：</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328"/>
        <w:gridCol w:w="3563"/>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68" w:type="dxa"/>
            <w:vAlign w:val="center"/>
          </w:tcPr>
          <w:p>
            <w:pPr>
              <w:jc w:val="center"/>
              <w:rPr>
                <w:rFonts w:hAnsi="宋体"/>
                <w:color w:val="auto"/>
                <w:sz w:val="24"/>
                <w:szCs w:val="24"/>
                <w:highlight w:val="none"/>
              </w:rPr>
            </w:pPr>
            <w:r>
              <w:rPr>
                <w:rFonts w:hAnsi="宋体"/>
                <w:color w:val="auto"/>
                <w:sz w:val="24"/>
                <w:szCs w:val="24"/>
                <w:highlight w:val="none"/>
              </w:rPr>
              <w:t>序号</w:t>
            </w:r>
          </w:p>
        </w:tc>
        <w:tc>
          <w:tcPr>
            <w:tcW w:w="3328" w:type="dxa"/>
            <w:vAlign w:val="center"/>
          </w:tcPr>
          <w:p>
            <w:pPr>
              <w:ind w:firstLine="98" w:firstLineChars="41"/>
              <w:jc w:val="center"/>
              <w:rPr>
                <w:rFonts w:hAnsi="宋体"/>
                <w:color w:val="auto"/>
                <w:sz w:val="24"/>
                <w:szCs w:val="24"/>
                <w:highlight w:val="none"/>
              </w:rPr>
            </w:pPr>
            <w:r>
              <w:rPr>
                <w:rFonts w:hAnsi="宋体"/>
                <w:color w:val="auto"/>
                <w:sz w:val="24"/>
                <w:szCs w:val="24"/>
                <w:highlight w:val="none"/>
              </w:rPr>
              <w:t>磋商文件商务条款</w:t>
            </w:r>
          </w:p>
        </w:tc>
        <w:tc>
          <w:tcPr>
            <w:tcW w:w="3563" w:type="dxa"/>
            <w:vAlign w:val="center"/>
          </w:tcPr>
          <w:p>
            <w:pPr>
              <w:jc w:val="center"/>
              <w:rPr>
                <w:rFonts w:hAnsi="宋体"/>
                <w:color w:val="auto"/>
                <w:sz w:val="24"/>
                <w:szCs w:val="24"/>
                <w:highlight w:val="none"/>
              </w:rPr>
            </w:pPr>
            <w:r>
              <w:rPr>
                <w:rFonts w:hAnsi="宋体"/>
                <w:color w:val="auto"/>
                <w:sz w:val="24"/>
                <w:szCs w:val="24"/>
                <w:highlight w:val="none"/>
              </w:rPr>
              <w:t>磋商响应文件商务条款</w:t>
            </w:r>
          </w:p>
        </w:tc>
        <w:tc>
          <w:tcPr>
            <w:tcW w:w="1359" w:type="dxa"/>
            <w:vAlign w:val="center"/>
          </w:tcPr>
          <w:p>
            <w:pPr>
              <w:jc w:val="center"/>
              <w:rPr>
                <w:rFonts w:hAnsi="宋体"/>
                <w:color w:val="auto"/>
                <w:sz w:val="24"/>
                <w:szCs w:val="24"/>
                <w:highlight w:val="none"/>
              </w:rPr>
            </w:pPr>
            <w:r>
              <w:rPr>
                <w:rFonts w:hAnsi="宋体"/>
                <w:color w:val="auto"/>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68" w:type="dxa"/>
            <w:vAlign w:val="center"/>
          </w:tcPr>
          <w:p>
            <w:pPr>
              <w:jc w:val="center"/>
              <w:rPr>
                <w:rFonts w:hAnsi="宋体"/>
                <w:color w:val="auto"/>
                <w:sz w:val="24"/>
                <w:szCs w:val="24"/>
                <w:highlight w:val="none"/>
              </w:rPr>
            </w:pPr>
          </w:p>
        </w:tc>
        <w:tc>
          <w:tcPr>
            <w:tcW w:w="3328" w:type="dxa"/>
            <w:vAlign w:val="center"/>
          </w:tcPr>
          <w:p>
            <w:pPr>
              <w:jc w:val="center"/>
              <w:rPr>
                <w:rFonts w:hAnsi="宋体"/>
                <w:color w:val="auto"/>
                <w:sz w:val="24"/>
                <w:szCs w:val="24"/>
                <w:highlight w:val="none"/>
              </w:rPr>
            </w:pPr>
          </w:p>
        </w:tc>
        <w:tc>
          <w:tcPr>
            <w:tcW w:w="3563" w:type="dxa"/>
            <w:vAlign w:val="center"/>
          </w:tcPr>
          <w:p>
            <w:pPr>
              <w:jc w:val="center"/>
              <w:rPr>
                <w:rFonts w:hAnsi="宋体"/>
                <w:color w:val="auto"/>
                <w:sz w:val="24"/>
                <w:szCs w:val="24"/>
                <w:highlight w:val="none"/>
              </w:rPr>
            </w:pPr>
          </w:p>
        </w:tc>
        <w:tc>
          <w:tcPr>
            <w:tcW w:w="1359" w:type="dxa"/>
            <w:vAlign w:val="center"/>
          </w:tcPr>
          <w:p>
            <w:pPr>
              <w:jc w:val="center"/>
              <w:rPr>
                <w:rFonts w:hAnsi="宋体"/>
                <w:color w:val="auto"/>
                <w:sz w:val="24"/>
                <w:szCs w:val="24"/>
                <w:highlight w:val="none"/>
              </w:rPr>
            </w:pPr>
          </w:p>
        </w:tc>
      </w:tr>
    </w:tbl>
    <w:p>
      <w:pPr>
        <w:spacing w:before="120" w:after="120"/>
        <w:rPr>
          <w:rFonts w:hAnsi="宋体"/>
          <w:color w:val="auto"/>
          <w:sz w:val="24"/>
          <w:szCs w:val="24"/>
          <w:highlight w:val="none"/>
          <w:u w:val="single"/>
        </w:rPr>
      </w:pPr>
      <w:r>
        <w:rPr>
          <w:rFonts w:hint="eastAsia" w:hAnsi="宋体"/>
          <w:color w:val="auto"/>
          <w:sz w:val="24"/>
          <w:szCs w:val="24"/>
          <w:highlight w:val="none"/>
        </w:rPr>
        <w:t>本表只填写响应文件中与磋商文件有偏离（包括正偏离和负偏离）的内容，响应文件中商务响应与磋商文件要求完全一致的，不用在此表中列出。</w:t>
      </w:r>
    </w:p>
    <w:p>
      <w:pPr>
        <w:spacing w:line="400" w:lineRule="exact"/>
        <w:ind w:firstLine="420" w:firstLineChars="175"/>
        <w:rPr>
          <w:rFonts w:hAnsi="宋体"/>
          <w:color w:val="auto"/>
          <w:sz w:val="24"/>
          <w:szCs w:val="24"/>
          <w:highlight w:val="none"/>
        </w:rPr>
      </w:pPr>
      <w:r>
        <w:rPr>
          <w:rFonts w:hAnsi="宋体"/>
          <w:color w:val="auto"/>
          <w:sz w:val="24"/>
          <w:szCs w:val="24"/>
          <w:highlight w:val="none"/>
        </w:rPr>
        <w:t>供应商名称：         （盖章）</w:t>
      </w:r>
    </w:p>
    <w:p>
      <w:pPr>
        <w:spacing w:line="400" w:lineRule="exact"/>
        <w:ind w:firstLine="420" w:firstLineChars="175"/>
        <w:rPr>
          <w:rFonts w:hAnsi="宋体"/>
          <w:bCs/>
          <w:color w:val="auto"/>
          <w:sz w:val="24"/>
          <w:szCs w:val="24"/>
          <w:highlight w:val="none"/>
        </w:rPr>
      </w:pPr>
      <w:r>
        <w:rPr>
          <w:rFonts w:hint="eastAsia" w:hAnsi="宋体"/>
          <w:color w:val="auto"/>
          <w:sz w:val="24"/>
          <w:szCs w:val="24"/>
          <w:highlight w:val="none"/>
        </w:rPr>
        <w:t>法定代表人/负责人或授权代表（签名或加盖个人名章）</w:t>
      </w:r>
      <w:r>
        <w:rPr>
          <w:rFonts w:hAnsi="宋体"/>
          <w:bCs/>
          <w:color w:val="auto"/>
          <w:sz w:val="24"/>
          <w:szCs w:val="24"/>
          <w:highlight w:val="none"/>
        </w:rPr>
        <w:t>：</w:t>
      </w:r>
    </w:p>
    <w:p>
      <w:pPr>
        <w:spacing w:line="400" w:lineRule="exact"/>
        <w:ind w:firstLine="420" w:firstLineChars="175"/>
        <w:rPr>
          <w:rFonts w:hAnsi="宋体"/>
          <w:b/>
          <w:color w:val="auto"/>
          <w:sz w:val="24"/>
          <w:szCs w:val="24"/>
          <w:highlight w:val="none"/>
        </w:rPr>
      </w:pPr>
      <w:r>
        <w:rPr>
          <w:rFonts w:hAnsi="宋体"/>
          <w:bCs/>
          <w:color w:val="auto"/>
          <w:sz w:val="24"/>
          <w:szCs w:val="24"/>
          <w:highlight w:val="none"/>
        </w:rPr>
        <w:t>报价日期:</w:t>
      </w:r>
    </w:p>
    <w:p>
      <w:pPr>
        <w:pStyle w:val="23"/>
        <w:rPr>
          <w:rFonts w:hint="default" w:hAnsi="宋体"/>
          <w:color w:val="auto"/>
          <w:sz w:val="24"/>
          <w:szCs w:val="24"/>
          <w:highlight w:val="none"/>
        </w:rPr>
      </w:pPr>
    </w:p>
    <w:p>
      <w:pPr>
        <w:spacing w:line="480" w:lineRule="exact"/>
        <w:rPr>
          <w:rFonts w:hAnsi="宋体"/>
          <w:color w:val="auto"/>
          <w:highlight w:val="none"/>
          <w:u w:val="single"/>
        </w:rPr>
      </w:pPr>
      <w:bookmarkStart w:id="74" w:name="_Toc214858837"/>
      <w:bookmarkStart w:id="75" w:name="_Toc250042668"/>
      <w:bookmarkStart w:id="76" w:name="_Toc181520579"/>
    </w:p>
    <w:p>
      <w:pPr>
        <w:pStyle w:val="2"/>
        <w:rPr>
          <w:color w:val="auto"/>
          <w:highlight w:val="none"/>
        </w:rPr>
      </w:pP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t>六、中小企业声明函</w:t>
      </w:r>
    </w:p>
    <w:p>
      <w:pPr>
        <w:spacing w:line="420" w:lineRule="exact"/>
        <w:jc w:val="center"/>
        <w:rPr>
          <w:rFonts w:hAnsi="宋体"/>
          <w:b/>
          <w:color w:val="auto"/>
          <w:sz w:val="30"/>
          <w:szCs w:val="30"/>
          <w:highlight w:val="none"/>
        </w:rPr>
      </w:pP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本公司郑重声明，根据《政府采购促进中小企业发展管理办法》（财库〔2020〕46号）的规定，本公司参加</w:t>
      </w:r>
      <w:r>
        <w:rPr>
          <w:rFonts w:hint="eastAsia" w:hAnsi="宋体"/>
          <w:color w:val="auto"/>
          <w:sz w:val="24"/>
          <w:szCs w:val="24"/>
          <w:highlight w:val="none"/>
          <w:u w:val="single"/>
        </w:rPr>
        <w:t xml:space="preserve"> 单位名称 </w:t>
      </w:r>
      <w:r>
        <w:rPr>
          <w:rFonts w:hint="eastAsia" w:hAnsi="宋体"/>
          <w:color w:val="auto"/>
          <w:sz w:val="24"/>
          <w:szCs w:val="24"/>
          <w:highlight w:val="none"/>
        </w:rPr>
        <w:t>的</w:t>
      </w:r>
      <w:r>
        <w:rPr>
          <w:rFonts w:hint="eastAsia" w:hAnsi="宋体"/>
          <w:color w:val="auto"/>
          <w:sz w:val="24"/>
          <w:szCs w:val="24"/>
          <w:highlight w:val="none"/>
          <w:u w:val="single"/>
        </w:rPr>
        <w:t>（项目名称）</w:t>
      </w:r>
      <w:r>
        <w:rPr>
          <w:rFonts w:hint="eastAsia" w:hAnsi="宋体"/>
          <w:color w:val="auto"/>
          <w:sz w:val="24"/>
          <w:szCs w:val="24"/>
          <w:highlight w:val="none"/>
        </w:rPr>
        <w:t>采购活动，提供的货物全部由符合政策要求的中小企业制造。相关企业的具体情况如下：</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1.</w:t>
      </w:r>
      <w:r>
        <w:rPr>
          <w:rFonts w:hint="eastAsia" w:hAnsi="宋体"/>
          <w:color w:val="auto"/>
          <w:sz w:val="24"/>
          <w:szCs w:val="24"/>
          <w:highlight w:val="none"/>
          <w:u w:val="single"/>
        </w:rPr>
        <w:t>（标的名称）</w:t>
      </w:r>
      <w:r>
        <w:rPr>
          <w:rFonts w:hint="eastAsia" w:hAnsi="宋体"/>
          <w:color w:val="auto"/>
          <w:sz w:val="24"/>
          <w:szCs w:val="24"/>
          <w:highlight w:val="none"/>
        </w:rPr>
        <w:t>，属于</w:t>
      </w:r>
      <w:r>
        <w:rPr>
          <w:rFonts w:hint="eastAsia" w:hAnsi="宋体"/>
          <w:color w:val="auto"/>
          <w:sz w:val="24"/>
          <w:szCs w:val="24"/>
          <w:highlight w:val="none"/>
          <w:u w:val="single"/>
        </w:rPr>
        <w:t>（采购文件中明确的所属行业）</w:t>
      </w:r>
      <w:r>
        <w:rPr>
          <w:rFonts w:hint="eastAsia" w:hAnsi="宋体"/>
          <w:color w:val="auto"/>
          <w:sz w:val="24"/>
          <w:szCs w:val="24"/>
          <w:highlight w:val="none"/>
        </w:rPr>
        <w:t>行业；制造商为</w:t>
      </w:r>
      <w:r>
        <w:rPr>
          <w:rFonts w:hint="eastAsia" w:hAnsi="宋体"/>
          <w:color w:val="auto"/>
          <w:sz w:val="24"/>
          <w:szCs w:val="24"/>
          <w:highlight w:val="none"/>
          <w:u w:val="single"/>
        </w:rPr>
        <w:t>（企业名称）</w:t>
      </w:r>
      <w:r>
        <w:rPr>
          <w:rFonts w:hint="eastAsia" w:hAnsi="宋体"/>
          <w:color w:val="auto"/>
          <w:sz w:val="24"/>
          <w:szCs w:val="24"/>
          <w:highlight w:val="none"/>
        </w:rPr>
        <w:t>，从业人员</w:t>
      </w:r>
      <w:r>
        <w:rPr>
          <w:rFonts w:hint="eastAsia" w:hAnsi="宋体"/>
          <w:color w:val="auto"/>
          <w:sz w:val="24"/>
          <w:szCs w:val="24"/>
          <w:highlight w:val="none"/>
          <w:u w:val="single"/>
        </w:rPr>
        <w:t xml:space="preserve">       </w:t>
      </w:r>
      <w:r>
        <w:rPr>
          <w:rFonts w:hint="eastAsia" w:hAnsi="宋体"/>
          <w:color w:val="auto"/>
          <w:sz w:val="24"/>
          <w:szCs w:val="24"/>
          <w:highlight w:val="none"/>
        </w:rPr>
        <w:t>人，营业收入为</w:t>
      </w:r>
      <w:r>
        <w:rPr>
          <w:rFonts w:hint="eastAsia" w:hAnsi="宋体"/>
          <w:color w:val="auto"/>
          <w:sz w:val="24"/>
          <w:szCs w:val="24"/>
          <w:highlight w:val="none"/>
          <w:u w:val="single"/>
        </w:rPr>
        <w:t xml:space="preserve">     </w:t>
      </w:r>
      <w:r>
        <w:rPr>
          <w:rFonts w:hint="eastAsia" w:hAnsi="宋体"/>
          <w:color w:val="auto"/>
          <w:sz w:val="24"/>
          <w:szCs w:val="24"/>
          <w:highlight w:val="none"/>
        </w:rPr>
        <w:t>万元，资产总额</w:t>
      </w:r>
      <w:r>
        <w:rPr>
          <w:rFonts w:hint="eastAsia" w:hAnsi="宋体"/>
          <w:color w:val="auto"/>
          <w:sz w:val="24"/>
          <w:szCs w:val="24"/>
          <w:highlight w:val="none"/>
          <w:u w:val="single"/>
        </w:rPr>
        <w:t xml:space="preserve">     </w:t>
      </w:r>
      <w:r>
        <w:rPr>
          <w:rFonts w:hint="eastAsia" w:hAnsi="宋体"/>
          <w:color w:val="auto"/>
          <w:sz w:val="24"/>
          <w:szCs w:val="24"/>
          <w:highlight w:val="none"/>
        </w:rPr>
        <w:t>万元¹，属于</w:t>
      </w:r>
      <w:r>
        <w:rPr>
          <w:rFonts w:hint="eastAsia" w:hAnsi="宋体"/>
          <w:color w:val="auto"/>
          <w:sz w:val="24"/>
          <w:szCs w:val="24"/>
          <w:highlight w:val="none"/>
          <w:u w:val="single"/>
        </w:rPr>
        <w:t>（中型企业、小型企业、微型企业</w:t>
      </w:r>
      <w:r>
        <w:rPr>
          <w:rFonts w:hint="eastAsia" w:hAnsi="宋体"/>
          <w:color w:val="auto"/>
          <w:sz w:val="24"/>
          <w:szCs w:val="24"/>
          <w:highlight w:val="none"/>
        </w:rPr>
        <w:t>）；</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2.</w:t>
      </w:r>
      <w:r>
        <w:rPr>
          <w:rFonts w:hint="eastAsia" w:hAnsi="宋体"/>
          <w:color w:val="auto"/>
          <w:sz w:val="24"/>
          <w:szCs w:val="24"/>
          <w:highlight w:val="none"/>
          <w:u w:val="single"/>
        </w:rPr>
        <w:t xml:space="preserve"> （标的名称）</w:t>
      </w:r>
      <w:r>
        <w:rPr>
          <w:rFonts w:hint="eastAsia" w:hAnsi="宋体"/>
          <w:color w:val="auto"/>
          <w:sz w:val="24"/>
          <w:szCs w:val="24"/>
          <w:highlight w:val="none"/>
        </w:rPr>
        <w:t>，属于</w:t>
      </w:r>
      <w:r>
        <w:rPr>
          <w:rFonts w:hint="eastAsia" w:hAnsi="宋体"/>
          <w:color w:val="auto"/>
          <w:sz w:val="24"/>
          <w:szCs w:val="24"/>
          <w:highlight w:val="none"/>
          <w:u w:val="single"/>
        </w:rPr>
        <w:t>（采购文件中明确的所属行业）</w:t>
      </w:r>
      <w:r>
        <w:rPr>
          <w:rFonts w:hint="eastAsia" w:hAnsi="宋体"/>
          <w:color w:val="auto"/>
          <w:sz w:val="24"/>
          <w:szCs w:val="24"/>
          <w:highlight w:val="none"/>
        </w:rPr>
        <w:t>行业；制造商为</w:t>
      </w:r>
      <w:r>
        <w:rPr>
          <w:rFonts w:hint="eastAsia" w:hAnsi="宋体"/>
          <w:color w:val="auto"/>
          <w:sz w:val="24"/>
          <w:szCs w:val="24"/>
          <w:highlight w:val="none"/>
          <w:u w:val="single"/>
        </w:rPr>
        <w:t>（企业名称）</w:t>
      </w:r>
      <w:r>
        <w:rPr>
          <w:rFonts w:hint="eastAsia" w:hAnsi="宋体"/>
          <w:color w:val="auto"/>
          <w:sz w:val="24"/>
          <w:szCs w:val="24"/>
          <w:highlight w:val="none"/>
        </w:rPr>
        <w:t>，从业人员</w:t>
      </w:r>
      <w:r>
        <w:rPr>
          <w:rFonts w:hint="eastAsia" w:hAnsi="宋体"/>
          <w:color w:val="auto"/>
          <w:sz w:val="24"/>
          <w:szCs w:val="24"/>
          <w:highlight w:val="none"/>
          <w:u w:val="single"/>
        </w:rPr>
        <w:t xml:space="preserve">       </w:t>
      </w:r>
      <w:r>
        <w:rPr>
          <w:rFonts w:hint="eastAsia" w:hAnsi="宋体"/>
          <w:color w:val="auto"/>
          <w:sz w:val="24"/>
          <w:szCs w:val="24"/>
          <w:highlight w:val="none"/>
        </w:rPr>
        <w:t>人，营业收入为</w:t>
      </w:r>
      <w:r>
        <w:rPr>
          <w:rFonts w:hint="eastAsia" w:hAnsi="宋体"/>
          <w:color w:val="auto"/>
          <w:sz w:val="24"/>
          <w:szCs w:val="24"/>
          <w:highlight w:val="none"/>
          <w:u w:val="single"/>
        </w:rPr>
        <w:t xml:space="preserve">     </w:t>
      </w:r>
      <w:r>
        <w:rPr>
          <w:rFonts w:hint="eastAsia" w:hAnsi="宋体"/>
          <w:color w:val="auto"/>
          <w:sz w:val="24"/>
          <w:szCs w:val="24"/>
          <w:highlight w:val="none"/>
        </w:rPr>
        <w:t>万元，资产总额</w:t>
      </w:r>
      <w:r>
        <w:rPr>
          <w:rFonts w:hint="eastAsia" w:hAnsi="宋体"/>
          <w:color w:val="auto"/>
          <w:sz w:val="24"/>
          <w:szCs w:val="24"/>
          <w:highlight w:val="none"/>
          <w:u w:val="single"/>
        </w:rPr>
        <w:t xml:space="preserve">     </w:t>
      </w:r>
      <w:r>
        <w:rPr>
          <w:rFonts w:hint="eastAsia" w:hAnsi="宋体"/>
          <w:color w:val="auto"/>
          <w:sz w:val="24"/>
          <w:szCs w:val="24"/>
          <w:highlight w:val="none"/>
        </w:rPr>
        <w:t>万元¹，属于</w:t>
      </w:r>
      <w:r>
        <w:rPr>
          <w:rFonts w:hint="eastAsia" w:hAnsi="宋体"/>
          <w:color w:val="auto"/>
          <w:sz w:val="24"/>
          <w:szCs w:val="24"/>
          <w:highlight w:val="none"/>
          <w:u w:val="single"/>
        </w:rPr>
        <w:t>（中型企业、小型企业、微型企业</w:t>
      </w:r>
      <w:r>
        <w:rPr>
          <w:rFonts w:hint="eastAsia" w:hAnsi="宋体"/>
          <w:color w:val="auto"/>
          <w:sz w:val="24"/>
          <w:szCs w:val="24"/>
          <w:highlight w:val="none"/>
        </w:rPr>
        <w:t>）；</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以上企业，不属于大企业的分支机构，不存在控股股东为大企业的情形，也不存在与大企业的负责人为同一人的情形。</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本公司对上述声明的真实性负责。如有虚假，将依法承担相应责任。</w:t>
      </w: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r>
        <w:rPr>
          <w:rFonts w:hint="eastAsia" w:hAnsi="宋体"/>
          <w:color w:val="auto"/>
          <w:sz w:val="24"/>
          <w:szCs w:val="24"/>
          <w:highlight w:val="none"/>
        </w:rPr>
        <w:t>企业名称（盖章）：</w:t>
      </w:r>
    </w:p>
    <w:p>
      <w:pPr>
        <w:spacing w:line="500" w:lineRule="exact"/>
        <w:rPr>
          <w:rFonts w:hAnsi="宋体"/>
          <w:color w:val="auto"/>
          <w:sz w:val="24"/>
          <w:szCs w:val="24"/>
          <w:highlight w:val="none"/>
        </w:rPr>
      </w:pPr>
      <w:r>
        <w:rPr>
          <w:rFonts w:hint="eastAsia" w:hAnsi="宋体"/>
          <w:color w:val="auto"/>
          <w:sz w:val="24"/>
          <w:szCs w:val="24"/>
          <w:highlight w:val="none"/>
        </w:rPr>
        <w:t>日期：</w:t>
      </w: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r>
        <w:rPr>
          <w:rFonts w:hint="eastAsia" w:hAnsi="宋体"/>
          <w:color w:val="auto"/>
          <w:sz w:val="24"/>
          <w:szCs w:val="24"/>
          <w:highlight w:val="none"/>
        </w:rPr>
        <w:t>¹从业人员、营业收入、资产总额填报上一年度数据，无上一年度数据的新成立企业可不填报。</w:t>
      </w:r>
    </w:p>
    <w:p>
      <w:pPr>
        <w:spacing w:line="500" w:lineRule="exact"/>
        <w:rPr>
          <w:rFonts w:hAnsi="宋体"/>
          <w:color w:val="auto"/>
          <w:sz w:val="24"/>
          <w:szCs w:val="24"/>
          <w:highlight w:val="none"/>
        </w:rPr>
      </w:pPr>
    </w:p>
    <w:p>
      <w:pPr>
        <w:spacing w:line="500" w:lineRule="exact"/>
        <w:rPr>
          <w:rFonts w:hAnsi="宋体"/>
          <w:color w:val="auto"/>
          <w:sz w:val="24"/>
          <w:szCs w:val="24"/>
          <w:highlight w:val="none"/>
        </w:rPr>
      </w:pP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br w:type="page"/>
      </w:r>
      <w:r>
        <w:rPr>
          <w:rFonts w:hint="eastAsia" w:hAnsi="宋体"/>
          <w:b/>
          <w:color w:val="auto"/>
          <w:sz w:val="30"/>
          <w:szCs w:val="30"/>
          <w:highlight w:val="none"/>
        </w:rPr>
        <w:t>七、残疾人福利性单位声明函</w:t>
      </w:r>
    </w:p>
    <w:p>
      <w:pPr>
        <w:pStyle w:val="2"/>
        <w:rPr>
          <w:color w:val="auto"/>
          <w:highlight w:val="none"/>
        </w:rPr>
      </w:pPr>
    </w:p>
    <w:p>
      <w:pPr>
        <w:pStyle w:val="2"/>
        <w:spacing w:after="0" w:line="500" w:lineRule="exact"/>
        <w:ind w:firstLine="480" w:firstLineChars="200"/>
        <w:rPr>
          <w:color w:val="auto"/>
          <w:highlight w:val="none"/>
        </w:rPr>
      </w:pPr>
      <w:r>
        <w:rPr>
          <w:rFonts w:hint="eastAsia"/>
          <w:color w:val="auto"/>
          <w:highlight w:val="none"/>
        </w:rPr>
        <w:t>本单位郑重声明，</w:t>
      </w:r>
      <w:r>
        <w:rPr>
          <w:rFonts w:hint="eastAsia" w:ascii="宋体" w:hAnsi="宋体" w:cs="宋体"/>
          <w:color w:val="auto"/>
          <w:highlight w:val="none"/>
        </w:rPr>
        <w:t>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
        <w:spacing w:after="0" w:line="500" w:lineRule="exact"/>
        <w:ind w:firstLine="480" w:firstLineChars="200"/>
        <w:rPr>
          <w:color w:val="auto"/>
          <w:highlight w:val="none"/>
        </w:rPr>
      </w:pPr>
      <w:r>
        <w:rPr>
          <w:rFonts w:hint="eastAsia"/>
          <w:color w:val="auto"/>
          <w:highlight w:val="none"/>
        </w:rPr>
        <w:t>本单位对上述声明的真实性负责。如有虚假，将依法承担相应责任。</w:t>
      </w:r>
    </w:p>
    <w:p>
      <w:pPr>
        <w:pStyle w:val="2"/>
        <w:rPr>
          <w:color w:val="auto"/>
          <w:highlight w:val="none"/>
        </w:rPr>
      </w:pPr>
    </w:p>
    <w:p>
      <w:pPr>
        <w:pStyle w:val="2"/>
        <w:rPr>
          <w:color w:val="auto"/>
          <w:highlight w:val="none"/>
        </w:rPr>
      </w:pPr>
    </w:p>
    <w:p>
      <w:pPr>
        <w:pStyle w:val="2"/>
        <w:spacing w:after="0" w:line="500" w:lineRule="exact"/>
        <w:rPr>
          <w:color w:val="auto"/>
          <w:highlight w:val="none"/>
        </w:rPr>
      </w:pPr>
      <w:r>
        <w:rPr>
          <w:rFonts w:hint="eastAsia"/>
          <w:color w:val="auto"/>
          <w:highlight w:val="none"/>
        </w:rPr>
        <w:t>单位名称（盖章）：</w:t>
      </w:r>
    </w:p>
    <w:p>
      <w:pPr>
        <w:pStyle w:val="2"/>
        <w:spacing w:after="0" w:line="500" w:lineRule="exact"/>
        <w:rPr>
          <w:color w:val="auto"/>
          <w:highlight w:val="none"/>
        </w:rPr>
      </w:pPr>
      <w:r>
        <w:rPr>
          <w:rFonts w:hint="eastAsia"/>
          <w:color w:val="auto"/>
          <w:highlight w:val="none"/>
        </w:rPr>
        <w:t>日  期：</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32"/>
        <w:rPr>
          <w:color w:val="auto"/>
          <w:highlight w:val="none"/>
        </w:rPr>
      </w:pPr>
    </w:p>
    <w:p>
      <w:pPr>
        <w:spacing w:line="420" w:lineRule="exact"/>
        <w:jc w:val="center"/>
        <w:outlineLvl w:val="1"/>
        <w:rPr>
          <w:b/>
          <w:bCs/>
          <w:color w:val="auto"/>
          <w:sz w:val="30"/>
          <w:szCs w:val="30"/>
          <w:highlight w:val="none"/>
        </w:rPr>
      </w:pPr>
      <w:r>
        <w:rPr>
          <w:rFonts w:hint="eastAsia" w:hAnsi="宋体"/>
          <w:b/>
          <w:color w:val="auto"/>
          <w:sz w:val="30"/>
          <w:szCs w:val="30"/>
          <w:highlight w:val="none"/>
        </w:rPr>
        <w:br w:type="page"/>
      </w:r>
      <w:r>
        <w:rPr>
          <w:rFonts w:hint="eastAsia" w:hAnsi="宋体"/>
          <w:b/>
          <w:color w:val="auto"/>
          <w:sz w:val="30"/>
          <w:szCs w:val="30"/>
          <w:highlight w:val="none"/>
        </w:rPr>
        <w:t>八、</w:t>
      </w:r>
      <w:r>
        <w:rPr>
          <w:rFonts w:hint="eastAsia"/>
          <w:b/>
          <w:bCs/>
          <w:color w:val="auto"/>
          <w:sz w:val="30"/>
          <w:szCs w:val="30"/>
          <w:highlight w:val="none"/>
        </w:rPr>
        <w:t>监狱企业证明材料</w:t>
      </w:r>
    </w:p>
    <w:p>
      <w:pPr>
        <w:spacing w:line="420" w:lineRule="exact"/>
        <w:jc w:val="center"/>
        <w:rPr>
          <w:rFonts w:hAnsi="宋体"/>
          <w:b/>
          <w:color w:val="auto"/>
          <w:sz w:val="30"/>
          <w:szCs w:val="30"/>
          <w:highlight w:val="none"/>
        </w:rPr>
      </w:pPr>
    </w:p>
    <w:p>
      <w:pPr>
        <w:rPr>
          <w:color w:val="auto"/>
          <w:highlight w:val="none"/>
        </w:rPr>
      </w:pPr>
    </w:p>
    <w:p>
      <w:pPr>
        <w:spacing w:line="560" w:lineRule="exact"/>
        <w:rPr>
          <w:rFonts w:hAnsi="宋体"/>
          <w:color w:val="auto"/>
          <w:spacing w:val="6"/>
          <w:sz w:val="24"/>
          <w:szCs w:val="24"/>
          <w:highlight w:val="none"/>
        </w:rPr>
      </w:pPr>
      <w:r>
        <w:rPr>
          <w:rFonts w:hint="eastAsia" w:hAnsi="宋体"/>
          <w:color w:val="auto"/>
          <w:spacing w:val="6"/>
          <w:sz w:val="24"/>
          <w:szCs w:val="24"/>
          <w:highlight w:val="none"/>
        </w:rPr>
        <w:t>监狱企业提供政府采购活动时，应提供由省级以上监狱管理局、戒毒管理局（含新疆生产建设兵团）出具的属于监狱企业的证明文件复印件。</w:t>
      </w:r>
    </w:p>
    <w:p>
      <w:pPr>
        <w:spacing w:line="560" w:lineRule="exact"/>
        <w:rPr>
          <w:rFonts w:hAnsi="宋体"/>
          <w:color w:val="auto"/>
          <w:spacing w:val="6"/>
          <w:sz w:val="24"/>
          <w:szCs w:val="24"/>
          <w:highlight w:val="none"/>
        </w:rPr>
      </w:pP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br w:type="page"/>
      </w:r>
      <w:r>
        <w:rPr>
          <w:rFonts w:hint="eastAsia" w:hAnsi="宋体"/>
          <w:b/>
          <w:color w:val="auto"/>
          <w:sz w:val="30"/>
          <w:szCs w:val="30"/>
          <w:highlight w:val="none"/>
        </w:rPr>
        <w:t>九</w:t>
      </w:r>
      <w:r>
        <w:rPr>
          <w:rFonts w:hAnsi="宋体"/>
          <w:b/>
          <w:color w:val="auto"/>
          <w:sz w:val="30"/>
          <w:szCs w:val="30"/>
          <w:highlight w:val="none"/>
        </w:rPr>
        <w:t>、</w:t>
      </w:r>
      <w:r>
        <w:rPr>
          <w:rFonts w:hint="eastAsia" w:hAnsi="宋体"/>
          <w:b/>
          <w:color w:val="auto"/>
          <w:sz w:val="30"/>
          <w:szCs w:val="30"/>
          <w:highlight w:val="none"/>
        </w:rPr>
        <w:t>服务计划</w:t>
      </w:r>
      <w:r>
        <w:rPr>
          <w:rFonts w:hAnsi="宋体"/>
          <w:b/>
          <w:color w:val="auto"/>
          <w:sz w:val="30"/>
          <w:szCs w:val="30"/>
          <w:highlight w:val="none"/>
        </w:rPr>
        <w:t>及承诺</w:t>
      </w:r>
      <w:bookmarkEnd w:id="74"/>
      <w:bookmarkEnd w:id="75"/>
      <w:bookmarkEnd w:id="76"/>
    </w:p>
    <w:p>
      <w:pPr>
        <w:pStyle w:val="23"/>
        <w:jc w:val="center"/>
        <w:rPr>
          <w:rFonts w:hint="default" w:hAnsi="宋体"/>
          <w:b/>
          <w:color w:val="auto"/>
          <w:sz w:val="24"/>
          <w:szCs w:val="24"/>
          <w:highlight w:val="none"/>
        </w:rPr>
      </w:pPr>
    </w:p>
    <w:p>
      <w:pPr>
        <w:pStyle w:val="23"/>
        <w:jc w:val="center"/>
        <w:rPr>
          <w:rFonts w:hint="default" w:hAnsi="宋体"/>
          <w:b/>
          <w:color w:val="auto"/>
          <w:sz w:val="24"/>
          <w:szCs w:val="24"/>
          <w:highlight w:val="none"/>
        </w:rPr>
      </w:pPr>
    </w:p>
    <w:p>
      <w:pPr>
        <w:pStyle w:val="23"/>
        <w:jc w:val="center"/>
        <w:rPr>
          <w:rFonts w:hint="default" w:hAnsi="宋体"/>
          <w:b/>
          <w:color w:val="auto"/>
          <w:sz w:val="24"/>
          <w:szCs w:val="24"/>
          <w:highlight w:val="none"/>
        </w:rPr>
      </w:pPr>
    </w:p>
    <w:p>
      <w:pPr>
        <w:spacing w:line="360" w:lineRule="auto"/>
        <w:rPr>
          <w:rFonts w:hAnsi="宋体"/>
          <w:color w:val="auto"/>
          <w:sz w:val="24"/>
          <w:szCs w:val="24"/>
          <w:highlight w:val="none"/>
          <w:u w:val="single"/>
        </w:rPr>
      </w:pPr>
      <w:r>
        <w:rPr>
          <w:rFonts w:hAnsi="宋体"/>
          <w:color w:val="auto"/>
          <w:sz w:val="24"/>
          <w:szCs w:val="24"/>
          <w:highlight w:val="none"/>
        </w:rPr>
        <w:t>项目名称：</w:t>
      </w:r>
    </w:p>
    <w:p>
      <w:pPr>
        <w:spacing w:line="360" w:lineRule="auto"/>
        <w:rPr>
          <w:rFonts w:hAnsi="宋体"/>
          <w:color w:val="auto"/>
          <w:sz w:val="24"/>
          <w:szCs w:val="24"/>
          <w:highlight w:val="none"/>
          <w:u w:val="single"/>
        </w:rPr>
      </w:pPr>
      <w:r>
        <w:rPr>
          <w:rFonts w:hint="eastAsia" w:hAnsi="宋体"/>
          <w:color w:val="auto"/>
          <w:sz w:val="24"/>
          <w:szCs w:val="24"/>
          <w:highlight w:val="none"/>
        </w:rPr>
        <w:t>项目</w:t>
      </w:r>
      <w:r>
        <w:rPr>
          <w:rFonts w:hAnsi="宋体"/>
          <w:color w:val="auto"/>
          <w:sz w:val="24"/>
          <w:szCs w:val="24"/>
          <w:highlight w:val="none"/>
        </w:rPr>
        <w:t>编号：</w:t>
      </w: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spacing w:line="360" w:lineRule="auto"/>
        <w:rPr>
          <w:rFonts w:hAnsi="宋体"/>
          <w:color w:val="auto"/>
          <w:sz w:val="24"/>
          <w:szCs w:val="24"/>
          <w:highlight w:val="none"/>
        </w:rPr>
      </w:pPr>
    </w:p>
    <w:p>
      <w:pPr>
        <w:spacing w:line="360" w:lineRule="auto"/>
        <w:ind w:firstLine="460" w:firstLineChars="192"/>
        <w:rPr>
          <w:rFonts w:hAnsi="宋体"/>
          <w:color w:val="auto"/>
          <w:sz w:val="24"/>
          <w:szCs w:val="24"/>
          <w:highlight w:val="none"/>
        </w:rPr>
      </w:pPr>
      <w:r>
        <w:rPr>
          <w:rFonts w:hAnsi="宋体"/>
          <w:color w:val="auto"/>
          <w:sz w:val="24"/>
          <w:szCs w:val="24"/>
          <w:highlight w:val="none"/>
        </w:rPr>
        <w:t>供应商名称：</w:t>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rPr>
        <w:t>(盖章)</w:t>
      </w:r>
      <w:bookmarkStart w:id="77" w:name="_Toc218498604"/>
      <w:bookmarkStart w:id="78" w:name="_Toc214858838"/>
    </w:p>
    <w:p>
      <w:pPr>
        <w:spacing w:line="360" w:lineRule="auto"/>
        <w:ind w:firstLine="460" w:firstLineChars="192"/>
        <w:rPr>
          <w:rFonts w:hAnsi="宋体"/>
          <w:color w:val="auto"/>
          <w:sz w:val="24"/>
          <w:szCs w:val="24"/>
          <w:highlight w:val="none"/>
        </w:rPr>
      </w:pPr>
      <w:r>
        <w:rPr>
          <w:rFonts w:hint="eastAsia" w:hAnsi="宋体"/>
          <w:color w:val="auto"/>
          <w:sz w:val="24"/>
          <w:szCs w:val="24"/>
          <w:highlight w:val="none"/>
        </w:rPr>
        <w:t>法定代表人/负责人或授权代表</w:t>
      </w:r>
      <w:r>
        <w:rPr>
          <w:rFonts w:hAnsi="宋体"/>
          <w:color w:val="auto"/>
          <w:sz w:val="24"/>
          <w:szCs w:val="24"/>
          <w:highlight w:val="none"/>
        </w:rPr>
        <w:t>：</w:t>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r>
        <w:rPr>
          <w:rFonts w:hAnsi="宋体"/>
          <w:color w:val="auto"/>
          <w:sz w:val="24"/>
          <w:szCs w:val="24"/>
          <w:highlight w:val="none"/>
          <w:u w:val="single"/>
        </w:rPr>
        <w:tab/>
      </w:r>
      <w:bookmarkEnd w:id="77"/>
      <w:bookmarkEnd w:id="78"/>
      <w:bookmarkStart w:id="79" w:name="_Toc182649175"/>
      <w:bookmarkEnd w:id="79"/>
      <w:bookmarkStart w:id="80" w:name="_Toc182726216"/>
      <w:bookmarkEnd w:id="80"/>
      <w:bookmarkStart w:id="81" w:name="_Toc182649366"/>
      <w:bookmarkEnd w:id="81"/>
      <w:bookmarkStart w:id="82" w:name="_Toc182276000"/>
      <w:bookmarkEnd w:id="82"/>
      <w:bookmarkStart w:id="83" w:name="_Toc182042567"/>
      <w:bookmarkEnd w:id="83"/>
      <w:bookmarkStart w:id="84" w:name="_Toc182649847"/>
      <w:bookmarkEnd w:id="84"/>
      <w:bookmarkStart w:id="85" w:name="_Toc182275992"/>
      <w:bookmarkEnd w:id="85"/>
      <w:bookmarkStart w:id="86" w:name="_Toc182648586"/>
      <w:bookmarkEnd w:id="86"/>
      <w:bookmarkStart w:id="87" w:name="_Toc182711695"/>
      <w:bookmarkEnd w:id="87"/>
      <w:bookmarkStart w:id="88" w:name="_Toc182712004"/>
      <w:bookmarkEnd w:id="88"/>
      <w:bookmarkStart w:id="89" w:name="_Toc182712009"/>
      <w:bookmarkEnd w:id="89"/>
      <w:bookmarkStart w:id="90" w:name="_Toc182042701"/>
      <w:bookmarkEnd w:id="90"/>
      <w:bookmarkStart w:id="91" w:name="_Toc182711696"/>
      <w:bookmarkEnd w:id="91"/>
      <w:bookmarkStart w:id="92" w:name="_Toc182712005"/>
      <w:bookmarkEnd w:id="92"/>
      <w:bookmarkStart w:id="93" w:name="_Toc182711693"/>
      <w:bookmarkEnd w:id="93"/>
      <w:bookmarkStart w:id="94" w:name="_Toc182044591"/>
      <w:bookmarkEnd w:id="94"/>
      <w:bookmarkStart w:id="95" w:name="_Toc182712001"/>
      <w:bookmarkEnd w:id="95"/>
      <w:bookmarkStart w:id="96" w:name="_Toc182712002"/>
      <w:bookmarkEnd w:id="96"/>
      <w:bookmarkStart w:id="97" w:name="_Toc182275993"/>
      <w:bookmarkEnd w:id="97"/>
      <w:bookmarkStart w:id="98" w:name="_Toc182712010"/>
      <w:bookmarkEnd w:id="98"/>
      <w:bookmarkStart w:id="99" w:name="_Toc182649367"/>
      <w:bookmarkEnd w:id="99"/>
      <w:bookmarkStart w:id="100" w:name="_Toc182044585"/>
      <w:bookmarkEnd w:id="100"/>
      <w:bookmarkStart w:id="101" w:name="_Toc182711701"/>
      <w:bookmarkEnd w:id="101"/>
      <w:bookmarkStart w:id="102" w:name="_Toc182042571"/>
      <w:bookmarkEnd w:id="102"/>
      <w:bookmarkStart w:id="103" w:name="_Toc182648595"/>
      <w:bookmarkEnd w:id="103"/>
      <w:bookmarkStart w:id="104" w:name="_Toc182649851"/>
      <w:bookmarkEnd w:id="104"/>
      <w:bookmarkStart w:id="105" w:name="_Toc182275999"/>
      <w:bookmarkEnd w:id="105"/>
      <w:bookmarkStart w:id="106" w:name="_Toc182726214"/>
      <w:bookmarkEnd w:id="106"/>
      <w:bookmarkStart w:id="107" w:name="_Toc182648590"/>
      <w:bookmarkEnd w:id="107"/>
      <w:bookmarkStart w:id="108" w:name="_Toc182042564"/>
      <w:bookmarkEnd w:id="108"/>
      <w:bookmarkStart w:id="109" w:name="_Toc182711692"/>
      <w:bookmarkEnd w:id="109"/>
      <w:bookmarkStart w:id="110" w:name="_Toc182649179"/>
      <w:bookmarkEnd w:id="110"/>
      <w:bookmarkStart w:id="111" w:name="_Toc182726213"/>
      <w:bookmarkEnd w:id="111"/>
      <w:bookmarkStart w:id="112" w:name="_Toc182042693"/>
      <w:bookmarkEnd w:id="112"/>
      <w:bookmarkStart w:id="113" w:name="_Toc182042696"/>
      <w:bookmarkEnd w:id="113"/>
      <w:bookmarkStart w:id="114" w:name="_Toc182044588"/>
      <w:bookmarkEnd w:id="114"/>
      <w:bookmarkStart w:id="115" w:name="_Toc182275996"/>
      <w:bookmarkEnd w:id="115"/>
      <w:bookmarkStart w:id="116" w:name="_Toc182649370"/>
      <w:bookmarkEnd w:id="116"/>
      <w:bookmarkStart w:id="117" w:name="_Toc182648587"/>
      <w:bookmarkEnd w:id="117"/>
      <w:bookmarkStart w:id="118" w:name="_Toc182649176"/>
      <w:bookmarkEnd w:id="118"/>
      <w:bookmarkStart w:id="119" w:name="_Toc182726217"/>
      <w:bookmarkEnd w:id="119"/>
      <w:bookmarkStart w:id="120" w:name="_Toc182649848"/>
      <w:bookmarkEnd w:id="120"/>
      <w:bookmarkStart w:id="121" w:name="_Toc182042570"/>
      <w:bookmarkEnd w:id="121"/>
      <w:bookmarkStart w:id="122" w:name="_Toc182042699"/>
      <w:bookmarkEnd w:id="122"/>
      <w:bookmarkStart w:id="123" w:name="_Toc182649363"/>
      <w:bookmarkEnd w:id="123"/>
      <w:bookmarkStart w:id="124" w:name="_Toc182648593"/>
      <w:bookmarkEnd w:id="124"/>
      <w:bookmarkStart w:id="125" w:name="_Toc182649182"/>
      <w:bookmarkEnd w:id="125"/>
      <w:bookmarkStart w:id="126" w:name="_Toc182711689"/>
      <w:bookmarkEnd w:id="126"/>
      <w:bookmarkStart w:id="127" w:name="_Toc182649364"/>
      <w:bookmarkEnd w:id="127"/>
      <w:bookmarkStart w:id="128" w:name="_Toc182649856"/>
      <w:bookmarkEnd w:id="128"/>
      <w:bookmarkStart w:id="129" w:name="_Toc182649184"/>
      <w:bookmarkEnd w:id="129"/>
      <w:bookmarkStart w:id="130" w:name="_Toc182712008"/>
      <w:bookmarkEnd w:id="130"/>
      <w:bookmarkStart w:id="131" w:name="_Toc182649844"/>
      <w:bookmarkEnd w:id="131"/>
      <w:bookmarkStart w:id="132" w:name="_Toc182649173"/>
      <w:bookmarkEnd w:id="132"/>
      <w:bookmarkStart w:id="133" w:name="_Toc182649373"/>
      <w:bookmarkEnd w:id="133"/>
      <w:bookmarkStart w:id="134" w:name="_Toc182711998"/>
      <w:bookmarkEnd w:id="134"/>
      <w:bookmarkStart w:id="135" w:name="_Toc182649172"/>
      <w:bookmarkEnd w:id="135"/>
      <w:bookmarkStart w:id="136" w:name="_Toc182044581"/>
      <w:bookmarkEnd w:id="136"/>
      <w:bookmarkStart w:id="137" w:name="_Toc182042560"/>
      <w:bookmarkEnd w:id="137"/>
      <w:bookmarkStart w:id="138" w:name="_Toc182726222"/>
      <w:bookmarkEnd w:id="138"/>
      <w:bookmarkStart w:id="139" w:name="_Toc182726220"/>
      <w:bookmarkEnd w:id="139"/>
      <w:bookmarkStart w:id="140" w:name="_Toc182275990"/>
      <w:bookmarkEnd w:id="140"/>
      <w:bookmarkStart w:id="141" w:name="_Toc182649845"/>
      <w:bookmarkEnd w:id="141"/>
      <w:bookmarkStart w:id="142" w:name="_Toc182042694"/>
      <w:bookmarkEnd w:id="142"/>
      <w:bookmarkStart w:id="143" w:name="_Toc182042689"/>
      <w:bookmarkEnd w:id="143"/>
      <w:bookmarkStart w:id="144" w:name="_Toc182711699"/>
      <w:bookmarkEnd w:id="144"/>
      <w:bookmarkStart w:id="145" w:name="_Toc182042565"/>
      <w:bookmarkEnd w:id="145"/>
      <w:bookmarkStart w:id="146" w:name="_Toc182649375"/>
      <w:bookmarkEnd w:id="146"/>
      <w:bookmarkStart w:id="147" w:name="_Toc182649854"/>
      <w:bookmarkEnd w:id="147"/>
      <w:bookmarkStart w:id="148" w:name="_Toc182044582"/>
      <w:bookmarkEnd w:id="148"/>
      <w:bookmarkStart w:id="149" w:name="_Toc182042690"/>
      <w:bookmarkEnd w:id="149"/>
      <w:bookmarkStart w:id="150" w:name="_Toc182648584"/>
      <w:bookmarkEnd w:id="150"/>
      <w:bookmarkStart w:id="151" w:name="_Toc182042561"/>
      <w:bookmarkEnd w:id="151"/>
      <w:bookmarkStart w:id="152" w:name="_Toc182726210"/>
      <w:bookmarkEnd w:id="152"/>
      <w:bookmarkStart w:id="153" w:name="_Toc182648583"/>
      <w:bookmarkEnd w:id="153"/>
      <w:bookmarkStart w:id="154" w:name="_Toc182275989"/>
      <w:bookmarkEnd w:id="154"/>
      <w:bookmarkStart w:id="155" w:name="_Toc182042691"/>
      <w:bookmarkEnd w:id="155"/>
      <w:bookmarkStart w:id="156" w:name="_Toc182649849"/>
      <w:bookmarkEnd w:id="156"/>
      <w:bookmarkStart w:id="157" w:name="_Toc182648588"/>
      <w:bookmarkEnd w:id="157"/>
      <w:bookmarkStart w:id="158" w:name="_Toc182711999"/>
      <w:bookmarkEnd w:id="158"/>
      <w:bookmarkStart w:id="159" w:name="_Toc182711690"/>
      <w:bookmarkEnd w:id="159"/>
      <w:bookmarkStart w:id="160" w:name="_Toc182275995"/>
      <w:bookmarkEnd w:id="160"/>
      <w:bookmarkStart w:id="161" w:name="_Toc182726211"/>
      <w:bookmarkEnd w:id="161"/>
      <w:bookmarkStart w:id="162" w:name="_Toc182649177"/>
      <w:bookmarkEnd w:id="162"/>
      <w:bookmarkStart w:id="163" w:name="_Toc182042563"/>
      <w:bookmarkEnd w:id="163"/>
      <w:bookmarkStart w:id="164" w:name="_Toc182042692"/>
      <w:bookmarkEnd w:id="164"/>
      <w:bookmarkStart w:id="165" w:name="_Toc182044592"/>
      <w:bookmarkEnd w:id="165"/>
      <w:bookmarkStart w:id="166" w:name="_Toc182044593"/>
      <w:bookmarkEnd w:id="166"/>
      <w:bookmarkStart w:id="167" w:name="_Toc182649368"/>
      <w:bookmarkEnd w:id="167"/>
      <w:bookmarkStart w:id="168" w:name="_Toc182044586"/>
      <w:bookmarkEnd w:id="168"/>
      <w:bookmarkStart w:id="169" w:name="_Toc182648589"/>
      <w:bookmarkEnd w:id="169"/>
      <w:bookmarkStart w:id="170" w:name="_Toc182649850"/>
      <w:bookmarkEnd w:id="170"/>
      <w:bookmarkStart w:id="171" w:name="_Toc182649183"/>
      <w:bookmarkEnd w:id="171"/>
      <w:bookmarkStart w:id="172" w:name="_Toc182648594"/>
      <w:bookmarkEnd w:id="172"/>
      <w:bookmarkStart w:id="173" w:name="_Toc182711694"/>
      <w:bookmarkEnd w:id="173"/>
      <w:bookmarkStart w:id="174" w:name="_Toc182649374"/>
      <w:bookmarkEnd w:id="174"/>
      <w:bookmarkStart w:id="175" w:name="_Toc182042562"/>
      <w:bookmarkEnd w:id="175"/>
      <w:bookmarkStart w:id="176" w:name="_Toc182648585"/>
      <w:bookmarkEnd w:id="176"/>
      <w:bookmarkStart w:id="177" w:name="_Toc182042700"/>
      <w:bookmarkEnd w:id="177"/>
      <w:bookmarkStart w:id="178" w:name="_Toc182712003"/>
      <w:bookmarkEnd w:id="178"/>
      <w:bookmarkStart w:id="179" w:name="_Toc182711700"/>
      <w:bookmarkEnd w:id="179"/>
      <w:bookmarkStart w:id="180" w:name="_Toc182649178"/>
      <w:bookmarkEnd w:id="180"/>
      <w:bookmarkStart w:id="181" w:name="_Toc182726212"/>
      <w:bookmarkEnd w:id="181"/>
      <w:bookmarkStart w:id="182" w:name="_Toc182275994"/>
      <w:bookmarkEnd w:id="182"/>
      <w:bookmarkStart w:id="183" w:name="_Toc182649174"/>
      <w:bookmarkEnd w:id="183"/>
      <w:bookmarkStart w:id="184" w:name="_Toc182275991"/>
      <w:bookmarkEnd w:id="184"/>
      <w:bookmarkStart w:id="185" w:name="_Toc182649369"/>
      <w:bookmarkEnd w:id="185"/>
      <w:bookmarkStart w:id="186" w:name="_Toc182044583"/>
      <w:bookmarkEnd w:id="186"/>
      <w:bookmarkStart w:id="187" w:name="_Toc182711691"/>
      <w:bookmarkEnd w:id="187"/>
      <w:bookmarkStart w:id="188" w:name="_Toc182044587"/>
      <w:bookmarkEnd w:id="188"/>
      <w:bookmarkStart w:id="189" w:name="_Toc182649855"/>
      <w:bookmarkEnd w:id="189"/>
      <w:bookmarkStart w:id="190" w:name="_Toc182042572"/>
      <w:bookmarkEnd w:id="190"/>
      <w:bookmarkStart w:id="191" w:name="_Toc182726221"/>
      <w:bookmarkEnd w:id="191"/>
      <w:bookmarkStart w:id="192" w:name="_Toc182042566"/>
      <w:bookmarkEnd w:id="192"/>
      <w:bookmarkStart w:id="193" w:name="_Toc182712000"/>
      <w:bookmarkEnd w:id="193"/>
      <w:bookmarkStart w:id="194" w:name="_Toc182044584"/>
      <w:bookmarkEnd w:id="194"/>
      <w:bookmarkStart w:id="195" w:name="_Toc182042695"/>
      <w:bookmarkEnd w:id="195"/>
      <w:bookmarkStart w:id="196" w:name="_Toc182649365"/>
      <w:bookmarkEnd w:id="196"/>
      <w:bookmarkStart w:id="197" w:name="_Toc182649846"/>
      <w:bookmarkEnd w:id="197"/>
      <w:bookmarkStart w:id="198" w:name="_Toc182276001"/>
      <w:bookmarkEnd w:id="198"/>
      <w:bookmarkStart w:id="199" w:name="_Toc182726215"/>
      <w:bookmarkEnd w:id="199"/>
      <w:r>
        <w:rPr>
          <w:rFonts w:hint="eastAsia" w:hAnsi="宋体"/>
          <w:color w:val="auto"/>
          <w:sz w:val="24"/>
          <w:szCs w:val="24"/>
          <w:highlight w:val="none"/>
        </w:rPr>
        <w:t>（签名或加盖个人名章）</w:t>
      </w:r>
    </w:p>
    <w:p>
      <w:pPr>
        <w:spacing w:line="360" w:lineRule="auto"/>
        <w:ind w:firstLine="460" w:firstLineChars="192"/>
        <w:rPr>
          <w:rFonts w:hAnsi="宋体"/>
          <w:color w:val="auto"/>
          <w:sz w:val="24"/>
          <w:szCs w:val="24"/>
          <w:highlight w:val="none"/>
        </w:rPr>
      </w:pPr>
      <w:r>
        <w:rPr>
          <w:rFonts w:hAnsi="宋体"/>
          <w:color w:val="auto"/>
          <w:sz w:val="24"/>
          <w:szCs w:val="24"/>
          <w:highlight w:val="none"/>
        </w:rPr>
        <w:t>日期：年月日</w:t>
      </w:r>
    </w:p>
    <w:p>
      <w:pPr>
        <w:pStyle w:val="2"/>
        <w:rPr>
          <w:color w:val="auto"/>
          <w:highlight w:val="none"/>
        </w:rPr>
      </w:pPr>
    </w:p>
    <w:p>
      <w:pPr>
        <w:pStyle w:val="2"/>
        <w:rPr>
          <w:color w:val="auto"/>
          <w:highlight w:val="none"/>
        </w:rPr>
        <w:sectPr>
          <w:pgSz w:w="11906" w:h="16838"/>
          <w:pgMar w:top="1361" w:right="1417" w:bottom="1474" w:left="1361" w:header="851" w:footer="992" w:gutter="0"/>
          <w:cols w:space="720" w:num="1"/>
          <w:docGrid w:type="lines" w:linePitch="488" w:charSpace="0"/>
        </w:sectPr>
      </w:pPr>
    </w:p>
    <w:p>
      <w:pPr>
        <w:spacing w:line="420" w:lineRule="exact"/>
        <w:jc w:val="center"/>
        <w:outlineLvl w:val="1"/>
        <w:rPr>
          <w:rFonts w:hAnsi="宋体"/>
          <w:b/>
          <w:color w:val="auto"/>
          <w:sz w:val="30"/>
          <w:szCs w:val="30"/>
          <w:highlight w:val="none"/>
        </w:rPr>
      </w:pPr>
      <w:r>
        <w:rPr>
          <w:rFonts w:hint="eastAsia" w:hAnsi="宋体"/>
          <w:b/>
          <w:color w:val="auto"/>
          <w:sz w:val="30"/>
          <w:szCs w:val="30"/>
          <w:highlight w:val="none"/>
        </w:rPr>
        <w:t>十、磋商文件要求提供的其他相关资料</w:t>
      </w:r>
    </w:p>
    <w:p>
      <w:pPr>
        <w:spacing w:line="420" w:lineRule="exact"/>
        <w:jc w:val="center"/>
        <w:rPr>
          <w:color w:val="auto"/>
          <w:highlight w:val="none"/>
        </w:rPr>
        <w:sectPr>
          <w:pgSz w:w="11906" w:h="16838"/>
          <w:pgMar w:top="1361" w:right="1417" w:bottom="1474" w:left="1361" w:header="851" w:footer="992" w:gutter="0"/>
          <w:cols w:space="720" w:num="1"/>
          <w:docGrid w:type="lines" w:linePitch="488" w:charSpace="0"/>
        </w:sectPr>
      </w:pPr>
      <w:r>
        <w:rPr>
          <w:rFonts w:hAnsi="宋体"/>
          <w:color w:val="auto"/>
          <w:sz w:val="30"/>
          <w:szCs w:val="30"/>
          <w:highlight w:val="none"/>
        </w:rPr>
        <w:t>(</w:t>
      </w:r>
      <w:r>
        <w:rPr>
          <w:rFonts w:hint="eastAsia" w:hAnsi="宋体"/>
          <w:color w:val="auto"/>
          <w:sz w:val="30"/>
          <w:szCs w:val="30"/>
          <w:highlight w:val="none"/>
        </w:rPr>
        <w:t>格式不限</w:t>
      </w:r>
      <w:r>
        <w:rPr>
          <w:rFonts w:hAnsi="宋体"/>
          <w:color w:val="auto"/>
          <w:sz w:val="30"/>
          <w:szCs w:val="30"/>
          <w:highlight w:val="none"/>
        </w:rPr>
        <w:t>)</w:t>
      </w:r>
    </w:p>
    <w:p>
      <w:pPr>
        <w:pStyle w:val="3"/>
        <w:numPr>
          <w:ilvl w:val="0"/>
          <w:numId w:val="0"/>
        </w:numPr>
        <w:rPr>
          <w:color w:val="auto"/>
          <w:highlight w:val="none"/>
        </w:rPr>
      </w:pPr>
      <w:bookmarkStart w:id="200" w:name="_Toc21072"/>
      <w:bookmarkStart w:id="201" w:name="_Toc1564"/>
      <w:bookmarkStart w:id="202" w:name="_Toc482367678"/>
      <w:r>
        <w:rPr>
          <w:rFonts w:hint="eastAsia"/>
          <w:color w:val="auto"/>
          <w:highlight w:val="none"/>
        </w:rPr>
        <w:t>第八章报价表（第    次）</w:t>
      </w:r>
      <w:bookmarkEnd w:id="200"/>
      <w:bookmarkEnd w:id="201"/>
      <w:bookmarkEnd w:id="202"/>
    </w:p>
    <w:p>
      <w:pPr>
        <w:spacing w:line="400" w:lineRule="exact"/>
        <w:rPr>
          <w:rFonts w:hAnsi="宋体"/>
          <w:color w:val="auto"/>
          <w:sz w:val="24"/>
          <w:highlight w:val="none"/>
        </w:rPr>
      </w:pPr>
      <w:r>
        <w:rPr>
          <w:rFonts w:hint="eastAsia" w:hAnsi="宋体"/>
          <w:color w:val="auto"/>
          <w:sz w:val="24"/>
          <w:highlight w:val="none"/>
        </w:rPr>
        <w:t>项目编号：</w:t>
      </w:r>
    </w:p>
    <w:p>
      <w:pPr>
        <w:spacing w:line="400" w:lineRule="exact"/>
        <w:rPr>
          <w:rFonts w:hAnsi="宋体"/>
          <w:b/>
          <w:bCs/>
          <w:color w:val="auto"/>
          <w:sz w:val="24"/>
          <w:highlight w:val="none"/>
        </w:rPr>
      </w:pPr>
      <w:r>
        <w:rPr>
          <w:rFonts w:hint="eastAsia" w:hAnsi="宋体" w:cs="宋体"/>
          <w:color w:val="auto"/>
          <w:sz w:val="24"/>
          <w:szCs w:val="24"/>
          <w:highlight w:val="none"/>
        </w:rPr>
        <w:t>项目名称：</w:t>
      </w:r>
    </w:p>
    <w:tbl>
      <w:tblPr>
        <w:tblStyle w:val="44"/>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3677"/>
        <w:gridCol w:w="297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779" w:type="dxa"/>
            <w:vAlign w:val="center"/>
          </w:tcPr>
          <w:p>
            <w:pPr>
              <w:spacing w:line="500" w:lineRule="exact"/>
              <w:jc w:val="center"/>
              <w:rPr>
                <w:color w:val="auto"/>
                <w:sz w:val="24"/>
                <w:highlight w:val="none"/>
              </w:rPr>
            </w:pPr>
            <w:r>
              <w:rPr>
                <w:rFonts w:hint="eastAsia"/>
                <w:color w:val="auto"/>
                <w:sz w:val="24"/>
                <w:highlight w:val="none"/>
              </w:rPr>
              <w:t>序号</w:t>
            </w:r>
          </w:p>
        </w:tc>
        <w:tc>
          <w:tcPr>
            <w:tcW w:w="3677" w:type="dxa"/>
            <w:vAlign w:val="center"/>
          </w:tcPr>
          <w:p>
            <w:pPr>
              <w:spacing w:line="500" w:lineRule="exact"/>
              <w:jc w:val="center"/>
              <w:rPr>
                <w:color w:val="auto"/>
                <w:sz w:val="24"/>
                <w:highlight w:val="none"/>
              </w:rPr>
            </w:pPr>
            <w:r>
              <w:rPr>
                <w:rFonts w:hint="eastAsia"/>
                <w:color w:val="auto"/>
                <w:sz w:val="24"/>
                <w:highlight w:val="none"/>
              </w:rPr>
              <w:t>项目名称</w:t>
            </w:r>
          </w:p>
        </w:tc>
        <w:tc>
          <w:tcPr>
            <w:tcW w:w="2975" w:type="dxa"/>
            <w:vAlign w:val="center"/>
          </w:tcPr>
          <w:p>
            <w:pPr>
              <w:spacing w:line="500" w:lineRule="exact"/>
              <w:jc w:val="center"/>
              <w:rPr>
                <w:color w:val="auto"/>
                <w:sz w:val="24"/>
                <w:highlight w:val="none"/>
              </w:rPr>
            </w:pPr>
            <w:r>
              <w:rPr>
                <w:rFonts w:hint="eastAsia"/>
                <w:color w:val="auto"/>
                <w:sz w:val="24"/>
                <w:highlight w:val="none"/>
              </w:rPr>
              <w:t>响应报价</w:t>
            </w:r>
          </w:p>
          <w:p>
            <w:pPr>
              <w:spacing w:line="500" w:lineRule="exact"/>
              <w:jc w:val="center"/>
              <w:rPr>
                <w:color w:val="auto"/>
                <w:sz w:val="24"/>
                <w:highlight w:val="none"/>
              </w:rPr>
            </w:pPr>
            <w:r>
              <w:rPr>
                <w:rFonts w:hint="eastAsia"/>
                <w:color w:val="auto"/>
                <w:sz w:val="24"/>
                <w:highlight w:val="none"/>
              </w:rPr>
              <w:t>（元）</w:t>
            </w:r>
          </w:p>
        </w:tc>
        <w:tc>
          <w:tcPr>
            <w:tcW w:w="1479" w:type="dxa"/>
            <w:vAlign w:val="center"/>
          </w:tcPr>
          <w:p>
            <w:pPr>
              <w:spacing w:line="500" w:lineRule="exact"/>
              <w:ind w:left="-14" w:leftChars="-4" w:firstLine="84" w:firstLineChars="35"/>
              <w:jc w:val="center"/>
              <w:rPr>
                <w:color w:val="auto"/>
                <w:sz w:val="24"/>
                <w:highlight w:val="none"/>
              </w:rPr>
            </w:pPr>
            <w:r>
              <w:rPr>
                <w:rFonts w:hint="eastAsia"/>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779" w:type="dxa"/>
            <w:vAlign w:val="center"/>
          </w:tcPr>
          <w:p>
            <w:pPr>
              <w:spacing w:line="500" w:lineRule="exact"/>
              <w:jc w:val="center"/>
              <w:rPr>
                <w:color w:val="auto"/>
                <w:sz w:val="24"/>
                <w:highlight w:val="none"/>
              </w:rPr>
            </w:pPr>
          </w:p>
        </w:tc>
        <w:tc>
          <w:tcPr>
            <w:tcW w:w="3677" w:type="dxa"/>
            <w:vAlign w:val="center"/>
          </w:tcPr>
          <w:p>
            <w:pPr>
              <w:spacing w:line="500" w:lineRule="exact"/>
              <w:jc w:val="center"/>
              <w:rPr>
                <w:color w:val="auto"/>
                <w:sz w:val="24"/>
                <w:highlight w:val="none"/>
              </w:rPr>
            </w:pPr>
          </w:p>
        </w:tc>
        <w:tc>
          <w:tcPr>
            <w:tcW w:w="2975" w:type="dxa"/>
            <w:vAlign w:val="center"/>
          </w:tcPr>
          <w:p>
            <w:pPr>
              <w:spacing w:line="500" w:lineRule="exact"/>
              <w:jc w:val="center"/>
              <w:rPr>
                <w:color w:val="auto"/>
                <w:sz w:val="24"/>
                <w:highlight w:val="none"/>
              </w:rPr>
            </w:pPr>
          </w:p>
        </w:tc>
        <w:tc>
          <w:tcPr>
            <w:tcW w:w="1479" w:type="dxa"/>
            <w:vAlign w:val="center"/>
          </w:tcPr>
          <w:p>
            <w:pPr>
              <w:spacing w:line="5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4456" w:type="dxa"/>
            <w:gridSpan w:val="2"/>
            <w:vAlign w:val="center"/>
          </w:tcPr>
          <w:p>
            <w:pPr>
              <w:spacing w:line="500" w:lineRule="exact"/>
              <w:jc w:val="center"/>
              <w:rPr>
                <w:color w:val="auto"/>
                <w:sz w:val="24"/>
                <w:highlight w:val="none"/>
              </w:rPr>
            </w:pPr>
            <w:r>
              <w:rPr>
                <w:rFonts w:hint="eastAsia"/>
                <w:color w:val="auto"/>
                <w:sz w:val="24"/>
                <w:highlight w:val="none"/>
              </w:rPr>
              <w:t>合计</w:t>
            </w:r>
          </w:p>
        </w:tc>
        <w:tc>
          <w:tcPr>
            <w:tcW w:w="4455" w:type="dxa"/>
            <w:gridSpan w:val="2"/>
            <w:vAlign w:val="center"/>
          </w:tcPr>
          <w:p>
            <w:pPr>
              <w:spacing w:line="500" w:lineRule="exact"/>
              <w:jc w:val="both"/>
              <w:rPr>
                <w:color w:val="auto"/>
                <w:sz w:val="24"/>
                <w:highlight w:val="none"/>
              </w:rPr>
            </w:pPr>
            <w:r>
              <w:rPr>
                <w:rFonts w:hint="eastAsia"/>
                <w:color w:val="auto"/>
                <w:sz w:val="24"/>
                <w:highlight w:val="none"/>
              </w:rPr>
              <w:t>小写（元）：</w:t>
            </w:r>
          </w:p>
          <w:p>
            <w:pPr>
              <w:spacing w:line="500" w:lineRule="exact"/>
              <w:jc w:val="both"/>
              <w:rPr>
                <w:color w:val="auto"/>
                <w:sz w:val="24"/>
                <w:highlight w:val="none"/>
              </w:rPr>
            </w:pPr>
            <w:r>
              <w:rPr>
                <w:rFonts w:hint="eastAsia"/>
                <w:color w:val="auto"/>
                <w:sz w:val="24"/>
                <w:highlight w:val="none"/>
              </w:rPr>
              <w:t>大写（元）：</w:t>
            </w:r>
          </w:p>
        </w:tc>
      </w:tr>
    </w:tbl>
    <w:p>
      <w:pPr>
        <w:adjustRightInd w:val="0"/>
        <w:spacing w:line="400" w:lineRule="exact"/>
        <w:rPr>
          <w:rFonts w:hAnsi="宋体"/>
          <w:color w:val="auto"/>
          <w:sz w:val="24"/>
          <w:highlight w:val="none"/>
        </w:rPr>
      </w:pPr>
    </w:p>
    <w:p>
      <w:pPr>
        <w:pStyle w:val="2"/>
        <w:rPr>
          <w:rFonts w:hAnsi="宋体"/>
          <w:color w:val="auto"/>
          <w:highlight w:val="none"/>
        </w:rPr>
      </w:pPr>
    </w:p>
    <w:p>
      <w:pPr>
        <w:adjustRightInd w:val="0"/>
        <w:spacing w:line="400" w:lineRule="exact"/>
        <w:rPr>
          <w:rFonts w:hAnsi="宋体"/>
          <w:color w:val="auto"/>
          <w:sz w:val="24"/>
          <w:highlight w:val="none"/>
          <w:u w:val="single"/>
        </w:rPr>
      </w:pPr>
      <w:r>
        <w:rPr>
          <w:rFonts w:hint="eastAsia" w:hAnsi="宋体"/>
          <w:color w:val="auto"/>
          <w:sz w:val="24"/>
          <w:highlight w:val="none"/>
        </w:rPr>
        <w:t>供应商名称：</w:t>
      </w:r>
      <w:r>
        <w:rPr>
          <w:rFonts w:hint="eastAsia" w:hAnsi="宋体"/>
          <w:color w:val="auto"/>
          <w:sz w:val="24"/>
          <w:highlight w:val="none"/>
          <w:u w:val="single"/>
        </w:rPr>
        <w:t>（全称并加盖公章）</w:t>
      </w:r>
    </w:p>
    <w:p>
      <w:pPr>
        <w:adjustRightInd w:val="0"/>
        <w:spacing w:line="400" w:lineRule="exact"/>
        <w:rPr>
          <w:rFonts w:hAnsi="宋体"/>
          <w:color w:val="auto"/>
          <w:sz w:val="24"/>
          <w:highlight w:val="none"/>
        </w:rPr>
      </w:pPr>
      <w:r>
        <w:rPr>
          <w:rFonts w:hint="eastAsia" w:hAnsi="宋体"/>
          <w:color w:val="auto"/>
          <w:sz w:val="24"/>
          <w:highlight w:val="none"/>
        </w:rPr>
        <w:t>法定代表人或授权代表（签名）：___________________</w:t>
      </w:r>
    </w:p>
    <w:p>
      <w:pPr>
        <w:adjustRightInd w:val="0"/>
        <w:spacing w:line="400" w:lineRule="exact"/>
        <w:rPr>
          <w:rFonts w:hAnsi="宋体"/>
          <w:color w:val="auto"/>
          <w:sz w:val="24"/>
          <w:highlight w:val="none"/>
        </w:rPr>
      </w:pPr>
      <w:r>
        <w:rPr>
          <w:rFonts w:hint="eastAsia" w:hAnsi="宋体"/>
          <w:color w:val="auto"/>
          <w:sz w:val="24"/>
          <w:highlight w:val="none"/>
        </w:rPr>
        <w:t>日 期：</w:t>
      </w:r>
    </w:p>
    <w:p>
      <w:pPr>
        <w:pStyle w:val="2"/>
        <w:rPr>
          <w:color w:val="auto"/>
          <w:highlight w:val="none"/>
        </w:rPr>
      </w:pPr>
    </w:p>
    <w:p>
      <w:pPr>
        <w:pStyle w:val="2"/>
        <w:spacing w:after="0" w:line="400" w:lineRule="exact"/>
        <w:rPr>
          <w:rFonts w:ascii="宋体" w:hAnsi="宋体"/>
          <w:color w:val="auto"/>
          <w:highlight w:val="none"/>
        </w:rPr>
      </w:pPr>
      <w:r>
        <w:rPr>
          <w:rFonts w:hint="eastAsia" w:ascii="宋体" w:hAnsi="宋体"/>
          <w:color w:val="auto"/>
          <w:highlight w:val="none"/>
        </w:rPr>
        <w:t>注：</w:t>
      </w:r>
    </w:p>
    <w:p>
      <w:pPr>
        <w:spacing w:line="500" w:lineRule="exact"/>
        <w:ind w:firstLine="480" w:firstLineChars="200"/>
        <w:rPr>
          <w:rFonts w:hAnsi="宋体"/>
          <w:color w:val="auto"/>
          <w:sz w:val="24"/>
          <w:szCs w:val="24"/>
          <w:highlight w:val="none"/>
        </w:rPr>
      </w:pPr>
      <w:r>
        <w:rPr>
          <w:rFonts w:hAnsi="宋体"/>
          <w:color w:val="auto"/>
          <w:sz w:val="24"/>
          <w:szCs w:val="24"/>
          <w:highlight w:val="none"/>
        </w:rPr>
        <w:t>1</w:t>
      </w:r>
      <w:r>
        <w:rPr>
          <w:rFonts w:hint="eastAsia" w:hAnsi="宋体"/>
          <w:color w:val="auto"/>
          <w:sz w:val="24"/>
          <w:szCs w:val="24"/>
          <w:highlight w:val="none"/>
        </w:rPr>
        <w:t>.</w:t>
      </w:r>
      <w:r>
        <w:rPr>
          <w:rFonts w:hint="eastAsia" w:cs="宋体"/>
          <w:color w:val="auto"/>
          <w:sz w:val="24"/>
          <w:highlight w:val="none"/>
        </w:rPr>
        <w:t>供应商所报的价格已包含本项目产生的一切费用</w:t>
      </w:r>
      <w:r>
        <w:rPr>
          <w:rFonts w:hint="eastAsia" w:hAnsi="宋体"/>
          <w:color w:val="auto"/>
          <w:sz w:val="24"/>
          <w:szCs w:val="24"/>
          <w:highlight w:val="none"/>
        </w:rPr>
        <w:t>。</w:t>
      </w:r>
    </w:p>
    <w:p>
      <w:pPr>
        <w:spacing w:line="500" w:lineRule="exact"/>
        <w:ind w:firstLine="480" w:firstLineChars="200"/>
        <w:rPr>
          <w:rFonts w:hAnsi="宋体"/>
          <w:color w:val="auto"/>
          <w:sz w:val="24"/>
          <w:szCs w:val="24"/>
          <w:highlight w:val="none"/>
        </w:rPr>
      </w:pPr>
      <w:r>
        <w:rPr>
          <w:rFonts w:hint="eastAsia" w:hAnsi="宋体"/>
          <w:color w:val="auto"/>
          <w:sz w:val="24"/>
          <w:szCs w:val="24"/>
          <w:highlight w:val="none"/>
        </w:rPr>
        <w:t>2.“报价表”为多页的，每页均需由法定代表人或授权代表签字并盖供应商印章。</w:t>
      </w:r>
    </w:p>
    <w:p>
      <w:pPr>
        <w:pStyle w:val="16"/>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hint="eastAsia" w:hAnsi="宋体"/>
          <w:color w:val="auto"/>
          <w:sz w:val="24"/>
          <w:szCs w:val="24"/>
          <w:highlight w:val="none"/>
        </w:rPr>
        <w:t>最终报价总价应是各产品合计的价格，成交供应商与采购人签订合同时各产品最终价格不能超过文件中首轮报价明细表的报价。</w:t>
      </w:r>
    </w:p>
    <w:p>
      <w:pPr>
        <w:pStyle w:val="16"/>
        <w:spacing w:line="500" w:lineRule="exact"/>
        <w:ind w:firstLine="480" w:firstLineChars="200"/>
        <w:rPr>
          <w:rFonts w:ascii="宋体" w:hAnsi="宋体"/>
          <w:b/>
          <w:bCs/>
          <w:color w:val="auto"/>
          <w:sz w:val="24"/>
          <w:szCs w:val="24"/>
          <w:highlight w:val="none"/>
        </w:rPr>
      </w:pPr>
      <w:r>
        <w:rPr>
          <w:rFonts w:hint="eastAsia" w:ascii="宋体" w:hAnsi="宋体"/>
          <w:color w:val="auto"/>
          <w:sz w:val="24"/>
          <w:szCs w:val="24"/>
          <w:highlight w:val="none"/>
        </w:rPr>
        <w:t>4.</w:t>
      </w:r>
      <w:r>
        <w:rPr>
          <w:rFonts w:hint="eastAsia" w:ascii="宋体" w:hAnsi="宋体"/>
          <w:b/>
          <w:bCs/>
          <w:color w:val="auto"/>
          <w:sz w:val="24"/>
          <w:szCs w:val="24"/>
          <w:highlight w:val="none"/>
        </w:rPr>
        <w:t>请供应商将此页打印出来盖章签名，方便资格审核后进行现场报价。</w:t>
      </w:r>
    </w:p>
    <w:p>
      <w:pPr>
        <w:pStyle w:val="2"/>
        <w:rPr>
          <w:color w:val="auto"/>
          <w:highlight w:val="none"/>
        </w:rPr>
      </w:pPr>
    </w:p>
    <w:p>
      <w:pPr>
        <w:pStyle w:val="32"/>
        <w:rPr>
          <w:color w:val="auto"/>
          <w:highlight w:val="none"/>
        </w:rPr>
        <w:sectPr>
          <w:pgSz w:w="11906" w:h="16838"/>
          <w:pgMar w:top="1361" w:right="1417" w:bottom="1474" w:left="1361" w:header="851" w:footer="992" w:gutter="0"/>
          <w:cols w:space="720" w:num="1"/>
          <w:docGrid w:type="lines" w:linePitch="488" w:charSpace="0"/>
        </w:sectPr>
      </w:pPr>
    </w:p>
    <w:p>
      <w:pPr>
        <w:outlineLvl w:val="0"/>
        <w:rPr>
          <w:b/>
          <w:color w:val="auto"/>
          <w:sz w:val="32"/>
          <w:szCs w:val="32"/>
          <w:highlight w:val="none"/>
        </w:rPr>
      </w:pPr>
      <w:bookmarkStart w:id="203" w:name="_Toc9408"/>
      <w:r>
        <w:rPr>
          <w:rFonts w:hint="eastAsia"/>
          <w:b/>
          <w:color w:val="auto"/>
          <w:sz w:val="32"/>
          <w:szCs w:val="32"/>
          <w:highlight w:val="none"/>
        </w:rPr>
        <w:t>附件一：报名登记表</w:t>
      </w:r>
      <w:bookmarkEnd w:id="203"/>
    </w:p>
    <w:p>
      <w:pPr>
        <w:jc w:val="center"/>
        <w:rPr>
          <w:b/>
          <w:color w:val="auto"/>
          <w:sz w:val="32"/>
          <w:szCs w:val="32"/>
          <w:highlight w:val="none"/>
        </w:rPr>
      </w:pPr>
      <w:r>
        <w:rPr>
          <w:rFonts w:hint="eastAsia"/>
          <w:b/>
          <w:color w:val="auto"/>
          <w:sz w:val="32"/>
          <w:szCs w:val="32"/>
          <w:highlight w:val="none"/>
        </w:rPr>
        <w:t>报名登记表</w:t>
      </w:r>
    </w:p>
    <w:p>
      <w:pPr>
        <w:ind w:firstLine="118" w:firstLineChars="49"/>
        <w:rPr>
          <w:rFonts w:hAnsi="宋体"/>
          <w:b/>
          <w:color w:val="auto"/>
          <w:sz w:val="24"/>
          <w:highlight w:val="none"/>
        </w:rPr>
      </w:pPr>
    </w:p>
    <w:p>
      <w:pPr>
        <w:ind w:firstLine="118" w:firstLineChars="49"/>
        <w:rPr>
          <w:rFonts w:hAnsi="宋体" w:cs="宋体"/>
          <w:b/>
          <w:bCs/>
          <w:color w:val="auto"/>
          <w:sz w:val="24"/>
          <w:szCs w:val="24"/>
          <w:highlight w:val="none"/>
        </w:rPr>
      </w:pPr>
      <w:r>
        <w:rPr>
          <w:rFonts w:hint="eastAsia" w:hAnsi="宋体"/>
          <w:b/>
          <w:color w:val="auto"/>
          <w:sz w:val="24"/>
          <w:highlight w:val="none"/>
        </w:rPr>
        <w:t>项目名称：成都市殡仪馆磨盘山公墓安防系统改造采购项目                      项目编号：scby-cd-zc-2021206</w:t>
      </w:r>
    </w:p>
    <w:p>
      <w:pPr>
        <w:spacing w:after="50" w:line="500" w:lineRule="exact"/>
        <w:rPr>
          <w:rFonts w:hAnsi="宋体" w:cs="宋体"/>
          <w:b/>
          <w:color w:val="auto"/>
          <w:sz w:val="24"/>
          <w:highlight w:val="none"/>
        </w:rPr>
      </w:pPr>
      <w:r>
        <w:rPr>
          <w:rFonts w:hint="eastAsia" w:hAnsi="宋体"/>
          <w:b/>
          <w:color w:val="auto"/>
          <w:sz w:val="24"/>
          <w:highlight w:val="none"/>
        </w:rPr>
        <w:t xml:space="preserve"> 开标时间：2021年 </w:t>
      </w:r>
      <w:r>
        <w:rPr>
          <w:rFonts w:hint="eastAsia" w:hAnsi="宋体"/>
          <w:b/>
          <w:color w:val="auto"/>
          <w:sz w:val="24"/>
          <w:highlight w:val="none"/>
          <w:lang w:val="en-US" w:eastAsia="zh-CN"/>
        </w:rPr>
        <w:t>6</w:t>
      </w:r>
      <w:r>
        <w:rPr>
          <w:rFonts w:hint="eastAsia" w:hAnsi="宋体"/>
          <w:b/>
          <w:color w:val="auto"/>
          <w:sz w:val="24"/>
          <w:highlight w:val="none"/>
        </w:rPr>
        <w:t xml:space="preserve"> 月 </w:t>
      </w:r>
      <w:r>
        <w:rPr>
          <w:rFonts w:hint="eastAsia" w:hAnsi="宋体"/>
          <w:b/>
          <w:color w:val="auto"/>
          <w:sz w:val="24"/>
          <w:highlight w:val="none"/>
          <w:lang w:val="en-US" w:eastAsia="zh-CN"/>
        </w:rPr>
        <w:t>22</w:t>
      </w:r>
      <w:r>
        <w:rPr>
          <w:rFonts w:hint="eastAsia" w:hAnsi="宋体"/>
          <w:b/>
          <w:color w:val="auto"/>
          <w:sz w:val="24"/>
          <w:highlight w:val="none"/>
        </w:rPr>
        <w:t>日</w:t>
      </w:r>
      <w:r>
        <w:rPr>
          <w:rFonts w:hint="eastAsia" w:hAnsi="宋体"/>
          <w:b/>
          <w:color w:val="auto"/>
          <w:sz w:val="24"/>
          <w:highlight w:val="none"/>
          <w:lang w:val="en-US" w:eastAsia="zh-CN"/>
        </w:rPr>
        <w:t>11</w:t>
      </w:r>
      <w:r>
        <w:rPr>
          <w:rFonts w:hint="eastAsia" w:hAnsi="宋体"/>
          <w:b/>
          <w:color w:val="auto"/>
          <w:sz w:val="24"/>
          <w:highlight w:val="none"/>
        </w:rPr>
        <w:t xml:space="preserve"> :00           开标地点：四川省成都市金牛区兴盛西路2号6栋B座13楼（郦湾国际酒店右侧）</w:t>
      </w:r>
    </w:p>
    <w:tbl>
      <w:tblPr>
        <w:tblStyle w:val="44"/>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8"/>
        <w:gridCol w:w="1992"/>
        <w:gridCol w:w="2121"/>
        <w:gridCol w:w="865"/>
        <w:gridCol w:w="1262"/>
        <w:gridCol w:w="1633"/>
        <w:gridCol w:w="68"/>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atLeast"/>
        </w:trPr>
        <w:tc>
          <w:tcPr>
            <w:tcW w:w="3278" w:type="dxa"/>
            <w:vAlign w:val="center"/>
          </w:tcPr>
          <w:p>
            <w:pPr>
              <w:jc w:val="center"/>
              <w:rPr>
                <w:rFonts w:hAnsi="宋体"/>
                <w:b/>
                <w:color w:val="auto"/>
                <w:sz w:val="24"/>
                <w:highlight w:val="none"/>
              </w:rPr>
            </w:pPr>
            <w:r>
              <w:rPr>
                <w:rFonts w:hint="eastAsia" w:hAnsi="宋体"/>
                <w:b/>
                <w:color w:val="auto"/>
                <w:sz w:val="24"/>
                <w:highlight w:val="none"/>
              </w:rPr>
              <w:t>供应商单位全称</w:t>
            </w:r>
          </w:p>
        </w:tc>
        <w:tc>
          <w:tcPr>
            <w:tcW w:w="4978" w:type="dxa"/>
            <w:gridSpan w:val="3"/>
            <w:vAlign w:val="center"/>
          </w:tcPr>
          <w:p>
            <w:pPr>
              <w:jc w:val="center"/>
              <w:rPr>
                <w:rFonts w:hAnsi="宋体"/>
                <w:b/>
                <w:color w:val="auto"/>
                <w:sz w:val="24"/>
                <w:highlight w:val="none"/>
              </w:rPr>
            </w:pPr>
          </w:p>
        </w:tc>
        <w:tc>
          <w:tcPr>
            <w:tcW w:w="2895" w:type="dxa"/>
            <w:gridSpan w:val="2"/>
            <w:vAlign w:val="center"/>
          </w:tcPr>
          <w:p>
            <w:pPr>
              <w:jc w:val="center"/>
              <w:rPr>
                <w:rFonts w:hAnsi="宋体"/>
                <w:b/>
                <w:color w:val="auto"/>
                <w:sz w:val="24"/>
                <w:highlight w:val="none"/>
              </w:rPr>
            </w:pPr>
            <w:r>
              <w:rPr>
                <w:rFonts w:hint="eastAsia" w:hAnsi="宋体"/>
                <w:b/>
                <w:color w:val="auto"/>
                <w:sz w:val="24"/>
                <w:highlight w:val="none"/>
              </w:rPr>
              <w:t>联合体单位（若有）</w:t>
            </w:r>
          </w:p>
        </w:tc>
        <w:tc>
          <w:tcPr>
            <w:tcW w:w="2897" w:type="dxa"/>
            <w:gridSpan w:val="2"/>
            <w:vAlign w:val="center"/>
          </w:tcPr>
          <w:p>
            <w:pPr>
              <w:jc w:val="center"/>
              <w:rPr>
                <w:rFonts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color w:val="auto"/>
                <w:sz w:val="24"/>
                <w:highlight w:val="none"/>
              </w:rPr>
            </w:pPr>
            <w:r>
              <w:rPr>
                <w:rFonts w:hint="eastAsia" w:hAnsi="宋体"/>
                <w:b/>
                <w:color w:val="auto"/>
                <w:sz w:val="24"/>
                <w:highlight w:val="none"/>
              </w:rPr>
              <w:t>购买日期</w:t>
            </w:r>
          </w:p>
        </w:tc>
        <w:tc>
          <w:tcPr>
            <w:tcW w:w="4978" w:type="dxa"/>
            <w:gridSpan w:val="3"/>
            <w:vAlign w:val="center"/>
          </w:tcPr>
          <w:p>
            <w:pPr>
              <w:jc w:val="center"/>
              <w:rPr>
                <w:rFonts w:hAnsi="宋体"/>
                <w:b/>
                <w:color w:val="auto"/>
                <w:sz w:val="24"/>
                <w:highlight w:val="none"/>
              </w:rPr>
            </w:pPr>
          </w:p>
        </w:tc>
        <w:tc>
          <w:tcPr>
            <w:tcW w:w="2895" w:type="dxa"/>
            <w:gridSpan w:val="2"/>
            <w:vAlign w:val="center"/>
          </w:tcPr>
          <w:p>
            <w:pPr>
              <w:jc w:val="center"/>
              <w:rPr>
                <w:rFonts w:hAnsi="宋体"/>
                <w:b/>
                <w:color w:val="auto"/>
                <w:sz w:val="24"/>
                <w:highlight w:val="none"/>
              </w:rPr>
            </w:pPr>
            <w:r>
              <w:rPr>
                <w:rFonts w:hint="eastAsia" w:hAnsi="宋体"/>
                <w:b/>
                <w:color w:val="auto"/>
                <w:sz w:val="24"/>
                <w:highlight w:val="none"/>
              </w:rPr>
              <w:t>购买包号（若有）</w:t>
            </w:r>
          </w:p>
        </w:tc>
        <w:tc>
          <w:tcPr>
            <w:tcW w:w="2897" w:type="dxa"/>
            <w:gridSpan w:val="2"/>
            <w:vAlign w:val="center"/>
          </w:tcPr>
          <w:p>
            <w:pPr>
              <w:jc w:val="center"/>
              <w:rPr>
                <w:rFonts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78" w:type="dxa"/>
            <w:vMerge w:val="restart"/>
            <w:vAlign w:val="center"/>
          </w:tcPr>
          <w:p>
            <w:pPr>
              <w:jc w:val="center"/>
              <w:rPr>
                <w:rFonts w:hAnsi="宋体"/>
                <w:b/>
                <w:color w:val="auto"/>
                <w:sz w:val="24"/>
                <w:highlight w:val="none"/>
              </w:rPr>
            </w:pPr>
            <w:r>
              <w:rPr>
                <w:rFonts w:hint="eastAsia" w:hAnsi="宋体"/>
                <w:b/>
                <w:color w:val="auto"/>
                <w:sz w:val="24"/>
                <w:highlight w:val="none"/>
              </w:rPr>
              <w:t>购买单位代表</w:t>
            </w:r>
          </w:p>
          <w:p>
            <w:pPr>
              <w:jc w:val="center"/>
              <w:rPr>
                <w:rFonts w:hAnsi="宋体"/>
                <w:b/>
                <w:color w:val="auto"/>
                <w:sz w:val="24"/>
                <w:highlight w:val="none"/>
              </w:rPr>
            </w:pPr>
            <w:r>
              <w:rPr>
                <w:rFonts w:hint="eastAsia" w:hAnsi="宋体"/>
                <w:b/>
                <w:color w:val="auto"/>
                <w:sz w:val="24"/>
                <w:highlight w:val="none"/>
              </w:rPr>
              <w:t>姓    名</w:t>
            </w:r>
          </w:p>
        </w:tc>
        <w:tc>
          <w:tcPr>
            <w:tcW w:w="1992" w:type="dxa"/>
            <w:vMerge w:val="restart"/>
            <w:vAlign w:val="center"/>
          </w:tcPr>
          <w:p>
            <w:pPr>
              <w:jc w:val="center"/>
              <w:rPr>
                <w:rFonts w:hAnsi="宋体"/>
                <w:b/>
                <w:color w:val="auto"/>
                <w:sz w:val="24"/>
                <w:highlight w:val="none"/>
              </w:rPr>
            </w:pPr>
            <w:r>
              <w:rPr>
                <w:rFonts w:hint="eastAsia" w:hAnsi="宋体"/>
                <w:b/>
                <w:color w:val="auto"/>
                <w:sz w:val="24"/>
                <w:highlight w:val="none"/>
              </w:rPr>
              <w:t>职    务</w:t>
            </w:r>
          </w:p>
        </w:tc>
        <w:tc>
          <w:tcPr>
            <w:tcW w:w="8778" w:type="dxa"/>
            <w:gridSpan w:val="6"/>
            <w:vAlign w:val="center"/>
          </w:tcPr>
          <w:p>
            <w:pPr>
              <w:jc w:val="center"/>
              <w:rPr>
                <w:rFonts w:hAnsi="宋体"/>
                <w:b/>
                <w:color w:val="auto"/>
                <w:sz w:val="24"/>
                <w:highlight w:val="none"/>
              </w:rPr>
            </w:pPr>
            <w:r>
              <w:rPr>
                <w:rFonts w:hint="eastAsia" w:hAnsi="宋体"/>
                <w:b/>
                <w:color w:val="auto"/>
                <w:sz w:val="24"/>
                <w:highlight w:val="none"/>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278" w:type="dxa"/>
            <w:vMerge w:val="continue"/>
            <w:vAlign w:val="center"/>
          </w:tcPr>
          <w:p>
            <w:pPr>
              <w:jc w:val="center"/>
              <w:rPr>
                <w:rFonts w:hAnsi="宋体"/>
                <w:b/>
                <w:color w:val="auto"/>
                <w:sz w:val="24"/>
                <w:highlight w:val="none"/>
              </w:rPr>
            </w:pPr>
          </w:p>
        </w:tc>
        <w:tc>
          <w:tcPr>
            <w:tcW w:w="1992" w:type="dxa"/>
            <w:vMerge w:val="continue"/>
            <w:vAlign w:val="center"/>
          </w:tcPr>
          <w:p>
            <w:pPr>
              <w:jc w:val="center"/>
              <w:rPr>
                <w:rFonts w:hAnsi="宋体"/>
                <w:b/>
                <w:color w:val="auto"/>
                <w:sz w:val="24"/>
                <w:highlight w:val="none"/>
              </w:rPr>
            </w:pPr>
          </w:p>
        </w:tc>
        <w:tc>
          <w:tcPr>
            <w:tcW w:w="2121" w:type="dxa"/>
            <w:vAlign w:val="center"/>
          </w:tcPr>
          <w:p>
            <w:pPr>
              <w:jc w:val="center"/>
              <w:rPr>
                <w:rFonts w:hAnsi="宋体"/>
                <w:b/>
                <w:color w:val="auto"/>
                <w:sz w:val="24"/>
                <w:highlight w:val="none"/>
              </w:rPr>
            </w:pPr>
            <w:r>
              <w:rPr>
                <w:rFonts w:hint="eastAsia" w:hAnsi="宋体"/>
                <w:b/>
                <w:color w:val="auto"/>
                <w:sz w:val="24"/>
                <w:highlight w:val="none"/>
              </w:rPr>
              <w:t>办公室电话号码</w:t>
            </w:r>
          </w:p>
        </w:tc>
        <w:tc>
          <w:tcPr>
            <w:tcW w:w="2127" w:type="dxa"/>
            <w:gridSpan w:val="2"/>
            <w:vAlign w:val="center"/>
          </w:tcPr>
          <w:p>
            <w:pPr>
              <w:jc w:val="center"/>
              <w:rPr>
                <w:rFonts w:hAnsi="宋体"/>
                <w:b/>
                <w:color w:val="auto"/>
                <w:sz w:val="24"/>
                <w:highlight w:val="none"/>
              </w:rPr>
            </w:pPr>
            <w:r>
              <w:rPr>
                <w:rFonts w:hint="eastAsia" w:hAnsi="宋体"/>
                <w:b/>
                <w:color w:val="auto"/>
                <w:sz w:val="24"/>
                <w:highlight w:val="none"/>
              </w:rPr>
              <w:t>手机号码</w:t>
            </w:r>
          </w:p>
        </w:tc>
        <w:tc>
          <w:tcPr>
            <w:tcW w:w="1633" w:type="dxa"/>
            <w:vAlign w:val="center"/>
          </w:tcPr>
          <w:p>
            <w:pPr>
              <w:jc w:val="center"/>
              <w:rPr>
                <w:rFonts w:hAnsi="宋体"/>
                <w:b/>
                <w:color w:val="auto"/>
                <w:sz w:val="24"/>
                <w:highlight w:val="none"/>
              </w:rPr>
            </w:pPr>
            <w:r>
              <w:rPr>
                <w:rFonts w:hint="eastAsia" w:hAnsi="宋体"/>
                <w:b/>
                <w:color w:val="auto"/>
                <w:sz w:val="24"/>
                <w:highlight w:val="none"/>
              </w:rPr>
              <w:t>传真号码</w:t>
            </w:r>
          </w:p>
        </w:tc>
        <w:tc>
          <w:tcPr>
            <w:tcW w:w="2897" w:type="dxa"/>
            <w:gridSpan w:val="2"/>
            <w:vAlign w:val="center"/>
          </w:tcPr>
          <w:p>
            <w:pPr>
              <w:jc w:val="center"/>
              <w:rPr>
                <w:rFonts w:hAnsi="宋体"/>
                <w:b/>
                <w:color w:val="auto"/>
                <w:sz w:val="24"/>
                <w:highlight w:val="none"/>
              </w:rPr>
            </w:pPr>
            <w:r>
              <w:rPr>
                <w:rFonts w:hint="eastAsia" w:hAnsi="宋体"/>
                <w:b/>
                <w:color w:val="auto"/>
                <w:sz w:val="24"/>
                <w:highlight w:val="none"/>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trPr>
        <w:tc>
          <w:tcPr>
            <w:tcW w:w="3278" w:type="dxa"/>
            <w:vAlign w:val="center"/>
          </w:tcPr>
          <w:p>
            <w:pPr>
              <w:jc w:val="center"/>
              <w:rPr>
                <w:rFonts w:hAnsi="宋体"/>
                <w:b/>
                <w:color w:val="auto"/>
                <w:sz w:val="24"/>
                <w:highlight w:val="none"/>
              </w:rPr>
            </w:pPr>
          </w:p>
        </w:tc>
        <w:tc>
          <w:tcPr>
            <w:tcW w:w="1992" w:type="dxa"/>
            <w:vAlign w:val="center"/>
          </w:tcPr>
          <w:p>
            <w:pPr>
              <w:jc w:val="center"/>
              <w:rPr>
                <w:rFonts w:hAnsi="宋体"/>
                <w:b/>
                <w:color w:val="auto"/>
                <w:sz w:val="24"/>
                <w:highlight w:val="none"/>
              </w:rPr>
            </w:pPr>
          </w:p>
        </w:tc>
        <w:tc>
          <w:tcPr>
            <w:tcW w:w="2121" w:type="dxa"/>
            <w:vAlign w:val="center"/>
          </w:tcPr>
          <w:p>
            <w:pPr>
              <w:jc w:val="center"/>
              <w:rPr>
                <w:rFonts w:hAnsi="宋体"/>
                <w:b/>
                <w:color w:val="auto"/>
                <w:sz w:val="24"/>
                <w:highlight w:val="none"/>
              </w:rPr>
            </w:pPr>
          </w:p>
        </w:tc>
        <w:tc>
          <w:tcPr>
            <w:tcW w:w="2127" w:type="dxa"/>
            <w:gridSpan w:val="2"/>
            <w:vAlign w:val="center"/>
          </w:tcPr>
          <w:p>
            <w:pPr>
              <w:jc w:val="center"/>
              <w:rPr>
                <w:rFonts w:hAnsi="宋体"/>
                <w:b/>
                <w:color w:val="auto"/>
                <w:sz w:val="24"/>
                <w:highlight w:val="none"/>
              </w:rPr>
            </w:pPr>
          </w:p>
        </w:tc>
        <w:tc>
          <w:tcPr>
            <w:tcW w:w="1633" w:type="dxa"/>
            <w:vAlign w:val="center"/>
          </w:tcPr>
          <w:p>
            <w:pPr>
              <w:jc w:val="center"/>
              <w:rPr>
                <w:rFonts w:hAnsi="宋体"/>
                <w:b/>
                <w:color w:val="auto"/>
                <w:sz w:val="24"/>
                <w:highlight w:val="none"/>
              </w:rPr>
            </w:pPr>
          </w:p>
        </w:tc>
        <w:tc>
          <w:tcPr>
            <w:tcW w:w="2897" w:type="dxa"/>
            <w:gridSpan w:val="2"/>
            <w:vAlign w:val="center"/>
          </w:tcPr>
          <w:p>
            <w:pPr>
              <w:jc w:val="center"/>
              <w:rPr>
                <w:rFonts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5" w:hRule="atLeast"/>
        </w:trPr>
        <w:tc>
          <w:tcPr>
            <w:tcW w:w="3278" w:type="dxa"/>
            <w:vMerge w:val="restart"/>
            <w:vAlign w:val="center"/>
          </w:tcPr>
          <w:p>
            <w:pPr>
              <w:jc w:val="center"/>
              <w:rPr>
                <w:rFonts w:hAnsi="宋体"/>
                <w:b/>
                <w:color w:val="auto"/>
                <w:sz w:val="24"/>
                <w:highlight w:val="none"/>
              </w:rPr>
            </w:pPr>
            <w:r>
              <w:rPr>
                <w:rFonts w:hint="eastAsia" w:hAnsi="宋体"/>
                <w:b/>
                <w:color w:val="auto"/>
                <w:sz w:val="24"/>
                <w:highlight w:val="none"/>
              </w:rPr>
              <w:t>供应商单位法人/负责人</w:t>
            </w:r>
          </w:p>
          <w:p>
            <w:pPr>
              <w:jc w:val="center"/>
              <w:rPr>
                <w:rFonts w:hAnsi="宋体"/>
                <w:b/>
                <w:color w:val="auto"/>
                <w:sz w:val="24"/>
                <w:highlight w:val="none"/>
              </w:rPr>
            </w:pPr>
            <w:r>
              <w:rPr>
                <w:rFonts w:hint="eastAsia" w:hAnsi="宋体"/>
                <w:b/>
                <w:color w:val="auto"/>
                <w:sz w:val="24"/>
                <w:highlight w:val="none"/>
              </w:rPr>
              <w:t>姓     名</w:t>
            </w:r>
          </w:p>
        </w:tc>
        <w:tc>
          <w:tcPr>
            <w:tcW w:w="1992" w:type="dxa"/>
            <w:vMerge w:val="restart"/>
            <w:vAlign w:val="center"/>
          </w:tcPr>
          <w:p>
            <w:pPr>
              <w:jc w:val="center"/>
              <w:rPr>
                <w:rFonts w:hAnsi="宋体"/>
                <w:b/>
                <w:color w:val="auto"/>
                <w:sz w:val="24"/>
                <w:highlight w:val="none"/>
              </w:rPr>
            </w:pPr>
            <w:r>
              <w:rPr>
                <w:rFonts w:hint="eastAsia" w:hAnsi="宋体"/>
                <w:b/>
                <w:color w:val="auto"/>
                <w:sz w:val="24"/>
                <w:highlight w:val="none"/>
              </w:rPr>
              <w:t>职    务</w:t>
            </w:r>
          </w:p>
        </w:tc>
        <w:tc>
          <w:tcPr>
            <w:tcW w:w="8778" w:type="dxa"/>
            <w:gridSpan w:val="6"/>
            <w:vAlign w:val="center"/>
          </w:tcPr>
          <w:p>
            <w:pPr>
              <w:jc w:val="center"/>
              <w:rPr>
                <w:rFonts w:hAnsi="宋体"/>
                <w:b/>
                <w:color w:val="auto"/>
                <w:sz w:val="24"/>
                <w:highlight w:val="none"/>
              </w:rPr>
            </w:pPr>
            <w:r>
              <w:rPr>
                <w:rFonts w:hint="eastAsia" w:hAnsi="宋体"/>
                <w:b/>
                <w:color w:val="auto"/>
                <w:sz w:val="24"/>
                <w:highlight w:val="none"/>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5" w:hRule="atLeast"/>
        </w:trPr>
        <w:tc>
          <w:tcPr>
            <w:tcW w:w="3278" w:type="dxa"/>
            <w:vMerge w:val="continue"/>
          </w:tcPr>
          <w:p>
            <w:pPr>
              <w:jc w:val="center"/>
              <w:rPr>
                <w:rFonts w:hAnsi="宋体"/>
                <w:b/>
                <w:color w:val="auto"/>
                <w:sz w:val="24"/>
                <w:highlight w:val="none"/>
              </w:rPr>
            </w:pPr>
          </w:p>
        </w:tc>
        <w:tc>
          <w:tcPr>
            <w:tcW w:w="1992" w:type="dxa"/>
            <w:vMerge w:val="continue"/>
          </w:tcPr>
          <w:p>
            <w:pPr>
              <w:rPr>
                <w:rFonts w:hAnsi="宋体"/>
                <w:b/>
                <w:color w:val="auto"/>
                <w:sz w:val="24"/>
                <w:highlight w:val="none"/>
              </w:rPr>
            </w:pPr>
          </w:p>
        </w:tc>
        <w:tc>
          <w:tcPr>
            <w:tcW w:w="2121" w:type="dxa"/>
            <w:vAlign w:val="center"/>
          </w:tcPr>
          <w:p>
            <w:pPr>
              <w:jc w:val="center"/>
              <w:rPr>
                <w:rFonts w:hAnsi="宋体"/>
                <w:b/>
                <w:color w:val="auto"/>
                <w:sz w:val="24"/>
                <w:highlight w:val="none"/>
              </w:rPr>
            </w:pPr>
            <w:r>
              <w:rPr>
                <w:rFonts w:hint="eastAsia" w:hAnsi="宋体"/>
                <w:b/>
                <w:color w:val="auto"/>
                <w:sz w:val="24"/>
                <w:highlight w:val="none"/>
              </w:rPr>
              <w:t>办公室电话号码</w:t>
            </w:r>
          </w:p>
        </w:tc>
        <w:tc>
          <w:tcPr>
            <w:tcW w:w="2127" w:type="dxa"/>
            <w:gridSpan w:val="2"/>
            <w:vAlign w:val="center"/>
          </w:tcPr>
          <w:p>
            <w:pPr>
              <w:jc w:val="center"/>
              <w:rPr>
                <w:rFonts w:hAnsi="宋体"/>
                <w:b/>
                <w:color w:val="auto"/>
                <w:sz w:val="24"/>
                <w:highlight w:val="none"/>
              </w:rPr>
            </w:pPr>
            <w:r>
              <w:rPr>
                <w:rFonts w:hint="eastAsia" w:hAnsi="宋体"/>
                <w:b/>
                <w:color w:val="auto"/>
                <w:sz w:val="24"/>
                <w:highlight w:val="none"/>
              </w:rPr>
              <w:t>手机号码</w:t>
            </w:r>
          </w:p>
        </w:tc>
        <w:tc>
          <w:tcPr>
            <w:tcW w:w="1701" w:type="dxa"/>
            <w:gridSpan w:val="2"/>
            <w:vAlign w:val="center"/>
          </w:tcPr>
          <w:p>
            <w:pPr>
              <w:jc w:val="center"/>
              <w:rPr>
                <w:rFonts w:hAnsi="宋体"/>
                <w:b/>
                <w:color w:val="auto"/>
                <w:sz w:val="24"/>
                <w:highlight w:val="none"/>
              </w:rPr>
            </w:pPr>
            <w:r>
              <w:rPr>
                <w:rFonts w:hint="eastAsia" w:hAnsi="宋体"/>
                <w:b/>
                <w:color w:val="auto"/>
                <w:sz w:val="24"/>
                <w:highlight w:val="none"/>
              </w:rPr>
              <w:t>传真号码</w:t>
            </w:r>
          </w:p>
        </w:tc>
        <w:tc>
          <w:tcPr>
            <w:tcW w:w="2829" w:type="dxa"/>
            <w:vAlign w:val="center"/>
          </w:tcPr>
          <w:p>
            <w:pPr>
              <w:jc w:val="center"/>
              <w:rPr>
                <w:rFonts w:hAnsi="宋体"/>
                <w:b/>
                <w:color w:val="auto"/>
                <w:sz w:val="24"/>
                <w:highlight w:val="none"/>
              </w:rPr>
            </w:pPr>
            <w:r>
              <w:rPr>
                <w:rFonts w:hint="eastAsia" w:hAnsi="宋体"/>
                <w:b/>
                <w:color w:val="auto"/>
                <w:sz w:val="24"/>
                <w:highlight w:val="none"/>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5" w:hRule="atLeast"/>
        </w:trPr>
        <w:tc>
          <w:tcPr>
            <w:tcW w:w="3278" w:type="dxa"/>
            <w:vAlign w:val="center"/>
          </w:tcPr>
          <w:p>
            <w:pPr>
              <w:jc w:val="center"/>
              <w:rPr>
                <w:rFonts w:hAnsi="宋体"/>
                <w:b/>
                <w:color w:val="auto"/>
                <w:sz w:val="24"/>
                <w:highlight w:val="none"/>
              </w:rPr>
            </w:pPr>
          </w:p>
        </w:tc>
        <w:tc>
          <w:tcPr>
            <w:tcW w:w="1992" w:type="dxa"/>
            <w:vAlign w:val="center"/>
          </w:tcPr>
          <w:p>
            <w:pPr>
              <w:jc w:val="center"/>
              <w:rPr>
                <w:rFonts w:hAnsi="宋体"/>
                <w:b/>
                <w:color w:val="auto"/>
                <w:sz w:val="24"/>
                <w:highlight w:val="none"/>
              </w:rPr>
            </w:pPr>
          </w:p>
        </w:tc>
        <w:tc>
          <w:tcPr>
            <w:tcW w:w="2121" w:type="dxa"/>
            <w:vAlign w:val="center"/>
          </w:tcPr>
          <w:p>
            <w:pPr>
              <w:jc w:val="center"/>
              <w:rPr>
                <w:rFonts w:hAnsi="宋体"/>
                <w:b/>
                <w:color w:val="auto"/>
                <w:sz w:val="24"/>
                <w:highlight w:val="none"/>
              </w:rPr>
            </w:pPr>
          </w:p>
        </w:tc>
        <w:tc>
          <w:tcPr>
            <w:tcW w:w="2127" w:type="dxa"/>
            <w:gridSpan w:val="2"/>
            <w:vAlign w:val="center"/>
          </w:tcPr>
          <w:p>
            <w:pPr>
              <w:jc w:val="center"/>
              <w:rPr>
                <w:rFonts w:hAnsi="宋体"/>
                <w:b/>
                <w:color w:val="auto"/>
                <w:sz w:val="24"/>
                <w:highlight w:val="none"/>
              </w:rPr>
            </w:pPr>
          </w:p>
        </w:tc>
        <w:tc>
          <w:tcPr>
            <w:tcW w:w="1701" w:type="dxa"/>
            <w:gridSpan w:val="2"/>
            <w:vAlign w:val="center"/>
          </w:tcPr>
          <w:p>
            <w:pPr>
              <w:jc w:val="center"/>
              <w:rPr>
                <w:rFonts w:hAnsi="宋体"/>
                <w:b/>
                <w:color w:val="auto"/>
                <w:sz w:val="24"/>
                <w:highlight w:val="none"/>
              </w:rPr>
            </w:pPr>
          </w:p>
        </w:tc>
        <w:tc>
          <w:tcPr>
            <w:tcW w:w="2829" w:type="dxa"/>
            <w:vAlign w:val="center"/>
          </w:tcPr>
          <w:p>
            <w:pPr>
              <w:jc w:val="center"/>
              <w:rPr>
                <w:rFonts w:hAnsi="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7" w:hRule="atLeast"/>
        </w:trPr>
        <w:tc>
          <w:tcPr>
            <w:tcW w:w="14048" w:type="dxa"/>
            <w:gridSpan w:val="8"/>
          </w:tcPr>
          <w:p>
            <w:pPr>
              <w:rPr>
                <w:rFonts w:hAnsi="宋体"/>
                <w:b/>
                <w:color w:val="auto"/>
                <w:sz w:val="24"/>
                <w:highlight w:val="none"/>
              </w:rPr>
            </w:pPr>
            <w:r>
              <w:rPr>
                <w:rFonts w:hint="eastAsia" w:hAnsi="宋体"/>
                <w:b/>
                <w:color w:val="auto"/>
                <w:sz w:val="24"/>
                <w:highlight w:val="none"/>
              </w:rPr>
              <w:t>备注：</w:t>
            </w:r>
          </w:p>
        </w:tc>
      </w:tr>
    </w:tbl>
    <w:p>
      <w:pPr>
        <w:rPr>
          <w:color w:val="auto"/>
          <w:sz w:val="24"/>
          <w:szCs w:val="24"/>
          <w:highlight w:val="none"/>
        </w:rPr>
      </w:pPr>
      <w:r>
        <w:rPr>
          <w:rFonts w:hint="eastAsia"/>
          <w:color w:val="auto"/>
          <w:sz w:val="24"/>
          <w:szCs w:val="24"/>
          <w:highlight w:val="none"/>
        </w:rPr>
        <w:t xml:space="preserve"> 注：购买日期由采购代理机构填写。</w:t>
      </w:r>
    </w:p>
    <w:p>
      <w:pPr>
        <w:pStyle w:val="32"/>
        <w:rPr>
          <w:color w:val="auto"/>
          <w:highlight w:val="none"/>
        </w:rPr>
        <w:sectPr>
          <w:pgSz w:w="16840" w:h="11907" w:orient="landscape"/>
          <w:pgMar w:top="1361" w:right="1418" w:bottom="1474" w:left="1361" w:header="851" w:footer="992" w:gutter="0"/>
          <w:cols w:space="720" w:num="1"/>
          <w:titlePg/>
          <w:docGrid w:linePitch="312" w:charSpace="0"/>
        </w:sectPr>
      </w:pPr>
    </w:p>
    <w:p>
      <w:pPr>
        <w:rPr>
          <w:color w:val="auto"/>
          <w:highlight w:val="none"/>
        </w:rPr>
      </w:pPr>
      <w:r>
        <w:rPr>
          <w:color w:val="auto"/>
          <w:highlight w:val="none"/>
        </w:rPr>
        <w:drawing>
          <wp:inline distT="0" distB="0" distL="0" distR="0">
            <wp:extent cx="5943600" cy="8442325"/>
            <wp:effectExtent l="19050" t="0" r="0" b="0"/>
            <wp:docPr id="28"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AppData\Roaming\DingTalk\18198513_v2\ImageFiles\49\lALPDgQ9qzkb4y3NA4nNAn0_637_905.png"/>
                    <pic:cNvPicPr>
                      <a:picLocks noChangeAspect="1" noChangeArrowheads="1"/>
                    </pic:cNvPicPr>
                  </pic:nvPicPr>
                  <pic:blipFill>
                    <a:blip r:embed="rId16" cstate="print"/>
                    <a:srcRect/>
                    <a:stretch>
                      <a:fillRect/>
                    </a:stretch>
                  </pic:blipFill>
                  <pic:spPr>
                    <a:xfrm>
                      <a:off x="0" y="0"/>
                      <a:ext cx="5943600" cy="8442325"/>
                    </a:xfrm>
                    <a:prstGeom prst="rect">
                      <a:avLst/>
                    </a:prstGeom>
                    <a:noFill/>
                    <a:ln w="9525">
                      <a:noFill/>
                      <a:miter lim="800000"/>
                      <a:headEnd/>
                      <a:tailEnd/>
                    </a:ln>
                  </pic:spPr>
                </pic:pic>
              </a:graphicData>
            </a:graphic>
          </wp:inline>
        </w:drawing>
      </w:r>
    </w:p>
    <w:p>
      <w:pPr>
        <w:rPr>
          <w:color w:val="auto"/>
          <w:highlight w:val="none"/>
        </w:rPr>
      </w:pPr>
      <w:r>
        <w:rPr>
          <w:color w:val="auto"/>
          <w:highlight w:val="none"/>
        </w:rPr>
        <w:br w:type="page"/>
      </w:r>
    </w:p>
    <w:p>
      <w:pPr>
        <w:rPr>
          <w:color w:val="auto"/>
          <w:highlight w:val="none"/>
        </w:rPr>
      </w:pPr>
      <w:r>
        <w:rPr>
          <w:color w:val="auto"/>
          <w:highlight w:val="none"/>
        </w:rPr>
        <w:drawing>
          <wp:inline distT="0" distB="0" distL="0" distR="0">
            <wp:extent cx="5943600" cy="8335645"/>
            <wp:effectExtent l="19050" t="0" r="0" b="0"/>
            <wp:docPr id="27"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C:\Users\Administrator\AppData\Roaming\DingTalk\18198513_v2\ImageFiles\8a\lALPDgQ9qzkdtwTNA4XNAoI_642_901.png"/>
                    <pic:cNvPicPr>
                      <a:picLocks noChangeAspect="1" noChangeArrowheads="1"/>
                    </pic:cNvPicPr>
                  </pic:nvPicPr>
                  <pic:blipFill>
                    <a:blip r:embed="rId17" cstate="print"/>
                    <a:srcRect/>
                    <a:stretch>
                      <a:fillRect/>
                    </a:stretch>
                  </pic:blipFill>
                  <pic:spPr>
                    <a:xfrm>
                      <a:off x="0" y="0"/>
                      <a:ext cx="5943600" cy="8335645"/>
                    </a:xfrm>
                    <a:prstGeom prst="rect">
                      <a:avLst/>
                    </a:prstGeom>
                    <a:noFill/>
                    <a:ln w="9525">
                      <a:noFill/>
                      <a:miter lim="800000"/>
                      <a:headEnd/>
                      <a:tailEnd/>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3600" cy="8240395"/>
            <wp:effectExtent l="19050" t="0" r="0" b="0"/>
            <wp:docPr id="3"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36\lALPDgQ9qzkb_mjNA3bNAn8_639_886.png"/>
                    <pic:cNvPicPr>
                      <a:picLocks noChangeAspect="1" noChangeArrowheads="1"/>
                    </pic:cNvPicPr>
                  </pic:nvPicPr>
                  <pic:blipFill>
                    <a:blip r:embed="rId18" cstate="print"/>
                    <a:srcRect/>
                    <a:stretch>
                      <a:fillRect/>
                    </a:stretch>
                  </pic:blipFill>
                  <pic:spPr>
                    <a:xfrm>
                      <a:off x="0" y="0"/>
                      <a:ext cx="5943600" cy="8240395"/>
                    </a:xfrm>
                    <a:prstGeom prst="rect">
                      <a:avLst/>
                    </a:prstGeom>
                    <a:noFill/>
                    <a:ln w="9525">
                      <a:noFill/>
                      <a:miter lim="800000"/>
                      <a:headEnd/>
                      <a:tailEnd/>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3600" cy="8303895"/>
            <wp:effectExtent l="19050" t="0" r="0" b="0"/>
            <wp:docPr id="4"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78\lALPDgQ9qzkb4yrNA3LNAnc_631_882.png"/>
                    <pic:cNvPicPr>
                      <a:picLocks noChangeAspect="1" noChangeArrowheads="1"/>
                    </pic:cNvPicPr>
                  </pic:nvPicPr>
                  <pic:blipFill>
                    <a:blip r:embed="rId19" cstate="print"/>
                    <a:srcRect/>
                    <a:stretch>
                      <a:fillRect/>
                    </a:stretch>
                  </pic:blipFill>
                  <pic:spPr>
                    <a:xfrm>
                      <a:off x="0" y="0"/>
                      <a:ext cx="5943600" cy="8303895"/>
                    </a:xfrm>
                    <a:prstGeom prst="rect">
                      <a:avLst/>
                    </a:prstGeom>
                    <a:noFill/>
                    <a:ln w="9525">
                      <a:noFill/>
                      <a:miter lim="800000"/>
                      <a:headEnd/>
                      <a:tailEnd/>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3600" cy="8081010"/>
            <wp:effectExtent l="19050" t="0" r="0" b="0"/>
            <wp:docPr id="5"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2\lALPDgQ9qzkdtwHNA2LNAn0_637_866.png"/>
                    <pic:cNvPicPr>
                      <a:picLocks noChangeAspect="1" noChangeArrowheads="1"/>
                    </pic:cNvPicPr>
                  </pic:nvPicPr>
                  <pic:blipFill>
                    <a:blip r:embed="rId20" cstate="print"/>
                    <a:srcRect/>
                    <a:stretch>
                      <a:fillRect/>
                    </a:stretch>
                  </pic:blipFill>
                  <pic:spPr>
                    <a:xfrm>
                      <a:off x="0" y="0"/>
                      <a:ext cx="5943600" cy="8081010"/>
                    </a:xfrm>
                    <a:prstGeom prst="rect">
                      <a:avLst/>
                    </a:prstGeom>
                    <a:noFill/>
                    <a:ln w="9525">
                      <a:noFill/>
                      <a:miter lim="800000"/>
                      <a:headEnd/>
                      <a:tailEnd/>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3600" cy="8282940"/>
            <wp:effectExtent l="19050" t="0" r="0" b="0"/>
            <wp:docPr id="6"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65\lALPDgQ9qzkb_mnNA3zNAoA_640_892.png"/>
                    <pic:cNvPicPr>
                      <a:picLocks noChangeAspect="1" noChangeArrowheads="1"/>
                    </pic:cNvPicPr>
                  </pic:nvPicPr>
                  <pic:blipFill>
                    <a:blip r:embed="rId21" cstate="print"/>
                    <a:srcRect/>
                    <a:stretch>
                      <a:fillRect/>
                    </a:stretch>
                  </pic:blipFill>
                  <pic:spPr>
                    <a:xfrm>
                      <a:off x="0" y="0"/>
                      <a:ext cx="5943600" cy="8282940"/>
                    </a:xfrm>
                    <a:prstGeom prst="rect">
                      <a:avLst/>
                    </a:prstGeom>
                    <a:noFill/>
                    <a:ln w="9525">
                      <a:noFill/>
                      <a:miter lim="800000"/>
                      <a:headEnd/>
                      <a:tailEnd/>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3600" cy="8357235"/>
            <wp:effectExtent l="19050" t="0" r="0" b="0"/>
            <wp:docPr id="7"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97\lALPDgQ9qzkb4yzNA3_NAnw_636_895.png"/>
                    <pic:cNvPicPr>
                      <a:picLocks noChangeAspect="1" noChangeArrowheads="1"/>
                    </pic:cNvPicPr>
                  </pic:nvPicPr>
                  <pic:blipFill>
                    <a:blip r:embed="rId22" cstate="print"/>
                    <a:srcRect/>
                    <a:stretch>
                      <a:fillRect/>
                    </a:stretch>
                  </pic:blipFill>
                  <pic:spPr>
                    <a:xfrm>
                      <a:off x="0" y="0"/>
                      <a:ext cx="5943600" cy="8357235"/>
                    </a:xfrm>
                    <a:prstGeom prst="rect">
                      <a:avLst/>
                    </a:prstGeom>
                    <a:noFill/>
                    <a:ln w="9525">
                      <a:noFill/>
                      <a:miter lim="800000"/>
                      <a:headEnd/>
                      <a:tailEnd/>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3600" cy="8357235"/>
            <wp:effectExtent l="19050" t="0" r="0" b="0"/>
            <wp:docPr id="8"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e8\lALPDgQ9qzkdtwPNA3bNAnY_630_886.png"/>
                    <pic:cNvPicPr>
                      <a:picLocks noChangeAspect="1" noChangeArrowheads="1"/>
                    </pic:cNvPicPr>
                  </pic:nvPicPr>
                  <pic:blipFill>
                    <a:blip r:embed="rId23" cstate="print"/>
                    <a:srcRect/>
                    <a:stretch>
                      <a:fillRect/>
                    </a:stretch>
                  </pic:blipFill>
                  <pic:spPr>
                    <a:xfrm>
                      <a:off x="0" y="0"/>
                      <a:ext cx="5943600" cy="8357235"/>
                    </a:xfrm>
                    <a:prstGeom prst="rect">
                      <a:avLst/>
                    </a:prstGeom>
                    <a:noFill/>
                    <a:ln w="9525">
                      <a:noFill/>
                      <a:miter lim="800000"/>
                      <a:headEnd/>
                      <a:tailEnd/>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3600" cy="8091170"/>
            <wp:effectExtent l="19050" t="0" r="0" b="0"/>
            <wp:docPr id="9"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43\lALPDgQ9qzkb_mrNA2LNAnw_636_866.png"/>
                    <pic:cNvPicPr>
                      <a:picLocks noChangeAspect="1" noChangeArrowheads="1"/>
                    </pic:cNvPicPr>
                  </pic:nvPicPr>
                  <pic:blipFill>
                    <a:blip r:embed="rId24" cstate="print"/>
                    <a:srcRect/>
                    <a:stretch>
                      <a:fillRect/>
                    </a:stretch>
                  </pic:blipFill>
                  <pic:spPr>
                    <a:xfrm>
                      <a:off x="0" y="0"/>
                      <a:ext cx="5943600" cy="8091170"/>
                    </a:xfrm>
                    <a:prstGeom prst="rect">
                      <a:avLst/>
                    </a:prstGeom>
                    <a:noFill/>
                    <a:ln w="9525">
                      <a:noFill/>
                      <a:miter lim="800000"/>
                      <a:headEnd/>
                      <a:tailEnd/>
                    </a:ln>
                  </pic:spPr>
                </pic:pic>
              </a:graphicData>
            </a:graphic>
          </wp:inline>
        </w:drawing>
      </w:r>
      <w:r>
        <w:rPr>
          <w:color w:val="auto"/>
          <w:highlight w:val="none"/>
        </w:rPr>
        <w:br w:type="page"/>
      </w:r>
      <w:r>
        <w:rPr>
          <w:color w:val="auto"/>
          <w:highlight w:val="none"/>
        </w:rPr>
        <w:drawing>
          <wp:inline distT="0" distB="0" distL="0" distR="0">
            <wp:extent cx="5943600" cy="8197850"/>
            <wp:effectExtent l="19050" t="0" r="0" b="0"/>
            <wp:docPr id="10"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5e\lALPDgQ9qzkb4yvNA2TNAnU_629_868.png"/>
                    <pic:cNvPicPr>
                      <a:picLocks noChangeAspect="1" noChangeArrowheads="1"/>
                    </pic:cNvPicPr>
                  </pic:nvPicPr>
                  <pic:blipFill>
                    <a:blip r:embed="rId25" cstate="print"/>
                    <a:srcRect/>
                    <a:stretch>
                      <a:fillRect/>
                    </a:stretch>
                  </pic:blipFill>
                  <pic:spPr>
                    <a:xfrm>
                      <a:off x="0" y="0"/>
                      <a:ext cx="5943600" cy="8197850"/>
                    </a:xfrm>
                    <a:prstGeom prst="rect">
                      <a:avLst/>
                    </a:prstGeom>
                    <a:noFill/>
                    <a:ln w="9525">
                      <a:noFill/>
                      <a:miter lim="800000"/>
                      <a:headEnd/>
                      <a:tailEnd/>
                    </a:ln>
                  </pic:spPr>
                </pic:pic>
              </a:graphicData>
            </a:graphic>
          </wp:inline>
        </w:drawing>
      </w:r>
      <w:r>
        <w:rPr>
          <w:color w:val="auto"/>
          <w:highlight w:val="none"/>
        </w:rPr>
        <w:drawing>
          <wp:inline distT="0" distB="0" distL="0" distR="0">
            <wp:extent cx="5943600" cy="8293100"/>
            <wp:effectExtent l="19050" t="0" r="0" b="0"/>
            <wp:docPr id="11"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bb\lALPDgQ9qzkdtwLNA33NAoA_640_893.png"/>
                    <pic:cNvPicPr>
                      <a:picLocks noChangeAspect="1" noChangeArrowheads="1"/>
                    </pic:cNvPicPr>
                  </pic:nvPicPr>
                  <pic:blipFill>
                    <a:blip r:embed="rId26" cstate="print"/>
                    <a:srcRect/>
                    <a:stretch>
                      <a:fillRect/>
                    </a:stretch>
                  </pic:blipFill>
                  <pic:spPr>
                    <a:xfrm>
                      <a:off x="0" y="0"/>
                      <a:ext cx="5943600" cy="8293100"/>
                    </a:xfrm>
                    <a:prstGeom prst="rect">
                      <a:avLst/>
                    </a:prstGeom>
                    <a:noFill/>
                    <a:ln w="9525">
                      <a:noFill/>
                      <a:miter lim="800000"/>
                      <a:headEnd/>
                      <a:tailEnd/>
                    </a:ln>
                  </pic:spPr>
                </pic:pic>
              </a:graphicData>
            </a:graphic>
          </wp:inline>
        </w:drawing>
      </w:r>
    </w:p>
    <w:p>
      <w:pPr>
        <w:spacing w:line="400" w:lineRule="exact"/>
        <w:rPr>
          <w:rFonts w:hAnsi="宋体" w:cs="Tahoma"/>
          <w:b/>
          <w:color w:val="auto"/>
          <w:sz w:val="30"/>
          <w:szCs w:val="30"/>
          <w:highlight w:val="none"/>
        </w:rPr>
      </w:pPr>
    </w:p>
    <w:p>
      <w:pPr>
        <w:rPr>
          <w:color w:val="auto"/>
          <w:highlight w:val="none"/>
        </w:rPr>
      </w:pPr>
      <w:r>
        <w:rPr>
          <w:rFonts w:hint="eastAsia"/>
          <w:color w:val="auto"/>
          <w:highlight w:val="none"/>
        </w:rPr>
        <w:drawing>
          <wp:inline distT="0" distB="0" distL="0" distR="0">
            <wp:extent cx="5975350" cy="7995920"/>
            <wp:effectExtent l="1905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srcRect/>
                    <a:stretch>
                      <a:fillRect/>
                    </a:stretch>
                  </pic:blipFill>
                  <pic:spPr>
                    <a:xfrm>
                      <a:off x="0" y="0"/>
                      <a:ext cx="5975350" cy="799592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11850" cy="836803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srcRect/>
                    <a:stretch>
                      <a:fillRect/>
                    </a:stretch>
                  </pic:blipFill>
                  <pic:spPr>
                    <a:xfrm>
                      <a:off x="0" y="0"/>
                      <a:ext cx="5911850" cy="836803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2805" cy="766635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srcRect/>
                    <a:stretch>
                      <a:fillRect/>
                    </a:stretch>
                  </pic:blipFill>
                  <pic:spPr>
                    <a:xfrm>
                      <a:off x="0" y="0"/>
                      <a:ext cx="5932805" cy="7666355"/>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0100" cy="8325485"/>
            <wp:effectExtent l="1905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cstate="print"/>
                    <a:srcRect/>
                    <a:stretch>
                      <a:fillRect/>
                    </a:stretch>
                  </pic:blipFill>
                  <pic:spPr>
                    <a:xfrm>
                      <a:off x="0" y="0"/>
                      <a:ext cx="5880100" cy="8325485"/>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8510" cy="7602220"/>
            <wp:effectExtent l="1905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cstate="print"/>
                    <a:srcRect/>
                    <a:stretch>
                      <a:fillRect/>
                    </a:stretch>
                  </pic:blipFill>
                  <pic:spPr>
                    <a:xfrm>
                      <a:off x="0" y="0"/>
                      <a:ext cx="5858510" cy="760222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0100" cy="8314690"/>
            <wp:effectExtent l="1905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cstate="print"/>
                    <a:srcRect/>
                    <a:stretch>
                      <a:fillRect/>
                    </a:stretch>
                  </pic:blipFill>
                  <pic:spPr>
                    <a:xfrm>
                      <a:off x="0" y="0"/>
                      <a:ext cx="5880100" cy="831469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5350" cy="8048625"/>
            <wp:effectExtent l="1905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cstate="print"/>
                    <a:srcRect/>
                    <a:stretch>
                      <a:fillRect/>
                    </a:stretch>
                  </pic:blipFill>
                  <pic:spPr>
                    <a:xfrm>
                      <a:off x="0" y="0"/>
                      <a:ext cx="5975350" cy="8048625"/>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2645" cy="8368030"/>
            <wp:effectExtent l="1905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cstate="print"/>
                    <a:srcRect/>
                    <a:stretch>
                      <a:fillRect/>
                    </a:stretch>
                  </pic:blipFill>
                  <pic:spPr>
                    <a:xfrm>
                      <a:off x="0" y="0"/>
                      <a:ext cx="5922645" cy="836803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9305" cy="767651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cstate="print"/>
                    <a:srcRect/>
                    <a:stretch>
                      <a:fillRect/>
                    </a:stretch>
                  </pic:blipFill>
                  <pic:spPr>
                    <a:xfrm>
                      <a:off x="0" y="0"/>
                      <a:ext cx="5869305" cy="7676515"/>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01055" cy="8346440"/>
            <wp:effectExtent l="1905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cstate="print"/>
                    <a:srcRect/>
                    <a:stretch>
                      <a:fillRect/>
                    </a:stretch>
                  </pic:blipFill>
                  <pic:spPr>
                    <a:xfrm>
                      <a:off x="0" y="0"/>
                      <a:ext cx="5901055" cy="834644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2645" cy="7783195"/>
            <wp:effectExtent l="1905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 cstate="print"/>
                    <a:srcRect/>
                    <a:stretch>
                      <a:fillRect/>
                    </a:stretch>
                  </pic:blipFill>
                  <pic:spPr>
                    <a:xfrm>
                      <a:off x="0" y="0"/>
                      <a:ext cx="5922645" cy="7783195"/>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01055" cy="8335645"/>
            <wp:effectExtent l="1905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8" cstate="print"/>
                    <a:srcRect/>
                    <a:stretch>
                      <a:fillRect/>
                    </a:stretch>
                  </pic:blipFill>
                  <pic:spPr>
                    <a:xfrm>
                      <a:off x="0" y="0"/>
                      <a:ext cx="5901055" cy="8335645"/>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07100" cy="774065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cstate="print"/>
                    <a:srcRect/>
                    <a:stretch>
                      <a:fillRect/>
                    </a:stretch>
                  </pic:blipFill>
                  <pic:spPr>
                    <a:xfrm>
                      <a:off x="0" y="0"/>
                      <a:ext cx="6007100" cy="774065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01055" cy="8346440"/>
            <wp:effectExtent l="1905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 cstate="print"/>
                    <a:srcRect/>
                    <a:stretch>
                      <a:fillRect/>
                    </a:stretch>
                  </pic:blipFill>
                  <pic:spPr>
                    <a:xfrm>
                      <a:off x="0" y="0"/>
                      <a:ext cx="5901055" cy="8346440"/>
                    </a:xfrm>
                    <a:prstGeom prst="rect">
                      <a:avLst/>
                    </a:prstGeom>
                    <a:noFill/>
                    <a:ln w="9525">
                      <a:noFill/>
                      <a:miter lim="800000"/>
                      <a:headEnd/>
                      <a:tailEnd/>
                    </a:ln>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5350" cy="7463790"/>
            <wp:effectExtent l="1905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1" cstate="print"/>
                    <a:srcRect/>
                    <a:stretch>
                      <a:fillRect/>
                    </a:stretch>
                  </pic:blipFill>
                  <pic:spPr>
                    <a:xfrm>
                      <a:off x="0" y="0"/>
                      <a:ext cx="5975350" cy="7463790"/>
                    </a:xfrm>
                    <a:prstGeom prst="rect">
                      <a:avLst/>
                    </a:prstGeom>
                    <a:noFill/>
                    <a:ln w="9525">
                      <a:noFill/>
                      <a:miter lim="800000"/>
                      <a:headEnd/>
                      <a:tailEnd/>
                    </a:ln>
                  </pic:spPr>
                </pic:pic>
              </a:graphicData>
            </a:graphic>
          </wp:inline>
        </w:drawing>
      </w:r>
    </w:p>
    <w:bookmarkEnd w:id="205"/>
    <w:sectPr>
      <w:pgSz w:w="11907" w:h="16840"/>
      <w:pgMar w:top="1417" w:right="1474" w:bottom="1361" w:left="136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楷体à.ā">
    <w:altName w:val="黑体"/>
    <w:panose1 w:val="00000000000000000000"/>
    <w:charset w:val="86"/>
    <w:family w:val="modern"/>
    <w:pitch w:val="default"/>
    <w:sig w:usb0="00000000" w:usb1="00000000" w:usb2="0000001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Times New (W1)">
    <w:altName w:val="Courier New"/>
    <w:panose1 w:val="00000000000000000000"/>
    <w:charset w:val="00"/>
    <w:family w:val="roman"/>
    <w:pitch w:val="default"/>
    <w:sig w:usb0="00000000" w:usb1="00000000" w:usb2="00000008" w:usb3="00000000" w:csb0="000001FF" w:csb1="00000000"/>
  </w:font>
  <w:font w:name="方正小标宋_GBK">
    <w:altName w:val="微软雅黑"/>
    <w:panose1 w:val="00000000000000000000"/>
    <w:charset w:val="86"/>
    <w:family w:val="script"/>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rPr>
        <w:rStyle w:val="48"/>
      </w:rPr>
      <w:instrText xml:space="preserve"> PAGE </w:instrText>
    </w:r>
    <w:r>
      <w:fldChar w:fldCharType="separate"/>
    </w:r>
    <w:r>
      <w:rPr>
        <w:rStyle w:val="48"/>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2053" o:spid="_x0000_s205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1"/>
      </w:pBdr>
    </w:pPr>
    <w:bookmarkStart w:id="204" w:name="OLE_LINK8"/>
    <w:r>
      <w:drawing>
        <wp:anchor distT="0" distB="0" distL="114300" distR="114300" simplePos="0" relativeHeight="251659264" behindDoc="1" locked="0" layoutInCell="1" allowOverlap="1">
          <wp:simplePos x="0" y="0"/>
          <wp:positionH relativeFrom="column">
            <wp:posOffset>-416560</wp:posOffset>
          </wp:positionH>
          <wp:positionV relativeFrom="paragraph">
            <wp:posOffset>-46355</wp:posOffset>
          </wp:positionV>
          <wp:extent cx="389890" cy="397510"/>
          <wp:effectExtent l="1905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
                  <a:srcRect/>
                  <a:stretch>
                    <a:fillRect/>
                  </a:stretch>
                </pic:blipFill>
                <pic:spPr>
                  <a:xfrm>
                    <a:off x="0" y="0"/>
                    <a:ext cx="389890" cy="397510"/>
                  </a:xfrm>
                  <a:prstGeom prst="rect">
                    <a:avLst/>
                  </a:prstGeom>
                  <a:noFill/>
                  <a:ln w="9525">
                    <a:noFill/>
                    <a:miter lim="800000"/>
                    <a:headEnd/>
                    <a:tailEnd/>
                  </a:ln>
                </pic:spPr>
              </pic:pic>
            </a:graphicData>
          </a:graphic>
        </wp:anchor>
      </w:drawing>
    </w:r>
    <w:r>
      <w:rPr>
        <w:rFonts w:hint="eastAsia"/>
        <w:b/>
      </w:rPr>
      <w:t>四川标源招标代理有限公司</w:t>
    </w:r>
    <w:bookmarkEnd w:id="204"/>
    <w:r>
      <w:rPr>
        <w:rFonts w:hint="eastAsia"/>
        <w:b/>
      </w:rPr>
      <w:t xml:space="preserve">                                                         用心扬帆，启航标源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p>
    <w:pPr>
      <w:pStyle w:val="29"/>
      <w:pBdr>
        <w:bottom w:val="none" w:color="auto" w:sz="0" w:space="0"/>
      </w:pBdr>
    </w:pPr>
  </w:p>
  <w:p>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1"/>
      </w:pBdr>
    </w:pPr>
    <w:r>
      <w:drawing>
        <wp:anchor distT="0" distB="0" distL="114300" distR="114300" simplePos="0" relativeHeight="251660288" behindDoc="1" locked="0" layoutInCell="1" allowOverlap="1">
          <wp:simplePos x="0" y="0"/>
          <wp:positionH relativeFrom="column">
            <wp:posOffset>-416560</wp:posOffset>
          </wp:positionH>
          <wp:positionV relativeFrom="paragraph">
            <wp:posOffset>-46355</wp:posOffset>
          </wp:positionV>
          <wp:extent cx="389890" cy="39751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srcRect/>
                  <a:stretch>
                    <a:fillRect/>
                  </a:stretch>
                </pic:blipFill>
                <pic:spPr>
                  <a:xfrm>
                    <a:off x="0" y="0"/>
                    <a:ext cx="389890" cy="397510"/>
                  </a:xfrm>
                  <a:prstGeom prst="rect">
                    <a:avLst/>
                  </a:prstGeom>
                  <a:noFill/>
                  <a:ln w="9525">
                    <a:noFill/>
                    <a:miter lim="800000"/>
                    <a:headEnd/>
                    <a:tailEnd/>
                  </a:ln>
                </pic:spPr>
              </pic:pic>
            </a:graphicData>
          </a:graphic>
        </wp:anchor>
      </w:drawing>
    </w:r>
    <w:r>
      <w:rPr>
        <w:rFonts w:hint="eastAsia"/>
        <w:b/>
      </w:rPr>
      <w:t>四川标源招标代理有限公司                                                           用心扬帆，启航标源</w:t>
    </w:r>
  </w:p>
  <w:p>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CB98D"/>
    <w:multiLevelType w:val="singleLevel"/>
    <w:tmpl w:val="9E4CB98D"/>
    <w:lvl w:ilvl="0" w:tentative="0">
      <w:start w:val="1"/>
      <w:numFmt w:val="decimal"/>
      <w:suff w:val="nothing"/>
      <w:lvlText w:val="%1、"/>
      <w:lvlJc w:val="left"/>
    </w:lvl>
  </w:abstractNum>
  <w:abstractNum w:abstractNumId="1">
    <w:nsid w:val="C88EE25B"/>
    <w:multiLevelType w:val="singleLevel"/>
    <w:tmpl w:val="C88EE25B"/>
    <w:lvl w:ilvl="0" w:tentative="0">
      <w:start w:val="1"/>
      <w:numFmt w:val="decimal"/>
      <w:suff w:val="nothing"/>
      <w:lvlText w:val="%1、"/>
      <w:lvlJc w:val="left"/>
    </w:lvl>
  </w:abstractNum>
  <w:abstractNum w:abstractNumId="2">
    <w:nsid w:val="CDE08E40"/>
    <w:multiLevelType w:val="singleLevel"/>
    <w:tmpl w:val="CDE08E40"/>
    <w:lvl w:ilvl="0" w:tentative="0">
      <w:start w:val="1"/>
      <w:numFmt w:val="chineseCounting"/>
      <w:suff w:val="nothing"/>
      <w:lvlText w:val="%1、"/>
      <w:lvlJc w:val="left"/>
      <w:rPr>
        <w:rFonts w:hint="eastAsia"/>
      </w:rPr>
    </w:lvl>
  </w:abstractNum>
  <w:abstractNum w:abstractNumId="3">
    <w:nsid w:val="E0A142B7"/>
    <w:multiLevelType w:val="singleLevel"/>
    <w:tmpl w:val="E0A142B7"/>
    <w:lvl w:ilvl="0" w:tentative="0">
      <w:start w:val="1"/>
      <w:numFmt w:val="decimal"/>
      <w:lvlText w:val="%1."/>
      <w:lvlJc w:val="left"/>
      <w:pPr>
        <w:tabs>
          <w:tab w:val="left" w:pos="312"/>
        </w:tabs>
      </w:pPr>
    </w:lvl>
  </w:abstractNum>
  <w:abstractNum w:abstractNumId="4">
    <w:nsid w:val="FD27F191"/>
    <w:multiLevelType w:val="singleLevel"/>
    <w:tmpl w:val="FD27F191"/>
    <w:lvl w:ilvl="0" w:tentative="0">
      <w:start w:val="1"/>
      <w:numFmt w:val="decimal"/>
      <w:suff w:val="nothing"/>
      <w:lvlText w:val="%1、"/>
      <w:lvlJc w:val="left"/>
    </w:lvl>
  </w:abstractNum>
  <w:abstractNum w:abstractNumId="5">
    <w:nsid w:val="00000008"/>
    <w:multiLevelType w:val="multilevel"/>
    <w:tmpl w:val="00000008"/>
    <w:lvl w:ilvl="0" w:tentative="0">
      <w:start w:val="1"/>
      <w:numFmt w:val="decimal"/>
      <w:lvlText w:val="第%1章"/>
      <w:lvlJc w:val="left"/>
      <w:pPr>
        <w:tabs>
          <w:tab w:val="left" w:pos="537"/>
        </w:tabs>
        <w:ind w:left="537" w:hanging="432"/>
      </w:pPr>
      <w:rPr>
        <w:rFonts w:hint="default" w:ascii="Times New Roman" w:hAnsi="Times New Roman" w:eastAsia="宋体"/>
        <w:b/>
        <w:i w:val="0"/>
        <w:sz w:val="30"/>
        <w:szCs w:val="30"/>
      </w:rPr>
    </w:lvl>
    <w:lvl w:ilvl="1" w:tentative="0">
      <w:start w:val="1"/>
      <w:numFmt w:val="decimal"/>
      <w:pStyle w:val="178"/>
      <w:lvlText w:val="%1.%2"/>
      <w:lvlJc w:val="left"/>
      <w:pPr>
        <w:tabs>
          <w:tab w:val="left" w:pos="576"/>
        </w:tabs>
        <w:ind w:left="576" w:hanging="576"/>
      </w:pPr>
      <w:rPr>
        <w:rFonts w:hint="default" w:ascii="Times New Roman" w:hAnsi="Times New Roman" w:eastAsia="宋体"/>
        <w:b/>
        <w:i w:val="0"/>
        <w:sz w:val="28"/>
        <w:szCs w:val="28"/>
      </w:rPr>
    </w:lvl>
    <w:lvl w:ilvl="2" w:tentative="0">
      <w:start w:val="1"/>
      <w:numFmt w:val="decimal"/>
      <w:lvlText w:val="%1.%2.%3"/>
      <w:lvlJc w:val="left"/>
      <w:pPr>
        <w:tabs>
          <w:tab w:val="left" w:pos="720"/>
        </w:tabs>
        <w:ind w:left="720" w:hanging="720"/>
      </w:pPr>
      <w:rPr>
        <w:rFonts w:hint="default" w:ascii="Times New Roman" w:hAnsi="Times New Roman" w:eastAsia="宋体" w:cs="Times New Roman"/>
        <w:b/>
        <w:i w:val="0"/>
        <w:iCs w:val="0"/>
        <w:caps w:val="0"/>
        <w:strike w:val="0"/>
        <w:dstrike w:val="0"/>
        <w:outline w:val="0"/>
        <w:shadow w:val="0"/>
        <w:emboss w:val="0"/>
        <w:imprint w:val="0"/>
        <w:vanish w:val="0"/>
        <w:spacing w:val="0"/>
        <w:kern w:val="0"/>
        <w:position w:val="0"/>
        <w:sz w:val="28"/>
        <w:szCs w:val="28"/>
        <w:u w:val="none"/>
        <w:vertAlign w:val="baseline"/>
      </w:rPr>
    </w:lvl>
    <w:lvl w:ilvl="3" w:tentative="0">
      <w:start w:val="1"/>
      <w:numFmt w:val="decimal"/>
      <w:lvlText w:val="%1.%2.%3.%4"/>
      <w:lvlJc w:val="left"/>
      <w:pPr>
        <w:tabs>
          <w:tab w:val="left" w:pos="864"/>
        </w:tabs>
        <w:ind w:left="864" w:hanging="864"/>
      </w:pPr>
      <w:rPr>
        <w:rFonts w:hint="default" w:ascii="Times New Roman" w:hAnsi="Times New Roman" w:eastAsia="宋体"/>
        <w:b/>
        <w:i w:val="0"/>
        <w:sz w:val="28"/>
        <w:szCs w:val="28"/>
      </w:rPr>
    </w:lvl>
    <w:lvl w:ilvl="4" w:tentative="0">
      <w:start w:val="1"/>
      <w:numFmt w:val="decimal"/>
      <w:lvlText w:val="%1.%2.%3.%4.%5"/>
      <w:lvlJc w:val="left"/>
      <w:pPr>
        <w:tabs>
          <w:tab w:val="left" w:pos="1113"/>
        </w:tabs>
        <w:ind w:left="1113" w:hanging="1008"/>
      </w:pPr>
      <w:rPr>
        <w:rFonts w:hint="default" w:ascii="Times New Roman" w:hAnsi="Times New Roman" w:eastAsia="宋体"/>
        <w:b/>
        <w:i w:val="0"/>
        <w:sz w:val="28"/>
        <w:szCs w:val="28"/>
      </w:rPr>
    </w:lvl>
    <w:lvl w:ilvl="5" w:tentative="0">
      <w:start w:val="1"/>
      <w:numFmt w:val="decimal"/>
      <w:lvlText w:val="%1.%2.%3.%4.%5.%6"/>
      <w:lvlJc w:val="left"/>
      <w:pPr>
        <w:tabs>
          <w:tab w:val="left" w:pos="1257"/>
        </w:tabs>
        <w:ind w:left="1257" w:hanging="1152"/>
      </w:pPr>
      <w:rPr>
        <w:rFonts w:hint="eastAsia"/>
      </w:rPr>
    </w:lvl>
    <w:lvl w:ilvl="6" w:tentative="0">
      <w:start w:val="1"/>
      <w:numFmt w:val="decimal"/>
      <w:lvlText w:val="%1.%2.%3.%4.%5.%6.%7"/>
      <w:lvlJc w:val="left"/>
      <w:pPr>
        <w:tabs>
          <w:tab w:val="left" w:pos="1401"/>
        </w:tabs>
        <w:ind w:left="1401" w:hanging="1296"/>
      </w:pPr>
      <w:rPr>
        <w:rFonts w:hint="eastAsia"/>
      </w:rPr>
    </w:lvl>
    <w:lvl w:ilvl="7" w:tentative="0">
      <w:start w:val="1"/>
      <w:numFmt w:val="decimal"/>
      <w:lvlText w:val="%1.%2.%3.%4.%5.%6.%7.%8"/>
      <w:lvlJc w:val="left"/>
      <w:pPr>
        <w:tabs>
          <w:tab w:val="left" w:pos="1545"/>
        </w:tabs>
        <w:ind w:left="1545" w:hanging="1440"/>
      </w:pPr>
      <w:rPr>
        <w:rFonts w:hint="eastAsia"/>
      </w:rPr>
    </w:lvl>
    <w:lvl w:ilvl="8" w:tentative="0">
      <w:start w:val="1"/>
      <w:numFmt w:val="decimal"/>
      <w:lvlText w:val="%1.%2.%3.%4.%5.%6.%7.%8.%9"/>
      <w:lvlJc w:val="left"/>
      <w:pPr>
        <w:tabs>
          <w:tab w:val="left" w:pos="1689"/>
        </w:tabs>
        <w:ind w:left="1689" w:hanging="1584"/>
      </w:pPr>
      <w:rPr>
        <w:rFonts w:hint="eastAsia"/>
      </w:rPr>
    </w:lvl>
  </w:abstractNum>
  <w:abstractNum w:abstractNumId="6">
    <w:nsid w:val="0000000A"/>
    <w:multiLevelType w:val="multilevel"/>
    <w:tmpl w:val="0000000A"/>
    <w:lvl w:ilvl="0" w:tentative="0">
      <w:start w:val="1"/>
      <w:numFmt w:val="decimal"/>
      <w:pStyle w:val="331"/>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D"/>
    <w:multiLevelType w:val="multilevel"/>
    <w:tmpl w:val="0000000D"/>
    <w:lvl w:ilvl="0" w:tentative="0">
      <w:start w:val="1"/>
      <w:numFmt w:val="decimal"/>
      <w:pStyle w:val="3"/>
      <w:lvlText w:val="第%1章"/>
      <w:lvlJc w:val="left"/>
      <w:pPr>
        <w:tabs>
          <w:tab w:val="left" w:pos="4265"/>
        </w:tabs>
        <w:ind w:left="4265" w:hanging="425"/>
      </w:pPr>
      <w:rPr>
        <w:rFonts w:hint="default" w:ascii="Times New Roman" w:hAnsi="Times New Roman" w:eastAsia="宋体"/>
        <w:b/>
        <w:i w:val="0"/>
        <w:sz w:val="28"/>
        <w:szCs w:val="28"/>
      </w:rPr>
    </w:lvl>
    <w:lvl w:ilvl="1" w:tentative="0">
      <w:start w:val="1"/>
      <w:numFmt w:val="decimal"/>
      <w:lvlText w:val="%1.%2."/>
      <w:lvlJc w:val="left"/>
      <w:pPr>
        <w:tabs>
          <w:tab w:val="left" w:pos="4767"/>
        </w:tabs>
        <w:ind w:left="4767" w:hanging="567"/>
      </w:pPr>
      <w:rPr>
        <w:rFonts w:hint="default" w:ascii="Times New Roman" w:hAnsi="Times New Roman" w:eastAsia="宋体"/>
        <w:b/>
        <w:i w:val="0"/>
        <w:sz w:val="28"/>
        <w:szCs w:val="28"/>
      </w:rPr>
    </w:lvl>
    <w:lvl w:ilvl="2" w:tentative="0">
      <w:start w:val="1"/>
      <w:numFmt w:val="decimal"/>
      <w:pStyle w:val="5"/>
      <w:lvlText w:val="%1.%2.%3."/>
      <w:lvlJc w:val="left"/>
      <w:pPr>
        <w:tabs>
          <w:tab w:val="left" w:pos="5269"/>
        </w:tabs>
        <w:ind w:left="5269" w:hanging="709"/>
      </w:pPr>
      <w:rPr>
        <w:rFonts w:hint="default" w:ascii="Times New Roman" w:hAnsi="Times New Roman" w:eastAsia="宋体"/>
        <w:b/>
        <w:i w:val="0"/>
        <w:sz w:val="28"/>
        <w:szCs w:val="28"/>
      </w:rPr>
    </w:lvl>
    <w:lvl w:ilvl="3" w:tentative="0">
      <w:start w:val="1"/>
      <w:numFmt w:val="decimal"/>
      <w:pStyle w:val="157"/>
      <w:lvlText w:val="%1.1.%2.%4."/>
      <w:lvlJc w:val="left"/>
      <w:pPr>
        <w:tabs>
          <w:tab w:val="left" w:pos="6131"/>
        </w:tabs>
        <w:ind w:left="6131" w:hanging="851"/>
      </w:pPr>
      <w:rPr>
        <w:rFonts w:hint="default" w:ascii="Times New Roman" w:hAnsi="Times New Roman" w:eastAsia="宋体" w:cs="Times New Roman"/>
        <w:b/>
        <w:i w:val="0"/>
        <w:iCs w:val="0"/>
        <w:caps w:val="0"/>
        <w:smallCaps w:val="0"/>
        <w:strike w:val="0"/>
        <w:dstrike w:val="0"/>
        <w:outline w:val="0"/>
        <w:shadow w:val="0"/>
        <w:emboss w:val="0"/>
        <w:imprint w:val="0"/>
        <w:vanish w:val="0"/>
        <w:spacing w:val="0"/>
        <w:kern w:val="0"/>
        <w:position w:val="0"/>
        <w:sz w:val="28"/>
        <w:szCs w:val="28"/>
        <w:u w:val="none"/>
        <w:vertAlign w:val="baseline"/>
      </w:rPr>
    </w:lvl>
    <w:lvl w:ilvl="4" w:tentative="0">
      <w:start w:val="1"/>
      <w:numFmt w:val="decimal"/>
      <w:pStyle w:val="7"/>
      <w:lvlText w:val="%1.%2.%3.%4.%5."/>
      <w:lvlJc w:val="left"/>
      <w:pPr>
        <w:tabs>
          <w:tab w:val="left" w:pos="4832"/>
        </w:tabs>
        <w:ind w:left="4832" w:hanging="992"/>
      </w:pPr>
      <w:rPr>
        <w:rFonts w:hint="default" w:ascii="Times New Roman" w:hAnsi="Times New Roman" w:eastAsia="宋体"/>
        <w:b/>
        <w:i w:val="0"/>
        <w:sz w:val="28"/>
        <w:szCs w:val="28"/>
      </w:rPr>
    </w:lvl>
    <w:lvl w:ilvl="5" w:tentative="0">
      <w:start w:val="1"/>
      <w:numFmt w:val="decimal"/>
      <w:pStyle w:val="8"/>
      <w:lvlText w:val="%1.%2.%3.%4.%5.%6."/>
      <w:lvlJc w:val="left"/>
      <w:pPr>
        <w:tabs>
          <w:tab w:val="left" w:pos="4974"/>
        </w:tabs>
        <w:ind w:left="4974" w:hanging="1134"/>
      </w:pPr>
      <w:rPr>
        <w:rFonts w:hint="default" w:ascii="Times New Roman" w:hAnsi="Times New Roman" w:eastAsia="宋体"/>
        <w:b/>
        <w:i w:val="0"/>
        <w:sz w:val="28"/>
        <w:szCs w:val="28"/>
      </w:rPr>
    </w:lvl>
    <w:lvl w:ilvl="6" w:tentative="0">
      <w:start w:val="1"/>
      <w:numFmt w:val="decimal"/>
      <w:lvlText w:val="%1.%2.%3.%4.%5.%6.%7."/>
      <w:lvlJc w:val="left"/>
      <w:pPr>
        <w:tabs>
          <w:tab w:val="left" w:pos="5116"/>
        </w:tabs>
        <w:ind w:left="5116" w:hanging="1276"/>
      </w:pPr>
      <w:rPr>
        <w:rFonts w:hint="eastAsia"/>
      </w:rPr>
    </w:lvl>
    <w:lvl w:ilvl="7" w:tentative="0">
      <w:start w:val="1"/>
      <w:numFmt w:val="decimal"/>
      <w:pStyle w:val="137"/>
      <w:lvlText w:val="%1.%2.%3.%4.%5.%6.%7.%8."/>
      <w:lvlJc w:val="left"/>
      <w:pPr>
        <w:tabs>
          <w:tab w:val="left" w:pos="5258"/>
        </w:tabs>
        <w:ind w:left="5258" w:hanging="1418"/>
      </w:pPr>
      <w:rPr>
        <w:rFonts w:hint="eastAsia"/>
      </w:rPr>
    </w:lvl>
    <w:lvl w:ilvl="8" w:tentative="0">
      <w:start w:val="1"/>
      <w:numFmt w:val="decimal"/>
      <w:pStyle w:val="314"/>
      <w:lvlText w:val="%1.%2.%3.%4.%5.%6.%7.%8.%9."/>
      <w:lvlJc w:val="left"/>
      <w:pPr>
        <w:tabs>
          <w:tab w:val="left" w:pos="5399"/>
        </w:tabs>
        <w:ind w:left="5399" w:hanging="1559"/>
      </w:pPr>
      <w:rPr>
        <w:rFonts w:hint="eastAsia"/>
      </w:rPr>
    </w:lvl>
  </w:abstractNum>
  <w:abstractNum w:abstractNumId="8">
    <w:nsid w:val="00000013"/>
    <w:multiLevelType w:val="multilevel"/>
    <w:tmpl w:val="00000013"/>
    <w:lvl w:ilvl="0" w:tentative="0">
      <w:start w:val="1"/>
      <w:numFmt w:val="decimal"/>
      <w:pStyle w:val="259"/>
      <w:lvlText w:val="%1."/>
      <w:lvlJc w:val="left"/>
      <w:pPr>
        <w:tabs>
          <w:tab w:val="left" w:pos="360"/>
        </w:tabs>
        <w:ind w:left="360" w:hanging="360"/>
      </w:pPr>
      <w:rPr>
        <w:rFonts w:hint="eastAsia"/>
      </w:rPr>
    </w:lvl>
    <w:lvl w:ilvl="1" w:tentative="0">
      <w:start w:val="1"/>
      <w:numFmt w:val="lowerLetter"/>
      <w:pStyle w:val="122"/>
      <w:lvlText w:val="%2)"/>
      <w:lvlJc w:val="left"/>
      <w:pPr>
        <w:tabs>
          <w:tab w:val="left" w:pos="840"/>
        </w:tabs>
        <w:ind w:left="840" w:hanging="420"/>
      </w:pPr>
    </w:lvl>
    <w:lvl w:ilvl="2" w:tentative="0">
      <w:start w:val="1"/>
      <w:numFmt w:val="lowerRoman"/>
      <w:pStyle w:val="133"/>
      <w:lvlText w:val="%3."/>
      <w:lvlJc w:val="right"/>
      <w:pPr>
        <w:tabs>
          <w:tab w:val="left" w:pos="1260"/>
        </w:tabs>
        <w:ind w:left="1260" w:hanging="420"/>
      </w:pPr>
    </w:lvl>
    <w:lvl w:ilvl="3" w:tentative="0">
      <w:start w:val="1"/>
      <w:numFmt w:val="decimal"/>
      <w:pStyle w:val="308"/>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1F1A9F7"/>
    <w:multiLevelType w:val="singleLevel"/>
    <w:tmpl w:val="11F1A9F7"/>
    <w:lvl w:ilvl="0" w:tentative="0">
      <w:start w:val="1"/>
      <w:numFmt w:val="decimal"/>
      <w:suff w:val="nothing"/>
      <w:lvlText w:val="%1、"/>
      <w:lvlJc w:val="left"/>
    </w:lvl>
  </w:abstractNum>
  <w:abstractNum w:abstractNumId="10">
    <w:nsid w:val="1C154559"/>
    <w:multiLevelType w:val="singleLevel"/>
    <w:tmpl w:val="1C154559"/>
    <w:lvl w:ilvl="0" w:tentative="0">
      <w:start w:val="1"/>
      <w:numFmt w:val="decimal"/>
      <w:suff w:val="nothing"/>
      <w:lvlText w:val="%1、"/>
      <w:lvlJc w:val="left"/>
    </w:lvl>
  </w:abstractNum>
  <w:abstractNum w:abstractNumId="11">
    <w:nsid w:val="2422B3C2"/>
    <w:multiLevelType w:val="singleLevel"/>
    <w:tmpl w:val="2422B3C2"/>
    <w:lvl w:ilvl="0" w:tentative="0">
      <w:start w:val="1"/>
      <w:numFmt w:val="decimal"/>
      <w:suff w:val="nothing"/>
      <w:lvlText w:val="%1、"/>
      <w:lvlJc w:val="left"/>
    </w:lvl>
  </w:abstractNum>
  <w:abstractNum w:abstractNumId="12">
    <w:nsid w:val="38554C57"/>
    <w:multiLevelType w:val="multilevel"/>
    <w:tmpl w:val="38554C57"/>
    <w:lvl w:ilvl="0" w:tentative="0">
      <w:start w:val="1"/>
      <w:numFmt w:val="decimal"/>
      <w:pStyle w:val="118"/>
      <w:lvlText w:val="2.3.%1."/>
      <w:lvlJc w:val="left"/>
      <w:pPr>
        <w:ind w:left="618" w:hanging="420"/>
      </w:pPr>
      <w:rPr>
        <w:rFonts w:hint="eastAsia"/>
      </w:rPr>
    </w:lvl>
    <w:lvl w:ilvl="1" w:tentative="0">
      <w:start w:val="1"/>
      <w:numFmt w:val="lowerLetter"/>
      <w:lvlText w:val="%2)"/>
      <w:lvlJc w:val="left"/>
      <w:pPr>
        <w:ind w:left="1038" w:hanging="420"/>
      </w:pPr>
    </w:lvl>
    <w:lvl w:ilvl="2" w:tentative="0">
      <w:start w:val="1"/>
      <w:numFmt w:val="lowerRoman"/>
      <w:lvlText w:val="%3."/>
      <w:lvlJc w:val="right"/>
      <w:pPr>
        <w:ind w:left="1458" w:hanging="420"/>
      </w:pPr>
    </w:lvl>
    <w:lvl w:ilvl="3" w:tentative="0">
      <w:start w:val="1"/>
      <w:numFmt w:val="decimal"/>
      <w:lvlText w:val="%4."/>
      <w:lvlJc w:val="left"/>
      <w:pPr>
        <w:ind w:left="1878" w:hanging="420"/>
      </w:pPr>
    </w:lvl>
    <w:lvl w:ilvl="4" w:tentative="0">
      <w:start w:val="1"/>
      <w:numFmt w:val="lowerLetter"/>
      <w:lvlText w:val="%5)"/>
      <w:lvlJc w:val="left"/>
      <w:pPr>
        <w:ind w:left="2298" w:hanging="420"/>
      </w:pPr>
    </w:lvl>
    <w:lvl w:ilvl="5" w:tentative="0">
      <w:start w:val="1"/>
      <w:numFmt w:val="lowerRoman"/>
      <w:lvlText w:val="%6."/>
      <w:lvlJc w:val="right"/>
      <w:pPr>
        <w:ind w:left="2718" w:hanging="420"/>
      </w:pPr>
    </w:lvl>
    <w:lvl w:ilvl="6" w:tentative="0">
      <w:start w:val="1"/>
      <w:numFmt w:val="decimal"/>
      <w:lvlText w:val="%7."/>
      <w:lvlJc w:val="left"/>
      <w:pPr>
        <w:ind w:left="3138" w:hanging="420"/>
      </w:pPr>
    </w:lvl>
    <w:lvl w:ilvl="7" w:tentative="0">
      <w:start w:val="1"/>
      <w:numFmt w:val="lowerLetter"/>
      <w:lvlText w:val="%8)"/>
      <w:lvlJc w:val="left"/>
      <w:pPr>
        <w:ind w:left="3558" w:hanging="420"/>
      </w:pPr>
    </w:lvl>
    <w:lvl w:ilvl="8" w:tentative="0">
      <w:start w:val="1"/>
      <w:numFmt w:val="lowerRoman"/>
      <w:lvlText w:val="%9."/>
      <w:lvlJc w:val="right"/>
      <w:pPr>
        <w:ind w:left="3978" w:hanging="420"/>
      </w:pPr>
    </w:lvl>
  </w:abstractNum>
  <w:abstractNum w:abstractNumId="13">
    <w:nsid w:val="3A3BE02F"/>
    <w:multiLevelType w:val="singleLevel"/>
    <w:tmpl w:val="3A3BE02F"/>
    <w:lvl w:ilvl="0" w:tentative="0">
      <w:start w:val="1"/>
      <w:numFmt w:val="decimal"/>
      <w:suff w:val="nothing"/>
      <w:lvlText w:val="%1、"/>
      <w:lvlJc w:val="left"/>
    </w:lvl>
  </w:abstractNum>
  <w:abstractNum w:abstractNumId="14">
    <w:nsid w:val="56980887"/>
    <w:multiLevelType w:val="singleLevel"/>
    <w:tmpl w:val="56980887"/>
    <w:lvl w:ilvl="0" w:tentative="0">
      <w:start w:val="1"/>
      <w:numFmt w:val="decimal"/>
      <w:suff w:val="nothing"/>
      <w:lvlText w:val="%1、"/>
      <w:lvlJc w:val="left"/>
    </w:lvl>
  </w:abstractNum>
  <w:abstractNum w:abstractNumId="15">
    <w:nsid w:val="5914C6FD"/>
    <w:multiLevelType w:val="singleLevel"/>
    <w:tmpl w:val="5914C6FD"/>
    <w:lvl w:ilvl="0" w:tentative="0">
      <w:start w:val="1"/>
      <w:numFmt w:val="decimal"/>
      <w:suff w:val="nothing"/>
      <w:lvlText w:val="%1、"/>
      <w:lvlJc w:val="left"/>
    </w:lvl>
  </w:abstractNum>
  <w:abstractNum w:abstractNumId="16">
    <w:nsid w:val="59155523"/>
    <w:multiLevelType w:val="singleLevel"/>
    <w:tmpl w:val="59155523"/>
    <w:lvl w:ilvl="0" w:tentative="0">
      <w:start w:val="4"/>
      <w:numFmt w:val="decimal"/>
      <w:suff w:val="nothing"/>
      <w:lvlText w:val="%1、"/>
      <w:lvlJc w:val="left"/>
    </w:lvl>
  </w:abstractNum>
  <w:abstractNum w:abstractNumId="17">
    <w:nsid w:val="59624C81"/>
    <w:multiLevelType w:val="multilevel"/>
    <w:tmpl w:val="59624C81"/>
    <w:lvl w:ilvl="0" w:tentative="0">
      <w:start w:val="1"/>
      <w:numFmt w:val="decimal"/>
      <w:pStyle w:val="109"/>
      <w:lvlText w:val="2.2.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D6C948D"/>
    <w:multiLevelType w:val="singleLevel"/>
    <w:tmpl w:val="7D6C948D"/>
    <w:lvl w:ilvl="0" w:tentative="0">
      <w:start w:val="1"/>
      <w:numFmt w:val="decimal"/>
      <w:suff w:val="nothing"/>
      <w:lvlText w:val="%1、"/>
      <w:lvlJc w:val="left"/>
    </w:lvl>
  </w:abstractNum>
  <w:num w:numId="1">
    <w:abstractNumId w:val="7"/>
  </w:num>
  <w:num w:numId="2">
    <w:abstractNumId w:val="17"/>
  </w:num>
  <w:num w:numId="3">
    <w:abstractNumId w:val="12"/>
  </w:num>
  <w:num w:numId="4">
    <w:abstractNumId w:val="8"/>
  </w:num>
  <w:num w:numId="5">
    <w:abstractNumId w:val="5"/>
  </w:num>
  <w:num w:numId="6">
    <w:abstractNumId w:val="6"/>
  </w:num>
  <w:num w:numId="7">
    <w:abstractNumId w:val="2"/>
  </w:num>
  <w:num w:numId="8">
    <w:abstractNumId w:val="16"/>
  </w:num>
  <w:num w:numId="9">
    <w:abstractNumId w:val="14"/>
  </w:num>
  <w:num w:numId="10">
    <w:abstractNumId w:val="11"/>
  </w:num>
  <w:num w:numId="11">
    <w:abstractNumId w:val="3"/>
  </w:num>
  <w:num w:numId="12">
    <w:abstractNumId w:val="10"/>
  </w:num>
  <w:num w:numId="13">
    <w:abstractNumId w:val="1"/>
  </w:num>
  <w:num w:numId="14">
    <w:abstractNumId w:val="18"/>
  </w:num>
  <w:num w:numId="15">
    <w:abstractNumId w:val="9"/>
  </w:num>
  <w:num w:numId="16">
    <w:abstractNumId w:val="13"/>
  </w:num>
  <w:num w:numId="17">
    <w:abstractNumId w:val="4"/>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244"/>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2782"/>
    <w:rsid w:val="00002D9D"/>
    <w:rsid w:val="00006AC2"/>
    <w:rsid w:val="00010ACB"/>
    <w:rsid w:val="00010D51"/>
    <w:rsid w:val="00013803"/>
    <w:rsid w:val="000149C7"/>
    <w:rsid w:val="00015EE7"/>
    <w:rsid w:val="00016916"/>
    <w:rsid w:val="000218CF"/>
    <w:rsid w:val="000264D2"/>
    <w:rsid w:val="00026E92"/>
    <w:rsid w:val="000322BA"/>
    <w:rsid w:val="0003335B"/>
    <w:rsid w:val="000350FC"/>
    <w:rsid w:val="00035ED1"/>
    <w:rsid w:val="00043384"/>
    <w:rsid w:val="0004456E"/>
    <w:rsid w:val="000502DC"/>
    <w:rsid w:val="000508B2"/>
    <w:rsid w:val="00052E12"/>
    <w:rsid w:val="00053655"/>
    <w:rsid w:val="000546F8"/>
    <w:rsid w:val="00056169"/>
    <w:rsid w:val="00060FA0"/>
    <w:rsid w:val="00070375"/>
    <w:rsid w:val="00076228"/>
    <w:rsid w:val="00082528"/>
    <w:rsid w:val="000868AC"/>
    <w:rsid w:val="00087243"/>
    <w:rsid w:val="0009301A"/>
    <w:rsid w:val="00094E92"/>
    <w:rsid w:val="00095198"/>
    <w:rsid w:val="00097B52"/>
    <w:rsid w:val="000A1458"/>
    <w:rsid w:val="000A61D7"/>
    <w:rsid w:val="000B0BCE"/>
    <w:rsid w:val="000B5A2D"/>
    <w:rsid w:val="000B6E48"/>
    <w:rsid w:val="000B713E"/>
    <w:rsid w:val="000C0114"/>
    <w:rsid w:val="000C1461"/>
    <w:rsid w:val="000C2255"/>
    <w:rsid w:val="000D11C4"/>
    <w:rsid w:val="000D1F11"/>
    <w:rsid w:val="000D24A0"/>
    <w:rsid w:val="000D6F82"/>
    <w:rsid w:val="000E7669"/>
    <w:rsid w:val="000F03E9"/>
    <w:rsid w:val="000F0F6B"/>
    <w:rsid w:val="000F1745"/>
    <w:rsid w:val="000F567E"/>
    <w:rsid w:val="00101347"/>
    <w:rsid w:val="0011240F"/>
    <w:rsid w:val="001135DD"/>
    <w:rsid w:val="00120D14"/>
    <w:rsid w:val="0012350F"/>
    <w:rsid w:val="00124743"/>
    <w:rsid w:val="001272EA"/>
    <w:rsid w:val="001327C9"/>
    <w:rsid w:val="00134302"/>
    <w:rsid w:val="00136099"/>
    <w:rsid w:val="00137C94"/>
    <w:rsid w:val="00145724"/>
    <w:rsid w:val="00146BDE"/>
    <w:rsid w:val="00147A32"/>
    <w:rsid w:val="001519B6"/>
    <w:rsid w:val="00153D72"/>
    <w:rsid w:val="00155DBF"/>
    <w:rsid w:val="001608F3"/>
    <w:rsid w:val="001609C3"/>
    <w:rsid w:val="00164103"/>
    <w:rsid w:val="00172A27"/>
    <w:rsid w:val="0017310C"/>
    <w:rsid w:val="001741D0"/>
    <w:rsid w:val="00177722"/>
    <w:rsid w:val="001839D3"/>
    <w:rsid w:val="00184481"/>
    <w:rsid w:val="001917FD"/>
    <w:rsid w:val="001A0978"/>
    <w:rsid w:val="001A1B1D"/>
    <w:rsid w:val="001A2362"/>
    <w:rsid w:val="001B4A6C"/>
    <w:rsid w:val="001B4E12"/>
    <w:rsid w:val="001B7388"/>
    <w:rsid w:val="001B7A17"/>
    <w:rsid w:val="001C104B"/>
    <w:rsid w:val="001C6495"/>
    <w:rsid w:val="001C7083"/>
    <w:rsid w:val="001D18AF"/>
    <w:rsid w:val="001D29C8"/>
    <w:rsid w:val="001E3B79"/>
    <w:rsid w:val="001E73BA"/>
    <w:rsid w:val="001F3618"/>
    <w:rsid w:val="001F4609"/>
    <w:rsid w:val="001F4BD3"/>
    <w:rsid w:val="002008BC"/>
    <w:rsid w:val="0020261A"/>
    <w:rsid w:val="002109A8"/>
    <w:rsid w:val="00212A97"/>
    <w:rsid w:val="00214C96"/>
    <w:rsid w:val="00215C00"/>
    <w:rsid w:val="002167F8"/>
    <w:rsid w:val="002231C5"/>
    <w:rsid w:val="00225706"/>
    <w:rsid w:val="00232BA0"/>
    <w:rsid w:val="0023480A"/>
    <w:rsid w:val="002361B1"/>
    <w:rsid w:val="00237C1F"/>
    <w:rsid w:val="00241328"/>
    <w:rsid w:val="00241C69"/>
    <w:rsid w:val="0024333D"/>
    <w:rsid w:val="0024606B"/>
    <w:rsid w:val="00250167"/>
    <w:rsid w:val="00251B5F"/>
    <w:rsid w:val="00260A4D"/>
    <w:rsid w:val="00260F61"/>
    <w:rsid w:val="00262575"/>
    <w:rsid w:val="00262621"/>
    <w:rsid w:val="002627C7"/>
    <w:rsid w:val="00271381"/>
    <w:rsid w:val="00271581"/>
    <w:rsid w:val="00275872"/>
    <w:rsid w:val="002758A9"/>
    <w:rsid w:val="00276686"/>
    <w:rsid w:val="00281143"/>
    <w:rsid w:val="00282187"/>
    <w:rsid w:val="00283422"/>
    <w:rsid w:val="002879E1"/>
    <w:rsid w:val="00293B1D"/>
    <w:rsid w:val="0029481B"/>
    <w:rsid w:val="002954D8"/>
    <w:rsid w:val="002962E1"/>
    <w:rsid w:val="00296A7F"/>
    <w:rsid w:val="002A1E8A"/>
    <w:rsid w:val="002A2263"/>
    <w:rsid w:val="002A24CD"/>
    <w:rsid w:val="002A3171"/>
    <w:rsid w:val="002A4094"/>
    <w:rsid w:val="002B1E33"/>
    <w:rsid w:val="002B4D80"/>
    <w:rsid w:val="002B54C3"/>
    <w:rsid w:val="002D61A6"/>
    <w:rsid w:val="002E0467"/>
    <w:rsid w:val="002E3C05"/>
    <w:rsid w:val="002E5B01"/>
    <w:rsid w:val="002E7382"/>
    <w:rsid w:val="002F2C6F"/>
    <w:rsid w:val="002F4440"/>
    <w:rsid w:val="002F452F"/>
    <w:rsid w:val="002F7FD8"/>
    <w:rsid w:val="00302D21"/>
    <w:rsid w:val="00302F5D"/>
    <w:rsid w:val="0030501C"/>
    <w:rsid w:val="00306C6E"/>
    <w:rsid w:val="0030723B"/>
    <w:rsid w:val="00310FC6"/>
    <w:rsid w:val="00315F84"/>
    <w:rsid w:val="0032333B"/>
    <w:rsid w:val="0032592A"/>
    <w:rsid w:val="00330FE5"/>
    <w:rsid w:val="00331FC5"/>
    <w:rsid w:val="00334DD9"/>
    <w:rsid w:val="00342700"/>
    <w:rsid w:val="00343D62"/>
    <w:rsid w:val="00345810"/>
    <w:rsid w:val="00347FF5"/>
    <w:rsid w:val="00353F1E"/>
    <w:rsid w:val="003547AA"/>
    <w:rsid w:val="003573DF"/>
    <w:rsid w:val="00357F28"/>
    <w:rsid w:val="003626BD"/>
    <w:rsid w:val="003670C6"/>
    <w:rsid w:val="00370C44"/>
    <w:rsid w:val="003711F9"/>
    <w:rsid w:val="0037178E"/>
    <w:rsid w:val="00372386"/>
    <w:rsid w:val="00372BE1"/>
    <w:rsid w:val="003731BE"/>
    <w:rsid w:val="00377474"/>
    <w:rsid w:val="00380C49"/>
    <w:rsid w:val="0038548C"/>
    <w:rsid w:val="00387A94"/>
    <w:rsid w:val="00387B63"/>
    <w:rsid w:val="00390F4D"/>
    <w:rsid w:val="00393ACF"/>
    <w:rsid w:val="00395850"/>
    <w:rsid w:val="003A31B6"/>
    <w:rsid w:val="003A6439"/>
    <w:rsid w:val="003B05F9"/>
    <w:rsid w:val="003B4490"/>
    <w:rsid w:val="003B5FF3"/>
    <w:rsid w:val="003C102C"/>
    <w:rsid w:val="003C1140"/>
    <w:rsid w:val="003C3117"/>
    <w:rsid w:val="003C561B"/>
    <w:rsid w:val="003D12BB"/>
    <w:rsid w:val="003D7A1D"/>
    <w:rsid w:val="003E12BC"/>
    <w:rsid w:val="003E373B"/>
    <w:rsid w:val="003E460C"/>
    <w:rsid w:val="003E6395"/>
    <w:rsid w:val="003E7067"/>
    <w:rsid w:val="003F3B3C"/>
    <w:rsid w:val="003F4809"/>
    <w:rsid w:val="003F7F5C"/>
    <w:rsid w:val="00402D28"/>
    <w:rsid w:val="0040553A"/>
    <w:rsid w:val="00406B90"/>
    <w:rsid w:val="0041106B"/>
    <w:rsid w:val="0041211F"/>
    <w:rsid w:val="0041213E"/>
    <w:rsid w:val="004137C3"/>
    <w:rsid w:val="00416263"/>
    <w:rsid w:val="004218ED"/>
    <w:rsid w:val="00422518"/>
    <w:rsid w:val="00423D45"/>
    <w:rsid w:val="004352D7"/>
    <w:rsid w:val="00436720"/>
    <w:rsid w:val="004371B7"/>
    <w:rsid w:val="0044373A"/>
    <w:rsid w:val="00451872"/>
    <w:rsid w:val="00456BB4"/>
    <w:rsid w:val="0046355B"/>
    <w:rsid w:val="004665AA"/>
    <w:rsid w:val="004743AF"/>
    <w:rsid w:val="004857F4"/>
    <w:rsid w:val="00491373"/>
    <w:rsid w:val="00491618"/>
    <w:rsid w:val="0049374A"/>
    <w:rsid w:val="00493B4E"/>
    <w:rsid w:val="00497DCE"/>
    <w:rsid w:val="004A0984"/>
    <w:rsid w:val="004A0BA5"/>
    <w:rsid w:val="004A0EB3"/>
    <w:rsid w:val="004A719F"/>
    <w:rsid w:val="004B2510"/>
    <w:rsid w:val="004B2D63"/>
    <w:rsid w:val="004B7F46"/>
    <w:rsid w:val="004C13A3"/>
    <w:rsid w:val="004C3CCA"/>
    <w:rsid w:val="004C5B7B"/>
    <w:rsid w:val="004D69ED"/>
    <w:rsid w:val="004E0123"/>
    <w:rsid w:val="004E6240"/>
    <w:rsid w:val="004F447F"/>
    <w:rsid w:val="0050088E"/>
    <w:rsid w:val="00500FAF"/>
    <w:rsid w:val="00503678"/>
    <w:rsid w:val="00505BA6"/>
    <w:rsid w:val="00506F96"/>
    <w:rsid w:val="00507972"/>
    <w:rsid w:val="00513202"/>
    <w:rsid w:val="00513373"/>
    <w:rsid w:val="00523728"/>
    <w:rsid w:val="005259B6"/>
    <w:rsid w:val="005267EC"/>
    <w:rsid w:val="00550F7C"/>
    <w:rsid w:val="00557E35"/>
    <w:rsid w:val="00564AFF"/>
    <w:rsid w:val="00564CC1"/>
    <w:rsid w:val="0056768B"/>
    <w:rsid w:val="00570955"/>
    <w:rsid w:val="00571285"/>
    <w:rsid w:val="005731C5"/>
    <w:rsid w:val="00575AFB"/>
    <w:rsid w:val="00575C0C"/>
    <w:rsid w:val="0057618B"/>
    <w:rsid w:val="005776E5"/>
    <w:rsid w:val="005810CD"/>
    <w:rsid w:val="005817F0"/>
    <w:rsid w:val="0058522D"/>
    <w:rsid w:val="005865B5"/>
    <w:rsid w:val="00591B25"/>
    <w:rsid w:val="005924DB"/>
    <w:rsid w:val="0059375D"/>
    <w:rsid w:val="005979E1"/>
    <w:rsid w:val="005A20E2"/>
    <w:rsid w:val="005A212E"/>
    <w:rsid w:val="005A4962"/>
    <w:rsid w:val="005A6F85"/>
    <w:rsid w:val="005B4E50"/>
    <w:rsid w:val="005B7D19"/>
    <w:rsid w:val="005B7D24"/>
    <w:rsid w:val="005C15A9"/>
    <w:rsid w:val="005C568F"/>
    <w:rsid w:val="005C5F84"/>
    <w:rsid w:val="005C694D"/>
    <w:rsid w:val="005C70B5"/>
    <w:rsid w:val="005C7BF1"/>
    <w:rsid w:val="005D3430"/>
    <w:rsid w:val="005D3636"/>
    <w:rsid w:val="005D597E"/>
    <w:rsid w:val="005E3DA0"/>
    <w:rsid w:val="005E4108"/>
    <w:rsid w:val="005F0DCA"/>
    <w:rsid w:val="005F16ED"/>
    <w:rsid w:val="006033C1"/>
    <w:rsid w:val="0060460F"/>
    <w:rsid w:val="00611A47"/>
    <w:rsid w:val="00613474"/>
    <w:rsid w:val="006219D2"/>
    <w:rsid w:val="00623A77"/>
    <w:rsid w:val="0062465F"/>
    <w:rsid w:val="00627E48"/>
    <w:rsid w:val="00632674"/>
    <w:rsid w:val="00633306"/>
    <w:rsid w:val="00640C9A"/>
    <w:rsid w:val="00644D5C"/>
    <w:rsid w:val="006461E9"/>
    <w:rsid w:val="00646866"/>
    <w:rsid w:val="006537E1"/>
    <w:rsid w:val="006567E9"/>
    <w:rsid w:val="00657052"/>
    <w:rsid w:val="006630B6"/>
    <w:rsid w:val="0066319A"/>
    <w:rsid w:val="00665053"/>
    <w:rsid w:val="00665F38"/>
    <w:rsid w:val="00673277"/>
    <w:rsid w:val="00677144"/>
    <w:rsid w:val="006848E3"/>
    <w:rsid w:val="0069046F"/>
    <w:rsid w:val="00690E75"/>
    <w:rsid w:val="00691F9A"/>
    <w:rsid w:val="00693B63"/>
    <w:rsid w:val="00693D1C"/>
    <w:rsid w:val="00697E89"/>
    <w:rsid w:val="006A36EC"/>
    <w:rsid w:val="006A7299"/>
    <w:rsid w:val="006B5F53"/>
    <w:rsid w:val="006B65AD"/>
    <w:rsid w:val="006B786E"/>
    <w:rsid w:val="006C1AD8"/>
    <w:rsid w:val="006D4F16"/>
    <w:rsid w:val="006D7082"/>
    <w:rsid w:val="006D7C01"/>
    <w:rsid w:val="006E1564"/>
    <w:rsid w:val="006E206E"/>
    <w:rsid w:val="006E3E5C"/>
    <w:rsid w:val="006F3A33"/>
    <w:rsid w:val="00702935"/>
    <w:rsid w:val="00704DFF"/>
    <w:rsid w:val="007056E1"/>
    <w:rsid w:val="00705711"/>
    <w:rsid w:val="00706E76"/>
    <w:rsid w:val="00707DE1"/>
    <w:rsid w:val="007108B0"/>
    <w:rsid w:val="00715758"/>
    <w:rsid w:val="0072078A"/>
    <w:rsid w:val="007209FA"/>
    <w:rsid w:val="00724E08"/>
    <w:rsid w:val="0073058A"/>
    <w:rsid w:val="00731FE5"/>
    <w:rsid w:val="007342A1"/>
    <w:rsid w:val="00735335"/>
    <w:rsid w:val="00737E84"/>
    <w:rsid w:val="00750655"/>
    <w:rsid w:val="007514C2"/>
    <w:rsid w:val="007523ED"/>
    <w:rsid w:val="00755436"/>
    <w:rsid w:val="00762532"/>
    <w:rsid w:val="00763D33"/>
    <w:rsid w:val="00767FBA"/>
    <w:rsid w:val="00770875"/>
    <w:rsid w:val="007723F1"/>
    <w:rsid w:val="00775177"/>
    <w:rsid w:val="0077744D"/>
    <w:rsid w:val="007839B4"/>
    <w:rsid w:val="0078648B"/>
    <w:rsid w:val="00786979"/>
    <w:rsid w:val="00787FE4"/>
    <w:rsid w:val="00794140"/>
    <w:rsid w:val="007A470F"/>
    <w:rsid w:val="007A6E0D"/>
    <w:rsid w:val="007B1900"/>
    <w:rsid w:val="007B4062"/>
    <w:rsid w:val="007B5A75"/>
    <w:rsid w:val="007B7471"/>
    <w:rsid w:val="007C56A6"/>
    <w:rsid w:val="007C789A"/>
    <w:rsid w:val="007D069C"/>
    <w:rsid w:val="007E31A8"/>
    <w:rsid w:val="007E5C3C"/>
    <w:rsid w:val="007E756E"/>
    <w:rsid w:val="007F34ED"/>
    <w:rsid w:val="007F4D38"/>
    <w:rsid w:val="007F5C93"/>
    <w:rsid w:val="008015AE"/>
    <w:rsid w:val="008015FB"/>
    <w:rsid w:val="00804E52"/>
    <w:rsid w:val="00806C8C"/>
    <w:rsid w:val="00812F5A"/>
    <w:rsid w:val="008133E6"/>
    <w:rsid w:val="00813AD9"/>
    <w:rsid w:val="00813D1C"/>
    <w:rsid w:val="00815269"/>
    <w:rsid w:val="00815AE7"/>
    <w:rsid w:val="00817737"/>
    <w:rsid w:val="0082243D"/>
    <w:rsid w:val="0083140D"/>
    <w:rsid w:val="00831493"/>
    <w:rsid w:val="00832202"/>
    <w:rsid w:val="008331A0"/>
    <w:rsid w:val="0083484F"/>
    <w:rsid w:val="008350FF"/>
    <w:rsid w:val="008364A7"/>
    <w:rsid w:val="00836EFB"/>
    <w:rsid w:val="00842340"/>
    <w:rsid w:val="00847C96"/>
    <w:rsid w:val="00851988"/>
    <w:rsid w:val="00853032"/>
    <w:rsid w:val="00856A95"/>
    <w:rsid w:val="00857BEC"/>
    <w:rsid w:val="00861157"/>
    <w:rsid w:val="008613C2"/>
    <w:rsid w:val="0086178A"/>
    <w:rsid w:val="00861C92"/>
    <w:rsid w:val="00866FB8"/>
    <w:rsid w:val="00874204"/>
    <w:rsid w:val="00876E2D"/>
    <w:rsid w:val="00880566"/>
    <w:rsid w:val="00880AC6"/>
    <w:rsid w:val="008879E5"/>
    <w:rsid w:val="008906D2"/>
    <w:rsid w:val="00891016"/>
    <w:rsid w:val="00892000"/>
    <w:rsid w:val="008939FD"/>
    <w:rsid w:val="008972BC"/>
    <w:rsid w:val="008A0505"/>
    <w:rsid w:val="008A2826"/>
    <w:rsid w:val="008A3430"/>
    <w:rsid w:val="008B0DE0"/>
    <w:rsid w:val="008B19D4"/>
    <w:rsid w:val="008B60B4"/>
    <w:rsid w:val="008C17D2"/>
    <w:rsid w:val="008D19A8"/>
    <w:rsid w:val="008D3CB2"/>
    <w:rsid w:val="008D4AEE"/>
    <w:rsid w:val="008E0867"/>
    <w:rsid w:val="008E1C6D"/>
    <w:rsid w:val="008E3F17"/>
    <w:rsid w:val="008E5114"/>
    <w:rsid w:val="008E742E"/>
    <w:rsid w:val="008F1B59"/>
    <w:rsid w:val="008F1D1C"/>
    <w:rsid w:val="008F1DA8"/>
    <w:rsid w:val="008F3AD9"/>
    <w:rsid w:val="008F54F9"/>
    <w:rsid w:val="00913ABE"/>
    <w:rsid w:val="0091565D"/>
    <w:rsid w:val="0091645B"/>
    <w:rsid w:val="00921AD5"/>
    <w:rsid w:val="0092794B"/>
    <w:rsid w:val="00927F62"/>
    <w:rsid w:val="009432B5"/>
    <w:rsid w:val="00945174"/>
    <w:rsid w:val="0094655C"/>
    <w:rsid w:val="00955A8F"/>
    <w:rsid w:val="00964871"/>
    <w:rsid w:val="009717E7"/>
    <w:rsid w:val="009900A2"/>
    <w:rsid w:val="00995B3F"/>
    <w:rsid w:val="009972DD"/>
    <w:rsid w:val="009A109D"/>
    <w:rsid w:val="009A4BD9"/>
    <w:rsid w:val="009B0CCF"/>
    <w:rsid w:val="009B4CDB"/>
    <w:rsid w:val="009C4162"/>
    <w:rsid w:val="009E06A6"/>
    <w:rsid w:val="009E7931"/>
    <w:rsid w:val="009F63C5"/>
    <w:rsid w:val="00A028E8"/>
    <w:rsid w:val="00A104E0"/>
    <w:rsid w:val="00A1333F"/>
    <w:rsid w:val="00A16332"/>
    <w:rsid w:val="00A23EBC"/>
    <w:rsid w:val="00A33163"/>
    <w:rsid w:val="00A33E51"/>
    <w:rsid w:val="00A345CD"/>
    <w:rsid w:val="00A419B6"/>
    <w:rsid w:val="00A460CF"/>
    <w:rsid w:val="00A46CBA"/>
    <w:rsid w:val="00A50EB4"/>
    <w:rsid w:val="00A51424"/>
    <w:rsid w:val="00A52CB0"/>
    <w:rsid w:val="00A55783"/>
    <w:rsid w:val="00A60EEB"/>
    <w:rsid w:val="00A636FE"/>
    <w:rsid w:val="00A63BAB"/>
    <w:rsid w:val="00A6470B"/>
    <w:rsid w:val="00A714FF"/>
    <w:rsid w:val="00A7459F"/>
    <w:rsid w:val="00A75B1C"/>
    <w:rsid w:val="00A75E66"/>
    <w:rsid w:val="00A77133"/>
    <w:rsid w:val="00A811F9"/>
    <w:rsid w:val="00A827BE"/>
    <w:rsid w:val="00A93678"/>
    <w:rsid w:val="00AA1446"/>
    <w:rsid w:val="00AA7A34"/>
    <w:rsid w:val="00AB3A07"/>
    <w:rsid w:val="00AB4B05"/>
    <w:rsid w:val="00AC2187"/>
    <w:rsid w:val="00AC2CB9"/>
    <w:rsid w:val="00AC2FC4"/>
    <w:rsid w:val="00AC4763"/>
    <w:rsid w:val="00AC4CD1"/>
    <w:rsid w:val="00AC6AF6"/>
    <w:rsid w:val="00AD3002"/>
    <w:rsid w:val="00AD3D7E"/>
    <w:rsid w:val="00AD3FE9"/>
    <w:rsid w:val="00AD49E5"/>
    <w:rsid w:val="00AD50B2"/>
    <w:rsid w:val="00AD5655"/>
    <w:rsid w:val="00AD6CFB"/>
    <w:rsid w:val="00AD76DC"/>
    <w:rsid w:val="00AE2A92"/>
    <w:rsid w:val="00AE3FD9"/>
    <w:rsid w:val="00AE6CCC"/>
    <w:rsid w:val="00AE6F1F"/>
    <w:rsid w:val="00AF17E5"/>
    <w:rsid w:val="00AF4F55"/>
    <w:rsid w:val="00AF559A"/>
    <w:rsid w:val="00AF5EA9"/>
    <w:rsid w:val="00AF7FC8"/>
    <w:rsid w:val="00B03744"/>
    <w:rsid w:val="00B03EA4"/>
    <w:rsid w:val="00B109EB"/>
    <w:rsid w:val="00B12428"/>
    <w:rsid w:val="00B13C15"/>
    <w:rsid w:val="00B16080"/>
    <w:rsid w:val="00B16402"/>
    <w:rsid w:val="00B21150"/>
    <w:rsid w:val="00B317C2"/>
    <w:rsid w:val="00B32C76"/>
    <w:rsid w:val="00B335BF"/>
    <w:rsid w:val="00B35255"/>
    <w:rsid w:val="00B36040"/>
    <w:rsid w:val="00B40F09"/>
    <w:rsid w:val="00B410F9"/>
    <w:rsid w:val="00B46AD6"/>
    <w:rsid w:val="00B47E68"/>
    <w:rsid w:val="00B55253"/>
    <w:rsid w:val="00B57F03"/>
    <w:rsid w:val="00B62021"/>
    <w:rsid w:val="00B625EB"/>
    <w:rsid w:val="00B62AB5"/>
    <w:rsid w:val="00B73D27"/>
    <w:rsid w:val="00B81ABA"/>
    <w:rsid w:val="00B81BD2"/>
    <w:rsid w:val="00B8244E"/>
    <w:rsid w:val="00B86C6E"/>
    <w:rsid w:val="00B86EA9"/>
    <w:rsid w:val="00B92083"/>
    <w:rsid w:val="00BA1F2F"/>
    <w:rsid w:val="00BA6E60"/>
    <w:rsid w:val="00BA7D45"/>
    <w:rsid w:val="00BB11F7"/>
    <w:rsid w:val="00BB4EF7"/>
    <w:rsid w:val="00BB5B41"/>
    <w:rsid w:val="00BB6C38"/>
    <w:rsid w:val="00BC3F28"/>
    <w:rsid w:val="00BC6BEE"/>
    <w:rsid w:val="00BD03FB"/>
    <w:rsid w:val="00BD7692"/>
    <w:rsid w:val="00BD794D"/>
    <w:rsid w:val="00BE0B51"/>
    <w:rsid w:val="00BE47E0"/>
    <w:rsid w:val="00BF127F"/>
    <w:rsid w:val="00BF2E0C"/>
    <w:rsid w:val="00BF6DEA"/>
    <w:rsid w:val="00C02445"/>
    <w:rsid w:val="00C067F6"/>
    <w:rsid w:val="00C11F13"/>
    <w:rsid w:val="00C139F6"/>
    <w:rsid w:val="00C1438C"/>
    <w:rsid w:val="00C14625"/>
    <w:rsid w:val="00C15D1C"/>
    <w:rsid w:val="00C15EBD"/>
    <w:rsid w:val="00C175DE"/>
    <w:rsid w:val="00C2371F"/>
    <w:rsid w:val="00C245AF"/>
    <w:rsid w:val="00C25524"/>
    <w:rsid w:val="00C32957"/>
    <w:rsid w:val="00C36DD1"/>
    <w:rsid w:val="00C37CF3"/>
    <w:rsid w:val="00C42BF6"/>
    <w:rsid w:val="00C566C1"/>
    <w:rsid w:val="00C602FC"/>
    <w:rsid w:val="00C60E82"/>
    <w:rsid w:val="00C61F77"/>
    <w:rsid w:val="00C6483F"/>
    <w:rsid w:val="00C65296"/>
    <w:rsid w:val="00C66A4B"/>
    <w:rsid w:val="00C80615"/>
    <w:rsid w:val="00C80791"/>
    <w:rsid w:val="00C84E20"/>
    <w:rsid w:val="00C90F86"/>
    <w:rsid w:val="00C92470"/>
    <w:rsid w:val="00C92524"/>
    <w:rsid w:val="00C954CA"/>
    <w:rsid w:val="00CA13DD"/>
    <w:rsid w:val="00CA1936"/>
    <w:rsid w:val="00CA2E48"/>
    <w:rsid w:val="00CA60FF"/>
    <w:rsid w:val="00CA791E"/>
    <w:rsid w:val="00CB1D53"/>
    <w:rsid w:val="00CB3E18"/>
    <w:rsid w:val="00CB5375"/>
    <w:rsid w:val="00CC343B"/>
    <w:rsid w:val="00CD33A4"/>
    <w:rsid w:val="00CD6E66"/>
    <w:rsid w:val="00CD7EC3"/>
    <w:rsid w:val="00CE01FA"/>
    <w:rsid w:val="00CE0A85"/>
    <w:rsid w:val="00CE117C"/>
    <w:rsid w:val="00CE39F8"/>
    <w:rsid w:val="00CE7C03"/>
    <w:rsid w:val="00CF02C8"/>
    <w:rsid w:val="00CF05E9"/>
    <w:rsid w:val="00CF7D3B"/>
    <w:rsid w:val="00D00065"/>
    <w:rsid w:val="00D128B9"/>
    <w:rsid w:val="00D163B5"/>
    <w:rsid w:val="00D172A3"/>
    <w:rsid w:val="00D26329"/>
    <w:rsid w:val="00D3694A"/>
    <w:rsid w:val="00D37AC8"/>
    <w:rsid w:val="00D411FF"/>
    <w:rsid w:val="00D431EB"/>
    <w:rsid w:val="00D54270"/>
    <w:rsid w:val="00D611CB"/>
    <w:rsid w:val="00D640B7"/>
    <w:rsid w:val="00D72388"/>
    <w:rsid w:val="00D72AB5"/>
    <w:rsid w:val="00D734A5"/>
    <w:rsid w:val="00D857B5"/>
    <w:rsid w:val="00D969A4"/>
    <w:rsid w:val="00DA63D8"/>
    <w:rsid w:val="00DA7340"/>
    <w:rsid w:val="00DB1BF2"/>
    <w:rsid w:val="00DB723A"/>
    <w:rsid w:val="00DC2A12"/>
    <w:rsid w:val="00DC39EE"/>
    <w:rsid w:val="00DC552F"/>
    <w:rsid w:val="00DC58AA"/>
    <w:rsid w:val="00DC5A36"/>
    <w:rsid w:val="00DD06B1"/>
    <w:rsid w:val="00DD09D5"/>
    <w:rsid w:val="00DD2C17"/>
    <w:rsid w:val="00DD5BC0"/>
    <w:rsid w:val="00DD7567"/>
    <w:rsid w:val="00DE0B4B"/>
    <w:rsid w:val="00DE0C2B"/>
    <w:rsid w:val="00DE35D0"/>
    <w:rsid w:val="00DE7AEE"/>
    <w:rsid w:val="00DF191C"/>
    <w:rsid w:val="00DF760C"/>
    <w:rsid w:val="00E0371D"/>
    <w:rsid w:val="00E03DD2"/>
    <w:rsid w:val="00E04A79"/>
    <w:rsid w:val="00E07F72"/>
    <w:rsid w:val="00E10544"/>
    <w:rsid w:val="00E124A7"/>
    <w:rsid w:val="00E2186D"/>
    <w:rsid w:val="00E24C25"/>
    <w:rsid w:val="00E27A13"/>
    <w:rsid w:val="00E30794"/>
    <w:rsid w:val="00E332F4"/>
    <w:rsid w:val="00E33DD4"/>
    <w:rsid w:val="00E34A7E"/>
    <w:rsid w:val="00E37680"/>
    <w:rsid w:val="00E430B0"/>
    <w:rsid w:val="00E438EC"/>
    <w:rsid w:val="00E44781"/>
    <w:rsid w:val="00E47F9D"/>
    <w:rsid w:val="00E51183"/>
    <w:rsid w:val="00E555DC"/>
    <w:rsid w:val="00E61F30"/>
    <w:rsid w:val="00E62208"/>
    <w:rsid w:val="00E629FE"/>
    <w:rsid w:val="00E63D90"/>
    <w:rsid w:val="00E8137B"/>
    <w:rsid w:val="00E81710"/>
    <w:rsid w:val="00E82C94"/>
    <w:rsid w:val="00E854A7"/>
    <w:rsid w:val="00E8576D"/>
    <w:rsid w:val="00E90911"/>
    <w:rsid w:val="00E957E6"/>
    <w:rsid w:val="00E968EC"/>
    <w:rsid w:val="00EA1181"/>
    <w:rsid w:val="00EA2836"/>
    <w:rsid w:val="00EA4040"/>
    <w:rsid w:val="00EA4051"/>
    <w:rsid w:val="00EA4CE7"/>
    <w:rsid w:val="00EB5C9E"/>
    <w:rsid w:val="00EC0D95"/>
    <w:rsid w:val="00EC6059"/>
    <w:rsid w:val="00EC674C"/>
    <w:rsid w:val="00ED2FFE"/>
    <w:rsid w:val="00ED3E99"/>
    <w:rsid w:val="00ED4C37"/>
    <w:rsid w:val="00ED6683"/>
    <w:rsid w:val="00ED6F1B"/>
    <w:rsid w:val="00ED7085"/>
    <w:rsid w:val="00EE1F97"/>
    <w:rsid w:val="00EE6908"/>
    <w:rsid w:val="00EF06DB"/>
    <w:rsid w:val="00EF14ED"/>
    <w:rsid w:val="00EF57F3"/>
    <w:rsid w:val="00F11532"/>
    <w:rsid w:val="00F11F97"/>
    <w:rsid w:val="00F152C2"/>
    <w:rsid w:val="00F23A77"/>
    <w:rsid w:val="00F32169"/>
    <w:rsid w:val="00F41C89"/>
    <w:rsid w:val="00F44800"/>
    <w:rsid w:val="00F453A0"/>
    <w:rsid w:val="00F53A17"/>
    <w:rsid w:val="00F566D4"/>
    <w:rsid w:val="00F60A5E"/>
    <w:rsid w:val="00F613F4"/>
    <w:rsid w:val="00F64A8E"/>
    <w:rsid w:val="00F67958"/>
    <w:rsid w:val="00F70088"/>
    <w:rsid w:val="00F72090"/>
    <w:rsid w:val="00F77264"/>
    <w:rsid w:val="00F7741C"/>
    <w:rsid w:val="00F81129"/>
    <w:rsid w:val="00F836E8"/>
    <w:rsid w:val="00F90DDB"/>
    <w:rsid w:val="00F92E06"/>
    <w:rsid w:val="00F93014"/>
    <w:rsid w:val="00F94F91"/>
    <w:rsid w:val="00FA12AD"/>
    <w:rsid w:val="00FA6B19"/>
    <w:rsid w:val="00FB47C4"/>
    <w:rsid w:val="00FC2F00"/>
    <w:rsid w:val="00FC48D5"/>
    <w:rsid w:val="00FC4B7F"/>
    <w:rsid w:val="00FD0BB2"/>
    <w:rsid w:val="00FD7A4D"/>
    <w:rsid w:val="00FE0049"/>
    <w:rsid w:val="00FE0164"/>
    <w:rsid w:val="00FE7F8C"/>
    <w:rsid w:val="00FF4738"/>
    <w:rsid w:val="00FF4F7F"/>
    <w:rsid w:val="01133815"/>
    <w:rsid w:val="01142C18"/>
    <w:rsid w:val="013F0F75"/>
    <w:rsid w:val="01424F0C"/>
    <w:rsid w:val="01534FB5"/>
    <w:rsid w:val="01551875"/>
    <w:rsid w:val="01615F71"/>
    <w:rsid w:val="01633F60"/>
    <w:rsid w:val="0164671B"/>
    <w:rsid w:val="017C6E19"/>
    <w:rsid w:val="01931489"/>
    <w:rsid w:val="01942B14"/>
    <w:rsid w:val="019C45EB"/>
    <w:rsid w:val="01AA0CAF"/>
    <w:rsid w:val="01E04921"/>
    <w:rsid w:val="01E53F42"/>
    <w:rsid w:val="01F85C26"/>
    <w:rsid w:val="021376CD"/>
    <w:rsid w:val="02274328"/>
    <w:rsid w:val="02283E2E"/>
    <w:rsid w:val="022C2C08"/>
    <w:rsid w:val="023438BF"/>
    <w:rsid w:val="023F295F"/>
    <w:rsid w:val="02632324"/>
    <w:rsid w:val="026A277D"/>
    <w:rsid w:val="026B1A06"/>
    <w:rsid w:val="026D23CE"/>
    <w:rsid w:val="027439DE"/>
    <w:rsid w:val="028A1BAD"/>
    <w:rsid w:val="02921FDD"/>
    <w:rsid w:val="02973D69"/>
    <w:rsid w:val="029F74C1"/>
    <w:rsid w:val="02AC7AE7"/>
    <w:rsid w:val="02BC794A"/>
    <w:rsid w:val="02C15805"/>
    <w:rsid w:val="030D150B"/>
    <w:rsid w:val="03185BE4"/>
    <w:rsid w:val="031E39D4"/>
    <w:rsid w:val="03285D98"/>
    <w:rsid w:val="032E09FF"/>
    <w:rsid w:val="0331613F"/>
    <w:rsid w:val="03341F70"/>
    <w:rsid w:val="033B624D"/>
    <w:rsid w:val="033C0482"/>
    <w:rsid w:val="03493428"/>
    <w:rsid w:val="034A3551"/>
    <w:rsid w:val="034B78A1"/>
    <w:rsid w:val="034C6214"/>
    <w:rsid w:val="03513280"/>
    <w:rsid w:val="03525DD6"/>
    <w:rsid w:val="03567D20"/>
    <w:rsid w:val="035D70FF"/>
    <w:rsid w:val="03627121"/>
    <w:rsid w:val="0365250A"/>
    <w:rsid w:val="037D54AB"/>
    <w:rsid w:val="03921A15"/>
    <w:rsid w:val="03924A5D"/>
    <w:rsid w:val="03A35EF0"/>
    <w:rsid w:val="03BB73FB"/>
    <w:rsid w:val="03C73420"/>
    <w:rsid w:val="03CA5064"/>
    <w:rsid w:val="03D3281D"/>
    <w:rsid w:val="03E02E55"/>
    <w:rsid w:val="03F11AC5"/>
    <w:rsid w:val="03F31471"/>
    <w:rsid w:val="03FA0D07"/>
    <w:rsid w:val="04022133"/>
    <w:rsid w:val="040B3D66"/>
    <w:rsid w:val="040C27C1"/>
    <w:rsid w:val="040C3C4A"/>
    <w:rsid w:val="0414054D"/>
    <w:rsid w:val="042B061D"/>
    <w:rsid w:val="043851C9"/>
    <w:rsid w:val="043935E3"/>
    <w:rsid w:val="04525BB0"/>
    <w:rsid w:val="04623D76"/>
    <w:rsid w:val="04623EEB"/>
    <w:rsid w:val="04645798"/>
    <w:rsid w:val="04661B4B"/>
    <w:rsid w:val="047141D3"/>
    <w:rsid w:val="047E5228"/>
    <w:rsid w:val="0498239A"/>
    <w:rsid w:val="04A22E65"/>
    <w:rsid w:val="04A433CB"/>
    <w:rsid w:val="04A43524"/>
    <w:rsid w:val="04C43CAB"/>
    <w:rsid w:val="04DA1173"/>
    <w:rsid w:val="04DF486F"/>
    <w:rsid w:val="04E02002"/>
    <w:rsid w:val="04E50A0A"/>
    <w:rsid w:val="04F023A5"/>
    <w:rsid w:val="04F357E3"/>
    <w:rsid w:val="0508322F"/>
    <w:rsid w:val="051977CF"/>
    <w:rsid w:val="051B0C05"/>
    <w:rsid w:val="052E3D14"/>
    <w:rsid w:val="053623D5"/>
    <w:rsid w:val="053E3C40"/>
    <w:rsid w:val="05445358"/>
    <w:rsid w:val="054D5D62"/>
    <w:rsid w:val="0562788E"/>
    <w:rsid w:val="056644B9"/>
    <w:rsid w:val="056745CE"/>
    <w:rsid w:val="0585599C"/>
    <w:rsid w:val="059C58DD"/>
    <w:rsid w:val="05A11B98"/>
    <w:rsid w:val="05C14C72"/>
    <w:rsid w:val="05C764E0"/>
    <w:rsid w:val="05C9384E"/>
    <w:rsid w:val="05D3737C"/>
    <w:rsid w:val="05D4107D"/>
    <w:rsid w:val="05E20AC3"/>
    <w:rsid w:val="05EA7A90"/>
    <w:rsid w:val="05F25335"/>
    <w:rsid w:val="05F77D34"/>
    <w:rsid w:val="05F946ED"/>
    <w:rsid w:val="061B0AF0"/>
    <w:rsid w:val="0627765A"/>
    <w:rsid w:val="062D6FD4"/>
    <w:rsid w:val="0630321E"/>
    <w:rsid w:val="06531F2A"/>
    <w:rsid w:val="065E09E0"/>
    <w:rsid w:val="066040C3"/>
    <w:rsid w:val="066353AE"/>
    <w:rsid w:val="06803110"/>
    <w:rsid w:val="06875EAF"/>
    <w:rsid w:val="06885957"/>
    <w:rsid w:val="06885B7F"/>
    <w:rsid w:val="069024AF"/>
    <w:rsid w:val="069A185D"/>
    <w:rsid w:val="06A12BC7"/>
    <w:rsid w:val="06A8395C"/>
    <w:rsid w:val="06AB6A63"/>
    <w:rsid w:val="06BC2AD7"/>
    <w:rsid w:val="06C2481C"/>
    <w:rsid w:val="06C51353"/>
    <w:rsid w:val="06C87C13"/>
    <w:rsid w:val="06CD0EFC"/>
    <w:rsid w:val="06CF1F6C"/>
    <w:rsid w:val="06DA3F59"/>
    <w:rsid w:val="07013A7B"/>
    <w:rsid w:val="072E10A2"/>
    <w:rsid w:val="073008D0"/>
    <w:rsid w:val="073B21CB"/>
    <w:rsid w:val="073D2B33"/>
    <w:rsid w:val="074B1879"/>
    <w:rsid w:val="07584708"/>
    <w:rsid w:val="0774428C"/>
    <w:rsid w:val="078604BA"/>
    <w:rsid w:val="078F6EEC"/>
    <w:rsid w:val="079311A1"/>
    <w:rsid w:val="07962D87"/>
    <w:rsid w:val="07A81D1B"/>
    <w:rsid w:val="07A911E4"/>
    <w:rsid w:val="07AB32D4"/>
    <w:rsid w:val="07AE66C8"/>
    <w:rsid w:val="07B00DC0"/>
    <w:rsid w:val="07B3465D"/>
    <w:rsid w:val="07B52A38"/>
    <w:rsid w:val="07B5379F"/>
    <w:rsid w:val="07CE102B"/>
    <w:rsid w:val="07D839B2"/>
    <w:rsid w:val="07DD5C8B"/>
    <w:rsid w:val="07DF3782"/>
    <w:rsid w:val="07E51560"/>
    <w:rsid w:val="07EF0D66"/>
    <w:rsid w:val="08032F34"/>
    <w:rsid w:val="08101B73"/>
    <w:rsid w:val="08262A58"/>
    <w:rsid w:val="082811AC"/>
    <w:rsid w:val="082B55F5"/>
    <w:rsid w:val="082E5644"/>
    <w:rsid w:val="082F7093"/>
    <w:rsid w:val="08376511"/>
    <w:rsid w:val="084B7596"/>
    <w:rsid w:val="08502B6B"/>
    <w:rsid w:val="08600952"/>
    <w:rsid w:val="08634822"/>
    <w:rsid w:val="08684CF6"/>
    <w:rsid w:val="087445C1"/>
    <w:rsid w:val="08791B5F"/>
    <w:rsid w:val="087A32C5"/>
    <w:rsid w:val="08806796"/>
    <w:rsid w:val="08911243"/>
    <w:rsid w:val="08953831"/>
    <w:rsid w:val="089559E7"/>
    <w:rsid w:val="08AE3556"/>
    <w:rsid w:val="08B67AA8"/>
    <w:rsid w:val="08BE2FAD"/>
    <w:rsid w:val="08D24E3C"/>
    <w:rsid w:val="08D46034"/>
    <w:rsid w:val="090331A7"/>
    <w:rsid w:val="09116176"/>
    <w:rsid w:val="091D0C36"/>
    <w:rsid w:val="09214BEC"/>
    <w:rsid w:val="09274E70"/>
    <w:rsid w:val="09311CD0"/>
    <w:rsid w:val="094365B9"/>
    <w:rsid w:val="09451434"/>
    <w:rsid w:val="09470724"/>
    <w:rsid w:val="095A51B8"/>
    <w:rsid w:val="095F0AEF"/>
    <w:rsid w:val="096B746A"/>
    <w:rsid w:val="097447BF"/>
    <w:rsid w:val="09887D76"/>
    <w:rsid w:val="098D4BDB"/>
    <w:rsid w:val="099037B8"/>
    <w:rsid w:val="09972CEA"/>
    <w:rsid w:val="099921AB"/>
    <w:rsid w:val="09BD41F8"/>
    <w:rsid w:val="09C43259"/>
    <w:rsid w:val="09D7156D"/>
    <w:rsid w:val="09DC560B"/>
    <w:rsid w:val="09F509B9"/>
    <w:rsid w:val="09F83AA3"/>
    <w:rsid w:val="0A0508B2"/>
    <w:rsid w:val="0A1F086D"/>
    <w:rsid w:val="0A231A7D"/>
    <w:rsid w:val="0A28667F"/>
    <w:rsid w:val="0A2B0D87"/>
    <w:rsid w:val="0A46535F"/>
    <w:rsid w:val="0A4B50EA"/>
    <w:rsid w:val="0A5731AD"/>
    <w:rsid w:val="0A620B24"/>
    <w:rsid w:val="0A6726FB"/>
    <w:rsid w:val="0A677B1C"/>
    <w:rsid w:val="0A6A453A"/>
    <w:rsid w:val="0A716F7D"/>
    <w:rsid w:val="0A8E582A"/>
    <w:rsid w:val="0A957543"/>
    <w:rsid w:val="0A9A33D8"/>
    <w:rsid w:val="0A9F4DF2"/>
    <w:rsid w:val="0AA109E9"/>
    <w:rsid w:val="0AA72BE3"/>
    <w:rsid w:val="0AA955C4"/>
    <w:rsid w:val="0AAA0EEF"/>
    <w:rsid w:val="0AAF1C7B"/>
    <w:rsid w:val="0AB535F0"/>
    <w:rsid w:val="0ABE783A"/>
    <w:rsid w:val="0AD309ED"/>
    <w:rsid w:val="0AE21C97"/>
    <w:rsid w:val="0AE351D8"/>
    <w:rsid w:val="0AE543FB"/>
    <w:rsid w:val="0AE64ED8"/>
    <w:rsid w:val="0AF02650"/>
    <w:rsid w:val="0AFC405D"/>
    <w:rsid w:val="0B033732"/>
    <w:rsid w:val="0B0E1E01"/>
    <w:rsid w:val="0B116591"/>
    <w:rsid w:val="0B1639B7"/>
    <w:rsid w:val="0B19517B"/>
    <w:rsid w:val="0B284051"/>
    <w:rsid w:val="0B2D19CE"/>
    <w:rsid w:val="0B373DB9"/>
    <w:rsid w:val="0B3956E9"/>
    <w:rsid w:val="0B3E60DF"/>
    <w:rsid w:val="0B463519"/>
    <w:rsid w:val="0B624195"/>
    <w:rsid w:val="0B634FD8"/>
    <w:rsid w:val="0B6669A0"/>
    <w:rsid w:val="0B6F05B7"/>
    <w:rsid w:val="0B9C032E"/>
    <w:rsid w:val="0BA75C1E"/>
    <w:rsid w:val="0BAD7E0D"/>
    <w:rsid w:val="0BBD7EEB"/>
    <w:rsid w:val="0BD04FFA"/>
    <w:rsid w:val="0BD717FF"/>
    <w:rsid w:val="0BE012E6"/>
    <w:rsid w:val="0BEF02DF"/>
    <w:rsid w:val="0BF855AC"/>
    <w:rsid w:val="0BFD4B7A"/>
    <w:rsid w:val="0C2A44B5"/>
    <w:rsid w:val="0C2B50CB"/>
    <w:rsid w:val="0C395F33"/>
    <w:rsid w:val="0C4930C9"/>
    <w:rsid w:val="0C830301"/>
    <w:rsid w:val="0C9502A1"/>
    <w:rsid w:val="0CAC708C"/>
    <w:rsid w:val="0CB6303A"/>
    <w:rsid w:val="0CC25783"/>
    <w:rsid w:val="0CDC4FD4"/>
    <w:rsid w:val="0CE75827"/>
    <w:rsid w:val="0CFD079D"/>
    <w:rsid w:val="0CFD4DD3"/>
    <w:rsid w:val="0D0A1AFC"/>
    <w:rsid w:val="0D194D5C"/>
    <w:rsid w:val="0D1A3A48"/>
    <w:rsid w:val="0D1E4C98"/>
    <w:rsid w:val="0D222AA0"/>
    <w:rsid w:val="0D2A4EB7"/>
    <w:rsid w:val="0D2B6C37"/>
    <w:rsid w:val="0D2F0927"/>
    <w:rsid w:val="0D385A62"/>
    <w:rsid w:val="0D3B1BA1"/>
    <w:rsid w:val="0D590002"/>
    <w:rsid w:val="0D605503"/>
    <w:rsid w:val="0D6F393A"/>
    <w:rsid w:val="0D745F18"/>
    <w:rsid w:val="0D867E4E"/>
    <w:rsid w:val="0D8759C2"/>
    <w:rsid w:val="0D8C6EFC"/>
    <w:rsid w:val="0D920FFA"/>
    <w:rsid w:val="0D9A7186"/>
    <w:rsid w:val="0D9C44B6"/>
    <w:rsid w:val="0D9E0A54"/>
    <w:rsid w:val="0D9F7D65"/>
    <w:rsid w:val="0DA72EF4"/>
    <w:rsid w:val="0DB434CE"/>
    <w:rsid w:val="0DC74AD8"/>
    <w:rsid w:val="0DD234DE"/>
    <w:rsid w:val="0DDF1336"/>
    <w:rsid w:val="0DE05327"/>
    <w:rsid w:val="0DE41553"/>
    <w:rsid w:val="0DE42A81"/>
    <w:rsid w:val="0DE45C55"/>
    <w:rsid w:val="0DE73B04"/>
    <w:rsid w:val="0DF22C0D"/>
    <w:rsid w:val="0E0011B8"/>
    <w:rsid w:val="0E043F0C"/>
    <w:rsid w:val="0E12454D"/>
    <w:rsid w:val="0E237C7E"/>
    <w:rsid w:val="0E25777F"/>
    <w:rsid w:val="0E35351A"/>
    <w:rsid w:val="0E3B6EBB"/>
    <w:rsid w:val="0E44512A"/>
    <w:rsid w:val="0E4A0085"/>
    <w:rsid w:val="0E4B633F"/>
    <w:rsid w:val="0E5C1BA1"/>
    <w:rsid w:val="0E657022"/>
    <w:rsid w:val="0E6A6159"/>
    <w:rsid w:val="0E6A6AF2"/>
    <w:rsid w:val="0E794BB8"/>
    <w:rsid w:val="0E893483"/>
    <w:rsid w:val="0E8B72E5"/>
    <w:rsid w:val="0E9B4A1E"/>
    <w:rsid w:val="0EA21C68"/>
    <w:rsid w:val="0EA47C8E"/>
    <w:rsid w:val="0EB478C9"/>
    <w:rsid w:val="0EB52754"/>
    <w:rsid w:val="0EC93E76"/>
    <w:rsid w:val="0ED61E6C"/>
    <w:rsid w:val="0EDA4450"/>
    <w:rsid w:val="0EE22E96"/>
    <w:rsid w:val="0EE2678A"/>
    <w:rsid w:val="0EF232C4"/>
    <w:rsid w:val="0EF74051"/>
    <w:rsid w:val="0F026D7F"/>
    <w:rsid w:val="0F1022E2"/>
    <w:rsid w:val="0F1544B5"/>
    <w:rsid w:val="0F194909"/>
    <w:rsid w:val="0F1E71EA"/>
    <w:rsid w:val="0F245ECB"/>
    <w:rsid w:val="0F264819"/>
    <w:rsid w:val="0F290C55"/>
    <w:rsid w:val="0F2B3A50"/>
    <w:rsid w:val="0F2E50BD"/>
    <w:rsid w:val="0F3D573E"/>
    <w:rsid w:val="0F3F2DC9"/>
    <w:rsid w:val="0F4564DB"/>
    <w:rsid w:val="0F601C5B"/>
    <w:rsid w:val="0F6A3119"/>
    <w:rsid w:val="0F7A17F7"/>
    <w:rsid w:val="0F802A0B"/>
    <w:rsid w:val="0F810953"/>
    <w:rsid w:val="0F872D6F"/>
    <w:rsid w:val="0F8C4BC1"/>
    <w:rsid w:val="0F961487"/>
    <w:rsid w:val="0F9627AF"/>
    <w:rsid w:val="0F9768BB"/>
    <w:rsid w:val="0FAB0ABE"/>
    <w:rsid w:val="0FAC5BC8"/>
    <w:rsid w:val="0FC01B09"/>
    <w:rsid w:val="0FC1669C"/>
    <w:rsid w:val="0FE05678"/>
    <w:rsid w:val="0FEA1D32"/>
    <w:rsid w:val="0FEB4BB9"/>
    <w:rsid w:val="0FEC042C"/>
    <w:rsid w:val="0FEE1B36"/>
    <w:rsid w:val="0FFB7D47"/>
    <w:rsid w:val="1000023E"/>
    <w:rsid w:val="101337E8"/>
    <w:rsid w:val="10221FD6"/>
    <w:rsid w:val="1023028B"/>
    <w:rsid w:val="103A6EE9"/>
    <w:rsid w:val="103C69A7"/>
    <w:rsid w:val="10503EDC"/>
    <w:rsid w:val="1055526F"/>
    <w:rsid w:val="105703EE"/>
    <w:rsid w:val="105805C5"/>
    <w:rsid w:val="10862AD2"/>
    <w:rsid w:val="108E6843"/>
    <w:rsid w:val="10AB3E44"/>
    <w:rsid w:val="10B31779"/>
    <w:rsid w:val="10B63B25"/>
    <w:rsid w:val="10B74B5D"/>
    <w:rsid w:val="10BB3689"/>
    <w:rsid w:val="10BD4CF4"/>
    <w:rsid w:val="10BE0FD8"/>
    <w:rsid w:val="10C50991"/>
    <w:rsid w:val="10C665AC"/>
    <w:rsid w:val="10CF2746"/>
    <w:rsid w:val="10E945D3"/>
    <w:rsid w:val="10F0472D"/>
    <w:rsid w:val="110969A3"/>
    <w:rsid w:val="110B2688"/>
    <w:rsid w:val="112C0E6E"/>
    <w:rsid w:val="113015F5"/>
    <w:rsid w:val="11403DA3"/>
    <w:rsid w:val="114413AC"/>
    <w:rsid w:val="11701C1D"/>
    <w:rsid w:val="11704987"/>
    <w:rsid w:val="118A282F"/>
    <w:rsid w:val="118D57FE"/>
    <w:rsid w:val="11A626AA"/>
    <w:rsid w:val="11D12D6F"/>
    <w:rsid w:val="11D226B8"/>
    <w:rsid w:val="11DA588A"/>
    <w:rsid w:val="11F51AAB"/>
    <w:rsid w:val="11F90F88"/>
    <w:rsid w:val="12050AF2"/>
    <w:rsid w:val="12137B34"/>
    <w:rsid w:val="12154DE1"/>
    <w:rsid w:val="12156F90"/>
    <w:rsid w:val="121914E4"/>
    <w:rsid w:val="121A02F7"/>
    <w:rsid w:val="12351BB2"/>
    <w:rsid w:val="12380E0B"/>
    <w:rsid w:val="127611D2"/>
    <w:rsid w:val="127C57D2"/>
    <w:rsid w:val="12800B3E"/>
    <w:rsid w:val="12943CAA"/>
    <w:rsid w:val="12965D10"/>
    <w:rsid w:val="12BA0A29"/>
    <w:rsid w:val="12C536E2"/>
    <w:rsid w:val="12F9505E"/>
    <w:rsid w:val="12F9759C"/>
    <w:rsid w:val="12FA5656"/>
    <w:rsid w:val="131420C1"/>
    <w:rsid w:val="131B4821"/>
    <w:rsid w:val="131B67BC"/>
    <w:rsid w:val="131E37A1"/>
    <w:rsid w:val="133410AE"/>
    <w:rsid w:val="13522E82"/>
    <w:rsid w:val="135B1F7D"/>
    <w:rsid w:val="13640E48"/>
    <w:rsid w:val="13692674"/>
    <w:rsid w:val="136D22A9"/>
    <w:rsid w:val="137B7B30"/>
    <w:rsid w:val="137E3A80"/>
    <w:rsid w:val="1384717A"/>
    <w:rsid w:val="13897072"/>
    <w:rsid w:val="13A34A1E"/>
    <w:rsid w:val="13A842DA"/>
    <w:rsid w:val="13B04445"/>
    <w:rsid w:val="13B65D25"/>
    <w:rsid w:val="13BA012A"/>
    <w:rsid w:val="13BD3CD3"/>
    <w:rsid w:val="13C31401"/>
    <w:rsid w:val="13D47498"/>
    <w:rsid w:val="13E32E02"/>
    <w:rsid w:val="13F72D59"/>
    <w:rsid w:val="13F765EB"/>
    <w:rsid w:val="13FE2D4E"/>
    <w:rsid w:val="13FF5843"/>
    <w:rsid w:val="141218EB"/>
    <w:rsid w:val="14301784"/>
    <w:rsid w:val="1437183E"/>
    <w:rsid w:val="143B0A6B"/>
    <w:rsid w:val="14532101"/>
    <w:rsid w:val="14583553"/>
    <w:rsid w:val="145D6D27"/>
    <w:rsid w:val="14770166"/>
    <w:rsid w:val="147B364D"/>
    <w:rsid w:val="14823303"/>
    <w:rsid w:val="149961F3"/>
    <w:rsid w:val="149A6F8D"/>
    <w:rsid w:val="14A85D4A"/>
    <w:rsid w:val="14BD3540"/>
    <w:rsid w:val="14C17F2E"/>
    <w:rsid w:val="14C4224B"/>
    <w:rsid w:val="14CA113B"/>
    <w:rsid w:val="14CB5713"/>
    <w:rsid w:val="14CE3E0E"/>
    <w:rsid w:val="14DB0C53"/>
    <w:rsid w:val="14E63562"/>
    <w:rsid w:val="14E72930"/>
    <w:rsid w:val="14EF2B2A"/>
    <w:rsid w:val="14F85A9D"/>
    <w:rsid w:val="14F85AF8"/>
    <w:rsid w:val="15040960"/>
    <w:rsid w:val="150D264B"/>
    <w:rsid w:val="151A4B8B"/>
    <w:rsid w:val="151F3B4F"/>
    <w:rsid w:val="15227A56"/>
    <w:rsid w:val="152561ED"/>
    <w:rsid w:val="15262821"/>
    <w:rsid w:val="152B1224"/>
    <w:rsid w:val="1534754F"/>
    <w:rsid w:val="15453F68"/>
    <w:rsid w:val="154604C2"/>
    <w:rsid w:val="154900B1"/>
    <w:rsid w:val="154950CB"/>
    <w:rsid w:val="154C1A84"/>
    <w:rsid w:val="154C1B29"/>
    <w:rsid w:val="15535FFF"/>
    <w:rsid w:val="155E2DC5"/>
    <w:rsid w:val="15695F51"/>
    <w:rsid w:val="156D547D"/>
    <w:rsid w:val="156D5864"/>
    <w:rsid w:val="157004CD"/>
    <w:rsid w:val="157329C0"/>
    <w:rsid w:val="15861436"/>
    <w:rsid w:val="15A848E2"/>
    <w:rsid w:val="15CD4FF1"/>
    <w:rsid w:val="16121B36"/>
    <w:rsid w:val="161373F6"/>
    <w:rsid w:val="1616102C"/>
    <w:rsid w:val="161F4F36"/>
    <w:rsid w:val="16212537"/>
    <w:rsid w:val="16224D50"/>
    <w:rsid w:val="16240D02"/>
    <w:rsid w:val="1624370C"/>
    <w:rsid w:val="164778E1"/>
    <w:rsid w:val="16593044"/>
    <w:rsid w:val="166277E0"/>
    <w:rsid w:val="16642EED"/>
    <w:rsid w:val="166E7F8B"/>
    <w:rsid w:val="167376CF"/>
    <w:rsid w:val="1678384D"/>
    <w:rsid w:val="168E04EF"/>
    <w:rsid w:val="16990F7F"/>
    <w:rsid w:val="169B6D60"/>
    <w:rsid w:val="169D31F0"/>
    <w:rsid w:val="16A03B54"/>
    <w:rsid w:val="16A302F2"/>
    <w:rsid w:val="16A8675E"/>
    <w:rsid w:val="16AF1AF7"/>
    <w:rsid w:val="16B630BC"/>
    <w:rsid w:val="16C303FC"/>
    <w:rsid w:val="16C76B89"/>
    <w:rsid w:val="16DB2407"/>
    <w:rsid w:val="16DF7133"/>
    <w:rsid w:val="16E45CAA"/>
    <w:rsid w:val="16EB0FBA"/>
    <w:rsid w:val="16ED3031"/>
    <w:rsid w:val="16F2440D"/>
    <w:rsid w:val="16FB6666"/>
    <w:rsid w:val="17061292"/>
    <w:rsid w:val="17081131"/>
    <w:rsid w:val="170B5C1F"/>
    <w:rsid w:val="17122F15"/>
    <w:rsid w:val="17137410"/>
    <w:rsid w:val="172944F4"/>
    <w:rsid w:val="173230D9"/>
    <w:rsid w:val="17362BAF"/>
    <w:rsid w:val="173B5A13"/>
    <w:rsid w:val="17437ADA"/>
    <w:rsid w:val="17533EC5"/>
    <w:rsid w:val="17577E30"/>
    <w:rsid w:val="17591503"/>
    <w:rsid w:val="1761401E"/>
    <w:rsid w:val="176A2BE8"/>
    <w:rsid w:val="1781139C"/>
    <w:rsid w:val="1784403E"/>
    <w:rsid w:val="17851507"/>
    <w:rsid w:val="178B3879"/>
    <w:rsid w:val="179B1298"/>
    <w:rsid w:val="17C327E7"/>
    <w:rsid w:val="17C5238D"/>
    <w:rsid w:val="17CC05F8"/>
    <w:rsid w:val="17D14645"/>
    <w:rsid w:val="17D57F8C"/>
    <w:rsid w:val="17D929DA"/>
    <w:rsid w:val="17DB7C75"/>
    <w:rsid w:val="17F93B8D"/>
    <w:rsid w:val="180A0D5C"/>
    <w:rsid w:val="18291FA2"/>
    <w:rsid w:val="1838726F"/>
    <w:rsid w:val="184A4989"/>
    <w:rsid w:val="18597CF3"/>
    <w:rsid w:val="18636F82"/>
    <w:rsid w:val="186C01C0"/>
    <w:rsid w:val="18700258"/>
    <w:rsid w:val="18775081"/>
    <w:rsid w:val="18801953"/>
    <w:rsid w:val="18A70F2F"/>
    <w:rsid w:val="18B46EFA"/>
    <w:rsid w:val="18BC6E94"/>
    <w:rsid w:val="18C1491D"/>
    <w:rsid w:val="18CA285F"/>
    <w:rsid w:val="18CB39C2"/>
    <w:rsid w:val="18D47CE4"/>
    <w:rsid w:val="18DA381A"/>
    <w:rsid w:val="18EA4B42"/>
    <w:rsid w:val="18F11B80"/>
    <w:rsid w:val="19050334"/>
    <w:rsid w:val="19101974"/>
    <w:rsid w:val="19293C16"/>
    <w:rsid w:val="193335FE"/>
    <w:rsid w:val="1952042D"/>
    <w:rsid w:val="19551E87"/>
    <w:rsid w:val="196231E9"/>
    <w:rsid w:val="19682838"/>
    <w:rsid w:val="196C7B6A"/>
    <w:rsid w:val="196E0881"/>
    <w:rsid w:val="197247F6"/>
    <w:rsid w:val="198A44B7"/>
    <w:rsid w:val="198A53CA"/>
    <w:rsid w:val="19A45E27"/>
    <w:rsid w:val="19D13C09"/>
    <w:rsid w:val="19E1229D"/>
    <w:rsid w:val="19E27CE7"/>
    <w:rsid w:val="19E32F9C"/>
    <w:rsid w:val="19ED61CE"/>
    <w:rsid w:val="19F9509C"/>
    <w:rsid w:val="1A064A55"/>
    <w:rsid w:val="1A0B20E6"/>
    <w:rsid w:val="1A295FE3"/>
    <w:rsid w:val="1A402834"/>
    <w:rsid w:val="1A483140"/>
    <w:rsid w:val="1A555549"/>
    <w:rsid w:val="1A6241BE"/>
    <w:rsid w:val="1A640CD2"/>
    <w:rsid w:val="1A661C4B"/>
    <w:rsid w:val="1A805889"/>
    <w:rsid w:val="1A88305D"/>
    <w:rsid w:val="1A886193"/>
    <w:rsid w:val="1A8C64C4"/>
    <w:rsid w:val="1A922CDC"/>
    <w:rsid w:val="1AA16C02"/>
    <w:rsid w:val="1AAA6155"/>
    <w:rsid w:val="1AAA7970"/>
    <w:rsid w:val="1AAC6B89"/>
    <w:rsid w:val="1ABE1FBC"/>
    <w:rsid w:val="1AC403E3"/>
    <w:rsid w:val="1AC52D55"/>
    <w:rsid w:val="1AF20F48"/>
    <w:rsid w:val="1AF52686"/>
    <w:rsid w:val="1B1825CF"/>
    <w:rsid w:val="1B200B90"/>
    <w:rsid w:val="1B2E7E6C"/>
    <w:rsid w:val="1B3748ED"/>
    <w:rsid w:val="1B47361F"/>
    <w:rsid w:val="1B513BEB"/>
    <w:rsid w:val="1B514BE4"/>
    <w:rsid w:val="1B521110"/>
    <w:rsid w:val="1B57527A"/>
    <w:rsid w:val="1B5B4FDA"/>
    <w:rsid w:val="1B634F8D"/>
    <w:rsid w:val="1B6E1CB4"/>
    <w:rsid w:val="1B772C6F"/>
    <w:rsid w:val="1B7F51C3"/>
    <w:rsid w:val="1B802E54"/>
    <w:rsid w:val="1B82047A"/>
    <w:rsid w:val="1B8A0C3D"/>
    <w:rsid w:val="1B8F1416"/>
    <w:rsid w:val="1BA93149"/>
    <w:rsid w:val="1BAC4541"/>
    <w:rsid w:val="1BAD2AA9"/>
    <w:rsid w:val="1BAF28AD"/>
    <w:rsid w:val="1BB76FB6"/>
    <w:rsid w:val="1BB86AA4"/>
    <w:rsid w:val="1BD10B42"/>
    <w:rsid w:val="1BD8550B"/>
    <w:rsid w:val="1BE33256"/>
    <w:rsid w:val="1BE63F90"/>
    <w:rsid w:val="1BE97DD0"/>
    <w:rsid w:val="1BF22866"/>
    <w:rsid w:val="1BFD037A"/>
    <w:rsid w:val="1BFF44D1"/>
    <w:rsid w:val="1C035328"/>
    <w:rsid w:val="1C0A4767"/>
    <w:rsid w:val="1C0E1F22"/>
    <w:rsid w:val="1C145FE3"/>
    <w:rsid w:val="1C316629"/>
    <w:rsid w:val="1C3967A7"/>
    <w:rsid w:val="1C3E618C"/>
    <w:rsid w:val="1C5A5CD8"/>
    <w:rsid w:val="1C6041FE"/>
    <w:rsid w:val="1C6A785A"/>
    <w:rsid w:val="1C6C0D0D"/>
    <w:rsid w:val="1C797D35"/>
    <w:rsid w:val="1C947598"/>
    <w:rsid w:val="1CB2192C"/>
    <w:rsid w:val="1CB57D05"/>
    <w:rsid w:val="1CBD564F"/>
    <w:rsid w:val="1CE2658F"/>
    <w:rsid w:val="1CEF3615"/>
    <w:rsid w:val="1D0372F3"/>
    <w:rsid w:val="1D0C101C"/>
    <w:rsid w:val="1D1357E5"/>
    <w:rsid w:val="1D1802A4"/>
    <w:rsid w:val="1D237A62"/>
    <w:rsid w:val="1D25495D"/>
    <w:rsid w:val="1D383EFC"/>
    <w:rsid w:val="1D3D7E72"/>
    <w:rsid w:val="1D3F1387"/>
    <w:rsid w:val="1D4A77A4"/>
    <w:rsid w:val="1D5A373B"/>
    <w:rsid w:val="1D671119"/>
    <w:rsid w:val="1D6A0F2F"/>
    <w:rsid w:val="1D6C1031"/>
    <w:rsid w:val="1D6D1585"/>
    <w:rsid w:val="1D77725F"/>
    <w:rsid w:val="1D811142"/>
    <w:rsid w:val="1D894EFA"/>
    <w:rsid w:val="1D8F6FE1"/>
    <w:rsid w:val="1D912E1E"/>
    <w:rsid w:val="1D921ECF"/>
    <w:rsid w:val="1DA01F91"/>
    <w:rsid w:val="1DA163EF"/>
    <w:rsid w:val="1DAA3265"/>
    <w:rsid w:val="1DB627CF"/>
    <w:rsid w:val="1DBB690A"/>
    <w:rsid w:val="1DC07646"/>
    <w:rsid w:val="1DC562A2"/>
    <w:rsid w:val="1DCD57CB"/>
    <w:rsid w:val="1DDB4C6B"/>
    <w:rsid w:val="1DDD51EA"/>
    <w:rsid w:val="1DEB23D8"/>
    <w:rsid w:val="1DF0760F"/>
    <w:rsid w:val="1DF45561"/>
    <w:rsid w:val="1DF82458"/>
    <w:rsid w:val="1DFE63D8"/>
    <w:rsid w:val="1E042E48"/>
    <w:rsid w:val="1E053C37"/>
    <w:rsid w:val="1E0A734C"/>
    <w:rsid w:val="1E16055E"/>
    <w:rsid w:val="1E2266D6"/>
    <w:rsid w:val="1E2735C4"/>
    <w:rsid w:val="1E2C63D9"/>
    <w:rsid w:val="1E386E71"/>
    <w:rsid w:val="1E5D3EA8"/>
    <w:rsid w:val="1E6011A0"/>
    <w:rsid w:val="1E614580"/>
    <w:rsid w:val="1E724741"/>
    <w:rsid w:val="1E7522B4"/>
    <w:rsid w:val="1E880187"/>
    <w:rsid w:val="1E983673"/>
    <w:rsid w:val="1E9E0791"/>
    <w:rsid w:val="1EAF0361"/>
    <w:rsid w:val="1EAF64B6"/>
    <w:rsid w:val="1EE4090A"/>
    <w:rsid w:val="1EE55144"/>
    <w:rsid w:val="1EE95B94"/>
    <w:rsid w:val="1F0F162D"/>
    <w:rsid w:val="1F2B45B6"/>
    <w:rsid w:val="1F494354"/>
    <w:rsid w:val="1F513B72"/>
    <w:rsid w:val="1F5B4A54"/>
    <w:rsid w:val="1F694DB5"/>
    <w:rsid w:val="1F73483B"/>
    <w:rsid w:val="1F736C99"/>
    <w:rsid w:val="1F913CC9"/>
    <w:rsid w:val="1F9B4DE0"/>
    <w:rsid w:val="1F9D6733"/>
    <w:rsid w:val="1FAB5AB8"/>
    <w:rsid w:val="1FB944F8"/>
    <w:rsid w:val="1FC4595D"/>
    <w:rsid w:val="1FDE4AE7"/>
    <w:rsid w:val="1FE26EE7"/>
    <w:rsid w:val="1FE3122E"/>
    <w:rsid w:val="1FED7811"/>
    <w:rsid w:val="20030A6A"/>
    <w:rsid w:val="201613BB"/>
    <w:rsid w:val="20195756"/>
    <w:rsid w:val="20227783"/>
    <w:rsid w:val="20231A74"/>
    <w:rsid w:val="202E7E1D"/>
    <w:rsid w:val="20465725"/>
    <w:rsid w:val="204C0F32"/>
    <w:rsid w:val="205E209F"/>
    <w:rsid w:val="207175C1"/>
    <w:rsid w:val="207A70E1"/>
    <w:rsid w:val="208136C1"/>
    <w:rsid w:val="20824DBC"/>
    <w:rsid w:val="208F4149"/>
    <w:rsid w:val="20963BB0"/>
    <w:rsid w:val="20A02724"/>
    <w:rsid w:val="20A30515"/>
    <w:rsid w:val="20A93867"/>
    <w:rsid w:val="20AD0E52"/>
    <w:rsid w:val="20AD52AF"/>
    <w:rsid w:val="20C23B4E"/>
    <w:rsid w:val="20CA5378"/>
    <w:rsid w:val="20D23DC9"/>
    <w:rsid w:val="20D5373E"/>
    <w:rsid w:val="20D706E7"/>
    <w:rsid w:val="20DA1248"/>
    <w:rsid w:val="20DB19F3"/>
    <w:rsid w:val="20DB5A99"/>
    <w:rsid w:val="20DC6C30"/>
    <w:rsid w:val="20E440C0"/>
    <w:rsid w:val="20E86BA1"/>
    <w:rsid w:val="212A7E90"/>
    <w:rsid w:val="212D4700"/>
    <w:rsid w:val="21301751"/>
    <w:rsid w:val="21393A0D"/>
    <w:rsid w:val="213C6117"/>
    <w:rsid w:val="21476EE8"/>
    <w:rsid w:val="21595580"/>
    <w:rsid w:val="215D15AB"/>
    <w:rsid w:val="216A382F"/>
    <w:rsid w:val="216D7009"/>
    <w:rsid w:val="216E73AE"/>
    <w:rsid w:val="216F2253"/>
    <w:rsid w:val="217929A1"/>
    <w:rsid w:val="218D15D6"/>
    <w:rsid w:val="219B5FE2"/>
    <w:rsid w:val="219D2A88"/>
    <w:rsid w:val="21A07798"/>
    <w:rsid w:val="21A0797B"/>
    <w:rsid w:val="21AB6B6A"/>
    <w:rsid w:val="21AB7044"/>
    <w:rsid w:val="21AB708E"/>
    <w:rsid w:val="21AF02AF"/>
    <w:rsid w:val="21B46828"/>
    <w:rsid w:val="21D81B4E"/>
    <w:rsid w:val="21DC51A0"/>
    <w:rsid w:val="21E855BE"/>
    <w:rsid w:val="21EA5238"/>
    <w:rsid w:val="21EE61F2"/>
    <w:rsid w:val="21FB0508"/>
    <w:rsid w:val="220A530D"/>
    <w:rsid w:val="220F0112"/>
    <w:rsid w:val="22162A0F"/>
    <w:rsid w:val="221D7687"/>
    <w:rsid w:val="22236248"/>
    <w:rsid w:val="22270BA4"/>
    <w:rsid w:val="222932E9"/>
    <w:rsid w:val="22307E0E"/>
    <w:rsid w:val="223C547E"/>
    <w:rsid w:val="224B5C1A"/>
    <w:rsid w:val="224D1C8A"/>
    <w:rsid w:val="22526AEB"/>
    <w:rsid w:val="225B757B"/>
    <w:rsid w:val="227E4C2D"/>
    <w:rsid w:val="22952B42"/>
    <w:rsid w:val="22994893"/>
    <w:rsid w:val="22A079E9"/>
    <w:rsid w:val="22A66C27"/>
    <w:rsid w:val="22C62966"/>
    <w:rsid w:val="22D72DE2"/>
    <w:rsid w:val="22E23C14"/>
    <w:rsid w:val="22E72760"/>
    <w:rsid w:val="22E8493F"/>
    <w:rsid w:val="22FC5D76"/>
    <w:rsid w:val="23003188"/>
    <w:rsid w:val="230E49E9"/>
    <w:rsid w:val="230E5812"/>
    <w:rsid w:val="231013F6"/>
    <w:rsid w:val="23180C04"/>
    <w:rsid w:val="231D70E4"/>
    <w:rsid w:val="231F1A02"/>
    <w:rsid w:val="23307857"/>
    <w:rsid w:val="234E394B"/>
    <w:rsid w:val="23583E3F"/>
    <w:rsid w:val="23590A35"/>
    <w:rsid w:val="235B7661"/>
    <w:rsid w:val="235D210C"/>
    <w:rsid w:val="235E2715"/>
    <w:rsid w:val="23660EDA"/>
    <w:rsid w:val="236D108C"/>
    <w:rsid w:val="237D1D18"/>
    <w:rsid w:val="2381691F"/>
    <w:rsid w:val="238C1A0F"/>
    <w:rsid w:val="23947BB4"/>
    <w:rsid w:val="239D5AE1"/>
    <w:rsid w:val="23B62580"/>
    <w:rsid w:val="23BB60C6"/>
    <w:rsid w:val="23CB560A"/>
    <w:rsid w:val="23D11229"/>
    <w:rsid w:val="23D54E53"/>
    <w:rsid w:val="23D80F13"/>
    <w:rsid w:val="23E374F2"/>
    <w:rsid w:val="23E553E4"/>
    <w:rsid w:val="23E921DD"/>
    <w:rsid w:val="23EF5571"/>
    <w:rsid w:val="23F25213"/>
    <w:rsid w:val="23FE3A44"/>
    <w:rsid w:val="23FE5B7C"/>
    <w:rsid w:val="24073C97"/>
    <w:rsid w:val="240A5F5D"/>
    <w:rsid w:val="240D62A1"/>
    <w:rsid w:val="240F5F18"/>
    <w:rsid w:val="241336A2"/>
    <w:rsid w:val="241D36AD"/>
    <w:rsid w:val="24275257"/>
    <w:rsid w:val="24343265"/>
    <w:rsid w:val="243A18FA"/>
    <w:rsid w:val="24484D36"/>
    <w:rsid w:val="245046AF"/>
    <w:rsid w:val="24546325"/>
    <w:rsid w:val="245474BD"/>
    <w:rsid w:val="24566A3A"/>
    <w:rsid w:val="246A36A6"/>
    <w:rsid w:val="24774688"/>
    <w:rsid w:val="24786823"/>
    <w:rsid w:val="24877DD8"/>
    <w:rsid w:val="24970D5A"/>
    <w:rsid w:val="24BE2A62"/>
    <w:rsid w:val="24D0214F"/>
    <w:rsid w:val="24D0686F"/>
    <w:rsid w:val="24D17D50"/>
    <w:rsid w:val="24DC7EC6"/>
    <w:rsid w:val="24F64349"/>
    <w:rsid w:val="24FA67D2"/>
    <w:rsid w:val="24FC3EFA"/>
    <w:rsid w:val="25166898"/>
    <w:rsid w:val="25181241"/>
    <w:rsid w:val="251B43F6"/>
    <w:rsid w:val="2531137D"/>
    <w:rsid w:val="25366A18"/>
    <w:rsid w:val="255B60C3"/>
    <w:rsid w:val="256D128D"/>
    <w:rsid w:val="25716E7E"/>
    <w:rsid w:val="25923CF4"/>
    <w:rsid w:val="25982EEE"/>
    <w:rsid w:val="259F40A1"/>
    <w:rsid w:val="25AA6DE9"/>
    <w:rsid w:val="25CD4844"/>
    <w:rsid w:val="25D80000"/>
    <w:rsid w:val="26014F15"/>
    <w:rsid w:val="26173B5B"/>
    <w:rsid w:val="26281499"/>
    <w:rsid w:val="262F7FEF"/>
    <w:rsid w:val="263025AF"/>
    <w:rsid w:val="26422E50"/>
    <w:rsid w:val="265B6824"/>
    <w:rsid w:val="2666205E"/>
    <w:rsid w:val="267D0215"/>
    <w:rsid w:val="26874C3E"/>
    <w:rsid w:val="26972286"/>
    <w:rsid w:val="26A06E73"/>
    <w:rsid w:val="26A14B9A"/>
    <w:rsid w:val="26AB4CB7"/>
    <w:rsid w:val="26AF3FB3"/>
    <w:rsid w:val="26B473CB"/>
    <w:rsid w:val="26BE2365"/>
    <w:rsid w:val="26C35521"/>
    <w:rsid w:val="26CA2270"/>
    <w:rsid w:val="26D00D48"/>
    <w:rsid w:val="26DA2F2D"/>
    <w:rsid w:val="26DC5BEE"/>
    <w:rsid w:val="26E82DC1"/>
    <w:rsid w:val="26F06324"/>
    <w:rsid w:val="26FE5B30"/>
    <w:rsid w:val="27095FD9"/>
    <w:rsid w:val="270964EE"/>
    <w:rsid w:val="271B5CD7"/>
    <w:rsid w:val="271E6A86"/>
    <w:rsid w:val="272027AC"/>
    <w:rsid w:val="272A28A8"/>
    <w:rsid w:val="272A40E9"/>
    <w:rsid w:val="272B382F"/>
    <w:rsid w:val="273A73DE"/>
    <w:rsid w:val="274B1D6A"/>
    <w:rsid w:val="274C3EF0"/>
    <w:rsid w:val="274D7690"/>
    <w:rsid w:val="27667D02"/>
    <w:rsid w:val="27696FE1"/>
    <w:rsid w:val="2770592B"/>
    <w:rsid w:val="277D4694"/>
    <w:rsid w:val="27902714"/>
    <w:rsid w:val="279857FD"/>
    <w:rsid w:val="27A753B1"/>
    <w:rsid w:val="27B15DC4"/>
    <w:rsid w:val="27BA4014"/>
    <w:rsid w:val="27D65FB1"/>
    <w:rsid w:val="27D941EB"/>
    <w:rsid w:val="27E23B35"/>
    <w:rsid w:val="27EB5EFD"/>
    <w:rsid w:val="27EF2822"/>
    <w:rsid w:val="281C5CA9"/>
    <w:rsid w:val="282E2961"/>
    <w:rsid w:val="28300770"/>
    <w:rsid w:val="284D079A"/>
    <w:rsid w:val="2853303B"/>
    <w:rsid w:val="285C6DD2"/>
    <w:rsid w:val="28641A16"/>
    <w:rsid w:val="287529FA"/>
    <w:rsid w:val="28762E01"/>
    <w:rsid w:val="287F7998"/>
    <w:rsid w:val="28815CFA"/>
    <w:rsid w:val="28825E7E"/>
    <w:rsid w:val="28996427"/>
    <w:rsid w:val="28A84959"/>
    <w:rsid w:val="28AA2DAF"/>
    <w:rsid w:val="28B603B4"/>
    <w:rsid w:val="28BE0602"/>
    <w:rsid w:val="28BE7345"/>
    <w:rsid w:val="28C847C5"/>
    <w:rsid w:val="28DD2FC3"/>
    <w:rsid w:val="28DF0308"/>
    <w:rsid w:val="28DF3B95"/>
    <w:rsid w:val="28E65519"/>
    <w:rsid w:val="28EE5424"/>
    <w:rsid w:val="28EF3C41"/>
    <w:rsid w:val="291004CA"/>
    <w:rsid w:val="291930D4"/>
    <w:rsid w:val="2924462B"/>
    <w:rsid w:val="292A406D"/>
    <w:rsid w:val="294E68B4"/>
    <w:rsid w:val="294F392F"/>
    <w:rsid w:val="295002E2"/>
    <w:rsid w:val="295F4EDA"/>
    <w:rsid w:val="296232B0"/>
    <w:rsid w:val="296603E7"/>
    <w:rsid w:val="29676691"/>
    <w:rsid w:val="296843F0"/>
    <w:rsid w:val="296861E5"/>
    <w:rsid w:val="296B4CFE"/>
    <w:rsid w:val="296B7D04"/>
    <w:rsid w:val="298F4D04"/>
    <w:rsid w:val="29A37DE9"/>
    <w:rsid w:val="29BF3C24"/>
    <w:rsid w:val="29EE6F4A"/>
    <w:rsid w:val="29F171FE"/>
    <w:rsid w:val="29F96939"/>
    <w:rsid w:val="29FA6910"/>
    <w:rsid w:val="29FA7ED4"/>
    <w:rsid w:val="2A067B5B"/>
    <w:rsid w:val="2A0D67B4"/>
    <w:rsid w:val="2A10094C"/>
    <w:rsid w:val="2A151256"/>
    <w:rsid w:val="2A18730C"/>
    <w:rsid w:val="2A2446A6"/>
    <w:rsid w:val="2A2E1753"/>
    <w:rsid w:val="2A34719F"/>
    <w:rsid w:val="2A5272A4"/>
    <w:rsid w:val="2A551246"/>
    <w:rsid w:val="2A625C6F"/>
    <w:rsid w:val="2A7405D6"/>
    <w:rsid w:val="2A742574"/>
    <w:rsid w:val="2A794B58"/>
    <w:rsid w:val="2A9013A9"/>
    <w:rsid w:val="2A9224A3"/>
    <w:rsid w:val="2AA35D53"/>
    <w:rsid w:val="2AA920FB"/>
    <w:rsid w:val="2ACF4963"/>
    <w:rsid w:val="2AD13E5E"/>
    <w:rsid w:val="2AD32140"/>
    <w:rsid w:val="2ADE6E62"/>
    <w:rsid w:val="2AE669EA"/>
    <w:rsid w:val="2AFE572E"/>
    <w:rsid w:val="2AFF13D7"/>
    <w:rsid w:val="2B02055F"/>
    <w:rsid w:val="2B0E5266"/>
    <w:rsid w:val="2B142EFB"/>
    <w:rsid w:val="2B1503D1"/>
    <w:rsid w:val="2B17437B"/>
    <w:rsid w:val="2B275274"/>
    <w:rsid w:val="2B31254E"/>
    <w:rsid w:val="2B3571AF"/>
    <w:rsid w:val="2B384EC9"/>
    <w:rsid w:val="2B3B7914"/>
    <w:rsid w:val="2B454E48"/>
    <w:rsid w:val="2B5A06BE"/>
    <w:rsid w:val="2B5B70D8"/>
    <w:rsid w:val="2B642298"/>
    <w:rsid w:val="2B725545"/>
    <w:rsid w:val="2B795066"/>
    <w:rsid w:val="2B7A586D"/>
    <w:rsid w:val="2B80775A"/>
    <w:rsid w:val="2B8A2D62"/>
    <w:rsid w:val="2B982D1A"/>
    <w:rsid w:val="2BC03CC7"/>
    <w:rsid w:val="2BD51CFF"/>
    <w:rsid w:val="2BD83763"/>
    <w:rsid w:val="2BE0294D"/>
    <w:rsid w:val="2BE67DB8"/>
    <w:rsid w:val="2BEE0959"/>
    <w:rsid w:val="2BF6467C"/>
    <w:rsid w:val="2BF760A1"/>
    <w:rsid w:val="2BF96014"/>
    <w:rsid w:val="2BFF5921"/>
    <w:rsid w:val="2C085197"/>
    <w:rsid w:val="2C125371"/>
    <w:rsid w:val="2C1316DF"/>
    <w:rsid w:val="2C170089"/>
    <w:rsid w:val="2C1D7342"/>
    <w:rsid w:val="2C360827"/>
    <w:rsid w:val="2C392638"/>
    <w:rsid w:val="2C3B40AD"/>
    <w:rsid w:val="2C4F0379"/>
    <w:rsid w:val="2C5B18B2"/>
    <w:rsid w:val="2C676470"/>
    <w:rsid w:val="2C6D0FA8"/>
    <w:rsid w:val="2C6D5A65"/>
    <w:rsid w:val="2C7422CB"/>
    <w:rsid w:val="2C743D1F"/>
    <w:rsid w:val="2C7A19E3"/>
    <w:rsid w:val="2C7E730A"/>
    <w:rsid w:val="2C884EF3"/>
    <w:rsid w:val="2C8B4568"/>
    <w:rsid w:val="2C92670F"/>
    <w:rsid w:val="2C98136C"/>
    <w:rsid w:val="2CA907A3"/>
    <w:rsid w:val="2CB0700F"/>
    <w:rsid w:val="2CC82A96"/>
    <w:rsid w:val="2CD06AC1"/>
    <w:rsid w:val="2CD70EA4"/>
    <w:rsid w:val="2CDA7A6E"/>
    <w:rsid w:val="2CE31DB2"/>
    <w:rsid w:val="2CF24233"/>
    <w:rsid w:val="2D12364E"/>
    <w:rsid w:val="2D1521DB"/>
    <w:rsid w:val="2D176589"/>
    <w:rsid w:val="2D270C18"/>
    <w:rsid w:val="2D3562BC"/>
    <w:rsid w:val="2D3C1DB8"/>
    <w:rsid w:val="2D462FFD"/>
    <w:rsid w:val="2D4F565A"/>
    <w:rsid w:val="2D686919"/>
    <w:rsid w:val="2D6F41C2"/>
    <w:rsid w:val="2D773EE2"/>
    <w:rsid w:val="2D7A2C0E"/>
    <w:rsid w:val="2D7A53DA"/>
    <w:rsid w:val="2D845184"/>
    <w:rsid w:val="2D862CED"/>
    <w:rsid w:val="2D863C1A"/>
    <w:rsid w:val="2D8A69BB"/>
    <w:rsid w:val="2D8F50D8"/>
    <w:rsid w:val="2D9C11A4"/>
    <w:rsid w:val="2DA114A3"/>
    <w:rsid w:val="2DA14332"/>
    <w:rsid w:val="2DAA5EDF"/>
    <w:rsid w:val="2DB57468"/>
    <w:rsid w:val="2DB933D2"/>
    <w:rsid w:val="2DCE1B06"/>
    <w:rsid w:val="2DD17AA8"/>
    <w:rsid w:val="2DE772B2"/>
    <w:rsid w:val="2DF45BA8"/>
    <w:rsid w:val="2DFA2A2C"/>
    <w:rsid w:val="2DFB6B3C"/>
    <w:rsid w:val="2DFC75A5"/>
    <w:rsid w:val="2E0417A9"/>
    <w:rsid w:val="2E0A08AE"/>
    <w:rsid w:val="2E0D61C1"/>
    <w:rsid w:val="2E1C53AD"/>
    <w:rsid w:val="2E44108F"/>
    <w:rsid w:val="2E4C00EF"/>
    <w:rsid w:val="2E4C78F7"/>
    <w:rsid w:val="2E585E56"/>
    <w:rsid w:val="2E5B0304"/>
    <w:rsid w:val="2E605A07"/>
    <w:rsid w:val="2E642377"/>
    <w:rsid w:val="2E8A05E7"/>
    <w:rsid w:val="2E9001FA"/>
    <w:rsid w:val="2E91202F"/>
    <w:rsid w:val="2E9611F3"/>
    <w:rsid w:val="2EA81AF9"/>
    <w:rsid w:val="2EAE2AB9"/>
    <w:rsid w:val="2EB42CC6"/>
    <w:rsid w:val="2EB5326B"/>
    <w:rsid w:val="2EBD324F"/>
    <w:rsid w:val="2EC52E38"/>
    <w:rsid w:val="2ED06529"/>
    <w:rsid w:val="2ED3026E"/>
    <w:rsid w:val="2ED54ED9"/>
    <w:rsid w:val="2EDB53C3"/>
    <w:rsid w:val="2EE30D6C"/>
    <w:rsid w:val="2EE560AA"/>
    <w:rsid w:val="2F1101D5"/>
    <w:rsid w:val="2F246086"/>
    <w:rsid w:val="2F2639F0"/>
    <w:rsid w:val="2F2B3515"/>
    <w:rsid w:val="2F3354A2"/>
    <w:rsid w:val="2F3D3D99"/>
    <w:rsid w:val="2F525D82"/>
    <w:rsid w:val="2F596830"/>
    <w:rsid w:val="2F79559B"/>
    <w:rsid w:val="2F825067"/>
    <w:rsid w:val="2F84651A"/>
    <w:rsid w:val="2F8D5313"/>
    <w:rsid w:val="2F951A44"/>
    <w:rsid w:val="2F987DA5"/>
    <w:rsid w:val="2F9B4E0E"/>
    <w:rsid w:val="2F9F7571"/>
    <w:rsid w:val="2FAB53CE"/>
    <w:rsid w:val="2FB32FE1"/>
    <w:rsid w:val="2FB47643"/>
    <w:rsid w:val="2FB5232C"/>
    <w:rsid w:val="2FC010D3"/>
    <w:rsid w:val="2FC775C6"/>
    <w:rsid w:val="2FD63C40"/>
    <w:rsid w:val="2FDD0B3C"/>
    <w:rsid w:val="2FDF14FE"/>
    <w:rsid w:val="2FDF3FB9"/>
    <w:rsid w:val="2FE96E84"/>
    <w:rsid w:val="2FED6D9A"/>
    <w:rsid w:val="2FEF6A6C"/>
    <w:rsid w:val="30082AAE"/>
    <w:rsid w:val="302342AD"/>
    <w:rsid w:val="30242536"/>
    <w:rsid w:val="303B004B"/>
    <w:rsid w:val="303C07D8"/>
    <w:rsid w:val="30473DD0"/>
    <w:rsid w:val="304C384A"/>
    <w:rsid w:val="30590566"/>
    <w:rsid w:val="305969E8"/>
    <w:rsid w:val="305C0610"/>
    <w:rsid w:val="30685E1A"/>
    <w:rsid w:val="306A65CC"/>
    <w:rsid w:val="306F555B"/>
    <w:rsid w:val="307125FF"/>
    <w:rsid w:val="3077172F"/>
    <w:rsid w:val="30775D7F"/>
    <w:rsid w:val="307C6E8F"/>
    <w:rsid w:val="308213B9"/>
    <w:rsid w:val="30916DB7"/>
    <w:rsid w:val="30A17720"/>
    <w:rsid w:val="30A911F7"/>
    <w:rsid w:val="30AA5770"/>
    <w:rsid w:val="30BA6657"/>
    <w:rsid w:val="30C40FE2"/>
    <w:rsid w:val="30C62106"/>
    <w:rsid w:val="30CD557C"/>
    <w:rsid w:val="30D05EE4"/>
    <w:rsid w:val="30D35793"/>
    <w:rsid w:val="30EA15D0"/>
    <w:rsid w:val="30FA6F34"/>
    <w:rsid w:val="30FC5481"/>
    <w:rsid w:val="30FE3161"/>
    <w:rsid w:val="31077336"/>
    <w:rsid w:val="312D6E90"/>
    <w:rsid w:val="31391D39"/>
    <w:rsid w:val="31453113"/>
    <w:rsid w:val="31556547"/>
    <w:rsid w:val="3159788E"/>
    <w:rsid w:val="316B5735"/>
    <w:rsid w:val="31721532"/>
    <w:rsid w:val="31732C0A"/>
    <w:rsid w:val="3177568F"/>
    <w:rsid w:val="317E35A1"/>
    <w:rsid w:val="318B6355"/>
    <w:rsid w:val="319A26BD"/>
    <w:rsid w:val="31A36B68"/>
    <w:rsid w:val="31B53119"/>
    <w:rsid w:val="31BA5FBE"/>
    <w:rsid w:val="31BF3AD2"/>
    <w:rsid w:val="31C55210"/>
    <w:rsid w:val="31C91018"/>
    <w:rsid w:val="31D94B36"/>
    <w:rsid w:val="31DB2E5F"/>
    <w:rsid w:val="320D53B2"/>
    <w:rsid w:val="320D63B4"/>
    <w:rsid w:val="320E4793"/>
    <w:rsid w:val="321B375A"/>
    <w:rsid w:val="322C5A38"/>
    <w:rsid w:val="324E0DD0"/>
    <w:rsid w:val="324E29F9"/>
    <w:rsid w:val="32844C37"/>
    <w:rsid w:val="32873E22"/>
    <w:rsid w:val="328909EA"/>
    <w:rsid w:val="32B61EDE"/>
    <w:rsid w:val="32BB2914"/>
    <w:rsid w:val="32CA34F0"/>
    <w:rsid w:val="32CE675B"/>
    <w:rsid w:val="32D04220"/>
    <w:rsid w:val="32D5059E"/>
    <w:rsid w:val="32E35F41"/>
    <w:rsid w:val="32E4655C"/>
    <w:rsid w:val="32E74F15"/>
    <w:rsid w:val="32FC6DB5"/>
    <w:rsid w:val="330B7DA2"/>
    <w:rsid w:val="330E4E46"/>
    <w:rsid w:val="331869DE"/>
    <w:rsid w:val="331E1A2F"/>
    <w:rsid w:val="33225A51"/>
    <w:rsid w:val="3327364F"/>
    <w:rsid w:val="334069D1"/>
    <w:rsid w:val="33417CD9"/>
    <w:rsid w:val="33546E02"/>
    <w:rsid w:val="33585285"/>
    <w:rsid w:val="33587FCB"/>
    <w:rsid w:val="335E0104"/>
    <w:rsid w:val="337E75CE"/>
    <w:rsid w:val="33912ABC"/>
    <w:rsid w:val="33970158"/>
    <w:rsid w:val="339C36D6"/>
    <w:rsid w:val="33B171C8"/>
    <w:rsid w:val="33B45855"/>
    <w:rsid w:val="33C56EDF"/>
    <w:rsid w:val="33C82704"/>
    <w:rsid w:val="33E0391F"/>
    <w:rsid w:val="33F20627"/>
    <w:rsid w:val="33FC4800"/>
    <w:rsid w:val="34026637"/>
    <w:rsid w:val="340F637E"/>
    <w:rsid w:val="343A64A3"/>
    <w:rsid w:val="34401076"/>
    <w:rsid w:val="344D13EC"/>
    <w:rsid w:val="344F0744"/>
    <w:rsid w:val="3450661F"/>
    <w:rsid w:val="34531F5E"/>
    <w:rsid w:val="345668A1"/>
    <w:rsid w:val="345C45B5"/>
    <w:rsid w:val="345F5CCF"/>
    <w:rsid w:val="3461450F"/>
    <w:rsid w:val="346C2993"/>
    <w:rsid w:val="34707557"/>
    <w:rsid w:val="34767250"/>
    <w:rsid w:val="34780048"/>
    <w:rsid w:val="3486509D"/>
    <w:rsid w:val="3489701B"/>
    <w:rsid w:val="34911003"/>
    <w:rsid w:val="349905F9"/>
    <w:rsid w:val="34AE6776"/>
    <w:rsid w:val="34BF5841"/>
    <w:rsid w:val="34E6075F"/>
    <w:rsid w:val="34F61424"/>
    <w:rsid w:val="34FB54D1"/>
    <w:rsid w:val="350604D7"/>
    <w:rsid w:val="350B645A"/>
    <w:rsid w:val="350D3F14"/>
    <w:rsid w:val="351C6E11"/>
    <w:rsid w:val="351D1765"/>
    <w:rsid w:val="352146D4"/>
    <w:rsid w:val="352D03B2"/>
    <w:rsid w:val="353F6A8B"/>
    <w:rsid w:val="35400AFA"/>
    <w:rsid w:val="354110D0"/>
    <w:rsid w:val="3556663C"/>
    <w:rsid w:val="355C19D1"/>
    <w:rsid w:val="355F7E9A"/>
    <w:rsid w:val="35675A1A"/>
    <w:rsid w:val="35692D1F"/>
    <w:rsid w:val="356B1F26"/>
    <w:rsid w:val="35847FFC"/>
    <w:rsid w:val="358E5D7E"/>
    <w:rsid w:val="359B482D"/>
    <w:rsid w:val="35B22AF2"/>
    <w:rsid w:val="35CA7F9E"/>
    <w:rsid w:val="35CD68B7"/>
    <w:rsid w:val="35DC30D7"/>
    <w:rsid w:val="36275C24"/>
    <w:rsid w:val="362965A4"/>
    <w:rsid w:val="362B59D7"/>
    <w:rsid w:val="362F05AC"/>
    <w:rsid w:val="36396D1B"/>
    <w:rsid w:val="363B434B"/>
    <w:rsid w:val="363C3CA1"/>
    <w:rsid w:val="364534BE"/>
    <w:rsid w:val="36466BD7"/>
    <w:rsid w:val="364E6F10"/>
    <w:rsid w:val="36521E49"/>
    <w:rsid w:val="36581D36"/>
    <w:rsid w:val="36740D18"/>
    <w:rsid w:val="367E28A9"/>
    <w:rsid w:val="368216B2"/>
    <w:rsid w:val="368C6061"/>
    <w:rsid w:val="36914A96"/>
    <w:rsid w:val="369F0C72"/>
    <w:rsid w:val="36A80A3C"/>
    <w:rsid w:val="36AA1293"/>
    <w:rsid w:val="36AB6FED"/>
    <w:rsid w:val="36B61ADE"/>
    <w:rsid w:val="36B816D0"/>
    <w:rsid w:val="36BD7301"/>
    <w:rsid w:val="36D43E9F"/>
    <w:rsid w:val="36E434F0"/>
    <w:rsid w:val="36EB4BC7"/>
    <w:rsid w:val="36F854F4"/>
    <w:rsid w:val="36F9309B"/>
    <w:rsid w:val="36FC6847"/>
    <w:rsid w:val="37132BA2"/>
    <w:rsid w:val="37222A11"/>
    <w:rsid w:val="372522A9"/>
    <w:rsid w:val="373053F9"/>
    <w:rsid w:val="3737762F"/>
    <w:rsid w:val="374409E2"/>
    <w:rsid w:val="374A3C03"/>
    <w:rsid w:val="37792BA0"/>
    <w:rsid w:val="3782284A"/>
    <w:rsid w:val="37852C9C"/>
    <w:rsid w:val="378B1454"/>
    <w:rsid w:val="378C186C"/>
    <w:rsid w:val="378D5EDA"/>
    <w:rsid w:val="37AE169F"/>
    <w:rsid w:val="37D012E9"/>
    <w:rsid w:val="37D05294"/>
    <w:rsid w:val="37D703F2"/>
    <w:rsid w:val="37D90C8C"/>
    <w:rsid w:val="37E76005"/>
    <w:rsid w:val="38092CE6"/>
    <w:rsid w:val="38095661"/>
    <w:rsid w:val="38121701"/>
    <w:rsid w:val="381B19F4"/>
    <w:rsid w:val="381E6EEE"/>
    <w:rsid w:val="3822550F"/>
    <w:rsid w:val="383C78FC"/>
    <w:rsid w:val="38461B0D"/>
    <w:rsid w:val="386138C0"/>
    <w:rsid w:val="38654163"/>
    <w:rsid w:val="386D587A"/>
    <w:rsid w:val="38790B6E"/>
    <w:rsid w:val="388354DE"/>
    <w:rsid w:val="388406D8"/>
    <w:rsid w:val="38A457AF"/>
    <w:rsid w:val="38AA3798"/>
    <w:rsid w:val="38BC7BF3"/>
    <w:rsid w:val="38CB43EF"/>
    <w:rsid w:val="38E02F25"/>
    <w:rsid w:val="38F4641E"/>
    <w:rsid w:val="38F960C3"/>
    <w:rsid w:val="38FA5303"/>
    <w:rsid w:val="38FF37ED"/>
    <w:rsid w:val="39036E45"/>
    <w:rsid w:val="390D3477"/>
    <w:rsid w:val="39176054"/>
    <w:rsid w:val="391B05F0"/>
    <w:rsid w:val="391B2782"/>
    <w:rsid w:val="392455D1"/>
    <w:rsid w:val="392B0241"/>
    <w:rsid w:val="392B5D8D"/>
    <w:rsid w:val="39310CFF"/>
    <w:rsid w:val="393510BC"/>
    <w:rsid w:val="39384CDE"/>
    <w:rsid w:val="393B5586"/>
    <w:rsid w:val="3956648E"/>
    <w:rsid w:val="397B294D"/>
    <w:rsid w:val="397E4416"/>
    <w:rsid w:val="399A21AF"/>
    <w:rsid w:val="39A44253"/>
    <w:rsid w:val="39C703C1"/>
    <w:rsid w:val="39D46D0B"/>
    <w:rsid w:val="39DA62C4"/>
    <w:rsid w:val="39DC1951"/>
    <w:rsid w:val="39E422D5"/>
    <w:rsid w:val="3A03754C"/>
    <w:rsid w:val="3A062FC3"/>
    <w:rsid w:val="3A086B98"/>
    <w:rsid w:val="3A0A4B7D"/>
    <w:rsid w:val="3A0C4066"/>
    <w:rsid w:val="3A1D334D"/>
    <w:rsid w:val="3A291EB2"/>
    <w:rsid w:val="3A393028"/>
    <w:rsid w:val="3A3A4F22"/>
    <w:rsid w:val="3A491324"/>
    <w:rsid w:val="3A4A1F53"/>
    <w:rsid w:val="3A4D04EA"/>
    <w:rsid w:val="3A576E6A"/>
    <w:rsid w:val="3A595CE0"/>
    <w:rsid w:val="3A637AD8"/>
    <w:rsid w:val="3A6D4D7D"/>
    <w:rsid w:val="3A733B86"/>
    <w:rsid w:val="3A822BBA"/>
    <w:rsid w:val="3A983AD0"/>
    <w:rsid w:val="3A9B7FE2"/>
    <w:rsid w:val="3AA10C60"/>
    <w:rsid w:val="3AA819AE"/>
    <w:rsid w:val="3AAA314A"/>
    <w:rsid w:val="3AB060A3"/>
    <w:rsid w:val="3ABE3DA3"/>
    <w:rsid w:val="3AC72BB7"/>
    <w:rsid w:val="3AD21066"/>
    <w:rsid w:val="3ADC255E"/>
    <w:rsid w:val="3ADF7993"/>
    <w:rsid w:val="3AE21872"/>
    <w:rsid w:val="3AEC6AF0"/>
    <w:rsid w:val="3AF474BB"/>
    <w:rsid w:val="3AF60FC5"/>
    <w:rsid w:val="3AFE044A"/>
    <w:rsid w:val="3B087981"/>
    <w:rsid w:val="3B0D51C4"/>
    <w:rsid w:val="3B1107AE"/>
    <w:rsid w:val="3B122653"/>
    <w:rsid w:val="3B1247B5"/>
    <w:rsid w:val="3B132375"/>
    <w:rsid w:val="3B160CC6"/>
    <w:rsid w:val="3B1D0AAC"/>
    <w:rsid w:val="3B2B1A17"/>
    <w:rsid w:val="3B345FE9"/>
    <w:rsid w:val="3B3B087A"/>
    <w:rsid w:val="3B3F4CBB"/>
    <w:rsid w:val="3B4E0E1B"/>
    <w:rsid w:val="3B506FE8"/>
    <w:rsid w:val="3B5231D2"/>
    <w:rsid w:val="3B641EB1"/>
    <w:rsid w:val="3B680ACE"/>
    <w:rsid w:val="3B6B1836"/>
    <w:rsid w:val="3B761DF8"/>
    <w:rsid w:val="3B7C4B45"/>
    <w:rsid w:val="3BBC1142"/>
    <w:rsid w:val="3BBE024D"/>
    <w:rsid w:val="3BC11A67"/>
    <w:rsid w:val="3BC15742"/>
    <w:rsid w:val="3BC20EC4"/>
    <w:rsid w:val="3BC45A4E"/>
    <w:rsid w:val="3BFF712E"/>
    <w:rsid w:val="3C034CE4"/>
    <w:rsid w:val="3C1431C0"/>
    <w:rsid w:val="3C3C3C1D"/>
    <w:rsid w:val="3C43432D"/>
    <w:rsid w:val="3C5A0B91"/>
    <w:rsid w:val="3C605DA1"/>
    <w:rsid w:val="3C7B1745"/>
    <w:rsid w:val="3C823641"/>
    <w:rsid w:val="3CA05DAC"/>
    <w:rsid w:val="3CAB121E"/>
    <w:rsid w:val="3CC2599F"/>
    <w:rsid w:val="3CD401AE"/>
    <w:rsid w:val="3CD536ED"/>
    <w:rsid w:val="3CF117C0"/>
    <w:rsid w:val="3CFD298E"/>
    <w:rsid w:val="3D091CD5"/>
    <w:rsid w:val="3D0D3ACA"/>
    <w:rsid w:val="3D122C80"/>
    <w:rsid w:val="3D1728CB"/>
    <w:rsid w:val="3D442E2F"/>
    <w:rsid w:val="3D461CF8"/>
    <w:rsid w:val="3D4F49D0"/>
    <w:rsid w:val="3D500B74"/>
    <w:rsid w:val="3D534059"/>
    <w:rsid w:val="3D563079"/>
    <w:rsid w:val="3D5E063E"/>
    <w:rsid w:val="3D641345"/>
    <w:rsid w:val="3D812DE8"/>
    <w:rsid w:val="3D974A4D"/>
    <w:rsid w:val="3D9A53C4"/>
    <w:rsid w:val="3D9F0BC5"/>
    <w:rsid w:val="3DAB067E"/>
    <w:rsid w:val="3DAF3B26"/>
    <w:rsid w:val="3DBA5F1D"/>
    <w:rsid w:val="3DBA7179"/>
    <w:rsid w:val="3DBE58B2"/>
    <w:rsid w:val="3DC80DBF"/>
    <w:rsid w:val="3DD43739"/>
    <w:rsid w:val="3DD50B59"/>
    <w:rsid w:val="3DDB5BB0"/>
    <w:rsid w:val="3DE85D74"/>
    <w:rsid w:val="3DEA5736"/>
    <w:rsid w:val="3DF32BAD"/>
    <w:rsid w:val="3DF65D8D"/>
    <w:rsid w:val="3DF92227"/>
    <w:rsid w:val="3E1A6552"/>
    <w:rsid w:val="3E3143F1"/>
    <w:rsid w:val="3E34394A"/>
    <w:rsid w:val="3E3C2500"/>
    <w:rsid w:val="3E4406CE"/>
    <w:rsid w:val="3E465A32"/>
    <w:rsid w:val="3E667172"/>
    <w:rsid w:val="3E7400BC"/>
    <w:rsid w:val="3E823C48"/>
    <w:rsid w:val="3E8424B4"/>
    <w:rsid w:val="3E8671C4"/>
    <w:rsid w:val="3E9A3E91"/>
    <w:rsid w:val="3E9C0772"/>
    <w:rsid w:val="3EE05745"/>
    <w:rsid w:val="3EE27D66"/>
    <w:rsid w:val="3EEC38B5"/>
    <w:rsid w:val="3EEC6BAD"/>
    <w:rsid w:val="3EF35154"/>
    <w:rsid w:val="3EF43A8C"/>
    <w:rsid w:val="3F030DF4"/>
    <w:rsid w:val="3F0C0520"/>
    <w:rsid w:val="3F345C65"/>
    <w:rsid w:val="3F506D19"/>
    <w:rsid w:val="3F651807"/>
    <w:rsid w:val="3F775626"/>
    <w:rsid w:val="3F79393F"/>
    <w:rsid w:val="3F833546"/>
    <w:rsid w:val="3F895CB9"/>
    <w:rsid w:val="3F93701C"/>
    <w:rsid w:val="3F973A02"/>
    <w:rsid w:val="3FA90608"/>
    <w:rsid w:val="3FB61C00"/>
    <w:rsid w:val="3FBB6D3E"/>
    <w:rsid w:val="3FC02EED"/>
    <w:rsid w:val="3FCB1DC4"/>
    <w:rsid w:val="3FDE3764"/>
    <w:rsid w:val="3FE22C37"/>
    <w:rsid w:val="3FE25410"/>
    <w:rsid w:val="3FF42F22"/>
    <w:rsid w:val="3FF4671E"/>
    <w:rsid w:val="3FF856B8"/>
    <w:rsid w:val="40001493"/>
    <w:rsid w:val="401F556A"/>
    <w:rsid w:val="402F759D"/>
    <w:rsid w:val="403641E3"/>
    <w:rsid w:val="40433823"/>
    <w:rsid w:val="40475C15"/>
    <w:rsid w:val="404E61B3"/>
    <w:rsid w:val="405758EE"/>
    <w:rsid w:val="405A71BD"/>
    <w:rsid w:val="4071151B"/>
    <w:rsid w:val="40713444"/>
    <w:rsid w:val="40726628"/>
    <w:rsid w:val="40825A38"/>
    <w:rsid w:val="40896E1D"/>
    <w:rsid w:val="409377FD"/>
    <w:rsid w:val="409B35DF"/>
    <w:rsid w:val="40AA6F4D"/>
    <w:rsid w:val="40B73632"/>
    <w:rsid w:val="40BC061D"/>
    <w:rsid w:val="40BC326E"/>
    <w:rsid w:val="40BE165B"/>
    <w:rsid w:val="40C31A08"/>
    <w:rsid w:val="40D7669F"/>
    <w:rsid w:val="40E81020"/>
    <w:rsid w:val="40E8230D"/>
    <w:rsid w:val="40EE16C3"/>
    <w:rsid w:val="40FA0819"/>
    <w:rsid w:val="40FC286E"/>
    <w:rsid w:val="410609E4"/>
    <w:rsid w:val="410E186F"/>
    <w:rsid w:val="41111D2D"/>
    <w:rsid w:val="41134D78"/>
    <w:rsid w:val="41182E81"/>
    <w:rsid w:val="412D65EE"/>
    <w:rsid w:val="412E0E38"/>
    <w:rsid w:val="413157B0"/>
    <w:rsid w:val="4135643C"/>
    <w:rsid w:val="413C5920"/>
    <w:rsid w:val="4143091F"/>
    <w:rsid w:val="414F35F2"/>
    <w:rsid w:val="4154553A"/>
    <w:rsid w:val="41551099"/>
    <w:rsid w:val="41573BA8"/>
    <w:rsid w:val="41590361"/>
    <w:rsid w:val="41673E80"/>
    <w:rsid w:val="41767C91"/>
    <w:rsid w:val="418018DB"/>
    <w:rsid w:val="41972770"/>
    <w:rsid w:val="41AE7ED4"/>
    <w:rsid w:val="41B579EA"/>
    <w:rsid w:val="41B870F8"/>
    <w:rsid w:val="41D8793B"/>
    <w:rsid w:val="41D956A9"/>
    <w:rsid w:val="41E171D5"/>
    <w:rsid w:val="41E43F09"/>
    <w:rsid w:val="41F243C7"/>
    <w:rsid w:val="42092B2D"/>
    <w:rsid w:val="421E1224"/>
    <w:rsid w:val="42284018"/>
    <w:rsid w:val="423179B6"/>
    <w:rsid w:val="423A4637"/>
    <w:rsid w:val="424C188E"/>
    <w:rsid w:val="425141B2"/>
    <w:rsid w:val="42564F36"/>
    <w:rsid w:val="425D6E16"/>
    <w:rsid w:val="425E7B05"/>
    <w:rsid w:val="42676B26"/>
    <w:rsid w:val="427019CE"/>
    <w:rsid w:val="42774D16"/>
    <w:rsid w:val="427F3527"/>
    <w:rsid w:val="42864906"/>
    <w:rsid w:val="429F5FE8"/>
    <w:rsid w:val="42A07071"/>
    <w:rsid w:val="42A2103D"/>
    <w:rsid w:val="42B70FFF"/>
    <w:rsid w:val="42CA521B"/>
    <w:rsid w:val="42CF3F7D"/>
    <w:rsid w:val="42D25CC5"/>
    <w:rsid w:val="42D606A9"/>
    <w:rsid w:val="42DB33C2"/>
    <w:rsid w:val="43025CA5"/>
    <w:rsid w:val="4307268B"/>
    <w:rsid w:val="4322617C"/>
    <w:rsid w:val="432264A2"/>
    <w:rsid w:val="43235789"/>
    <w:rsid w:val="432C5490"/>
    <w:rsid w:val="433535BE"/>
    <w:rsid w:val="434B58E2"/>
    <w:rsid w:val="434E747E"/>
    <w:rsid w:val="434E7C40"/>
    <w:rsid w:val="43505AE6"/>
    <w:rsid w:val="436D1D28"/>
    <w:rsid w:val="436E3AD8"/>
    <w:rsid w:val="43753152"/>
    <w:rsid w:val="43804C70"/>
    <w:rsid w:val="438A5C84"/>
    <w:rsid w:val="43DE0BAD"/>
    <w:rsid w:val="43E12662"/>
    <w:rsid w:val="43F439E7"/>
    <w:rsid w:val="43FB3754"/>
    <w:rsid w:val="44026A1D"/>
    <w:rsid w:val="44073F00"/>
    <w:rsid w:val="440A7192"/>
    <w:rsid w:val="440D243D"/>
    <w:rsid w:val="441325BD"/>
    <w:rsid w:val="44154806"/>
    <w:rsid w:val="441A69FC"/>
    <w:rsid w:val="441F41DC"/>
    <w:rsid w:val="44283113"/>
    <w:rsid w:val="443F4E1F"/>
    <w:rsid w:val="44465B09"/>
    <w:rsid w:val="44517AA9"/>
    <w:rsid w:val="44627B5F"/>
    <w:rsid w:val="446643C9"/>
    <w:rsid w:val="446851B5"/>
    <w:rsid w:val="44790E1C"/>
    <w:rsid w:val="448350D7"/>
    <w:rsid w:val="44874505"/>
    <w:rsid w:val="44967984"/>
    <w:rsid w:val="44987985"/>
    <w:rsid w:val="449B68E0"/>
    <w:rsid w:val="44A707DD"/>
    <w:rsid w:val="44CF0439"/>
    <w:rsid w:val="44D73074"/>
    <w:rsid w:val="44D80249"/>
    <w:rsid w:val="44EE74FA"/>
    <w:rsid w:val="44FB7EF1"/>
    <w:rsid w:val="45034202"/>
    <w:rsid w:val="4504739A"/>
    <w:rsid w:val="450A4C38"/>
    <w:rsid w:val="450C19E0"/>
    <w:rsid w:val="453129C4"/>
    <w:rsid w:val="45364F68"/>
    <w:rsid w:val="454D390D"/>
    <w:rsid w:val="45507E48"/>
    <w:rsid w:val="456313D5"/>
    <w:rsid w:val="456D7AFE"/>
    <w:rsid w:val="457033D1"/>
    <w:rsid w:val="45720A85"/>
    <w:rsid w:val="458738F2"/>
    <w:rsid w:val="458A1559"/>
    <w:rsid w:val="45A92B06"/>
    <w:rsid w:val="45AA6801"/>
    <w:rsid w:val="45AD24FB"/>
    <w:rsid w:val="45B10C8C"/>
    <w:rsid w:val="45B53C80"/>
    <w:rsid w:val="45B64530"/>
    <w:rsid w:val="45BB0F2B"/>
    <w:rsid w:val="45BD7A4C"/>
    <w:rsid w:val="45C66D3A"/>
    <w:rsid w:val="45C75D74"/>
    <w:rsid w:val="45DA6392"/>
    <w:rsid w:val="45E83FA8"/>
    <w:rsid w:val="45ED397A"/>
    <w:rsid w:val="45F30D1A"/>
    <w:rsid w:val="45FF3D7C"/>
    <w:rsid w:val="46006AF4"/>
    <w:rsid w:val="46031465"/>
    <w:rsid w:val="4603525B"/>
    <w:rsid w:val="4604105C"/>
    <w:rsid w:val="46080B42"/>
    <w:rsid w:val="46111CA8"/>
    <w:rsid w:val="461730C9"/>
    <w:rsid w:val="461A36EF"/>
    <w:rsid w:val="461E5A91"/>
    <w:rsid w:val="462C37DC"/>
    <w:rsid w:val="465D0B77"/>
    <w:rsid w:val="466019A4"/>
    <w:rsid w:val="4664096C"/>
    <w:rsid w:val="4667776F"/>
    <w:rsid w:val="468C2524"/>
    <w:rsid w:val="468D4540"/>
    <w:rsid w:val="468D7271"/>
    <w:rsid w:val="46B03C53"/>
    <w:rsid w:val="46BF5503"/>
    <w:rsid w:val="46CC4280"/>
    <w:rsid w:val="46D45E75"/>
    <w:rsid w:val="46DC5293"/>
    <w:rsid w:val="46DF2CE3"/>
    <w:rsid w:val="46E44DDB"/>
    <w:rsid w:val="46EB3E6C"/>
    <w:rsid w:val="470C5F68"/>
    <w:rsid w:val="47105511"/>
    <w:rsid w:val="471345F7"/>
    <w:rsid w:val="471A0516"/>
    <w:rsid w:val="471D478D"/>
    <w:rsid w:val="47286F48"/>
    <w:rsid w:val="472A7C45"/>
    <w:rsid w:val="472D7862"/>
    <w:rsid w:val="473726EB"/>
    <w:rsid w:val="47382589"/>
    <w:rsid w:val="47387990"/>
    <w:rsid w:val="47523D7E"/>
    <w:rsid w:val="47674010"/>
    <w:rsid w:val="476B3950"/>
    <w:rsid w:val="47742CD6"/>
    <w:rsid w:val="4774589F"/>
    <w:rsid w:val="47773DAB"/>
    <w:rsid w:val="47793410"/>
    <w:rsid w:val="47846021"/>
    <w:rsid w:val="479F5D27"/>
    <w:rsid w:val="47A559FC"/>
    <w:rsid w:val="47B05367"/>
    <w:rsid w:val="47B45983"/>
    <w:rsid w:val="47BA30EE"/>
    <w:rsid w:val="47BD248C"/>
    <w:rsid w:val="47BD4B6B"/>
    <w:rsid w:val="47D17B48"/>
    <w:rsid w:val="47E176AF"/>
    <w:rsid w:val="47F92E96"/>
    <w:rsid w:val="47FA61F0"/>
    <w:rsid w:val="48055043"/>
    <w:rsid w:val="480E0446"/>
    <w:rsid w:val="48122082"/>
    <w:rsid w:val="481A0B6E"/>
    <w:rsid w:val="48271B25"/>
    <w:rsid w:val="482B1E77"/>
    <w:rsid w:val="48325073"/>
    <w:rsid w:val="48331C65"/>
    <w:rsid w:val="483B4B02"/>
    <w:rsid w:val="48413117"/>
    <w:rsid w:val="48422A73"/>
    <w:rsid w:val="484261BF"/>
    <w:rsid w:val="48473897"/>
    <w:rsid w:val="48475C9D"/>
    <w:rsid w:val="484C34A9"/>
    <w:rsid w:val="484D334D"/>
    <w:rsid w:val="48563976"/>
    <w:rsid w:val="485B7973"/>
    <w:rsid w:val="4868305C"/>
    <w:rsid w:val="48695510"/>
    <w:rsid w:val="486A56F7"/>
    <w:rsid w:val="4885519D"/>
    <w:rsid w:val="488B24B9"/>
    <w:rsid w:val="48A07F89"/>
    <w:rsid w:val="48A97631"/>
    <w:rsid w:val="48C446A4"/>
    <w:rsid w:val="48C771D7"/>
    <w:rsid w:val="48E07758"/>
    <w:rsid w:val="48E3201C"/>
    <w:rsid w:val="49096DA4"/>
    <w:rsid w:val="49112BC5"/>
    <w:rsid w:val="49191F00"/>
    <w:rsid w:val="492B094D"/>
    <w:rsid w:val="492C38B0"/>
    <w:rsid w:val="49326C05"/>
    <w:rsid w:val="49385742"/>
    <w:rsid w:val="495B2442"/>
    <w:rsid w:val="495C2883"/>
    <w:rsid w:val="4969588A"/>
    <w:rsid w:val="496B40E0"/>
    <w:rsid w:val="497C3EE6"/>
    <w:rsid w:val="49824BA3"/>
    <w:rsid w:val="498A6A31"/>
    <w:rsid w:val="4993067E"/>
    <w:rsid w:val="49A93905"/>
    <w:rsid w:val="49B73563"/>
    <w:rsid w:val="49CE7992"/>
    <w:rsid w:val="49D12D03"/>
    <w:rsid w:val="49E51C36"/>
    <w:rsid w:val="49E63A59"/>
    <w:rsid w:val="4A062A35"/>
    <w:rsid w:val="4A104487"/>
    <w:rsid w:val="4A12336A"/>
    <w:rsid w:val="4A3B3623"/>
    <w:rsid w:val="4A5B63C6"/>
    <w:rsid w:val="4A69461F"/>
    <w:rsid w:val="4A754373"/>
    <w:rsid w:val="4A76536A"/>
    <w:rsid w:val="4A7A7C44"/>
    <w:rsid w:val="4A9104DC"/>
    <w:rsid w:val="4AA3514A"/>
    <w:rsid w:val="4AAA25C7"/>
    <w:rsid w:val="4AB34C6A"/>
    <w:rsid w:val="4ABD6E0E"/>
    <w:rsid w:val="4AC10AA5"/>
    <w:rsid w:val="4ADC3C30"/>
    <w:rsid w:val="4ADF1B95"/>
    <w:rsid w:val="4AF60C2D"/>
    <w:rsid w:val="4AFA4A6E"/>
    <w:rsid w:val="4AFB388C"/>
    <w:rsid w:val="4B002CE9"/>
    <w:rsid w:val="4B103028"/>
    <w:rsid w:val="4B1D2CB6"/>
    <w:rsid w:val="4B1E5D0F"/>
    <w:rsid w:val="4B211928"/>
    <w:rsid w:val="4B220A18"/>
    <w:rsid w:val="4B22767D"/>
    <w:rsid w:val="4B234CFF"/>
    <w:rsid w:val="4B2564EF"/>
    <w:rsid w:val="4B287095"/>
    <w:rsid w:val="4B2D028A"/>
    <w:rsid w:val="4B5D7923"/>
    <w:rsid w:val="4B63790E"/>
    <w:rsid w:val="4B6C17AE"/>
    <w:rsid w:val="4B6C720D"/>
    <w:rsid w:val="4B701A09"/>
    <w:rsid w:val="4B764098"/>
    <w:rsid w:val="4B935415"/>
    <w:rsid w:val="4B963783"/>
    <w:rsid w:val="4BC56963"/>
    <w:rsid w:val="4BD863C7"/>
    <w:rsid w:val="4BDB5310"/>
    <w:rsid w:val="4BDC71FA"/>
    <w:rsid w:val="4C04579A"/>
    <w:rsid w:val="4C0D664D"/>
    <w:rsid w:val="4C174CE8"/>
    <w:rsid w:val="4C203BCF"/>
    <w:rsid w:val="4C241670"/>
    <w:rsid w:val="4C2847E5"/>
    <w:rsid w:val="4C365735"/>
    <w:rsid w:val="4C496DA7"/>
    <w:rsid w:val="4C530660"/>
    <w:rsid w:val="4C5656C2"/>
    <w:rsid w:val="4C6469D1"/>
    <w:rsid w:val="4C8B328A"/>
    <w:rsid w:val="4C936B7F"/>
    <w:rsid w:val="4C9B4076"/>
    <w:rsid w:val="4CA0116D"/>
    <w:rsid w:val="4CB34A0B"/>
    <w:rsid w:val="4CD61D2B"/>
    <w:rsid w:val="4CDF1534"/>
    <w:rsid w:val="4CE13353"/>
    <w:rsid w:val="4CE42D9C"/>
    <w:rsid w:val="4CF84DA4"/>
    <w:rsid w:val="4D0A6032"/>
    <w:rsid w:val="4D112E0C"/>
    <w:rsid w:val="4D1239A6"/>
    <w:rsid w:val="4D170D22"/>
    <w:rsid w:val="4D295924"/>
    <w:rsid w:val="4D5E1C47"/>
    <w:rsid w:val="4D625A09"/>
    <w:rsid w:val="4D635A4B"/>
    <w:rsid w:val="4D672614"/>
    <w:rsid w:val="4D760FC1"/>
    <w:rsid w:val="4D802D77"/>
    <w:rsid w:val="4D881751"/>
    <w:rsid w:val="4D9345F8"/>
    <w:rsid w:val="4D9727A4"/>
    <w:rsid w:val="4DA013C5"/>
    <w:rsid w:val="4DAF3F84"/>
    <w:rsid w:val="4DB23F00"/>
    <w:rsid w:val="4DBE4C7F"/>
    <w:rsid w:val="4DC32E3D"/>
    <w:rsid w:val="4DD60AE9"/>
    <w:rsid w:val="4DDF1B40"/>
    <w:rsid w:val="4DE15B70"/>
    <w:rsid w:val="4DFC7AFE"/>
    <w:rsid w:val="4DFE05F4"/>
    <w:rsid w:val="4E035C71"/>
    <w:rsid w:val="4E077B8C"/>
    <w:rsid w:val="4E077D26"/>
    <w:rsid w:val="4E093EC9"/>
    <w:rsid w:val="4E117113"/>
    <w:rsid w:val="4E1E6849"/>
    <w:rsid w:val="4E662E3A"/>
    <w:rsid w:val="4E6F3070"/>
    <w:rsid w:val="4E701E4C"/>
    <w:rsid w:val="4E72211B"/>
    <w:rsid w:val="4E786AFB"/>
    <w:rsid w:val="4E7B3B47"/>
    <w:rsid w:val="4E7D2FFB"/>
    <w:rsid w:val="4E7D794E"/>
    <w:rsid w:val="4E8309E7"/>
    <w:rsid w:val="4E9313F6"/>
    <w:rsid w:val="4E9F1ADF"/>
    <w:rsid w:val="4EAF69E3"/>
    <w:rsid w:val="4EB96C14"/>
    <w:rsid w:val="4EC90C50"/>
    <w:rsid w:val="4ED16DFA"/>
    <w:rsid w:val="4ED81FBF"/>
    <w:rsid w:val="4EE15BE5"/>
    <w:rsid w:val="4EEA51F7"/>
    <w:rsid w:val="4EFD3E26"/>
    <w:rsid w:val="4EFE78AB"/>
    <w:rsid w:val="4F0945AC"/>
    <w:rsid w:val="4F097116"/>
    <w:rsid w:val="4F102ED7"/>
    <w:rsid w:val="4F492E6C"/>
    <w:rsid w:val="4F4A7BE2"/>
    <w:rsid w:val="4F5B07C6"/>
    <w:rsid w:val="4F724000"/>
    <w:rsid w:val="4F761537"/>
    <w:rsid w:val="4F7E3536"/>
    <w:rsid w:val="4F87699E"/>
    <w:rsid w:val="4F912C2B"/>
    <w:rsid w:val="4F992258"/>
    <w:rsid w:val="4F9B2BB4"/>
    <w:rsid w:val="4FA53B7C"/>
    <w:rsid w:val="4FAE51CF"/>
    <w:rsid w:val="4FB14E18"/>
    <w:rsid w:val="4FB625DD"/>
    <w:rsid w:val="4FB9018E"/>
    <w:rsid w:val="4FBE75FB"/>
    <w:rsid w:val="4FD666FB"/>
    <w:rsid w:val="4FDC4412"/>
    <w:rsid w:val="4FDC4D3E"/>
    <w:rsid w:val="4FDE0E24"/>
    <w:rsid w:val="4FFF376E"/>
    <w:rsid w:val="500170B3"/>
    <w:rsid w:val="500C52BE"/>
    <w:rsid w:val="500D6B4E"/>
    <w:rsid w:val="501137BB"/>
    <w:rsid w:val="502E4ABE"/>
    <w:rsid w:val="50457634"/>
    <w:rsid w:val="504734F1"/>
    <w:rsid w:val="505C22FC"/>
    <w:rsid w:val="507515D8"/>
    <w:rsid w:val="507934A8"/>
    <w:rsid w:val="50815E4A"/>
    <w:rsid w:val="508E0930"/>
    <w:rsid w:val="50930FDC"/>
    <w:rsid w:val="50A00B94"/>
    <w:rsid w:val="50B126E3"/>
    <w:rsid w:val="50BB6800"/>
    <w:rsid w:val="50BF5BC3"/>
    <w:rsid w:val="50C30EA0"/>
    <w:rsid w:val="50C32F8C"/>
    <w:rsid w:val="50C63604"/>
    <w:rsid w:val="50C74238"/>
    <w:rsid w:val="50D41F25"/>
    <w:rsid w:val="50D5592D"/>
    <w:rsid w:val="50E20EE9"/>
    <w:rsid w:val="50E43CFA"/>
    <w:rsid w:val="50EC2FAC"/>
    <w:rsid w:val="50ED0617"/>
    <w:rsid w:val="510933AF"/>
    <w:rsid w:val="510A64F0"/>
    <w:rsid w:val="51240CBA"/>
    <w:rsid w:val="51335CD9"/>
    <w:rsid w:val="513555CF"/>
    <w:rsid w:val="513F5D9B"/>
    <w:rsid w:val="51400694"/>
    <w:rsid w:val="51493241"/>
    <w:rsid w:val="514B6B11"/>
    <w:rsid w:val="51512CFA"/>
    <w:rsid w:val="5157370B"/>
    <w:rsid w:val="515B7D87"/>
    <w:rsid w:val="516264F6"/>
    <w:rsid w:val="517064DB"/>
    <w:rsid w:val="51743C13"/>
    <w:rsid w:val="518F7AEB"/>
    <w:rsid w:val="51A37AD8"/>
    <w:rsid w:val="51AD10C0"/>
    <w:rsid w:val="51AD1F10"/>
    <w:rsid w:val="51B22D11"/>
    <w:rsid w:val="51BA69EB"/>
    <w:rsid w:val="51C04E3E"/>
    <w:rsid w:val="51C949A5"/>
    <w:rsid w:val="51CC71FC"/>
    <w:rsid w:val="51DF6E5F"/>
    <w:rsid w:val="51FF0CE6"/>
    <w:rsid w:val="52002482"/>
    <w:rsid w:val="520170BE"/>
    <w:rsid w:val="520472CD"/>
    <w:rsid w:val="5223005C"/>
    <w:rsid w:val="522A041F"/>
    <w:rsid w:val="522A6981"/>
    <w:rsid w:val="522F2AA8"/>
    <w:rsid w:val="523E52BF"/>
    <w:rsid w:val="525F3641"/>
    <w:rsid w:val="526171DF"/>
    <w:rsid w:val="52771BB7"/>
    <w:rsid w:val="528D2FAD"/>
    <w:rsid w:val="529E724F"/>
    <w:rsid w:val="52A22788"/>
    <w:rsid w:val="52B643DB"/>
    <w:rsid w:val="52C5600A"/>
    <w:rsid w:val="52D16A04"/>
    <w:rsid w:val="52E90CE3"/>
    <w:rsid w:val="52EB75C8"/>
    <w:rsid w:val="52EE62E0"/>
    <w:rsid w:val="52F82082"/>
    <w:rsid w:val="52F86CE3"/>
    <w:rsid w:val="530B6236"/>
    <w:rsid w:val="53113650"/>
    <w:rsid w:val="531A217C"/>
    <w:rsid w:val="5332023F"/>
    <w:rsid w:val="53371D57"/>
    <w:rsid w:val="53426E26"/>
    <w:rsid w:val="53466158"/>
    <w:rsid w:val="534E2819"/>
    <w:rsid w:val="53527F9B"/>
    <w:rsid w:val="53567D52"/>
    <w:rsid w:val="536A5B07"/>
    <w:rsid w:val="537A10A4"/>
    <w:rsid w:val="537A4136"/>
    <w:rsid w:val="53814237"/>
    <w:rsid w:val="539B1A77"/>
    <w:rsid w:val="53A1246D"/>
    <w:rsid w:val="53A5614C"/>
    <w:rsid w:val="53C61100"/>
    <w:rsid w:val="53CC1FEA"/>
    <w:rsid w:val="53E15BAC"/>
    <w:rsid w:val="53E54E39"/>
    <w:rsid w:val="53E573F1"/>
    <w:rsid w:val="53EC5BC5"/>
    <w:rsid w:val="53F0065E"/>
    <w:rsid w:val="53F35923"/>
    <w:rsid w:val="53F65AE0"/>
    <w:rsid w:val="53F74C58"/>
    <w:rsid w:val="540739EF"/>
    <w:rsid w:val="5407674D"/>
    <w:rsid w:val="540B0EFF"/>
    <w:rsid w:val="540D655B"/>
    <w:rsid w:val="540E67D6"/>
    <w:rsid w:val="54114AF8"/>
    <w:rsid w:val="5411591A"/>
    <w:rsid w:val="54312108"/>
    <w:rsid w:val="543310E7"/>
    <w:rsid w:val="54363454"/>
    <w:rsid w:val="543B0D21"/>
    <w:rsid w:val="54430421"/>
    <w:rsid w:val="54640B91"/>
    <w:rsid w:val="546772B3"/>
    <w:rsid w:val="54754A1F"/>
    <w:rsid w:val="547B0133"/>
    <w:rsid w:val="548C0B9D"/>
    <w:rsid w:val="548C4146"/>
    <w:rsid w:val="54A0446D"/>
    <w:rsid w:val="54A226A7"/>
    <w:rsid w:val="54AF45C8"/>
    <w:rsid w:val="54B4619C"/>
    <w:rsid w:val="54B62E1D"/>
    <w:rsid w:val="54BA4970"/>
    <w:rsid w:val="54CA2E70"/>
    <w:rsid w:val="54DB6804"/>
    <w:rsid w:val="54DC2077"/>
    <w:rsid w:val="54DF6A8D"/>
    <w:rsid w:val="54F31471"/>
    <w:rsid w:val="551B697D"/>
    <w:rsid w:val="551D53B5"/>
    <w:rsid w:val="55566B4A"/>
    <w:rsid w:val="5559140F"/>
    <w:rsid w:val="55614D8E"/>
    <w:rsid w:val="5574034F"/>
    <w:rsid w:val="557C6006"/>
    <w:rsid w:val="558B2DDF"/>
    <w:rsid w:val="559C55B2"/>
    <w:rsid w:val="55A05608"/>
    <w:rsid w:val="55A07AAE"/>
    <w:rsid w:val="55A84D3F"/>
    <w:rsid w:val="55AC0697"/>
    <w:rsid w:val="55B44A5D"/>
    <w:rsid w:val="55C10AE2"/>
    <w:rsid w:val="55EA493A"/>
    <w:rsid w:val="55EF583B"/>
    <w:rsid w:val="55F07105"/>
    <w:rsid w:val="55FA19DE"/>
    <w:rsid w:val="56192971"/>
    <w:rsid w:val="561D1656"/>
    <w:rsid w:val="562813A4"/>
    <w:rsid w:val="56281B86"/>
    <w:rsid w:val="562A6B9A"/>
    <w:rsid w:val="562F3EE9"/>
    <w:rsid w:val="56343BFE"/>
    <w:rsid w:val="564915CA"/>
    <w:rsid w:val="565B2CC6"/>
    <w:rsid w:val="565C1875"/>
    <w:rsid w:val="56755B08"/>
    <w:rsid w:val="569E653B"/>
    <w:rsid w:val="56A3495D"/>
    <w:rsid w:val="56A441B6"/>
    <w:rsid w:val="56A51596"/>
    <w:rsid w:val="56AB481C"/>
    <w:rsid w:val="56B43563"/>
    <w:rsid w:val="56BC30FA"/>
    <w:rsid w:val="56CE6347"/>
    <w:rsid w:val="56EC2A3C"/>
    <w:rsid w:val="56ED72F8"/>
    <w:rsid w:val="56FB1A2B"/>
    <w:rsid w:val="57074AC6"/>
    <w:rsid w:val="570D7A13"/>
    <w:rsid w:val="57226C1B"/>
    <w:rsid w:val="572321C6"/>
    <w:rsid w:val="573A470C"/>
    <w:rsid w:val="57430B3F"/>
    <w:rsid w:val="57470D69"/>
    <w:rsid w:val="574A2832"/>
    <w:rsid w:val="5759390D"/>
    <w:rsid w:val="575D7834"/>
    <w:rsid w:val="57622263"/>
    <w:rsid w:val="57660112"/>
    <w:rsid w:val="57893116"/>
    <w:rsid w:val="57922B63"/>
    <w:rsid w:val="57A72042"/>
    <w:rsid w:val="57A90F89"/>
    <w:rsid w:val="57AA027C"/>
    <w:rsid w:val="57B279ED"/>
    <w:rsid w:val="57B957EC"/>
    <w:rsid w:val="57C82137"/>
    <w:rsid w:val="57CA3504"/>
    <w:rsid w:val="57D2688C"/>
    <w:rsid w:val="57DD5FA2"/>
    <w:rsid w:val="57E9157A"/>
    <w:rsid w:val="57EB329D"/>
    <w:rsid w:val="581113B5"/>
    <w:rsid w:val="58184038"/>
    <w:rsid w:val="58256DFF"/>
    <w:rsid w:val="582D68CA"/>
    <w:rsid w:val="58396027"/>
    <w:rsid w:val="58490ABD"/>
    <w:rsid w:val="584A1FBF"/>
    <w:rsid w:val="585B17A0"/>
    <w:rsid w:val="5876166B"/>
    <w:rsid w:val="588D01F4"/>
    <w:rsid w:val="5891455D"/>
    <w:rsid w:val="58BE085B"/>
    <w:rsid w:val="58D94295"/>
    <w:rsid w:val="58D97784"/>
    <w:rsid w:val="58F869F1"/>
    <w:rsid w:val="58FA08E1"/>
    <w:rsid w:val="59022E8E"/>
    <w:rsid w:val="59171748"/>
    <w:rsid w:val="591F1938"/>
    <w:rsid w:val="59217797"/>
    <w:rsid w:val="59227E85"/>
    <w:rsid w:val="592D740B"/>
    <w:rsid w:val="596B686F"/>
    <w:rsid w:val="596C143E"/>
    <w:rsid w:val="596E0C50"/>
    <w:rsid w:val="597C124B"/>
    <w:rsid w:val="5986021B"/>
    <w:rsid w:val="59971CCE"/>
    <w:rsid w:val="59A909C6"/>
    <w:rsid w:val="59AC34DA"/>
    <w:rsid w:val="59B13B0E"/>
    <w:rsid w:val="59B94EB6"/>
    <w:rsid w:val="59C31B82"/>
    <w:rsid w:val="59D36A53"/>
    <w:rsid w:val="59DB1744"/>
    <w:rsid w:val="59EB5CEF"/>
    <w:rsid w:val="59EF0449"/>
    <w:rsid w:val="59F20883"/>
    <w:rsid w:val="59F26D9A"/>
    <w:rsid w:val="59FD6818"/>
    <w:rsid w:val="5A0170BF"/>
    <w:rsid w:val="5A0470E3"/>
    <w:rsid w:val="5A066FD9"/>
    <w:rsid w:val="5A071D99"/>
    <w:rsid w:val="5A073D8E"/>
    <w:rsid w:val="5A0A57EF"/>
    <w:rsid w:val="5A0E3FB7"/>
    <w:rsid w:val="5A0F577C"/>
    <w:rsid w:val="5A2B2406"/>
    <w:rsid w:val="5A3854D4"/>
    <w:rsid w:val="5A4062E5"/>
    <w:rsid w:val="5A485A56"/>
    <w:rsid w:val="5A540D09"/>
    <w:rsid w:val="5A586644"/>
    <w:rsid w:val="5A8467F7"/>
    <w:rsid w:val="5A8751B8"/>
    <w:rsid w:val="5A8B06AC"/>
    <w:rsid w:val="5A963E25"/>
    <w:rsid w:val="5AA120FC"/>
    <w:rsid w:val="5AA30524"/>
    <w:rsid w:val="5AB332EF"/>
    <w:rsid w:val="5AB41480"/>
    <w:rsid w:val="5AF13A51"/>
    <w:rsid w:val="5B012548"/>
    <w:rsid w:val="5B035215"/>
    <w:rsid w:val="5B162E4A"/>
    <w:rsid w:val="5B194229"/>
    <w:rsid w:val="5B1F37E2"/>
    <w:rsid w:val="5B241A34"/>
    <w:rsid w:val="5B2D247B"/>
    <w:rsid w:val="5B4724E9"/>
    <w:rsid w:val="5B492182"/>
    <w:rsid w:val="5B62666F"/>
    <w:rsid w:val="5B6728BD"/>
    <w:rsid w:val="5B7366DC"/>
    <w:rsid w:val="5B7F64A7"/>
    <w:rsid w:val="5B871827"/>
    <w:rsid w:val="5B9E2055"/>
    <w:rsid w:val="5BC50889"/>
    <w:rsid w:val="5BD64DC7"/>
    <w:rsid w:val="5BDE7EBE"/>
    <w:rsid w:val="5BEC6332"/>
    <w:rsid w:val="5BF45D1E"/>
    <w:rsid w:val="5C022024"/>
    <w:rsid w:val="5C13673E"/>
    <w:rsid w:val="5C171459"/>
    <w:rsid w:val="5C1F14BE"/>
    <w:rsid w:val="5C3D4624"/>
    <w:rsid w:val="5C3E108C"/>
    <w:rsid w:val="5C405D19"/>
    <w:rsid w:val="5C40642C"/>
    <w:rsid w:val="5C5A655E"/>
    <w:rsid w:val="5C5D7EEE"/>
    <w:rsid w:val="5C6817F9"/>
    <w:rsid w:val="5C6A68CD"/>
    <w:rsid w:val="5C6B1B45"/>
    <w:rsid w:val="5C796A69"/>
    <w:rsid w:val="5C80055B"/>
    <w:rsid w:val="5C895969"/>
    <w:rsid w:val="5C912E4A"/>
    <w:rsid w:val="5C9E76EF"/>
    <w:rsid w:val="5CA65FEA"/>
    <w:rsid w:val="5CAE272E"/>
    <w:rsid w:val="5CAF4A25"/>
    <w:rsid w:val="5CBE45C6"/>
    <w:rsid w:val="5CC448E8"/>
    <w:rsid w:val="5CE23E6F"/>
    <w:rsid w:val="5CE55A40"/>
    <w:rsid w:val="5CE844EA"/>
    <w:rsid w:val="5D0B4DB5"/>
    <w:rsid w:val="5D186945"/>
    <w:rsid w:val="5D1A4577"/>
    <w:rsid w:val="5D2B0000"/>
    <w:rsid w:val="5D3270AB"/>
    <w:rsid w:val="5D366BFA"/>
    <w:rsid w:val="5D3A4580"/>
    <w:rsid w:val="5D3B0E5E"/>
    <w:rsid w:val="5D415D56"/>
    <w:rsid w:val="5D494B0E"/>
    <w:rsid w:val="5D4D76CC"/>
    <w:rsid w:val="5D5E7FF2"/>
    <w:rsid w:val="5D6801BC"/>
    <w:rsid w:val="5D686DE0"/>
    <w:rsid w:val="5D6B453A"/>
    <w:rsid w:val="5D730AEE"/>
    <w:rsid w:val="5D740B47"/>
    <w:rsid w:val="5D7C1064"/>
    <w:rsid w:val="5D825484"/>
    <w:rsid w:val="5D8833B4"/>
    <w:rsid w:val="5D98465E"/>
    <w:rsid w:val="5DA5702A"/>
    <w:rsid w:val="5DAF101D"/>
    <w:rsid w:val="5DB379E4"/>
    <w:rsid w:val="5DD27AA9"/>
    <w:rsid w:val="5DDD5067"/>
    <w:rsid w:val="5DDD6B5B"/>
    <w:rsid w:val="5DFF3C17"/>
    <w:rsid w:val="5E154032"/>
    <w:rsid w:val="5E1A0D12"/>
    <w:rsid w:val="5E1B0A8B"/>
    <w:rsid w:val="5E2F6C0A"/>
    <w:rsid w:val="5E33439C"/>
    <w:rsid w:val="5E385533"/>
    <w:rsid w:val="5E5E2670"/>
    <w:rsid w:val="5E7238CA"/>
    <w:rsid w:val="5E76436A"/>
    <w:rsid w:val="5E7655B3"/>
    <w:rsid w:val="5E9110AF"/>
    <w:rsid w:val="5E996F8A"/>
    <w:rsid w:val="5E9A2D09"/>
    <w:rsid w:val="5EA119DB"/>
    <w:rsid w:val="5EA20E72"/>
    <w:rsid w:val="5EB123CB"/>
    <w:rsid w:val="5ECF21D2"/>
    <w:rsid w:val="5ED567A4"/>
    <w:rsid w:val="5EE94BE8"/>
    <w:rsid w:val="5EF37E91"/>
    <w:rsid w:val="5EF43CB6"/>
    <w:rsid w:val="5F010E29"/>
    <w:rsid w:val="5F253703"/>
    <w:rsid w:val="5F26074D"/>
    <w:rsid w:val="5F291FF5"/>
    <w:rsid w:val="5F2C5767"/>
    <w:rsid w:val="5F3203D4"/>
    <w:rsid w:val="5F44772B"/>
    <w:rsid w:val="5F505A93"/>
    <w:rsid w:val="5F5A437A"/>
    <w:rsid w:val="5F6A4403"/>
    <w:rsid w:val="5F724959"/>
    <w:rsid w:val="5F79282E"/>
    <w:rsid w:val="5F7C0271"/>
    <w:rsid w:val="5F8B685B"/>
    <w:rsid w:val="5F8C3A92"/>
    <w:rsid w:val="5F8D45B2"/>
    <w:rsid w:val="5F8E48E4"/>
    <w:rsid w:val="5F9657ED"/>
    <w:rsid w:val="5F994E07"/>
    <w:rsid w:val="5FAC019C"/>
    <w:rsid w:val="5FAD0894"/>
    <w:rsid w:val="5FC05C76"/>
    <w:rsid w:val="5FC22BE9"/>
    <w:rsid w:val="5FDF0B93"/>
    <w:rsid w:val="5FF21886"/>
    <w:rsid w:val="600465D9"/>
    <w:rsid w:val="600A2546"/>
    <w:rsid w:val="601B5C51"/>
    <w:rsid w:val="601C175B"/>
    <w:rsid w:val="601E56FA"/>
    <w:rsid w:val="602121AF"/>
    <w:rsid w:val="602142C0"/>
    <w:rsid w:val="602278A3"/>
    <w:rsid w:val="602D7648"/>
    <w:rsid w:val="60306215"/>
    <w:rsid w:val="60426720"/>
    <w:rsid w:val="604A5F58"/>
    <w:rsid w:val="6052277D"/>
    <w:rsid w:val="605A2FF6"/>
    <w:rsid w:val="606C2440"/>
    <w:rsid w:val="608E51E4"/>
    <w:rsid w:val="60913FC1"/>
    <w:rsid w:val="609735D0"/>
    <w:rsid w:val="60A13EE3"/>
    <w:rsid w:val="60A271F5"/>
    <w:rsid w:val="60C953AE"/>
    <w:rsid w:val="60D27C1B"/>
    <w:rsid w:val="60E06C01"/>
    <w:rsid w:val="61231FBD"/>
    <w:rsid w:val="6124033D"/>
    <w:rsid w:val="613D07BA"/>
    <w:rsid w:val="61630C27"/>
    <w:rsid w:val="617D1194"/>
    <w:rsid w:val="61860930"/>
    <w:rsid w:val="618B4B04"/>
    <w:rsid w:val="619254AA"/>
    <w:rsid w:val="61975200"/>
    <w:rsid w:val="61A2707D"/>
    <w:rsid w:val="61A6077B"/>
    <w:rsid w:val="61A63343"/>
    <w:rsid w:val="61A776A6"/>
    <w:rsid w:val="61B31180"/>
    <w:rsid w:val="61B34975"/>
    <w:rsid w:val="61B34F09"/>
    <w:rsid w:val="61BA1218"/>
    <w:rsid w:val="61BC100B"/>
    <w:rsid w:val="61C42014"/>
    <w:rsid w:val="61CE03F9"/>
    <w:rsid w:val="61CE2F3A"/>
    <w:rsid w:val="61F7229E"/>
    <w:rsid w:val="61FE41AD"/>
    <w:rsid w:val="621410FB"/>
    <w:rsid w:val="62211038"/>
    <w:rsid w:val="622317D8"/>
    <w:rsid w:val="622A7BEF"/>
    <w:rsid w:val="622D5D23"/>
    <w:rsid w:val="62330D93"/>
    <w:rsid w:val="62454386"/>
    <w:rsid w:val="624C0651"/>
    <w:rsid w:val="624D16F7"/>
    <w:rsid w:val="624D23DD"/>
    <w:rsid w:val="625559D7"/>
    <w:rsid w:val="62575D6D"/>
    <w:rsid w:val="62601D59"/>
    <w:rsid w:val="627438F1"/>
    <w:rsid w:val="628D3FBF"/>
    <w:rsid w:val="62954958"/>
    <w:rsid w:val="62B24967"/>
    <w:rsid w:val="62C32724"/>
    <w:rsid w:val="62C73CBE"/>
    <w:rsid w:val="62C955A0"/>
    <w:rsid w:val="62CE7976"/>
    <w:rsid w:val="62D83E2B"/>
    <w:rsid w:val="62DD52C0"/>
    <w:rsid w:val="62E26BAD"/>
    <w:rsid w:val="62E42151"/>
    <w:rsid w:val="62F76CBC"/>
    <w:rsid w:val="62F83E72"/>
    <w:rsid w:val="62FA17CB"/>
    <w:rsid w:val="6324374A"/>
    <w:rsid w:val="632F4F11"/>
    <w:rsid w:val="6331393C"/>
    <w:rsid w:val="633217B9"/>
    <w:rsid w:val="63434FDE"/>
    <w:rsid w:val="63565F4A"/>
    <w:rsid w:val="635E3FEE"/>
    <w:rsid w:val="63690A85"/>
    <w:rsid w:val="63703888"/>
    <w:rsid w:val="63740FF8"/>
    <w:rsid w:val="63854141"/>
    <w:rsid w:val="6387076A"/>
    <w:rsid w:val="63AC70E0"/>
    <w:rsid w:val="63AF7D88"/>
    <w:rsid w:val="63B27280"/>
    <w:rsid w:val="63BE3851"/>
    <w:rsid w:val="63BF37CD"/>
    <w:rsid w:val="63CF20A3"/>
    <w:rsid w:val="63D73985"/>
    <w:rsid w:val="63E76D58"/>
    <w:rsid w:val="63EB3F53"/>
    <w:rsid w:val="63F83FB4"/>
    <w:rsid w:val="63F97717"/>
    <w:rsid w:val="640469A4"/>
    <w:rsid w:val="64181FD5"/>
    <w:rsid w:val="642437C9"/>
    <w:rsid w:val="6428212E"/>
    <w:rsid w:val="643D0EF8"/>
    <w:rsid w:val="64412458"/>
    <w:rsid w:val="644F026D"/>
    <w:rsid w:val="645A5F7B"/>
    <w:rsid w:val="6463015B"/>
    <w:rsid w:val="64686F16"/>
    <w:rsid w:val="64693D8A"/>
    <w:rsid w:val="646A31D4"/>
    <w:rsid w:val="648C3066"/>
    <w:rsid w:val="64910B33"/>
    <w:rsid w:val="649B26CA"/>
    <w:rsid w:val="64A038D0"/>
    <w:rsid w:val="64A37988"/>
    <w:rsid w:val="64A92F17"/>
    <w:rsid w:val="64AB08A2"/>
    <w:rsid w:val="64AE45C3"/>
    <w:rsid w:val="64B122B8"/>
    <w:rsid w:val="64C664FB"/>
    <w:rsid w:val="64C8659F"/>
    <w:rsid w:val="64D02AD3"/>
    <w:rsid w:val="64D05137"/>
    <w:rsid w:val="64D424AF"/>
    <w:rsid w:val="64EC315C"/>
    <w:rsid w:val="64FA12F1"/>
    <w:rsid w:val="64FF2EFD"/>
    <w:rsid w:val="65197FDF"/>
    <w:rsid w:val="65327E11"/>
    <w:rsid w:val="65347E13"/>
    <w:rsid w:val="65387A58"/>
    <w:rsid w:val="653D5558"/>
    <w:rsid w:val="65574233"/>
    <w:rsid w:val="656D2199"/>
    <w:rsid w:val="65735572"/>
    <w:rsid w:val="65743834"/>
    <w:rsid w:val="657C6653"/>
    <w:rsid w:val="65851B9A"/>
    <w:rsid w:val="65860272"/>
    <w:rsid w:val="65A03A2F"/>
    <w:rsid w:val="65BC548C"/>
    <w:rsid w:val="65C340F9"/>
    <w:rsid w:val="65CF7FA5"/>
    <w:rsid w:val="65D10BCB"/>
    <w:rsid w:val="65DC647A"/>
    <w:rsid w:val="65E13184"/>
    <w:rsid w:val="65E835B7"/>
    <w:rsid w:val="65F02716"/>
    <w:rsid w:val="65F24B1D"/>
    <w:rsid w:val="661C4E7F"/>
    <w:rsid w:val="663058B6"/>
    <w:rsid w:val="66335F63"/>
    <w:rsid w:val="663468FB"/>
    <w:rsid w:val="663B3FAC"/>
    <w:rsid w:val="66445584"/>
    <w:rsid w:val="66562904"/>
    <w:rsid w:val="665A7086"/>
    <w:rsid w:val="665E2E41"/>
    <w:rsid w:val="666D1133"/>
    <w:rsid w:val="667700AB"/>
    <w:rsid w:val="667764F8"/>
    <w:rsid w:val="667F2AAA"/>
    <w:rsid w:val="66822435"/>
    <w:rsid w:val="6688384B"/>
    <w:rsid w:val="668A4F94"/>
    <w:rsid w:val="66AE7796"/>
    <w:rsid w:val="66B979D7"/>
    <w:rsid w:val="66C62DB6"/>
    <w:rsid w:val="66CB1C3B"/>
    <w:rsid w:val="66D33B8E"/>
    <w:rsid w:val="66E71F5A"/>
    <w:rsid w:val="66EC5B7E"/>
    <w:rsid w:val="66F615C0"/>
    <w:rsid w:val="66FF7B1A"/>
    <w:rsid w:val="67003CE1"/>
    <w:rsid w:val="67116585"/>
    <w:rsid w:val="671213E8"/>
    <w:rsid w:val="67125ED7"/>
    <w:rsid w:val="67223487"/>
    <w:rsid w:val="67364FE6"/>
    <w:rsid w:val="673C5E31"/>
    <w:rsid w:val="673E6FDA"/>
    <w:rsid w:val="67792AF9"/>
    <w:rsid w:val="6779665B"/>
    <w:rsid w:val="678E6554"/>
    <w:rsid w:val="679A7CB9"/>
    <w:rsid w:val="67AD108F"/>
    <w:rsid w:val="67B57E5C"/>
    <w:rsid w:val="67BD7BB8"/>
    <w:rsid w:val="67D26AAC"/>
    <w:rsid w:val="67D424F0"/>
    <w:rsid w:val="67D646C2"/>
    <w:rsid w:val="67E068BD"/>
    <w:rsid w:val="67E74177"/>
    <w:rsid w:val="67F04C6A"/>
    <w:rsid w:val="67FA1565"/>
    <w:rsid w:val="67FC33D8"/>
    <w:rsid w:val="680217A3"/>
    <w:rsid w:val="680867F6"/>
    <w:rsid w:val="6819305D"/>
    <w:rsid w:val="681A2708"/>
    <w:rsid w:val="685A2DAA"/>
    <w:rsid w:val="685E4D96"/>
    <w:rsid w:val="686013DD"/>
    <w:rsid w:val="68604624"/>
    <w:rsid w:val="68640842"/>
    <w:rsid w:val="68664A95"/>
    <w:rsid w:val="68704A6D"/>
    <w:rsid w:val="687431B4"/>
    <w:rsid w:val="68762BD4"/>
    <w:rsid w:val="687B7888"/>
    <w:rsid w:val="68975E91"/>
    <w:rsid w:val="68A72D8B"/>
    <w:rsid w:val="68AC15DF"/>
    <w:rsid w:val="68B04F27"/>
    <w:rsid w:val="68B86B3A"/>
    <w:rsid w:val="68B94E6A"/>
    <w:rsid w:val="68C42DFA"/>
    <w:rsid w:val="68C578EC"/>
    <w:rsid w:val="68C735D9"/>
    <w:rsid w:val="68D53D62"/>
    <w:rsid w:val="68D74F17"/>
    <w:rsid w:val="68D95EF2"/>
    <w:rsid w:val="68F71AF5"/>
    <w:rsid w:val="69091A91"/>
    <w:rsid w:val="69197A96"/>
    <w:rsid w:val="69292812"/>
    <w:rsid w:val="69294264"/>
    <w:rsid w:val="693529A6"/>
    <w:rsid w:val="693B6175"/>
    <w:rsid w:val="693E5CE8"/>
    <w:rsid w:val="693F540E"/>
    <w:rsid w:val="694D78AB"/>
    <w:rsid w:val="695224E7"/>
    <w:rsid w:val="69574FB7"/>
    <w:rsid w:val="696302A7"/>
    <w:rsid w:val="696B5530"/>
    <w:rsid w:val="6979114D"/>
    <w:rsid w:val="697B24B5"/>
    <w:rsid w:val="697E3626"/>
    <w:rsid w:val="69837D6C"/>
    <w:rsid w:val="69957290"/>
    <w:rsid w:val="69985CD5"/>
    <w:rsid w:val="69AB1CD6"/>
    <w:rsid w:val="69BC16F2"/>
    <w:rsid w:val="69C259B6"/>
    <w:rsid w:val="69D47978"/>
    <w:rsid w:val="69F22F3A"/>
    <w:rsid w:val="69F96C73"/>
    <w:rsid w:val="69FF1882"/>
    <w:rsid w:val="6A0234C9"/>
    <w:rsid w:val="6A046413"/>
    <w:rsid w:val="6A052157"/>
    <w:rsid w:val="6A067A00"/>
    <w:rsid w:val="6A167FDB"/>
    <w:rsid w:val="6A28183D"/>
    <w:rsid w:val="6A2B337D"/>
    <w:rsid w:val="6A32072B"/>
    <w:rsid w:val="6A381058"/>
    <w:rsid w:val="6A3E5FBF"/>
    <w:rsid w:val="6A3E7983"/>
    <w:rsid w:val="6A417D82"/>
    <w:rsid w:val="6A575427"/>
    <w:rsid w:val="6A5A5CB4"/>
    <w:rsid w:val="6A600DF3"/>
    <w:rsid w:val="6A66766D"/>
    <w:rsid w:val="6A704926"/>
    <w:rsid w:val="6A805334"/>
    <w:rsid w:val="6A817EE2"/>
    <w:rsid w:val="6A83285F"/>
    <w:rsid w:val="6A8C35F0"/>
    <w:rsid w:val="6A921335"/>
    <w:rsid w:val="6A977180"/>
    <w:rsid w:val="6AAC02D1"/>
    <w:rsid w:val="6AB37D3E"/>
    <w:rsid w:val="6AB47C92"/>
    <w:rsid w:val="6AC04086"/>
    <w:rsid w:val="6AC83554"/>
    <w:rsid w:val="6ACA6124"/>
    <w:rsid w:val="6AD925BD"/>
    <w:rsid w:val="6AE1202C"/>
    <w:rsid w:val="6AE16BE7"/>
    <w:rsid w:val="6AEB5C39"/>
    <w:rsid w:val="6AFC2AB3"/>
    <w:rsid w:val="6B0A1B81"/>
    <w:rsid w:val="6B0D4541"/>
    <w:rsid w:val="6B120F9E"/>
    <w:rsid w:val="6B1523CA"/>
    <w:rsid w:val="6B16615B"/>
    <w:rsid w:val="6B1857F6"/>
    <w:rsid w:val="6B2A3B97"/>
    <w:rsid w:val="6B3175D9"/>
    <w:rsid w:val="6B331F7B"/>
    <w:rsid w:val="6B435AC4"/>
    <w:rsid w:val="6B464AE8"/>
    <w:rsid w:val="6B471A75"/>
    <w:rsid w:val="6B7526B2"/>
    <w:rsid w:val="6B7B5A35"/>
    <w:rsid w:val="6B7E7617"/>
    <w:rsid w:val="6BA537A0"/>
    <w:rsid w:val="6BBB6867"/>
    <w:rsid w:val="6BBE5E85"/>
    <w:rsid w:val="6BBF25A3"/>
    <w:rsid w:val="6BC0724E"/>
    <w:rsid w:val="6BD00FBE"/>
    <w:rsid w:val="6BD676F2"/>
    <w:rsid w:val="6BED7716"/>
    <w:rsid w:val="6BF502B4"/>
    <w:rsid w:val="6BFD3762"/>
    <w:rsid w:val="6C164FAE"/>
    <w:rsid w:val="6C2846CC"/>
    <w:rsid w:val="6C2863AF"/>
    <w:rsid w:val="6C2A2199"/>
    <w:rsid w:val="6C3941A2"/>
    <w:rsid w:val="6C3B4378"/>
    <w:rsid w:val="6C4224BF"/>
    <w:rsid w:val="6C486BC2"/>
    <w:rsid w:val="6C526BE8"/>
    <w:rsid w:val="6C5B1FA9"/>
    <w:rsid w:val="6C67104E"/>
    <w:rsid w:val="6C69586C"/>
    <w:rsid w:val="6C6D22C2"/>
    <w:rsid w:val="6C701152"/>
    <w:rsid w:val="6C7A073D"/>
    <w:rsid w:val="6C7B0794"/>
    <w:rsid w:val="6C863620"/>
    <w:rsid w:val="6C8F2EE0"/>
    <w:rsid w:val="6C912F95"/>
    <w:rsid w:val="6CCC48AF"/>
    <w:rsid w:val="6CCF7BC6"/>
    <w:rsid w:val="6CD05AA0"/>
    <w:rsid w:val="6CE03CED"/>
    <w:rsid w:val="6CEF7C36"/>
    <w:rsid w:val="6CF73D31"/>
    <w:rsid w:val="6CFF5412"/>
    <w:rsid w:val="6D0A1A13"/>
    <w:rsid w:val="6D0B33B9"/>
    <w:rsid w:val="6D0C4ECF"/>
    <w:rsid w:val="6D1D7D28"/>
    <w:rsid w:val="6D1F6F8B"/>
    <w:rsid w:val="6D264AE5"/>
    <w:rsid w:val="6D3C6B15"/>
    <w:rsid w:val="6D5B4508"/>
    <w:rsid w:val="6D5D593C"/>
    <w:rsid w:val="6D616A0E"/>
    <w:rsid w:val="6D620E37"/>
    <w:rsid w:val="6D673109"/>
    <w:rsid w:val="6D6E5123"/>
    <w:rsid w:val="6D701D92"/>
    <w:rsid w:val="6D756C66"/>
    <w:rsid w:val="6D7745C7"/>
    <w:rsid w:val="6D821B24"/>
    <w:rsid w:val="6D890E4D"/>
    <w:rsid w:val="6D995394"/>
    <w:rsid w:val="6DA314C6"/>
    <w:rsid w:val="6DB02572"/>
    <w:rsid w:val="6DB11EEF"/>
    <w:rsid w:val="6DB31666"/>
    <w:rsid w:val="6DB84CF5"/>
    <w:rsid w:val="6DBD1762"/>
    <w:rsid w:val="6DD142D7"/>
    <w:rsid w:val="6DE32FAA"/>
    <w:rsid w:val="6DE44612"/>
    <w:rsid w:val="6E015754"/>
    <w:rsid w:val="6E01753D"/>
    <w:rsid w:val="6E037921"/>
    <w:rsid w:val="6E053E35"/>
    <w:rsid w:val="6E1A43AB"/>
    <w:rsid w:val="6E397C3F"/>
    <w:rsid w:val="6E3F4528"/>
    <w:rsid w:val="6E52417E"/>
    <w:rsid w:val="6E53536E"/>
    <w:rsid w:val="6E5D4193"/>
    <w:rsid w:val="6E6705BB"/>
    <w:rsid w:val="6E7F6E5D"/>
    <w:rsid w:val="6E9214CF"/>
    <w:rsid w:val="6E934C0D"/>
    <w:rsid w:val="6E967B72"/>
    <w:rsid w:val="6EA42560"/>
    <w:rsid w:val="6EA97B8A"/>
    <w:rsid w:val="6EAC4E4C"/>
    <w:rsid w:val="6EBC40D2"/>
    <w:rsid w:val="6EE54993"/>
    <w:rsid w:val="6EF07574"/>
    <w:rsid w:val="6F0A1F0A"/>
    <w:rsid w:val="6F1B6EB0"/>
    <w:rsid w:val="6F2D2104"/>
    <w:rsid w:val="6F4268F2"/>
    <w:rsid w:val="6F4B0543"/>
    <w:rsid w:val="6F5C082F"/>
    <w:rsid w:val="6F64025F"/>
    <w:rsid w:val="6F792EC5"/>
    <w:rsid w:val="6F7F014E"/>
    <w:rsid w:val="6F9B6C64"/>
    <w:rsid w:val="6FA356AD"/>
    <w:rsid w:val="6FAB5FDA"/>
    <w:rsid w:val="6FB0158C"/>
    <w:rsid w:val="6FB31C1D"/>
    <w:rsid w:val="6FC62218"/>
    <w:rsid w:val="6FC64AA3"/>
    <w:rsid w:val="6FCC2AC3"/>
    <w:rsid w:val="6FCC7C64"/>
    <w:rsid w:val="6FDB2214"/>
    <w:rsid w:val="6FE10DEC"/>
    <w:rsid w:val="6FE159A6"/>
    <w:rsid w:val="6FE64815"/>
    <w:rsid w:val="6FF20157"/>
    <w:rsid w:val="6FF744F0"/>
    <w:rsid w:val="6FFF34DB"/>
    <w:rsid w:val="70073A88"/>
    <w:rsid w:val="70086353"/>
    <w:rsid w:val="70130AD0"/>
    <w:rsid w:val="701325AE"/>
    <w:rsid w:val="70174BF7"/>
    <w:rsid w:val="701F073B"/>
    <w:rsid w:val="70284707"/>
    <w:rsid w:val="702C3970"/>
    <w:rsid w:val="702D09FA"/>
    <w:rsid w:val="70332357"/>
    <w:rsid w:val="704450B5"/>
    <w:rsid w:val="70512291"/>
    <w:rsid w:val="705A3D0E"/>
    <w:rsid w:val="705A3E25"/>
    <w:rsid w:val="70686F4F"/>
    <w:rsid w:val="707047BA"/>
    <w:rsid w:val="70732513"/>
    <w:rsid w:val="707758B9"/>
    <w:rsid w:val="707C09B3"/>
    <w:rsid w:val="707D54AB"/>
    <w:rsid w:val="707D6B4F"/>
    <w:rsid w:val="708351AA"/>
    <w:rsid w:val="70874953"/>
    <w:rsid w:val="709302B9"/>
    <w:rsid w:val="70953FD0"/>
    <w:rsid w:val="70AA2414"/>
    <w:rsid w:val="70B15997"/>
    <w:rsid w:val="70BC089A"/>
    <w:rsid w:val="70C071AC"/>
    <w:rsid w:val="70C7081F"/>
    <w:rsid w:val="70CF2D37"/>
    <w:rsid w:val="70D05418"/>
    <w:rsid w:val="70EA42D2"/>
    <w:rsid w:val="71112FCA"/>
    <w:rsid w:val="711215D0"/>
    <w:rsid w:val="713E0B62"/>
    <w:rsid w:val="71472971"/>
    <w:rsid w:val="714D7F9A"/>
    <w:rsid w:val="71B928B1"/>
    <w:rsid w:val="71C26373"/>
    <w:rsid w:val="71C808F6"/>
    <w:rsid w:val="71C93077"/>
    <w:rsid w:val="71CE4978"/>
    <w:rsid w:val="71D82519"/>
    <w:rsid w:val="71DC2558"/>
    <w:rsid w:val="71E540D6"/>
    <w:rsid w:val="7212597C"/>
    <w:rsid w:val="722062D2"/>
    <w:rsid w:val="72217E1D"/>
    <w:rsid w:val="72366F0C"/>
    <w:rsid w:val="723E44AD"/>
    <w:rsid w:val="724F6201"/>
    <w:rsid w:val="72561EFF"/>
    <w:rsid w:val="72655E48"/>
    <w:rsid w:val="72677130"/>
    <w:rsid w:val="726A1F50"/>
    <w:rsid w:val="72773229"/>
    <w:rsid w:val="72775392"/>
    <w:rsid w:val="728112BF"/>
    <w:rsid w:val="728F2427"/>
    <w:rsid w:val="729E4871"/>
    <w:rsid w:val="72AE1E36"/>
    <w:rsid w:val="72B64564"/>
    <w:rsid w:val="72B80379"/>
    <w:rsid w:val="72CA39E5"/>
    <w:rsid w:val="72D93D3B"/>
    <w:rsid w:val="72ED277C"/>
    <w:rsid w:val="72F00A9D"/>
    <w:rsid w:val="73015DA6"/>
    <w:rsid w:val="73023B75"/>
    <w:rsid w:val="73055044"/>
    <w:rsid w:val="730A1A5B"/>
    <w:rsid w:val="73287B8F"/>
    <w:rsid w:val="732B4B91"/>
    <w:rsid w:val="732C2094"/>
    <w:rsid w:val="733F47C7"/>
    <w:rsid w:val="734202ED"/>
    <w:rsid w:val="734663BC"/>
    <w:rsid w:val="734C106B"/>
    <w:rsid w:val="735031BA"/>
    <w:rsid w:val="73633828"/>
    <w:rsid w:val="736575E0"/>
    <w:rsid w:val="736B6F16"/>
    <w:rsid w:val="737F6801"/>
    <w:rsid w:val="738323C6"/>
    <w:rsid w:val="738A47AA"/>
    <w:rsid w:val="739108F9"/>
    <w:rsid w:val="739451EB"/>
    <w:rsid w:val="739F0E54"/>
    <w:rsid w:val="73A0411C"/>
    <w:rsid w:val="73AB2452"/>
    <w:rsid w:val="73B35ABB"/>
    <w:rsid w:val="73F87852"/>
    <w:rsid w:val="73FD2FC1"/>
    <w:rsid w:val="73FD4ADE"/>
    <w:rsid w:val="74024666"/>
    <w:rsid w:val="7416721A"/>
    <w:rsid w:val="74171931"/>
    <w:rsid w:val="74177B25"/>
    <w:rsid w:val="741E6741"/>
    <w:rsid w:val="74244607"/>
    <w:rsid w:val="742B69A0"/>
    <w:rsid w:val="742E0261"/>
    <w:rsid w:val="74333522"/>
    <w:rsid w:val="74372D48"/>
    <w:rsid w:val="74391444"/>
    <w:rsid w:val="743E65F9"/>
    <w:rsid w:val="7445717C"/>
    <w:rsid w:val="74466F2B"/>
    <w:rsid w:val="74491F31"/>
    <w:rsid w:val="744F171D"/>
    <w:rsid w:val="745021F5"/>
    <w:rsid w:val="74533513"/>
    <w:rsid w:val="74535404"/>
    <w:rsid w:val="74673E18"/>
    <w:rsid w:val="746D47F4"/>
    <w:rsid w:val="749563A2"/>
    <w:rsid w:val="74956A0F"/>
    <w:rsid w:val="74A853E7"/>
    <w:rsid w:val="74B95336"/>
    <w:rsid w:val="74BA1364"/>
    <w:rsid w:val="74BB3D26"/>
    <w:rsid w:val="74BD43B1"/>
    <w:rsid w:val="74C86BD0"/>
    <w:rsid w:val="74C921E0"/>
    <w:rsid w:val="74CD22B5"/>
    <w:rsid w:val="74D323BC"/>
    <w:rsid w:val="74D62A1E"/>
    <w:rsid w:val="74D71713"/>
    <w:rsid w:val="74EB5080"/>
    <w:rsid w:val="74F564C4"/>
    <w:rsid w:val="75035BDE"/>
    <w:rsid w:val="750D60A7"/>
    <w:rsid w:val="75114916"/>
    <w:rsid w:val="7520735C"/>
    <w:rsid w:val="75391DDD"/>
    <w:rsid w:val="75440167"/>
    <w:rsid w:val="75447AB2"/>
    <w:rsid w:val="755735EC"/>
    <w:rsid w:val="755C75B0"/>
    <w:rsid w:val="755F25FA"/>
    <w:rsid w:val="75650B94"/>
    <w:rsid w:val="757313C9"/>
    <w:rsid w:val="75783CEB"/>
    <w:rsid w:val="757B298F"/>
    <w:rsid w:val="757D0629"/>
    <w:rsid w:val="758370B9"/>
    <w:rsid w:val="75923D51"/>
    <w:rsid w:val="75944CF5"/>
    <w:rsid w:val="75986A99"/>
    <w:rsid w:val="759F4CB1"/>
    <w:rsid w:val="759F6598"/>
    <w:rsid w:val="75A76340"/>
    <w:rsid w:val="75B16635"/>
    <w:rsid w:val="75B42BD6"/>
    <w:rsid w:val="75F26E7D"/>
    <w:rsid w:val="75F904F8"/>
    <w:rsid w:val="75F94777"/>
    <w:rsid w:val="75FD4E95"/>
    <w:rsid w:val="76005090"/>
    <w:rsid w:val="76235643"/>
    <w:rsid w:val="76385AD7"/>
    <w:rsid w:val="76470621"/>
    <w:rsid w:val="765822A2"/>
    <w:rsid w:val="765F3711"/>
    <w:rsid w:val="766639A8"/>
    <w:rsid w:val="767A06FD"/>
    <w:rsid w:val="767D53A5"/>
    <w:rsid w:val="76896C37"/>
    <w:rsid w:val="76993978"/>
    <w:rsid w:val="76A00414"/>
    <w:rsid w:val="76A6519F"/>
    <w:rsid w:val="76D13130"/>
    <w:rsid w:val="76D22839"/>
    <w:rsid w:val="76EF4A72"/>
    <w:rsid w:val="76FE78E0"/>
    <w:rsid w:val="770025AA"/>
    <w:rsid w:val="770176E7"/>
    <w:rsid w:val="770D0E9F"/>
    <w:rsid w:val="771048BD"/>
    <w:rsid w:val="771228C4"/>
    <w:rsid w:val="77164976"/>
    <w:rsid w:val="771A06C8"/>
    <w:rsid w:val="7729489D"/>
    <w:rsid w:val="772A767C"/>
    <w:rsid w:val="772E78F0"/>
    <w:rsid w:val="77470A1A"/>
    <w:rsid w:val="77470F50"/>
    <w:rsid w:val="774C761D"/>
    <w:rsid w:val="774F026C"/>
    <w:rsid w:val="7759352B"/>
    <w:rsid w:val="775C7CE4"/>
    <w:rsid w:val="77603F02"/>
    <w:rsid w:val="7764302A"/>
    <w:rsid w:val="77721C6F"/>
    <w:rsid w:val="77775C78"/>
    <w:rsid w:val="77781EAC"/>
    <w:rsid w:val="777B4E78"/>
    <w:rsid w:val="777F0F07"/>
    <w:rsid w:val="77805BB8"/>
    <w:rsid w:val="77872F9C"/>
    <w:rsid w:val="77894E03"/>
    <w:rsid w:val="77C226DE"/>
    <w:rsid w:val="77C77C16"/>
    <w:rsid w:val="77D12740"/>
    <w:rsid w:val="77E61102"/>
    <w:rsid w:val="77F271EC"/>
    <w:rsid w:val="7800462C"/>
    <w:rsid w:val="7804754D"/>
    <w:rsid w:val="781903AE"/>
    <w:rsid w:val="781C4CA8"/>
    <w:rsid w:val="78243586"/>
    <w:rsid w:val="78406F0F"/>
    <w:rsid w:val="78530778"/>
    <w:rsid w:val="78531B08"/>
    <w:rsid w:val="786C5BB5"/>
    <w:rsid w:val="78814877"/>
    <w:rsid w:val="789711EE"/>
    <w:rsid w:val="789C3A3F"/>
    <w:rsid w:val="789C47A9"/>
    <w:rsid w:val="78A7182C"/>
    <w:rsid w:val="78A9089A"/>
    <w:rsid w:val="78C87B1F"/>
    <w:rsid w:val="78D054D4"/>
    <w:rsid w:val="78DC1534"/>
    <w:rsid w:val="78EA3C03"/>
    <w:rsid w:val="78EB04B7"/>
    <w:rsid w:val="790B1848"/>
    <w:rsid w:val="79156046"/>
    <w:rsid w:val="79164FD6"/>
    <w:rsid w:val="791F7F36"/>
    <w:rsid w:val="79592383"/>
    <w:rsid w:val="795E0495"/>
    <w:rsid w:val="79932D4B"/>
    <w:rsid w:val="799677A3"/>
    <w:rsid w:val="79A556EC"/>
    <w:rsid w:val="79AC5A1F"/>
    <w:rsid w:val="79C33C14"/>
    <w:rsid w:val="79C55092"/>
    <w:rsid w:val="79C93F31"/>
    <w:rsid w:val="79D24AE3"/>
    <w:rsid w:val="79DC3EBC"/>
    <w:rsid w:val="79DD2E89"/>
    <w:rsid w:val="79DE3A00"/>
    <w:rsid w:val="79E03DBF"/>
    <w:rsid w:val="79E37BAA"/>
    <w:rsid w:val="79F35881"/>
    <w:rsid w:val="79F4080F"/>
    <w:rsid w:val="79FE19B1"/>
    <w:rsid w:val="7A11298E"/>
    <w:rsid w:val="7A160DC0"/>
    <w:rsid w:val="7A20363E"/>
    <w:rsid w:val="7A2160A6"/>
    <w:rsid w:val="7A3732CB"/>
    <w:rsid w:val="7A381E62"/>
    <w:rsid w:val="7A4067A8"/>
    <w:rsid w:val="7A4D7CDB"/>
    <w:rsid w:val="7A4E61E4"/>
    <w:rsid w:val="7A596D7D"/>
    <w:rsid w:val="7A5A1B30"/>
    <w:rsid w:val="7A5E6931"/>
    <w:rsid w:val="7A6B28FB"/>
    <w:rsid w:val="7A864FB9"/>
    <w:rsid w:val="7A881C8E"/>
    <w:rsid w:val="7A9D4290"/>
    <w:rsid w:val="7AA777BA"/>
    <w:rsid w:val="7AB0138A"/>
    <w:rsid w:val="7AB912C0"/>
    <w:rsid w:val="7ACA6771"/>
    <w:rsid w:val="7AD52B38"/>
    <w:rsid w:val="7AD90319"/>
    <w:rsid w:val="7AE51452"/>
    <w:rsid w:val="7AE633A5"/>
    <w:rsid w:val="7AF04E33"/>
    <w:rsid w:val="7AF34F6F"/>
    <w:rsid w:val="7B0612FE"/>
    <w:rsid w:val="7B0831A0"/>
    <w:rsid w:val="7B142AA6"/>
    <w:rsid w:val="7B144329"/>
    <w:rsid w:val="7B1458B3"/>
    <w:rsid w:val="7B25405D"/>
    <w:rsid w:val="7B470D84"/>
    <w:rsid w:val="7B4A1D3E"/>
    <w:rsid w:val="7B4B7BA7"/>
    <w:rsid w:val="7B4E6D07"/>
    <w:rsid w:val="7B522969"/>
    <w:rsid w:val="7B5B1560"/>
    <w:rsid w:val="7B670F69"/>
    <w:rsid w:val="7B6849D9"/>
    <w:rsid w:val="7B71346B"/>
    <w:rsid w:val="7B7B1DE3"/>
    <w:rsid w:val="7B7D0C8A"/>
    <w:rsid w:val="7B8C22EB"/>
    <w:rsid w:val="7BB1799F"/>
    <w:rsid w:val="7BB32462"/>
    <w:rsid w:val="7BB637FC"/>
    <w:rsid w:val="7BB66E63"/>
    <w:rsid w:val="7BC374C4"/>
    <w:rsid w:val="7BCE56BB"/>
    <w:rsid w:val="7BD42798"/>
    <w:rsid w:val="7BD5666E"/>
    <w:rsid w:val="7BD82651"/>
    <w:rsid w:val="7BE07A29"/>
    <w:rsid w:val="7BE24249"/>
    <w:rsid w:val="7BF31EB0"/>
    <w:rsid w:val="7BF6424D"/>
    <w:rsid w:val="7C104548"/>
    <w:rsid w:val="7C2103C9"/>
    <w:rsid w:val="7C296CE6"/>
    <w:rsid w:val="7C3656A0"/>
    <w:rsid w:val="7C4A506E"/>
    <w:rsid w:val="7C5F652C"/>
    <w:rsid w:val="7C7A3E5D"/>
    <w:rsid w:val="7C8909C6"/>
    <w:rsid w:val="7C964EC5"/>
    <w:rsid w:val="7C9A4011"/>
    <w:rsid w:val="7C9C2F23"/>
    <w:rsid w:val="7C9D5F18"/>
    <w:rsid w:val="7CB30E25"/>
    <w:rsid w:val="7CBC3DAA"/>
    <w:rsid w:val="7CC22CA3"/>
    <w:rsid w:val="7CC75EB4"/>
    <w:rsid w:val="7CD9585C"/>
    <w:rsid w:val="7CE37910"/>
    <w:rsid w:val="7CE37A80"/>
    <w:rsid w:val="7CE57C44"/>
    <w:rsid w:val="7CFE48A5"/>
    <w:rsid w:val="7D01447D"/>
    <w:rsid w:val="7D0A2607"/>
    <w:rsid w:val="7D1B7C4A"/>
    <w:rsid w:val="7D1E52B8"/>
    <w:rsid w:val="7D2C1727"/>
    <w:rsid w:val="7D2C4A3C"/>
    <w:rsid w:val="7D4962A2"/>
    <w:rsid w:val="7D4B7827"/>
    <w:rsid w:val="7D4C0FC0"/>
    <w:rsid w:val="7D4C78F8"/>
    <w:rsid w:val="7D641B43"/>
    <w:rsid w:val="7D8918D8"/>
    <w:rsid w:val="7D8C5142"/>
    <w:rsid w:val="7D8C6C48"/>
    <w:rsid w:val="7D8D7E35"/>
    <w:rsid w:val="7D904838"/>
    <w:rsid w:val="7D9569D7"/>
    <w:rsid w:val="7D974166"/>
    <w:rsid w:val="7DA600CD"/>
    <w:rsid w:val="7DA77AE2"/>
    <w:rsid w:val="7DA815AF"/>
    <w:rsid w:val="7DB46F12"/>
    <w:rsid w:val="7DD071F5"/>
    <w:rsid w:val="7DD55E4F"/>
    <w:rsid w:val="7DE23A84"/>
    <w:rsid w:val="7DE9490A"/>
    <w:rsid w:val="7DEE389E"/>
    <w:rsid w:val="7DF907CD"/>
    <w:rsid w:val="7E03465D"/>
    <w:rsid w:val="7E095DD5"/>
    <w:rsid w:val="7E10306F"/>
    <w:rsid w:val="7E1D3F3A"/>
    <w:rsid w:val="7E1E310A"/>
    <w:rsid w:val="7E214C27"/>
    <w:rsid w:val="7E323447"/>
    <w:rsid w:val="7E3A1A25"/>
    <w:rsid w:val="7E3B2677"/>
    <w:rsid w:val="7E3C3599"/>
    <w:rsid w:val="7E535982"/>
    <w:rsid w:val="7E5A3C24"/>
    <w:rsid w:val="7E621E94"/>
    <w:rsid w:val="7E6602A1"/>
    <w:rsid w:val="7E6A0DEA"/>
    <w:rsid w:val="7E854FBC"/>
    <w:rsid w:val="7E8D5338"/>
    <w:rsid w:val="7E8D7EBD"/>
    <w:rsid w:val="7E98316A"/>
    <w:rsid w:val="7E9C7440"/>
    <w:rsid w:val="7EA4552F"/>
    <w:rsid w:val="7EAA2631"/>
    <w:rsid w:val="7EB25972"/>
    <w:rsid w:val="7EB4045F"/>
    <w:rsid w:val="7ECF07EA"/>
    <w:rsid w:val="7ED62438"/>
    <w:rsid w:val="7EDE75FE"/>
    <w:rsid w:val="7EE06722"/>
    <w:rsid w:val="7EE60D17"/>
    <w:rsid w:val="7EF309C4"/>
    <w:rsid w:val="7EF51591"/>
    <w:rsid w:val="7EFD0258"/>
    <w:rsid w:val="7F0A68BD"/>
    <w:rsid w:val="7F0F14C6"/>
    <w:rsid w:val="7F202CBB"/>
    <w:rsid w:val="7F2B0FBC"/>
    <w:rsid w:val="7F2B53FB"/>
    <w:rsid w:val="7F323C9E"/>
    <w:rsid w:val="7F3536BA"/>
    <w:rsid w:val="7F4F3264"/>
    <w:rsid w:val="7F5D2A23"/>
    <w:rsid w:val="7F657ABD"/>
    <w:rsid w:val="7F6A6DE0"/>
    <w:rsid w:val="7F767088"/>
    <w:rsid w:val="7F786180"/>
    <w:rsid w:val="7F85693B"/>
    <w:rsid w:val="7F8B7460"/>
    <w:rsid w:val="7F8D6E2B"/>
    <w:rsid w:val="7F8D79A5"/>
    <w:rsid w:val="7F8E1BF5"/>
    <w:rsid w:val="7FAF41D4"/>
    <w:rsid w:val="7FBF1220"/>
    <w:rsid w:val="7FC16A9F"/>
    <w:rsid w:val="7FCE7E6B"/>
    <w:rsid w:val="7FCF66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Times New Roman" w:eastAsia="宋体" w:cs="Times New Roman"/>
      <w:sz w:val="34"/>
      <w:lang w:val="en-US" w:eastAsia="zh-CN" w:bidi="ar-SA"/>
    </w:rPr>
  </w:style>
  <w:style w:type="paragraph" w:styleId="3">
    <w:name w:val="heading 1"/>
    <w:basedOn w:val="1"/>
    <w:next w:val="1"/>
    <w:link w:val="53"/>
    <w:qFormat/>
    <w:uiPriority w:val="0"/>
    <w:pPr>
      <w:keepNext/>
      <w:keepLines/>
      <w:numPr>
        <w:ilvl w:val="0"/>
        <w:numId w:val="1"/>
      </w:numPr>
      <w:tabs>
        <w:tab w:val="left" w:pos="425"/>
      </w:tabs>
      <w:spacing w:before="340" w:after="330" w:line="360" w:lineRule="auto"/>
      <w:jc w:val="center"/>
      <w:outlineLvl w:val="0"/>
    </w:pPr>
    <w:rPr>
      <w:rFonts w:ascii="华文中宋" w:hAnsi="华文中宋" w:eastAsia="华文中宋"/>
      <w:b/>
      <w:bCs/>
      <w:color w:val="000000"/>
      <w:kern w:val="44"/>
      <w:sz w:val="32"/>
      <w:szCs w:val="32"/>
    </w:rPr>
  </w:style>
  <w:style w:type="paragraph" w:styleId="4">
    <w:name w:val="heading 2"/>
    <w:basedOn w:val="1"/>
    <w:next w:val="1"/>
    <w:qFormat/>
    <w:uiPriority w:val="0"/>
    <w:pPr>
      <w:keepNext/>
      <w:keepLines/>
      <w:widowControl w:val="0"/>
      <w:tabs>
        <w:tab w:val="left" w:pos="720"/>
      </w:tabs>
      <w:spacing w:before="260" w:after="260" w:line="360" w:lineRule="auto"/>
      <w:jc w:val="center"/>
      <w:outlineLvl w:val="1"/>
    </w:pPr>
    <w:rPr>
      <w:rFonts w:hAnsi="宋体" w:cs="Arial"/>
      <w:b/>
      <w:bCs/>
      <w:iCs/>
      <w:sz w:val="28"/>
      <w:szCs w:val="28"/>
    </w:rPr>
  </w:style>
  <w:style w:type="paragraph" w:styleId="5">
    <w:name w:val="heading 3"/>
    <w:basedOn w:val="1"/>
    <w:next w:val="1"/>
    <w:link w:val="54"/>
    <w:qFormat/>
    <w:uiPriority w:val="0"/>
    <w:pPr>
      <w:keepNext/>
      <w:keepLines/>
      <w:widowControl w:val="0"/>
      <w:numPr>
        <w:ilvl w:val="2"/>
        <w:numId w:val="1"/>
      </w:numPr>
      <w:tabs>
        <w:tab w:val="left" w:pos="900"/>
        <w:tab w:val="clear" w:pos="5269"/>
      </w:tabs>
      <w:spacing w:before="260" w:after="260" w:line="360" w:lineRule="auto"/>
      <w:ind w:hanging="1249"/>
      <w:jc w:val="both"/>
      <w:outlineLvl w:val="2"/>
    </w:pPr>
    <w:rPr>
      <w:rFonts w:hAnsi="宋体"/>
      <w:b/>
      <w:bCs/>
      <w:kern w:val="2"/>
      <w:sz w:val="28"/>
      <w:szCs w:val="28"/>
    </w:rPr>
  </w:style>
  <w:style w:type="paragraph" w:styleId="6">
    <w:name w:val="heading 4"/>
    <w:basedOn w:val="1"/>
    <w:next w:val="1"/>
    <w:link w:val="55"/>
    <w:qFormat/>
    <w:uiPriority w:val="0"/>
    <w:pPr>
      <w:keepNext/>
      <w:spacing w:before="240" w:after="60"/>
      <w:outlineLvl w:val="3"/>
    </w:pPr>
    <w:rPr>
      <w:rFonts w:ascii="Times New Roman"/>
      <w:b/>
      <w:bCs/>
      <w:sz w:val="28"/>
      <w:szCs w:val="28"/>
    </w:rPr>
  </w:style>
  <w:style w:type="paragraph" w:styleId="7">
    <w:name w:val="heading 5"/>
    <w:basedOn w:val="1"/>
    <w:next w:val="1"/>
    <w:link w:val="56"/>
    <w:qFormat/>
    <w:uiPriority w:val="0"/>
    <w:pPr>
      <w:keepNext/>
      <w:keepLines/>
      <w:widowControl w:val="0"/>
      <w:numPr>
        <w:ilvl w:val="4"/>
        <w:numId w:val="1"/>
      </w:numPr>
      <w:autoSpaceDE w:val="0"/>
      <w:autoSpaceDN w:val="0"/>
      <w:adjustRightInd w:val="0"/>
      <w:spacing w:before="280" w:after="290" w:line="374" w:lineRule="auto"/>
      <w:jc w:val="both"/>
      <w:outlineLvl w:val="4"/>
    </w:pPr>
    <w:rPr>
      <w:rFonts w:ascii="Times New Roman"/>
      <w:b/>
      <w:bCs/>
      <w:sz w:val="28"/>
      <w:szCs w:val="28"/>
    </w:rPr>
  </w:style>
  <w:style w:type="paragraph" w:styleId="8">
    <w:name w:val="heading 6"/>
    <w:basedOn w:val="1"/>
    <w:next w:val="1"/>
    <w:qFormat/>
    <w:uiPriority w:val="0"/>
    <w:pPr>
      <w:keepNext/>
      <w:keepLines/>
      <w:widowControl w:val="0"/>
      <w:numPr>
        <w:ilvl w:val="5"/>
        <w:numId w:val="1"/>
      </w:numPr>
      <w:spacing w:before="240" w:after="64" w:line="319" w:lineRule="auto"/>
      <w:jc w:val="both"/>
      <w:outlineLvl w:val="5"/>
    </w:pPr>
    <w:rPr>
      <w:rFonts w:ascii="Arial" w:hAnsi="Arial" w:eastAsia="黑体"/>
      <w:b/>
      <w:bCs/>
      <w:kern w:val="2"/>
    </w:rPr>
  </w:style>
  <w:style w:type="paragraph" w:styleId="9">
    <w:name w:val="heading 7"/>
    <w:basedOn w:val="1"/>
    <w:next w:val="1"/>
    <w:qFormat/>
    <w:uiPriority w:val="0"/>
    <w:pPr>
      <w:keepNext/>
      <w:tabs>
        <w:tab w:val="left" w:pos="3600"/>
      </w:tabs>
      <w:spacing w:after="120"/>
      <w:outlineLvl w:val="6"/>
    </w:pPr>
    <w:rPr>
      <w:rFonts w:ascii="Arial Narrow" w:hAnsi="Arial Narrow"/>
      <w:b/>
      <w:sz w:val="20"/>
      <w:lang w:eastAsia="en-US"/>
    </w:rPr>
  </w:style>
  <w:style w:type="paragraph" w:styleId="10">
    <w:name w:val="heading 8"/>
    <w:basedOn w:val="1"/>
    <w:next w:val="1"/>
    <w:qFormat/>
    <w:uiPriority w:val="0"/>
    <w:pPr>
      <w:keepNext/>
      <w:keepLines/>
      <w:widowControl w:val="0"/>
      <w:spacing w:before="240" w:after="64" w:line="317" w:lineRule="auto"/>
      <w:jc w:val="both"/>
      <w:outlineLvl w:val="7"/>
    </w:pPr>
    <w:rPr>
      <w:rFonts w:ascii="Arial" w:hAnsi="Arial" w:eastAsia="黑体"/>
      <w:kern w:val="2"/>
    </w:rPr>
  </w:style>
  <w:style w:type="paragraph" w:styleId="11">
    <w:name w:val="heading 9"/>
    <w:basedOn w:val="1"/>
    <w:next w:val="1"/>
    <w:qFormat/>
    <w:uiPriority w:val="0"/>
    <w:pPr>
      <w:keepNext/>
      <w:keepLines/>
      <w:widowControl w:val="0"/>
      <w:spacing w:before="240" w:after="64" w:line="317" w:lineRule="auto"/>
      <w:jc w:val="both"/>
      <w:outlineLvl w:val="8"/>
    </w:pPr>
    <w:rPr>
      <w:rFonts w:ascii="Arial" w:hAnsi="Arial" w:eastAsia="黑体"/>
      <w:kern w:val="2"/>
      <w:sz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2"/>
    <w:qFormat/>
    <w:uiPriority w:val="0"/>
    <w:pPr>
      <w:spacing w:after="120"/>
    </w:pPr>
    <w:rPr>
      <w:rFonts w:ascii="Times New Roman"/>
      <w:sz w:val="24"/>
      <w:szCs w:val="24"/>
    </w:rPr>
  </w:style>
  <w:style w:type="paragraph" w:styleId="12">
    <w:name w:val="toc 7"/>
    <w:basedOn w:val="1"/>
    <w:next w:val="1"/>
    <w:qFormat/>
    <w:uiPriority w:val="0"/>
    <w:pPr>
      <w:widowControl w:val="0"/>
      <w:ind w:left="1080"/>
    </w:pPr>
    <w:rPr>
      <w:kern w:val="2"/>
      <w:sz w:val="18"/>
    </w:rPr>
  </w:style>
  <w:style w:type="paragraph" w:styleId="13">
    <w:name w:val="Normal Indent"/>
    <w:basedOn w:val="1"/>
    <w:link w:val="57"/>
    <w:qFormat/>
    <w:uiPriority w:val="0"/>
    <w:pPr>
      <w:widowControl w:val="0"/>
      <w:spacing w:line="360" w:lineRule="auto"/>
      <w:ind w:firstLine="420" w:firstLineChars="200"/>
      <w:jc w:val="both"/>
    </w:pPr>
    <w:rPr>
      <w:rFonts w:ascii="Times New Roman"/>
      <w:kern w:val="2"/>
      <w:sz w:val="21"/>
      <w:szCs w:val="24"/>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rPr>
  </w:style>
  <w:style w:type="paragraph" w:styleId="15">
    <w:name w:val="Document Map"/>
    <w:basedOn w:val="1"/>
    <w:link w:val="58"/>
    <w:qFormat/>
    <w:uiPriority w:val="0"/>
    <w:pPr>
      <w:shd w:val="clear" w:color="auto" w:fill="000080"/>
    </w:pPr>
    <w:rPr>
      <w:rFonts w:ascii="Times New Roman"/>
      <w:sz w:val="24"/>
      <w:szCs w:val="24"/>
    </w:rPr>
  </w:style>
  <w:style w:type="paragraph" w:styleId="16">
    <w:name w:val="annotation text"/>
    <w:basedOn w:val="1"/>
    <w:link w:val="59"/>
    <w:qFormat/>
    <w:uiPriority w:val="99"/>
    <w:pPr>
      <w:widowControl w:val="0"/>
    </w:pPr>
    <w:rPr>
      <w:rFonts w:ascii="Times New Roman"/>
      <w:kern w:val="2"/>
      <w:sz w:val="18"/>
    </w:rPr>
  </w:style>
  <w:style w:type="paragraph" w:styleId="17">
    <w:name w:val="Salutation"/>
    <w:basedOn w:val="1"/>
    <w:next w:val="1"/>
    <w:qFormat/>
    <w:uiPriority w:val="0"/>
    <w:pPr>
      <w:widowControl w:val="0"/>
      <w:jc w:val="both"/>
    </w:pPr>
    <w:rPr>
      <w:rFonts w:eastAsia="黑体"/>
      <w:kern w:val="2"/>
    </w:rPr>
  </w:style>
  <w:style w:type="paragraph" w:styleId="18">
    <w:name w:val="Body Text 3"/>
    <w:basedOn w:val="1"/>
    <w:qFormat/>
    <w:uiPriority w:val="0"/>
    <w:pPr>
      <w:spacing w:after="120"/>
    </w:pPr>
    <w:rPr>
      <w:sz w:val="16"/>
      <w:szCs w:val="16"/>
    </w:rPr>
  </w:style>
  <w:style w:type="paragraph" w:styleId="19">
    <w:name w:val="Body Text Indent"/>
    <w:basedOn w:val="1"/>
    <w:link w:val="60"/>
    <w:qFormat/>
    <w:uiPriority w:val="0"/>
    <w:pPr>
      <w:widowControl w:val="0"/>
      <w:autoSpaceDE w:val="0"/>
      <w:autoSpaceDN w:val="0"/>
      <w:adjustRightInd w:val="0"/>
      <w:spacing w:line="360" w:lineRule="auto"/>
      <w:ind w:firstLine="540" w:firstLineChars="180"/>
      <w:jc w:val="both"/>
    </w:pPr>
    <w:rPr>
      <w:sz w:val="30"/>
      <w:szCs w:val="24"/>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toc 5"/>
    <w:basedOn w:val="1"/>
    <w:next w:val="1"/>
    <w:qFormat/>
    <w:uiPriority w:val="0"/>
    <w:pPr>
      <w:widowControl w:val="0"/>
      <w:ind w:left="720"/>
    </w:pPr>
    <w:rPr>
      <w:kern w:val="2"/>
      <w:sz w:val="18"/>
    </w:rPr>
  </w:style>
  <w:style w:type="paragraph" w:styleId="22">
    <w:name w:val="toc 3"/>
    <w:basedOn w:val="1"/>
    <w:next w:val="1"/>
    <w:qFormat/>
    <w:uiPriority w:val="0"/>
    <w:pPr>
      <w:widowControl w:val="0"/>
      <w:ind w:left="360"/>
    </w:pPr>
    <w:rPr>
      <w:i/>
      <w:kern w:val="2"/>
      <w:sz w:val="20"/>
    </w:rPr>
  </w:style>
  <w:style w:type="paragraph" w:styleId="23">
    <w:name w:val="Plain Text"/>
    <w:basedOn w:val="1"/>
    <w:link w:val="61"/>
    <w:qFormat/>
    <w:uiPriority w:val="99"/>
    <w:pPr>
      <w:widowControl w:val="0"/>
      <w:autoSpaceDE w:val="0"/>
      <w:autoSpaceDN w:val="0"/>
      <w:adjustRightInd w:val="0"/>
      <w:jc w:val="both"/>
    </w:pPr>
    <w:rPr>
      <w:rFonts w:hint="eastAsia" w:hAnsi="Tms Rmn"/>
      <w:sz w:val="21"/>
    </w:rPr>
  </w:style>
  <w:style w:type="paragraph" w:styleId="24">
    <w:name w:val="toc 8"/>
    <w:basedOn w:val="1"/>
    <w:next w:val="1"/>
    <w:qFormat/>
    <w:uiPriority w:val="0"/>
    <w:pPr>
      <w:widowControl w:val="0"/>
      <w:ind w:left="1260"/>
    </w:pPr>
    <w:rPr>
      <w:kern w:val="2"/>
      <w:sz w:val="18"/>
    </w:rPr>
  </w:style>
  <w:style w:type="paragraph" w:styleId="25">
    <w:name w:val="Date"/>
    <w:basedOn w:val="1"/>
    <w:next w:val="1"/>
    <w:link w:val="62"/>
    <w:qFormat/>
    <w:uiPriority w:val="0"/>
    <w:pPr>
      <w:ind w:left="100" w:leftChars="2500"/>
    </w:pPr>
    <w:rPr>
      <w:rFonts w:ascii="Times New Roman"/>
      <w:sz w:val="24"/>
      <w:szCs w:val="24"/>
    </w:rPr>
  </w:style>
  <w:style w:type="paragraph" w:styleId="26">
    <w:name w:val="Body Text Indent 2"/>
    <w:basedOn w:val="1"/>
    <w:qFormat/>
    <w:uiPriority w:val="0"/>
    <w:pPr>
      <w:widowControl w:val="0"/>
      <w:ind w:firstLine="540" w:firstLineChars="257"/>
      <w:jc w:val="both"/>
    </w:pPr>
    <w:rPr>
      <w:kern w:val="2"/>
      <w:sz w:val="21"/>
    </w:rPr>
  </w:style>
  <w:style w:type="paragraph" w:styleId="27">
    <w:name w:val="Balloon Text"/>
    <w:basedOn w:val="1"/>
    <w:qFormat/>
    <w:uiPriority w:val="0"/>
    <w:rPr>
      <w:sz w:val="18"/>
      <w:szCs w:val="18"/>
    </w:rPr>
  </w:style>
  <w:style w:type="paragraph" w:styleId="28">
    <w:name w:val="footer"/>
    <w:basedOn w:val="1"/>
    <w:qFormat/>
    <w:uiPriority w:val="0"/>
    <w:pPr>
      <w:tabs>
        <w:tab w:val="center" w:pos="4153"/>
        <w:tab w:val="right" w:pos="8306"/>
      </w:tabs>
      <w:snapToGrid w:val="0"/>
    </w:pPr>
    <w:rPr>
      <w:sz w:val="18"/>
      <w:szCs w:val="18"/>
    </w:rPr>
  </w:style>
  <w:style w:type="paragraph" w:styleId="29">
    <w:name w:val="header"/>
    <w:basedOn w:val="1"/>
    <w:link w:val="63"/>
    <w:qFormat/>
    <w:uiPriority w:val="0"/>
    <w:pPr>
      <w:pBdr>
        <w:bottom w:val="single" w:color="auto" w:sz="6" w:space="1"/>
      </w:pBdr>
      <w:tabs>
        <w:tab w:val="center" w:pos="4153"/>
        <w:tab w:val="right" w:pos="8306"/>
      </w:tabs>
      <w:snapToGrid w:val="0"/>
      <w:jc w:val="center"/>
    </w:pPr>
    <w:rPr>
      <w:rFonts w:ascii="Times New Roman"/>
      <w:sz w:val="18"/>
      <w:szCs w:val="18"/>
    </w:rPr>
  </w:style>
  <w:style w:type="paragraph" w:styleId="30">
    <w:name w:val="toc 1"/>
    <w:basedOn w:val="1"/>
    <w:next w:val="1"/>
    <w:qFormat/>
    <w:uiPriority w:val="39"/>
    <w:pPr>
      <w:spacing w:before="120" w:after="120"/>
    </w:pPr>
    <w:rPr>
      <w:b/>
      <w:bCs/>
      <w:caps/>
    </w:rPr>
  </w:style>
  <w:style w:type="paragraph" w:styleId="31">
    <w:name w:val="toc 4"/>
    <w:basedOn w:val="1"/>
    <w:next w:val="1"/>
    <w:qFormat/>
    <w:uiPriority w:val="0"/>
    <w:pPr>
      <w:widowControl w:val="0"/>
      <w:ind w:left="540"/>
    </w:pPr>
    <w:rPr>
      <w:kern w:val="2"/>
      <w:sz w:val="18"/>
    </w:rPr>
  </w:style>
  <w:style w:type="paragraph" w:styleId="32">
    <w:name w:val="Subtitle"/>
    <w:basedOn w:val="1"/>
    <w:next w:val="1"/>
    <w:qFormat/>
    <w:uiPriority w:val="0"/>
    <w:pPr>
      <w:widowControl w:val="0"/>
      <w:jc w:val="both"/>
    </w:pPr>
    <w:rPr>
      <w:kern w:val="2"/>
      <w:sz w:val="28"/>
    </w:rPr>
  </w:style>
  <w:style w:type="paragraph" w:styleId="33">
    <w:name w:val="toc 6"/>
    <w:basedOn w:val="1"/>
    <w:next w:val="1"/>
    <w:qFormat/>
    <w:uiPriority w:val="0"/>
    <w:pPr>
      <w:ind w:left="1200"/>
    </w:pPr>
    <w:rPr>
      <w:sz w:val="18"/>
      <w:szCs w:val="18"/>
    </w:rPr>
  </w:style>
  <w:style w:type="paragraph" w:styleId="34">
    <w:name w:val="Body Text Indent 3"/>
    <w:basedOn w:val="1"/>
    <w:qFormat/>
    <w:uiPriority w:val="0"/>
    <w:pPr>
      <w:widowControl w:val="0"/>
      <w:spacing w:after="120"/>
      <w:ind w:left="420" w:leftChars="200"/>
      <w:jc w:val="both"/>
    </w:pPr>
    <w:rPr>
      <w:kern w:val="2"/>
      <w:sz w:val="16"/>
      <w:szCs w:val="16"/>
    </w:rPr>
  </w:style>
  <w:style w:type="paragraph" w:styleId="35">
    <w:name w:val="toc 2"/>
    <w:basedOn w:val="1"/>
    <w:next w:val="1"/>
    <w:qFormat/>
    <w:uiPriority w:val="0"/>
    <w:pPr>
      <w:ind w:left="240"/>
    </w:pPr>
    <w:rPr>
      <w:smallCaps/>
    </w:rPr>
  </w:style>
  <w:style w:type="paragraph" w:styleId="36">
    <w:name w:val="toc 9"/>
    <w:basedOn w:val="1"/>
    <w:next w:val="1"/>
    <w:qFormat/>
    <w:uiPriority w:val="0"/>
    <w:pPr>
      <w:widowControl w:val="0"/>
      <w:ind w:left="1440"/>
    </w:pPr>
    <w:rPr>
      <w:kern w:val="2"/>
      <w:sz w:val="18"/>
    </w:rPr>
  </w:style>
  <w:style w:type="paragraph" w:styleId="37">
    <w:name w:val="Body Text 2"/>
    <w:basedOn w:val="1"/>
    <w:qFormat/>
    <w:uiPriority w:val="0"/>
    <w:pPr>
      <w:widowControl w:val="0"/>
      <w:autoSpaceDE w:val="0"/>
      <w:autoSpaceDN w:val="0"/>
      <w:adjustRightInd w:val="0"/>
      <w:spacing w:after="120" w:line="480" w:lineRule="auto"/>
      <w:jc w:val="both"/>
    </w:pPr>
    <w:rPr>
      <w:sz w:val="21"/>
      <w:szCs w:val="21"/>
    </w:rPr>
  </w:style>
  <w:style w:type="paragraph" w:styleId="3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eastAsia="Arial Unicode MS" w:cs="Arial Unicode MS"/>
      <w:sz w:val="20"/>
    </w:rPr>
  </w:style>
  <w:style w:type="paragraph" w:styleId="39">
    <w:name w:val="Normal (Web)"/>
    <w:basedOn w:val="1"/>
    <w:qFormat/>
    <w:uiPriority w:val="0"/>
    <w:pPr>
      <w:spacing w:before="100" w:beforeAutospacing="1" w:after="100" w:afterAutospacing="1"/>
    </w:pPr>
    <w:rPr>
      <w:rFonts w:hAnsi="宋体"/>
    </w:rPr>
  </w:style>
  <w:style w:type="paragraph" w:styleId="40">
    <w:name w:val="Title"/>
    <w:basedOn w:val="1"/>
    <w:next w:val="1"/>
    <w:link w:val="64"/>
    <w:qFormat/>
    <w:uiPriority w:val="0"/>
    <w:pPr>
      <w:widowControl w:val="0"/>
      <w:spacing w:before="240" w:after="60"/>
      <w:jc w:val="center"/>
      <w:outlineLvl w:val="0"/>
    </w:pPr>
    <w:rPr>
      <w:rFonts w:ascii="Cambria" w:hAnsi="Cambria"/>
      <w:b/>
      <w:bCs/>
      <w:kern w:val="2"/>
      <w:sz w:val="32"/>
      <w:szCs w:val="32"/>
    </w:rPr>
  </w:style>
  <w:style w:type="paragraph" w:styleId="41">
    <w:name w:val="annotation subject"/>
    <w:basedOn w:val="16"/>
    <w:next w:val="16"/>
    <w:qFormat/>
    <w:uiPriority w:val="0"/>
    <w:rPr>
      <w:b/>
    </w:rPr>
  </w:style>
  <w:style w:type="paragraph" w:styleId="42">
    <w:name w:val="Body Text First Indent"/>
    <w:basedOn w:val="2"/>
    <w:qFormat/>
    <w:uiPriority w:val="0"/>
    <w:pPr>
      <w:widowControl w:val="0"/>
      <w:ind w:firstLine="420" w:firstLineChars="100"/>
      <w:jc w:val="both"/>
    </w:pPr>
    <w:rPr>
      <w:rFonts w:ascii="宋体" w:hAnsi="宋体"/>
      <w:kern w:val="2"/>
      <w:sz w:val="21"/>
      <w:szCs w:val="20"/>
    </w:rPr>
  </w:style>
  <w:style w:type="paragraph" w:styleId="43">
    <w:name w:val="Body Text First Indent 2"/>
    <w:basedOn w:val="19"/>
    <w:qFormat/>
    <w:uiPriority w:val="0"/>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Hyperlink"/>
    <w:qFormat/>
    <w:uiPriority w:val="99"/>
    <w:rPr>
      <w:color w:val="0000FF"/>
      <w:u w:val="single"/>
    </w:rPr>
  </w:style>
  <w:style w:type="character" w:styleId="51">
    <w:name w:val="annotation reference"/>
    <w:basedOn w:val="46"/>
    <w:qFormat/>
    <w:uiPriority w:val="0"/>
    <w:rPr>
      <w:sz w:val="21"/>
    </w:rPr>
  </w:style>
  <w:style w:type="character" w:customStyle="1" w:styleId="52">
    <w:name w:val="正文文本 Char"/>
    <w:link w:val="2"/>
    <w:qFormat/>
    <w:uiPriority w:val="0"/>
    <w:rPr>
      <w:sz w:val="24"/>
      <w:szCs w:val="24"/>
    </w:rPr>
  </w:style>
  <w:style w:type="character" w:customStyle="1" w:styleId="53">
    <w:name w:val="标题 1 Char"/>
    <w:link w:val="3"/>
    <w:qFormat/>
    <w:uiPriority w:val="0"/>
    <w:rPr>
      <w:rFonts w:ascii="华文中宋" w:hAnsi="华文中宋" w:eastAsia="华文中宋"/>
      <w:b/>
      <w:bCs/>
      <w:color w:val="000000"/>
      <w:kern w:val="44"/>
      <w:sz w:val="32"/>
      <w:szCs w:val="32"/>
    </w:rPr>
  </w:style>
  <w:style w:type="character" w:customStyle="1" w:styleId="54">
    <w:name w:val="标题 3 Char"/>
    <w:link w:val="5"/>
    <w:qFormat/>
    <w:uiPriority w:val="0"/>
    <w:rPr>
      <w:rFonts w:ascii="宋体" w:hAnsi="宋体" w:eastAsia="宋体"/>
      <w:b/>
      <w:bCs/>
      <w:kern w:val="2"/>
      <w:sz w:val="28"/>
      <w:szCs w:val="28"/>
      <w:lang w:val="en-US" w:eastAsia="zh-CN" w:bidi="ar-SA"/>
    </w:rPr>
  </w:style>
  <w:style w:type="character" w:customStyle="1" w:styleId="55">
    <w:name w:val="标题 4 Char"/>
    <w:link w:val="6"/>
    <w:qFormat/>
    <w:uiPriority w:val="0"/>
    <w:rPr>
      <w:rFonts w:eastAsia="宋体"/>
      <w:b/>
      <w:bCs/>
      <w:sz w:val="28"/>
      <w:szCs w:val="28"/>
      <w:lang w:val="en-US" w:eastAsia="zh-CN" w:bidi="ar-SA"/>
    </w:rPr>
  </w:style>
  <w:style w:type="character" w:customStyle="1" w:styleId="56">
    <w:name w:val="标题 5 Char"/>
    <w:link w:val="7"/>
    <w:qFormat/>
    <w:uiPriority w:val="0"/>
    <w:rPr>
      <w:rFonts w:eastAsia="宋体"/>
      <w:b/>
      <w:bCs/>
      <w:sz w:val="28"/>
      <w:szCs w:val="28"/>
      <w:lang w:val="en-US" w:eastAsia="zh-CN" w:bidi="ar-SA"/>
    </w:rPr>
  </w:style>
  <w:style w:type="character" w:customStyle="1" w:styleId="57">
    <w:name w:val="正文缩进 Char"/>
    <w:link w:val="13"/>
    <w:qFormat/>
    <w:uiPriority w:val="0"/>
    <w:rPr>
      <w:rFonts w:eastAsia="宋体"/>
      <w:kern w:val="2"/>
      <w:sz w:val="21"/>
      <w:szCs w:val="24"/>
      <w:lang w:val="en-US" w:eastAsia="zh-CN" w:bidi="ar-SA"/>
    </w:rPr>
  </w:style>
  <w:style w:type="character" w:customStyle="1" w:styleId="58">
    <w:name w:val="文档结构图 Char"/>
    <w:link w:val="15"/>
    <w:qFormat/>
    <w:uiPriority w:val="0"/>
    <w:rPr>
      <w:sz w:val="24"/>
      <w:szCs w:val="24"/>
      <w:shd w:val="clear" w:color="auto" w:fill="000080"/>
    </w:rPr>
  </w:style>
  <w:style w:type="character" w:customStyle="1" w:styleId="59">
    <w:name w:val="批注文字 Char"/>
    <w:link w:val="16"/>
    <w:qFormat/>
    <w:uiPriority w:val="99"/>
    <w:rPr>
      <w:kern w:val="2"/>
      <w:sz w:val="18"/>
    </w:rPr>
  </w:style>
  <w:style w:type="character" w:customStyle="1" w:styleId="60">
    <w:name w:val="正文文本缩进 Char"/>
    <w:link w:val="19"/>
    <w:qFormat/>
    <w:uiPriority w:val="0"/>
    <w:rPr>
      <w:rFonts w:ascii="宋体" w:eastAsia="宋体"/>
      <w:sz w:val="30"/>
      <w:szCs w:val="24"/>
      <w:lang w:val="en-US" w:eastAsia="zh-CN" w:bidi="ar-SA"/>
    </w:rPr>
  </w:style>
  <w:style w:type="character" w:customStyle="1" w:styleId="61">
    <w:name w:val="纯文本 Char1"/>
    <w:link w:val="23"/>
    <w:unhideWhenUsed/>
    <w:qFormat/>
    <w:uiPriority w:val="99"/>
    <w:rPr>
      <w:rFonts w:hint="eastAsia" w:ascii="宋体" w:hAnsi="Tms Rmn" w:eastAsia="宋体"/>
      <w:sz w:val="21"/>
      <w:lang w:val="en-US" w:eastAsia="zh-CN"/>
    </w:rPr>
  </w:style>
  <w:style w:type="character" w:customStyle="1" w:styleId="62">
    <w:name w:val="日期 Char"/>
    <w:link w:val="25"/>
    <w:qFormat/>
    <w:uiPriority w:val="0"/>
    <w:rPr>
      <w:rFonts w:eastAsia="宋体"/>
      <w:sz w:val="24"/>
      <w:szCs w:val="24"/>
      <w:lang w:val="en-US" w:eastAsia="zh-CN" w:bidi="ar-SA"/>
    </w:rPr>
  </w:style>
  <w:style w:type="character" w:customStyle="1" w:styleId="63">
    <w:name w:val="页眉 Char"/>
    <w:link w:val="29"/>
    <w:qFormat/>
    <w:uiPriority w:val="0"/>
    <w:rPr>
      <w:rFonts w:eastAsia="宋体"/>
      <w:sz w:val="18"/>
      <w:szCs w:val="18"/>
      <w:lang w:val="en-US" w:eastAsia="zh-CN" w:bidi="ar-SA"/>
    </w:rPr>
  </w:style>
  <w:style w:type="character" w:customStyle="1" w:styleId="64">
    <w:name w:val="标题 Char"/>
    <w:link w:val="40"/>
    <w:qFormat/>
    <w:uiPriority w:val="0"/>
    <w:rPr>
      <w:rFonts w:ascii="Cambria" w:hAnsi="Cambria"/>
      <w:b/>
      <w:bCs/>
      <w:kern w:val="2"/>
      <w:sz w:val="32"/>
      <w:szCs w:val="32"/>
    </w:rPr>
  </w:style>
  <w:style w:type="character" w:customStyle="1" w:styleId="65">
    <w:name w:val="标题 3 Char Char Char"/>
    <w:qFormat/>
    <w:uiPriority w:val="0"/>
    <w:rPr>
      <w:rFonts w:eastAsia="宋体"/>
      <w:b/>
      <w:kern w:val="2"/>
      <w:sz w:val="32"/>
      <w:lang w:val="en-US" w:eastAsia="zh-CN" w:bidi="ar-SA"/>
    </w:rPr>
  </w:style>
  <w:style w:type="character" w:customStyle="1" w:styleId="66">
    <w:name w:val="magic-list1"/>
    <w:qFormat/>
    <w:uiPriority w:val="0"/>
    <w:rPr>
      <w:rFonts w:hint="default" w:ascii="ˎ̥" w:hAnsi="ˎ̥"/>
      <w:color w:val="000000"/>
      <w:sz w:val="20"/>
      <w:u w:val="none"/>
    </w:rPr>
  </w:style>
  <w:style w:type="character" w:customStyle="1" w:styleId="67">
    <w:name w:val="纯文本 Char Char"/>
    <w:qFormat/>
    <w:uiPriority w:val="0"/>
    <w:rPr>
      <w:rFonts w:ascii="宋体" w:hAnsi="Courier New" w:eastAsia="宋体"/>
      <w:kern w:val="2"/>
      <w:sz w:val="21"/>
      <w:lang w:val="en-US" w:eastAsia="zh-CN" w:bidi="ar-SA"/>
    </w:rPr>
  </w:style>
  <w:style w:type="character" w:customStyle="1" w:styleId="68">
    <w:name w:val="textnormchn1"/>
    <w:basedOn w:val="46"/>
    <w:qFormat/>
    <w:uiPriority w:val="0"/>
  </w:style>
  <w:style w:type="character" w:customStyle="1" w:styleId="69">
    <w:name w:val="正文首行缩进两字符 Char Char"/>
    <w:qFormat/>
    <w:uiPriority w:val="0"/>
    <w:rPr>
      <w:rFonts w:eastAsia="宋体"/>
      <w:kern w:val="2"/>
      <w:sz w:val="21"/>
      <w:szCs w:val="24"/>
      <w:lang w:val="en-US" w:eastAsia="zh-CN" w:bidi="ar-SA"/>
    </w:rPr>
  </w:style>
  <w:style w:type="character" w:customStyle="1" w:styleId="70">
    <w:name w:val="unnamed31"/>
    <w:qFormat/>
    <w:uiPriority w:val="0"/>
    <w:rPr>
      <w:sz w:val="22"/>
      <w:szCs w:val="22"/>
    </w:rPr>
  </w:style>
  <w:style w:type="character" w:customStyle="1" w:styleId="71">
    <w:name w:val="Char1 Char Char1"/>
    <w:qFormat/>
    <w:uiPriority w:val="0"/>
    <w:rPr>
      <w:rFonts w:ascii="宋体" w:hAnsi="Courier New" w:eastAsia="宋体"/>
      <w:kern w:val="2"/>
      <w:sz w:val="24"/>
      <w:lang w:val="en-US" w:eastAsia="zh-CN" w:bidi="ar-SA"/>
    </w:rPr>
  </w:style>
  <w:style w:type="character" w:customStyle="1" w:styleId="72">
    <w:name w:val="style31"/>
    <w:qFormat/>
    <w:uiPriority w:val="0"/>
    <w:rPr>
      <w:rFonts w:hint="default" w:ascii="Arial" w:hAnsi="Arial" w:cs="Arial"/>
      <w:b/>
      <w:bCs/>
      <w:sz w:val="21"/>
      <w:szCs w:val="21"/>
    </w:rPr>
  </w:style>
  <w:style w:type="character" w:customStyle="1" w:styleId="73">
    <w:name w:val="huei12b"/>
    <w:basedOn w:val="46"/>
    <w:qFormat/>
    <w:uiPriority w:val="0"/>
  </w:style>
  <w:style w:type="character" w:customStyle="1" w:styleId="74">
    <w:name w:val="标书（正文） Char Char"/>
    <w:link w:val="75"/>
    <w:qFormat/>
    <w:uiPriority w:val="0"/>
    <w:rPr>
      <w:rFonts w:ascii="宋体" w:hAnsi="宋体" w:eastAsia="宋体"/>
      <w:b/>
      <w:kern w:val="10"/>
      <w:sz w:val="21"/>
      <w:lang w:val="en-US" w:eastAsia="zh-CN" w:bidi="ar-SA"/>
    </w:rPr>
  </w:style>
  <w:style w:type="paragraph" w:customStyle="1" w:styleId="75">
    <w:name w:val="标书（正文）"/>
    <w:basedOn w:val="1"/>
    <w:link w:val="74"/>
    <w:qFormat/>
    <w:uiPriority w:val="0"/>
    <w:pPr>
      <w:widowControl w:val="0"/>
      <w:spacing w:line="360" w:lineRule="auto"/>
      <w:ind w:firstLine="560" w:firstLineChars="200"/>
      <w:jc w:val="both"/>
    </w:pPr>
    <w:rPr>
      <w:rFonts w:hAnsi="宋体"/>
      <w:b/>
      <w:kern w:val="10"/>
      <w:sz w:val="21"/>
    </w:rPr>
  </w:style>
  <w:style w:type="character" w:customStyle="1" w:styleId="76">
    <w:name w:val="Char Char4"/>
    <w:qFormat/>
    <w:uiPriority w:val="0"/>
    <w:rPr>
      <w:rFonts w:ascii="宋体" w:hAnsi="Courier New" w:eastAsia="宋体"/>
      <w:kern w:val="2"/>
      <w:sz w:val="21"/>
      <w:lang w:val="en-US" w:eastAsia="zh-CN"/>
    </w:rPr>
  </w:style>
  <w:style w:type="character" w:customStyle="1" w:styleId="77">
    <w:name w:val="fontstyle01"/>
    <w:basedOn w:val="46"/>
    <w:qFormat/>
    <w:uiPriority w:val="0"/>
    <w:rPr>
      <w:rFonts w:ascii="宋体" w:hAnsi="宋体" w:eastAsia="宋体" w:cs="宋体"/>
      <w:color w:val="000000"/>
      <w:sz w:val="22"/>
      <w:szCs w:val="22"/>
    </w:rPr>
  </w:style>
  <w:style w:type="character" w:customStyle="1" w:styleId="78">
    <w:name w:val="keyword"/>
    <w:basedOn w:val="46"/>
    <w:qFormat/>
    <w:uiPriority w:val="0"/>
  </w:style>
  <w:style w:type="character" w:customStyle="1" w:styleId="79">
    <w:name w:val="fontblank12"/>
    <w:basedOn w:val="46"/>
    <w:qFormat/>
    <w:uiPriority w:val="0"/>
  </w:style>
  <w:style w:type="character" w:customStyle="1" w:styleId="80">
    <w:name w:val="font111"/>
    <w:qFormat/>
    <w:uiPriority w:val="0"/>
    <w:rPr>
      <w:rFonts w:hint="default" w:ascii="Eʩ" w:hAnsi="Eʩ" w:eastAsia="Eʩ" w:cs="Eʩ"/>
      <w:color w:val="000000"/>
      <w:sz w:val="21"/>
      <w:szCs w:val="21"/>
      <w:u w:val="single"/>
    </w:rPr>
  </w:style>
  <w:style w:type="character" w:customStyle="1" w:styleId="81">
    <w:name w:val="h Char"/>
    <w:qFormat/>
    <w:uiPriority w:val="0"/>
    <w:rPr>
      <w:rFonts w:eastAsia="仿宋_GB2312"/>
      <w:kern w:val="2"/>
      <w:sz w:val="18"/>
      <w:szCs w:val="18"/>
      <w:lang w:val="en-US" w:eastAsia="zh-CN" w:bidi="ar-SA"/>
    </w:rPr>
  </w:style>
  <w:style w:type="character" w:customStyle="1" w:styleId="82">
    <w:name w:val="纯文本 Char"/>
    <w:qFormat/>
    <w:uiPriority w:val="0"/>
    <w:rPr>
      <w:rFonts w:ascii="宋体" w:hAnsi="Tms Rmn" w:eastAsia="宋体" w:cs="宋体"/>
      <w:sz w:val="21"/>
      <w:szCs w:val="21"/>
      <w:lang w:val="en-US" w:eastAsia="zh-CN" w:bidi="ar-SA"/>
    </w:rPr>
  </w:style>
  <w:style w:type="character" w:customStyle="1" w:styleId="83">
    <w:name w:val="font01"/>
    <w:qFormat/>
    <w:uiPriority w:val="0"/>
    <w:rPr>
      <w:rFonts w:hint="eastAsia" w:ascii="宋体" w:hAnsi="宋体" w:eastAsia="宋体" w:cs="宋体"/>
      <w:color w:val="FF0000"/>
      <w:sz w:val="21"/>
      <w:szCs w:val="21"/>
      <w:u w:val="none"/>
    </w:rPr>
  </w:style>
  <w:style w:type="character" w:customStyle="1" w:styleId="84">
    <w:name w:val="表正文 Char2"/>
    <w:qFormat/>
    <w:uiPriority w:val="0"/>
    <w:rPr>
      <w:rFonts w:eastAsia="宋体"/>
      <w:kern w:val="2"/>
      <w:sz w:val="21"/>
      <w:lang w:val="en-US" w:eastAsia="zh-CN" w:bidi="ar-SA"/>
    </w:rPr>
  </w:style>
  <w:style w:type="character" w:customStyle="1" w:styleId="85">
    <w:name w:val="批注引用1"/>
    <w:qFormat/>
    <w:uiPriority w:val="0"/>
    <w:rPr>
      <w:sz w:val="21"/>
      <w:szCs w:val="21"/>
    </w:rPr>
  </w:style>
  <w:style w:type="character" w:customStyle="1" w:styleId="86">
    <w:name w:val="H4 Char"/>
    <w:qFormat/>
    <w:uiPriority w:val="0"/>
    <w:rPr>
      <w:rFonts w:ascii="Arial" w:hAnsi="Arial" w:eastAsia="宋体"/>
      <w:b/>
      <w:kern w:val="2"/>
      <w:sz w:val="28"/>
      <w:lang w:val="en-US" w:eastAsia="zh-CN"/>
    </w:rPr>
  </w:style>
  <w:style w:type="character" w:customStyle="1" w:styleId="87">
    <w:name w:val="ca-111"/>
    <w:qFormat/>
    <w:uiPriority w:val="0"/>
    <w:rPr>
      <w:rFonts w:hint="eastAsia" w:ascii="宋体" w:hAnsi="宋体" w:eastAsia="宋体"/>
      <w:color w:val="000000"/>
      <w:sz w:val="24"/>
      <w:szCs w:val="24"/>
    </w:rPr>
  </w:style>
  <w:style w:type="character" w:customStyle="1" w:styleId="88">
    <w:name w:val="标题 2 Char"/>
    <w:qFormat/>
    <w:uiPriority w:val="0"/>
    <w:rPr>
      <w:rFonts w:ascii="Arial" w:hAnsi="Arial"/>
      <w:b/>
      <w:sz w:val="28"/>
    </w:rPr>
  </w:style>
  <w:style w:type="character" w:customStyle="1" w:styleId="89">
    <w:name w:val="font101"/>
    <w:qFormat/>
    <w:uiPriority w:val="0"/>
    <w:rPr>
      <w:rFonts w:hint="eastAsia" w:ascii="宋体" w:hAnsi="宋体" w:eastAsia="宋体" w:cs="宋体"/>
      <w:color w:val="000000"/>
      <w:sz w:val="21"/>
      <w:szCs w:val="21"/>
      <w:u w:val="single"/>
    </w:rPr>
  </w:style>
  <w:style w:type="character" w:customStyle="1" w:styleId="90">
    <w:name w:val="param_td12"/>
    <w:basedOn w:val="46"/>
    <w:qFormat/>
    <w:uiPriority w:val="0"/>
  </w:style>
  <w:style w:type="character" w:customStyle="1" w:styleId="91">
    <w:name w:val="font91"/>
    <w:qFormat/>
    <w:uiPriority w:val="0"/>
    <w:rPr>
      <w:rFonts w:hint="eastAsia" w:ascii="宋体" w:hAnsi="宋体" w:eastAsia="宋体" w:cs="宋体"/>
      <w:color w:val="FF0000"/>
      <w:sz w:val="21"/>
      <w:szCs w:val="21"/>
      <w:u w:val="single"/>
    </w:rPr>
  </w:style>
  <w:style w:type="character" w:customStyle="1" w:styleId="92">
    <w:name w:val="headline-content2"/>
    <w:basedOn w:val="46"/>
    <w:qFormat/>
    <w:uiPriority w:val="0"/>
  </w:style>
  <w:style w:type="character" w:customStyle="1" w:styleId="93">
    <w:name w:val="productdetailname"/>
    <w:basedOn w:val="46"/>
    <w:qFormat/>
    <w:uiPriority w:val="0"/>
  </w:style>
  <w:style w:type="character" w:customStyle="1" w:styleId="94">
    <w:name w:val="textnorm_chn1"/>
    <w:qFormat/>
    <w:uiPriority w:val="0"/>
    <w:rPr>
      <w:rFonts w:hint="default" w:ascii="Arial" w:hAnsi="Arial" w:cs="Arial"/>
      <w:color w:val="21254A"/>
      <w:sz w:val="22"/>
      <w:szCs w:val="22"/>
    </w:rPr>
  </w:style>
  <w:style w:type="character" w:customStyle="1" w:styleId="95">
    <w:name w:val="grame"/>
    <w:basedOn w:val="46"/>
    <w:qFormat/>
    <w:uiPriority w:val="0"/>
  </w:style>
  <w:style w:type="character" w:customStyle="1" w:styleId="96">
    <w:name w:val="CD正文 Char Char"/>
    <w:link w:val="97"/>
    <w:qFormat/>
    <w:uiPriority w:val="0"/>
    <w:rPr>
      <w:rFonts w:eastAsia="宋体"/>
      <w:kern w:val="2"/>
      <w:sz w:val="30"/>
      <w:szCs w:val="28"/>
      <w:lang w:val="en-US" w:eastAsia="zh-CN" w:bidi="ar-SA"/>
    </w:rPr>
  </w:style>
  <w:style w:type="paragraph" w:customStyle="1" w:styleId="97">
    <w:name w:val="CD正文"/>
    <w:basedOn w:val="1"/>
    <w:link w:val="96"/>
    <w:qFormat/>
    <w:uiPriority w:val="0"/>
    <w:pPr>
      <w:widowControl w:val="0"/>
      <w:spacing w:line="360" w:lineRule="auto"/>
      <w:ind w:firstLine="493"/>
      <w:jc w:val="both"/>
    </w:pPr>
    <w:rPr>
      <w:rFonts w:ascii="Times New Roman"/>
      <w:kern w:val="2"/>
      <w:sz w:val="30"/>
      <w:szCs w:val="28"/>
    </w:rPr>
  </w:style>
  <w:style w:type="character" w:customStyle="1" w:styleId="98">
    <w:name w:val="font31"/>
    <w:qFormat/>
    <w:uiPriority w:val="0"/>
    <w:rPr>
      <w:rFonts w:hint="eastAsia" w:ascii="宋体" w:hAnsi="宋体" w:eastAsia="宋体" w:cs="宋体"/>
      <w:color w:val="000000"/>
      <w:sz w:val="21"/>
      <w:szCs w:val="21"/>
      <w:u w:val="none"/>
    </w:rPr>
  </w:style>
  <w:style w:type="character" w:customStyle="1" w:styleId="99">
    <w:name w:val="fo Char"/>
    <w:qFormat/>
    <w:uiPriority w:val="0"/>
    <w:rPr>
      <w:rFonts w:eastAsia="宋体"/>
      <w:kern w:val="2"/>
      <w:sz w:val="18"/>
      <w:lang w:bidi="ar-SA"/>
    </w:rPr>
  </w:style>
  <w:style w:type="character" w:customStyle="1" w:styleId="100">
    <w:name w:val="标题 #2_"/>
    <w:basedOn w:val="46"/>
    <w:link w:val="101"/>
    <w:qFormat/>
    <w:uiPriority w:val="0"/>
    <w:rPr>
      <w:rFonts w:cs="Times New Roman"/>
      <w:sz w:val="34"/>
      <w:szCs w:val="34"/>
    </w:rPr>
  </w:style>
  <w:style w:type="paragraph" w:customStyle="1" w:styleId="101">
    <w:name w:val="标题 #21"/>
    <w:basedOn w:val="1"/>
    <w:link w:val="100"/>
    <w:qFormat/>
    <w:uiPriority w:val="0"/>
    <w:pPr>
      <w:shd w:val="clear" w:color="auto" w:fill="FFFFFF"/>
      <w:spacing w:after="360" w:line="240" w:lineRule="atLeast"/>
      <w:jc w:val="distribute"/>
      <w:outlineLvl w:val="1"/>
    </w:pPr>
    <w:rPr>
      <w:szCs w:val="34"/>
    </w:rPr>
  </w:style>
  <w:style w:type="character" w:customStyle="1" w:styleId="102">
    <w:name w:val="标题 #2"/>
    <w:basedOn w:val="100"/>
    <w:qFormat/>
    <w:uiPriority w:val="0"/>
    <w:rPr>
      <w:rFonts w:cs="Times New Roman"/>
      <w:color w:val="auto"/>
      <w:spacing w:val="0"/>
      <w:sz w:val="34"/>
      <w:szCs w:val="34"/>
      <w:lang w:val="en-US" w:eastAsia="zh-CN"/>
    </w:rPr>
  </w:style>
  <w:style w:type="character" w:customStyle="1" w:styleId="103">
    <w:name w:val="ca-01"/>
    <w:qFormat/>
    <w:uiPriority w:val="0"/>
    <w:rPr>
      <w:rFonts w:hint="eastAsia" w:ascii="宋体" w:hAnsi="宋体" w:eastAsia="宋体"/>
      <w:b/>
      <w:bCs/>
      <w:color w:val="000000"/>
      <w:spacing w:val="-20"/>
      <w:sz w:val="36"/>
      <w:szCs w:val="36"/>
    </w:rPr>
  </w:style>
  <w:style w:type="character" w:customStyle="1" w:styleId="104">
    <w:name w:val="small"/>
    <w:basedOn w:val="46"/>
    <w:qFormat/>
    <w:uiPriority w:val="0"/>
  </w:style>
  <w:style w:type="character" w:customStyle="1" w:styleId="105">
    <w:name w:val="文章正文 Char Char"/>
    <w:link w:val="106"/>
    <w:qFormat/>
    <w:uiPriority w:val="0"/>
    <w:rPr>
      <w:rFonts w:eastAsia="宋体"/>
      <w:kern w:val="2"/>
      <w:sz w:val="24"/>
      <w:szCs w:val="24"/>
      <w:lang w:val="en-US" w:eastAsia="zh-CN" w:bidi="ar-SA"/>
    </w:rPr>
  </w:style>
  <w:style w:type="paragraph" w:customStyle="1" w:styleId="106">
    <w:name w:val="文章正文"/>
    <w:basedOn w:val="1"/>
    <w:link w:val="105"/>
    <w:qFormat/>
    <w:uiPriority w:val="0"/>
    <w:pPr>
      <w:widowControl w:val="0"/>
      <w:spacing w:line="360" w:lineRule="auto"/>
      <w:ind w:firstLine="420"/>
      <w:jc w:val="both"/>
    </w:pPr>
    <w:rPr>
      <w:rFonts w:ascii="Times New Roman"/>
      <w:kern w:val="2"/>
      <w:sz w:val="24"/>
      <w:szCs w:val="24"/>
    </w:rPr>
  </w:style>
  <w:style w:type="character" w:customStyle="1" w:styleId="107">
    <w:name w:val="Char Char1"/>
    <w:qFormat/>
    <w:uiPriority w:val="0"/>
    <w:rPr>
      <w:rFonts w:ascii="宋体" w:hAnsi="Courier New" w:eastAsia="宋体"/>
      <w:kern w:val="2"/>
      <w:sz w:val="21"/>
      <w:szCs w:val="21"/>
      <w:lang w:bidi="ar-SA"/>
    </w:rPr>
  </w:style>
  <w:style w:type="character" w:customStyle="1" w:styleId="108">
    <w:name w:val="h5-1 Char"/>
    <w:link w:val="109"/>
    <w:qFormat/>
    <w:uiPriority w:val="0"/>
    <w:rPr>
      <w:rFonts w:ascii="Arial" w:hAnsi="Arial" w:eastAsia="仿宋_GB2312" w:cs="Arial"/>
      <w:b/>
      <w:bCs/>
      <w:kern w:val="2"/>
      <w:sz w:val="24"/>
      <w:szCs w:val="28"/>
      <w:lang w:val="en-US" w:eastAsia="zh-CN" w:bidi="ar-SA"/>
    </w:rPr>
  </w:style>
  <w:style w:type="paragraph" w:customStyle="1" w:styleId="109">
    <w:name w:val="h5-1"/>
    <w:basedOn w:val="7"/>
    <w:link w:val="108"/>
    <w:qFormat/>
    <w:uiPriority w:val="0"/>
    <w:pPr>
      <w:numPr>
        <w:ilvl w:val="0"/>
        <w:numId w:val="2"/>
      </w:numPr>
      <w:tabs>
        <w:tab w:val="clear" w:pos="4832"/>
      </w:tabs>
      <w:autoSpaceDE/>
      <w:autoSpaceDN/>
      <w:snapToGrid w:val="0"/>
      <w:spacing w:before="80" w:after="80" w:line="360" w:lineRule="auto"/>
      <w:ind w:left="200" w:leftChars="200"/>
    </w:pPr>
    <w:rPr>
      <w:rFonts w:ascii="Arial" w:hAnsi="Arial" w:eastAsia="仿宋_GB2312" w:cs="Arial"/>
      <w:kern w:val="2"/>
      <w:sz w:val="24"/>
    </w:rPr>
  </w:style>
  <w:style w:type="character" w:customStyle="1" w:styleId="110">
    <w:name w:val="页码1"/>
    <w:qFormat/>
    <w:uiPriority w:val="99"/>
  </w:style>
  <w:style w:type="character" w:customStyle="1" w:styleId="111">
    <w:name w:val="ca-221"/>
    <w:qFormat/>
    <w:uiPriority w:val="0"/>
    <w:rPr>
      <w:rFonts w:hint="default" w:ascii="Times New Roman" w:hAnsi="Times New Roman" w:cs="Times New Roman"/>
      <w:color w:val="000000"/>
      <w:sz w:val="24"/>
      <w:szCs w:val="24"/>
    </w:rPr>
  </w:style>
  <w:style w:type="character" w:customStyle="1" w:styleId="112">
    <w:name w:val="WW8Num9z0"/>
    <w:qFormat/>
    <w:uiPriority w:val="0"/>
    <w:rPr>
      <w:rFonts w:ascii="Wingdings" w:hAnsi="Wingdings"/>
    </w:rPr>
  </w:style>
  <w:style w:type="character" w:customStyle="1" w:styleId="113">
    <w:name w:val="Char1 Char Char"/>
    <w:qFormat/>
    <w:uiPriority w:val="0"/>
    <w:rPr>
      <w:rFonts w:ascii="宋体" w:hAnsi="Courier New" w:eastAsia="宋体"/>
      <w:kern w:val="2"/>
      <w:sz w:val="24"/>
      <w:lang w:val="en-US" w:eastAsia="zh-CN" w:bidi="ar-SA"/>
    </w:rPr>
  </w:style>
  <w:style w:type="character" w:customStyle="1" w:styleId="114">
    <w:name w:val="style61"/>
    <w:qFormat/>
    <w:uiPriority w:val="0"/>
    <w:rPr>
      <w:rFonts w:hint="default" w:ascii="Arial" w:hAnsi="Arial" w:cs="Arial"/>
      <w:color w:val="003399"/>
      <w:sz w:val="18"/>
      <w:szCs w:val="18"/>
    </w:rPr>
  </w:style>
  <w:style w:type="character" w:customStyle="1" w:styleId="115">
    <w:name w:val="正文3 Char"/>
    <w:link w:val="116"/>
    <w:qFormat/>
    <w:uiPriority w:val="0"/>
    <w:rPr>
      <w:sz w:val="24"/>
      <w:szCs w:val="24"/>
      <w:lang w:val="en-US" w:eastAsia="zh-CN" w:bidi="ar-SA"/>
    </w:rPr>
  </w:style>
  <w:style w:type="paragraph" w:customStyle="1" w:styleId="116">
    <w:name w:val="正文3"/>
    <w:link w:val="115"/>
    <w:qFormat/>
    <w:uiPriority w:val="0"/>
    <w:pPr>
      <w:spacing w:before="120" w:after="120" w:line="360" w:lineRule="auto"/>
      <w:ind w:firstLine="200" w:firstLineChars="200"/>
    </w:pPr>
    <w:rPr>
      <w:rFonts w:ascii="Times New Roman" w:hAnsi="Times New Roman" w:eastAsia="宋体" w:cs="Times New Roman"/>
      <w:sz w:val="24"/>
      <w:szCs w:val="24"/>
      <w:lang w:val="en-US" w:eastAsia="zh-CN" w:bidi="ar-SA"/>
    </w:rPr>
  </w:style>
  <w:style w:type="character" w:customStyle="1" w:styleId="117">
    <w:name w:val="h4-1 Char"/>
    <w:link w:val="118"/>
    <w:qFormat/>
    <w:uiPriority w:val="0"/>
    <w:rPr>
      <w:rFonts w:ascii="Arial" w:hAnsi="Arial" w:eastAsia="仿宋_GB2312" w:cs="Arial"/>
      <w:b/>
      <w:bCs/>
      <w:kern w:val="2"/>
      <w:sz w:val="28"/>
      <w:szCs w:val="28"/>
      <w:lang w:val="zh-CN" w:eastAsia="zh-CN" w:bidi="ar-SA"/>
    </w:rPr>
  </w:style>
  <w:style w:type="paragraph" w:customStyle="1" w:styleId="118">
    <w:name w:val="h4-1"/>
    <w:basedOn w:val="6"/>
    <w:link w:val="117"/>
    <w:qFormat/>
    <w:uiPriority w:val="0"/>
    <w:pPr>
      <w:keepLines/>
      <w:widowControl w:val="0"/>
      <w:numPr>
        <w:ilvl w:val="0"/>
        <w:numId w:val="3"/>
      </w:numPr>
      <w:spacing w:beforeLines="50" w:afterLines="50"/>
      <w:ind w:left="200" w:leftChars="200" w:right="420" w:rightChars="200"/>
      <w:jc w:val="both"/>
    </w:pPr>
    <w:rPr>
      <w:rFonts w:ascii="Arial" w:hAnsi="Arial" w:eastAsia="仿宋_GB2312" w:cs="Arial"/>
      <w:kern w:val="2"/>
      <w:lang w:val="zh-CN"/>
    </w:rPr>
  </w:style>
  <w:style w:type="character" w:customStyle="1" w:styleId="119">
    <w:name w:val="标题2 Char"/>
    <w:qFormat/>
    <w:uiPriority w:val="0"/>
    <w:rPr>
      <w:rFonts w:eastAsia="宋体"/>
      <w:sz w:val="24"/>
    </w:rPr>
  </w:style>
  <w:style w:type="character" w:customStyle="1" w:styleId="120">
    <w:name w:val="huei12b1"/>
    <w:qFormat/>
    <w:uiPriority w:val="0"/>
    <w:rPr>
      <w:b/>
      <w:bCs/>
      <w:color w:val="333333"/>
      <w:sz w:val="18"/>
      <w:szCs w:val="18"/>
    </w:rPr>
  </w:style>
  <w:style w:type="paragraph" w:customStyle="1" w:styleId="121">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rPr>
  </w:style>
  <w:style w:type="paragraph" w:customStyle="1" w:styleId="122">
    <w:name w:val="正文序号 2"/>
    <w:basedOn w:val="1"/>
    <w:qFormat/>
    <w:uiPriority w:val="0"/>
    <w:pPr>
      <w:widowControl w:val="0"/>
      <w:numPr>
        <w:ilvl w:val="1"/>
        <w:numId w:val="4"/>
      </w:numPr>
      <w:tabs>
        <w:tab w:val="left" w:pos="1049"/>
        <w:tab w:val="clear" w:pos="840"/>
      </w:tabs>
      <w:spacing w:before="60"/>
      <w:jc w:val="both"/>
    </w:pPr>
    <w:rPr>
      <w:kern w:val="2"/>
      <w:sz w:val="21"/>
    </w:rPr>
  </w:style>
  <w:style w:type="paragraph" w:customStyle="1" w:styleId="123">
    <w:name w:val="table head"/>
    <w:basedOn w:val="1"/>
    <w:qFormat/>
    <w:uiPriority w:val="0"/>
    <w:pPr>
      <w:keepNext/>
      <w:keepLines/>
      <w:widowControl w:val="0"/>
      <w:adjustRightInd w:val="0"/>
      <w:spacing w:line="312" w:lineRule="atLeast"/>
      <w:jc w:val="center"/>
      <w:textAlignment w:val="baseline"/>
    </w:pPr>
    <w:rPr>
      <w:b/>
      <w:sz w:val="21"/>
    </w:rPr>
  </w:style>
  <w:style w:type="paragraph" w:customStyle="1" w:styleId="124">
    <w:name w:val="gb_master正文"/>
    <w:basedOn w:val="1"/>
    <w:qFormat/>
    <w:uiPriority w:val="0"/>
    <w:pPr>
      <w:widowControl w:val="0"/>
      <w:ind w:firstLine="200" w:firstLineChars="200"/>
      <w:jc w:val="both"/>
    </w:pPr>
    <w:rPr>
      <w:kern w:val="2"/>
      <w:sz w:val="21"/>
    </w:rPr>
  </w:style>
  <w:style w:type="paragraph" w:customStyle="1" w:styleId="125">
    <w:name w:val="页脚 New New New New New New New New New New New New New"/>
    <w:basedOn w:val="126"/>
    <w:qFormat/>
    <w:uiPriority w:val="0"/>
    <w:pPr>
      <w:tabs>
        <w:tab w:val="center" w:pos="4153"/>
        <w:tab w:val="right" w:pos="8306"/>
      </w:tabs>
      <w:snapToGrid w:val="0"/>
      <w:jc w:val="left"/>
    </w:pPr>
    <w:rPr>
      <w:sz w:val="18"/>
      <w:szCs w:val="18"/>
    </w:rPr>
  </w:style>
  <w:style w:type="paragraph" w:customStyle="1" w:styleId="126">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xl102"/>
    <w:basedOn w:val="1"/>
    <w:qFormat/>
    <w:uiPriority w:val="0"/>
    <w:pPr>
      <w:pBdr>
        <w:top w:val="single" w:color="auto" w:sz="4" w:space="0"/>
        <w:left w:val="single" w:color="auto" w:sz="4" w:space="0"/>
        <w:bottom w:val="single" w:color="auto" w:sz="4" w:space="0"/>
      </w:pBdr>
      <w:spacing w:before="100" w:beforeAutospacing="1" w:after="100" w:afterAutospacing="1"/>
    </w:pPr>
    <w:rPr>
      <w:rFonts w:hAnsi="宋体" w:cs="宋体"/>
      <w:b/>
      <w:bCs/>
      <w:sz w:val="28"/>
      <w:szCs w:val="28"/>
    </w:rPr>
  </w:style>
  <w:style w:type="paragraph" w:customStyle="1" w:styleId="128">
    <w:name w:val="Char Char Char"/>
    <w:basedOn w:val="1"/>
    <w:qFormat/>
    <w:uiPriority w:val="0"/>
    <w:pPr>
      <w:widowControl w:val="0"/>
      <w:jc w:val="both"/>
    </w:pPr>
    <w:rPr>
      <w:rFonts w:ascii="Tahoma" w:hAnsi="Tahoma"/>
      <w:kern w:val="2"/>
    </w:rPr>
  </w:style>
  <w:style w:type="paragraph" w:customStyle="1" w:styleId="129">
    <w:name w:val="xl101"/>
    <w:basedOn w:val="1"/>
    <w:qFormat/>
    <w:uiPriority w:val="0"/>
    <w:pPr>
      <w:spacing w:before="100" w:beforeAutospacing="1" w:after="100" w:afterAutospacing="1"/>
    </w:pPr>
    <w:rPr>
      <w:rFonts w:hAnsi="宋体" w:cs="宋体"/>
      <w:sz w:val="20"/>
    </w:rPr>
  </w:style>
  <w:style w:type="paragraph" w:customStyle="1" w:styleId="130">
    <w:name w:val="页眉 New New New"/>
    <w:basedOn w:val="131"/>
    <w:qFormat/>
    <w:uiPriority w:val="0"/>
    <w:pPr>
      <w:pBdr>
        <w:bottom w:val="single" w:color="auto" w:sz="6" w:space="1"/>
      </w:pBdr>
      <w:tabs>
        <w:tab w:val="center" w:pos="4153"/>
        <w:tab w:val="right" w:pos="8306"/>
      </w:tabs>
      <w:snapToGrid w:val="0"/>
      <w:jc w:val="center"/>
    </w:pPr>
    <w:rPr>
      <w:sz w:val="18"/>
      <w:szCs w:val="18"/>
    </w:rPr>
  </w:style>
  <w:style w:type="paragraph" w:customStyle="1" w:styleId="13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
    <w:name w:val="font10"/>
    <w:basedOn w:val="1"/>
    <w:qFormat/>
    <w:uiPriority w:val="0"/>
    <w:pPr>
      <w:spacing w:before="100" w:beforeAutospacing="1" w:after="100" w:afterAutospacing="1"/>
    </w:pPr>
    <w:rPr>
      <w:rFonts w:hAnsi="宋体" w:cs="宋体"/>
      <w:color w:val="000000"/>
      <w:sz w:val="22"/>
      <w:szCs w:val="22"/>
    </w:rPr>
  </w:style>
  <w:style w:type="paragraph" w:customStyle="1" w:styleId="133">
    <w:name w:val="正文序号 3"/>
    <w:basedOn w:val="1"/>
    <w:qFormat/>
    <w:uiPriority w:val="0"/>
    <w:pPr>
      <w:widowControl w:val="0"/>
      <w:numPr>
        <w:ilvl w:val="2"/>
        <w:numId w:val="4"/>
      </w:numPr>
      <w:tabs>
        <w:tab w:val="left" w:pos="1259"/>
        <w:tab w:val="clear" w:pos="1260"/>
      </w:tabs>
      <w:spacing w:before="60"/>
      <w:jc w:val="both"/>
    </w:pPr>
    <w:rPr>
      <w:kern w:val="2"/>
      <w:sz w:val="21"/>
    </w:rPr>
  </w:style>
  <w:style w:type="paragraph" w:customStyle="1" w:styleId="134">
    <w:name w:val="页脚 New New New New New New New"/>
    <w:basedOn w:val="135"/>
    <w:qFormat/>
    <w:uiPriority w:val="0"/>
    <w:pPr>
      <w:tabs>
        <w:tab w:val="center" w:pos="4153"/>
        <w:tab w:val="right" w:pos="8306"/>
      </w:tabs>
      <w:snapToGrid w:val="0"/>
      <w:jc w:val="left"/>
    </w:pPr>
    <w:rPr>
      <w:sz w:val="18"/>
      <w:szCs w:val="18"/>
    </w:rPr>
  </w:style>
  <w:style w:type="paragraph" w:customStyle="1" w:styleId="135">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
    <w:name w:val="MM Topic 3"/>
    <w:basedOn w:val="5"/>
    <w:qFormat/>
    <w:uiPriority w:val="0"/>
    <w:pPr>
      <w:numPr>
        <w:numId w:val="0"/>
      </w:numPr>
      <w:tabs>
        <w:tab w:val="left" w:pos="1418"/>
        <w:tab w:val="clear" w:pos="900"/>
      </w:tabs>
    </w:pPr>
    <w:rPr>
      <w:rFonts w:ascii="Times New Roman" w:hAnsi="Times New Roman"/>
      <w:bCs w:val="0"/>
      <w:szCs w:val="20"/>
    </w:rPr>
  </w:style>
  <w:style w:type="paragraph" w:customStyle="1" w:styleId="137">
    <w:name w:val="插图题注"/>
    <w:next w:val="1"/>
    <w:qFormat/>
    <w:uiPriority w:val="0"/>
    <w:pPr>
      <w:numPr>
        <w:ilvl w:val="7"/>
        <w:numId w:val="1"/>
      </w:numPr>
      <w:tabs>
        <w:tab w:val="left" w:pos="1418"/>
        <w:tab w:val="clear" w:pos="5258"/>
      </w:tabs>
      <w:spacing w:afterLines="100"/>
      <w:jc w:val="center"/>
    </w:pPr>
    <w:rPr>
      <w:rFonts w:ascii="Arial" w:hAnsi="Arial" w:eastAsia="宋体" w:cs="Times New Roman"/>
      <w:sz w:val="18"/>
      <w:lang w:val="en-US" w:eastAsia="zh-CN" w:bidi="ar-SA"/>
    </w:rPr>
  </w:style>
  <w:style w:type="paragraph" w:customStyle="1" w:styleId="138">
    <w:name w:val="1 Char Char Char Char"/>
    <w:basedOn w:val="1"/>
    <w:qFormat/>
    <w:uiPriority w:val="0"/>
    <w:pPr>
      <w:widowControl w:val="0"/>
      <w:jc w:val="both"/>
    </w:pPr>
    <w:rPr>
      <w:rFonts w:ascii="Tahoma" w:hAnsi="Tahoma"/>
      <w:kern w:val="2"/>
    </w:rPr>
  </w:style>
  <w:style w:type="paragraph" w:customStyle="1" w:styleId="139">
    <w:name w:val="页眉 New New New New New New New New New New New New New New New"/>
    <w:basedOn w:val="140"/>
    <w:qFormat/>
    <w:uiPriority w:val="0"/>
    <w:pPr>
      <w:pBdr>
        <w:bottom w:val="single" w:color="auto" w:sz="6" w:space="1"/>
      </w:pBdr>
      <w:tabs>
        <w:tab w:val="center" w:pos="4153"/>
        <w:tab w:val="right" w:pos="8306"/>
      </w:tabs>
      <w:snapToGrid w:val="0"/>
      <w:jc w:val="center"/>
    </w:pPr>
    <w:rPr>
      <w:sz w:val="18"/>
      <w:szCs w:val="18"/>
    </w:rPr>
  </w:style>
  <w:style w:type="paragraph" w:customStyle="1" w:styleId="140">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1">
    <w:name w:val="样式3"/>
    <w:basedOn w:val="23"/>
    <w:qFormat/>
    <w:uiPriority w:val="0"/>
    <w:pPr>
      <w:autoSpaceDE/>
      <w:autoSpaceDN/>
      <w:adjustRightInd/>
      <w:spacing w:line="0" w:lineRule="atLeast"/>
      <w:outlineLvl w:val="0"/>
    </w:pPr>
    <w:rPr>
      <w:rFonts w:hAnsi="Courier New"/>
      <w:kern w:val="2"/>
      <w:sz w:val="28"/>
    </w:rPr>
  </w:style>
  <w:style w:type="paragraph" w:customStyle="1" w:styleId="142">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44">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145">
    <w:name w:val="xl104"/>
    <w:basedOn w:val="1"/>
    <w:qFormat/>
    <w:uiPriority w:val="0"/>
    <w:pPr>
      <w:pBdr>
        <w:top w:val="single" w:color="auto" w:sz="4" w:space="0"/>
        <w:left w:val="single" w:color="auto" w:sz="4" w:space="0"/>
        <w:bottom w:val="single" w:color="auto" w:sz="4" w:space="0"/>
      </w:pBdr>
      <w:spacing w:before="100" w:beforeAutospacing="1" w:after="100" w:afterAutospacing="1"/>
    </w:pPr>
    <w:rPr>
      <w:rFonts w:hAnsi="宋体" w:cs="宋体"/>
      <w:b/>
      <w:bCs/>
    </w:rPr>
  </w:style>
  <w:style w:type="paragraph" w:customStyle="1" w:styleId="146">
    <w:name w:val="页脚 New New New New New New New New New New New New New New New New"/>
    <w:basedOn w:val="147"/>
    <w:qFormat/>
    <w:uiPriority w:val="0"/>
    <w:pPr>
      <w:tabs>
        <w:tab w:val="center" w:pos="4153"/>
        <w:tab w:val="right" w:pos="8306"/>
      </w:tabs>
      <w:snapToGrid w:val="0"/>
      <w:jc w:val="left"/>
    </w:pPr>
    <w:rPr>
      <w:sz w:val="18"/>
      <w:szCs w:val="18"/>
    </w:rPr>
  </w:style>
  <w:style w:type="paragraph" w:customStyle="1" w:styleId="147">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8">
    <w:name w:val="plaintext"/>
    <w:basedOn w:val="1"/>
    <w:qFormat/>
    <w:uiPriority w:val="0"/>
    <w:pPr>
      <w:spacing w:before="100" w:beforeAutospacing="1" w:after="100" w:afterAutospacing="1"/>
    </w:pPr>
    <w:rPr>
      <w:rFonts w:hAnsi="宋体"/>
    </w:rPr>
  </w:style>
  <w:style w:type="paragraph" w:customStyle="1" w:styleId="149">
    <w:name w:val="默认段落字体 Para Char Char Char Char Char Char Char"/>
    <w:basedOn w:val="1"/>
    <w:qFormat/>
    <w:uiPriority w:val="0"/>
    <w:pPr>
      <w:widowControl w:val="0"/>
      <w:jc w:val="both"/>
    </w:pPr>
    <w:rPr>
      <w:rFonts w:ascii="Tahoma" w:hAnsi="Tahoma"/>
      <w:kern w:val="2"/>
    </w:rPr>
  </w:style>
  <w:style w:type="paragraph" w:customStyle="1" w:styleId="150">
    <w:name w:val="页脚 New New New New New New New New New New New New New New New"/>
    <w:basedOn w:val="140"/>
    <w:qFormat/>
    <w:uiPriority w:val="0"/>
    <w:pPr>
      <w:tabs>
        <w:tab w:val="center" w:pos="4153"/>
        <w:tab w:val="right" w:pos="8306"/>
      </w:tabs>
      <w:snapToGrid w:val="0"/>
      <w:jc w:val="left"/>
    </w:pPr>
    <w:rPr>
      <w:sz w:val="18"/>
      <w:szCs w:val="18"/>
    </w:rPr>
  </w:style>
  <w:style w:type="paragraph" w:customStyle="1" w:styleId="151">
    <w:name w:val="样式 正文缩进 + (中文) 仿宋_GB2312 小四 Char"/>
    <w:basedOn w:val="13"/>
    <w:qFormat/>
    <w:uiPriority w:val="0"/>
    <w:pPr>
      <w:ind w:firstLine="480"/>
    </w:pPr>
    <w:rPr>
      <w:rFonts w:ascii="宋体" w:hAnsi="宋体"/>
      <w:sz w:val="24"/>
      <w:szCs w:val="20"/>
    </w:rPr>
  </w:style>
  <w:style w:type="paragraph" w:customStyle="1" w:styleId="152">
    <w:name w:val="style10"/>
    <w:basedOn w:val="1"/>
    <w:qFormat/>
    <w:uiPriority w:val="0"/>
    <w:pPr>
      <w:spacing w:before="100" w:beforeAutospacing="1" w:after="100" w:afterAutospacing="1" w:line="270" w:lineRule="atLeast"/>
    </w:pPr>
    <w:rPr>
      <w:rFonts w:hAnsi="宋体" w:cs="宋体"/>
      <w:color w:val="FFFFFF"/>
      <w:sz w:val="21"/>
      <w:szCs w:val="21"/>
    </w:rPr>
  </w:style>
  <w:style w:type="paragraph" w:customStyle="1" w:styleId="153">
    <w:name w:val="Char Char Char Char Char Char Char Char Char Char Char Char Char"/>
    <w:basedOn w:val="15"/>
    <w:qFormat/>
    <w:uiPriority w:val="0"/>
    <w:pPr>
      <w:widowControl w:val="0"/>
      <w:jc w:val="both"/>
    </w:pPr>
    <w:rPr>
      <w:rFonts w:ascii="Tahoma" w:hAnsi="Tahoma"/>
      <w:kern w:val="2"/>
      <w:szCs w:val="20"/>
    </w:rPr>
  </w:style>
  <w:style w:type="paragraph" w:customStyle="1" w:styleId="154">
    <w:name w:val="xl114"/>
    <w:basedOn w:val="1"/>
    <w:qFormat/>
    <w:uiPriority w:val="0"/>
    <w:pPr>
      <w:pBdr>
        <w:top w:val="single" w:color="auto" w:sz="4" w:space="0"/>
        <w:bottom w:val="single" w:color="auto" w:sz="4" w:space="0"/>
      </w:pBdr>
      <w:spacing w:before="100" w:beforeAutospacing="1" w:after="100" w:afterAutospacing="1"/>
      <w:jc w:val="center"/>
    </w:pPr>
    <w:rPr>
      <w:rFonts w:hAnsi="宋体" w:cs="宋体"/>
      <w:b/>
      <w:bCs/>
      <w:sz w:val="32"/>
      <w:szCs w:val="32"/>
    </w:rPr>
  </w:style>
  <w:style w:type="paragraph" w:customStyle="1" w:styleId="155">
    <w:name w:val="Style8"/>
    <w:basedOn w:val="1"/>
    <w:qFormat/>
    <w:uiPriority w:val="0"/>
    <w:pPr>
      <w:widowControl w:val="0"/>
      <w:tabs>
        <w:tab w:val="left" w:pos="1304"/>
      </w:tabs>
      <w:spacing w:beforeLines="50" w:afterLines="50" w:line="276" w:lineRule="auto"/>
      <w:ind w:left="1304" w:hanging="397"/>
      <w:jc w:val="both"/>
    </w:pPr>
    <w:rPr>
      <w:rFonts w:ascii="Arial" w:hAnsi="Arial"/>
      <w:kern w:val="2"/>
    </w:rPr>
  </w:style>
  <w:style w:type="paragraph" w:customStyle="1" w:styleId="156">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b/>
      <w:bCs/>
    </w:rPr>
  </w:style>
  <w:style w:type="paragraph" w:customStyle="1" w:styleId="157">
    <w:name w:val="标题 4[858D7CFB-ED40-4347-BF05-701D383B685F][858D7CFB-ED40-4347-BF05-701D383B685F]"/>
    <w:basedOn w:val="1"/>
    <w:qFormat/>
    <w:uiPriority w:val="0"/>
    <w:pPr>
      <w:numPr>
        <w:ilvl w:val="3"/>
        <w:numId w:val="1"/>
      </w:numPr>
    </w:pPr>
  </w:style>
  <w:style w:type="paragraph" w:customStyle="1" w:styleId="158">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9">
    <w:name w:val="正文文本 21"/>
    <w:basedOn w:val="1"/>
    <w:qFormat/>
    <w:uiPriority w:val="0"/>
    <w:pPr>
      <w:widowControl w:val="0"/>
      <w:adjustRightInd w:val="0"/>
      <w:spacing w:line="300" w:lineRule="auto"/>
      <w:jc w:val="center"/>
      <w:textAlignment w:val="baseline"/>
    </w:pPr>
    <w:rPr>
      <w:rFonts w:hAnsi="宋体"/>
      <w:kern w:val="2"/>
    </w:rPr>
  </w:style>
  <w:style w:type="paragraph" w:customStyle="1" w:styleId="160">
    <w:name w:val="Table Paragraph"/>
    <w:basedOn w:val="1"/>
    <w:qFormat/>
    <w:uiPriority w:val="1"/>
    <w:rPr>
      <w:sz w:val="22"/>
      <w:szCs w:val="22"/>
      <w:lang w:eastAsia="en-US"/>
    </w:rPr>
  </w:style>
  <w:style w:type="paragraph" w:customStyle="1" w:styleId="161">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2">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sz w:val="20"/>
    </w:rPr>
  </w:style>
  <w:style w:type="paragraph" w:customStyle="1" w:styleId="163">
    <w:name w:val="font0"/>
    <w:basedOn w:val="1"/>
    <w:qFormat/>
    <w:uiPriority w:val="0"/>
    <w:pPr>
      <w:spacing w:before="100" w:beforeAutospacing="1" w:after="100" w:afterAutospacing="1"/>
    </w:pPr>
    <w:rPr>
      <w:rFonts w:hAnsi="宋体" w:cs="宋体"/>
      <w:color w:val="000000"/>
      <w:sz w:val="22"/>
      <w:szCs w:val="22"/>
    </w:rPr>
  </w:style>
  <w:style w:type="paragraph" w:customStyle="1" w:styleId="164">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sz w:val="20"/>
    </w:rPr>
  </w:style>
  <w:style w:type="paragraph" w:customStyle="1" w:styleId="165">
    <w:name w:val="xl107"/>
    <w:basedOn w:val="1"/>
    <w:qFormat/>
    <w:uiPriority w:val="0"/>
    <w:pPr>
      <w:spacing w:before="100" w:beforeAutospacing="1" w:after="100" w:afterAutospacing="1"/>
      <w:jc w:val="center"/>
    </w:pPr>
    <w:rPr>
      <w:rFonts w:hAnsi="宋体" w:cs="宋体"/>
      <w:b/>
      <w:bCs/>
      <w:sz w:val="20"/>
    </w:rPr>
  </w:style>
  <w:style w:type="paragraph" w:customStyle="1" w:styleId="166">
    <w:name w:val="Char2 Char Char Char Char Char Char"/>
    <w:basedOn w:val="1"/>
    <w:qFormat/>
    <w:uiPriority w:val="0"/>
    <w:pPr>
      <w:widowControl w:val="0"/>
      <w:jc w:val="both"/>
    </w:pPr>
    <w:rPr>
      <w:rFonts w:ascii="仿宋_GB2312"/>
      <w:b/>
      <w:kern w:val="2"/>
      <w:sz w:val="30"/>
    </w:rPr>
  </w:style>
  <w:style w:type="paragraph" w:customStyle="1" w:styleId="167">
    <w:name w:val="页眉 New New"/>
    <w:basedOn w:val="168"/>
    <w:qFormat/>
    <w:uiPriority w:val="0"/>
    <w:pPr>
      <w:pBdr>
        <w:bottom w:val="single" w:color="auto" w:sz="6" w:space="1"/>
      </w:pBdr>
      <w:tabs>
        <w:tab w:val="center" w:pos="4153"/>
        <w:tab w:val="right" w:pos="8306"/>
      </w:tabs>
      <w:snapToGrid w:val="0"/>
      <w:jc w:val="center"/>
    </w:pPr>
    <w:rPr>
      <w:sz w:val="18"/>
      <w:szCs w:val="18"/>
    </w:rPr>
  </w:style>
  <w:style w:type="paragraph" w:customStyle="1" w:styleId="168">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font5"/>
    <w:basedOn w:val="1"/>
    <w:qFormat/>
    <w:uiPriority w:val="0"/>
    <w:pPr>
      <w:spacing w:before="100" w:beforeAutospacing="1" w:after="100" w:afterAutospacing="1"/>
    </w:pPr>
    <w:rPr>
      <w:rFonts w:hAnsi="宋体" w:cs="宋体"/>
      <w:sz w:val="22"/>
      <w:szCs w:val="22"/>
    </w:rPr>
  </w:style>
  <w:style w:type="paragraph" w:customStyle="1" w:styleId="170">
    <w:name w:val="正文首行缩进两字符"/>
    <w:basedOn w:val="1"/>
    <w:qFormat/>
    <w:uiPriority w:val="0"/>
    <w:pPr>
      <w:widowControl w:val="0"/>
      <w:spacing w:line="360" w:lineRule="auto"/>
      <w:ind w:firstLine="200" w:firstLineChars="200"/>
      <w:jc w:val="both"/>
    </w:pPr>
    <w:rPr>
      <w:kern w:val="2"/>
      <w:sz w:val="21"/>
    </w:rPr>
  </w:style>
  <w:style w:type="paragraph" w:customStyle="1" w:styleId="171">
    <w:name w:val="MM Topic 6"/>
    <w:basedOn w:val="8"/>
    <w:qFormat/>
    <w:uiPriority w:val="0"/>
    <w:pPr>
      <w:numPr>
        <w:numId w:val="0"/>
      </w:numPr>
      <w:tabs>
        <w:tab w:val="left" w:pos="3260"/>
      </w:tabs>
      <w:spacing w:line="317" w:lineRule="auto"/>
    </w:pPr>
    <w:rPr>
      <w:bCs w:val="0"/>
      <w:sz w:val="28"/>
    </w:rPr>
  </w:style>
  <w:style w:type="paragraph" w:customStyle="1" w:styleId="172">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3">
    <w:name w:val="MM Topic 2"/>
    <w:basedOn w:val="4"/>
    <w:qFormat/>
    <w:uiPriority w:val="0"/>
    <w:pPr>
      <w:tabs>
        <w:tab w:val="left" w:pos="992"/>
        <w:tab w:val="clear" w:pos="720"/>
      </w:tabs>
    </w:pPr>
    <w:rPr>
      <w:rFonts w:ascii="Arial" w:cs="Times New Roman"/>
      <w:bCs w:val="0"/>
      <w:iCs w:val="0"/>
      <w:color w:val="000000"/>
      <w:kern w:val="2"/>
      <w:szCs w:val="20"/>
    </w:rPr>
  </w:style>
  <w:style w:type="paragraph" w:customStyle="1" w:styleId="174">
    <w:name w:val="font6"/>
    <w:basedOn w:val="1"/>
    <w:qFormat/>
    <w:uiPriority w:val="0"/>
    <w:pPr>
      <w:spacing w:before="100" w:beforeAutospacing="1" w:after="100" w:afterAutospacing="1"/>
    </w:pPr>
    <w:rPr>
      <w:rFonts w:hAnsi="宋体" w:cs="宋体"/>
      <w:sz w:val="18"/>
      <w:szCs w:val="18"/>
    </w:rPr>
  </w:style>
  <w:style w:type="paragraph" w:customStyle="1" w:styleId="175">
    <w:name w:val="我的正文"/>
    <w:basedOn w:val="1"/>
    <w:qFormat/>
    <w:uiPriority w:val="0"/>
    <w:pPr>
      <w:widowControl w:val="0"/>
      <w:spacing w:line="360" w:lineRule="auto"/>
      <w:ind w:firstLine="420" w:firstLineChars="200"/>
      <w:jc w:val="both"/>
    </w:pPr>
    <w:rPr>
      <w:rFonts w:hAnsi="宋体"/>
      <w:kern w:val="2"/>
      <w:sz w:val="21"/>
    </w:rPr>
  </w:style>
  <w:style w:type="paragraph" w:customStyle="1" w:styleId="17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Char Char Char Char Char Char Char"/>
    <w:basedOn w:val="1"/>
    <w:qFormat/>
    <w:uiPriority w:val="0"/>
    <w:pPr>
      <w:snapToGrid w:val="0"/>
      <w:spacing w:line="240" w:lineRule="exact"/>
    </w:pPr>
    <w:rPr>
      <w:rFonts w:ascii="Verdana" w:hAnsi="Verdana"/>
      <w:sz w:val="20"/>
      <w:lang w:eastAsia="en-US"/>
    </w:rPr>
  </w:style>
  <w:style w:type="paragraph" w:customStyle="1" w:styleId="178">
    <w:name w:val="标题 2 + 楷体_GB2312"/>
    <w:basedOn w:val="4"/>
    <w:qFormat/>
    <w:uiPriority w:val="0"/>
    <w:pPr>
      <w:numPr>
        <w:ilvl w:val="1"/>
        <w:numId w:val="5"/>
      </w:numPr>
      <w:tabs>
        <w:tab w:val="clear" w:pos="720"/>
      </w:tabs>
      <w:spacing w:before="0" w:after="0"/>
    </w:pPr>
    <w:rPr>
      <w:rFonts w:ascii="楷体_GB2312" w:eastAsia="楷体_GB2312" w:cs="Times New Roman"/>
      <w:b w:val="0"/>
      <w:bCs w:val="0"/>
      <w:i/>
      <w:iCs w:val="0"/>
      <w:kern w:val="2"/>
      <w:sz w:val="24"/>
      <w:szCs w:val="20"/>
    </w:rPr>
  </w:style>
  <w:style w:type="paragraph" w:customStyle="1" w:styleId="179">
    <w:name w:val="CM61"/>
    <w:basedOn w:val="180"/>
    <w:next w:val="180"/>
    <w:unhideWhenUsed/>
    <w:qFormat/>
    <w:uiPriority w:val="99"/>
    <w:pPr>
      <w:spacing w:line="518" w:lineRule="atLeast"/>
    </w:pPr>
    <w:rPr>
      <w:rFonts w:hint="eastAsia"/>
    </w:rPr>
  </w:style>
  <w:style w:type="paragraph" w:customStyle="1" w:styleId="180">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81">
    <w:name w:val="Table Text"/>
    <w:basedOn w:val="1"/>
    <w:uiPriority w:val="0"/>
    <w:pPr>
      <w:spacing w:before="60" w:after="60"/>
    </w:pPr>
    <w:rPr>
      <w:sz w:val="21"/>
    </w:rPr>
  </w:style>
  <w:style w:type="paragraph" w:customStyle="1" w:styleId="182">
    <w:name w:val="页眉 New New New New New New New New New"/>
    <w:basedOn w:val="183"/>
    <w:qFormat/>
    <w:uiPriority w:val="0"/>
    <w:pPr>
      <w:pBdr>
        <w:bottom w:val="single" w:color="auto" w:sz="6" w:space="1"/>
      </w:pBdr>
      <w:tabs>
        <w:tab w:val="center" w:pos="4153"/>
        <w:tab w:val="right" w:pos="8306"/>
      </w:tabs>
      <w:snapToGrid w:val="0"/>
      <w:jc w:val="center"/>
    </w:pPr>
    <w:rPr>
      <w:sz w:val="18"/>
      <w:szCs w:val="18"/>
    </w:rPr>
  </w:style>
  <w:style w:type="paragraph" w:customStyle="1" w:styleId="183">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4">
    <w:name w:val="font11"/>
    <w:basedOn w:val="1"/>
    <w:qFormat/>
    <w:uiPriority w:val="0"/>
    <w:pPr>
      <w:spacing w:before="100" w:beforeAutospacing="1" w:after="100" w:afterAutospacing="1"/>
    </w:pPr>
    <w:rPr>
      <w:rFonts w:hAnsi="宋体" w:cs="宋体"/>
      <w:b/>
      <w:bCs/>
      <w:sz w:val="40"/>
      <w:szCs w:val="40"/>
    </w:rPr>
  </w:style>
  <w:style w:type="paragraph" w:customStyle="1" w:styleId="185">
    <w:name w:val="文档正文"/>
    <w:basedOn w:val="1"/>
    <w:qFormat/>
    <w:uiPriority w:val="0"/>
    <w:pPr>
      <w:widowControl w:val="0"/>
      <w:adjustRightInd w:val="0"/>
      <w:spacing w:line="312" w:lineRule="atLeast"/>
      <w:ind w:firstLine="567"/>
      <w:jc w:val="both"/>
      <w:textAlignment w:val="baseline"/>
    </w:pPr>
    <w:rPr>
      <w:rFonts w:ascii="长城仿宋" w:eastAsia="长城仿宋"/>
      <w:sz w:val="28"/>
    </w:rPr>
  </w:style>
  <w:style w:type="paragraph" w:customStyle="1" w:styleId="186">
    <w:name w:val="正文段落"/>
    <w:basedOn w:val="1"/>
    <w:qFormat/>
    <w:uiPriority w:val="0"/>
    <w:pPr>
      <w:widowControl w:val="0"/>
      <w:spacing w:line="300" w:lineRule="auto"/>
      <w:ind w:firstLine="510"/>
      <w:jc w:val="both"/>
    </w:pPr>
    <w:rPr>
      <w:kern w:val="2"/>
    </w:rPr>
  </w:style>
  <w:style w:type="paragraph" w:customStyle="1" w:styleId="187">
    <w:name w:val="项目符号：一级"/>
    <w:basedOn w:val="188"/>
    <w:next w:val="188"/>
    <w:qFormat/>
    <w:uiPriority w:val="0"/>
    <w:pPr>
      <w:tabs>
        <w:tab w:val="left" w:pos="700"/>
      </w:tabs>
      <w:spacing w:beforeLines="0"/>
      <w:ind w:left="630" w:hanging="290" w:firstLineChars="0"/>
    </w:pPr>
  </w:style>
  <w:style w:type="paragraph" w:customStyle="1" w:styleId="188">
    <w:name w:val="正文格式"/>
    <w:basedOn w:val="1"/>
    <w:qFormat/>
    <w:uiPriority w:val="0"/>
    <w:pPr>
      <w:adjustRightInd w:val="0"/>
      <w:snapToGrid w:val="0"/>
      <w:spacing w:beforeLines="25" w:line="360" w:lineRule="auto"/>
      <w:ind w:firstLine="480" w:firstLineChars="200"/>
      <w:jc w:val="both"/>
      <w:textAlignment w:val="baseline"/>
    </w:pPr>
    <w:rPr>
      <w:rFonts w:hAnsi="宋体"/>
      <w:color w:val="000000"/>
    </w:rPr>
  </w:style>
  <w:style w:type="paragraph" w:customStyle="1" w:styleId="1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90">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正文 New New New New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rPr>
  </w:style>
  <w:style w:type="paragraph" w:customStyle="1" w:styleId="193">
    <w:name w:val="页脚 New New New New New New New New New New"/>
    <w:basedOn w:val="161"/>
    <w:qFormat/>
    <w:uiPriority w:val="0"/>
    <w:pPr>
      <w:tabs>
        <w:tab w:val="center" w:pos="4153"/>
        <w:tab w:val="right" w:pos="8306"/>
      </w:tabs>
      <w:snapToGrid w:val="0"/>
      <w:jc w:val="left"/>
    </w:pPr>
    <w:rPr>
      <w:sz w:val="18"/>
      <w:szCs w:val="18"/>
    </w:rPr>
  </w:style>
  <w:style w:type="paragraph" w:customStyle="1" w:styleId="194">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195">
    <w:name w:val="font8"/>
    <w:basedOn w:val="1"/>
    <w:qFormat/>
    <w:uiPriority w:val="0"/>
    <w:pPr>
      <w:spacing w:before="100" w:beforeAutospacing="1" w:after="100" w:afterAutospacing="1"/>
    </w:pPr>
    <w:rPr>
      <w:color w:val="000000"/>
      <w:sz w:val="22"/>
      <w:szCs w:val="22"/>
    </w:rPr>
  </w:style>
  <w:style w:type="paragraph" w:customStyle="1" w:styleId="196">
    <w:name w:val="xl106"/>
    <w:basedOn w:val="1"/>
    <w:qFormat/>
    <w:uiPriority w:val="0"/>
    <w:pPr>
      <w:spacing w:before="100" w:beforeAutospacing="1" w:after="100" w:afterAutospacing="1"/>
      <w:jc w:val="center"/>
    </w:pPr>
    <w:rPr>
      <w:rFonts w:hAnsi="宋体" w:cs="宋体"/>
      <w:b/>
      <w:bCs/>
      <w:sz w:val="40"/>
      <w:szCs w:val="40"/>
    </w:rPr>
  </w:style>
  <w:style w:type="paragraph" w:customStyle="1" w:styleId="197">
    <w:name w:val="页脚 New New New New New New New New New New New New"/>
    <w:basedOn w:val="198"/>
    <w:qFormat/>
    <w:uiPriority w:val="0"/>
    <w:pPr>
      <w:tabs>
        <w:tab w:val="center" w:pos="4153"/>
        <w:tab w:val="right" w:pos="8306"/>
      </w:tabs>
      <w:snapToGrid w:val="0"/>
      <w:jc w:val="left"/>
    </w:pPr>
    <w:rPr>
      <w:sz w:val="18"/>
      <w:szCs w:val="18"/>
    </w:rPr>
  </w:style>
  <w:style w:type="paragraph" w:customStyle="1" w:styleId="198">
    <w:name w:val="正文 New New New New New New New New New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xl105"/>
    <w:basedOn w:val="1"/>
    <w:qFormat/>
    <w:uiPriority w:val="0"/>
    <w:pPr>
      <w:pBdr>
        <w:top w:val="single" w:color="auto" w:sz="4" w:space="0"/>
        <w:bottom w:val="single" w:color="auto" w:sz="4" w:space="0"/>
        <w:right w:val="single" w:color="auto" w:sz="4" w:space="0"/>
      </w:pBdr>
      <w:spacing w:before="100" w:beforeAutospacing="1" w:after="100" w:afterAutospacing="1"/>
    </w:pPr>
    <w:rPr>
      <w:rFonts w:hAnsi="宋体" w:cs="宋体"/>
      <w:b/>
      <w:bCs/>
    </w:rPr>
  </w:style>
  <w:style w:type="paragraph" w:customStyle="1" w:styleId="200">
    <w:name w:val="正文文本 (2)1"/>
    <w:basedOn w:val="1"/>
    <w:qFormat/>
    <w:uiPriority w:val="0"/>
    <w:pPr>
      <w:shd w:val="clear" w:color="auto" w:fill="FFFFFF"/>
      <w:spacing w:before="360" w:after="60" w:line="470" w:lineRule="exact"/>
      <w:ind w:hanging="680"/>
    </w:pPr>
    <w:rPr>
      <w:sz w:val="22"/>
      <w:szCs w:val="22"/>
    </w:rPr>
  </w:style>
  <w:style w:type="paragraph" w:customStyle="1" w:styleId="201">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02">
    <w:name w:val="font9"/>
    <w:basedOn w:val="1"/>
    <w:qFormat/>
    <w:uiPriority w:val="0"/>
    <w:pPr>
      <w:spacing w:before="100" w:beforeAutospacing="1" w:after="100" w:afterAutospacing="1"/>
    </w:pPr>
    <w:rPr>
      <w:rFonts w:hAnsi="宋体" w:cs="宋体"/>
      <w:sz w:val="18"/>
      <w:szCs w:val="18"/>
    </w:rPr>
  </w:style>
  <w:style w:type="paragraph" w:customStyle="1" w:styleId="203">
    <w:name w:val="页眉 New New New New New New New New"/>
    <w:basedOn w:val="204"/>
    <w:qFormat/>
    <w:uiPriority w:val="0"/>
    <w:pPr>
      <w:pBdr>
        <w:bottom w:val="single" w:color="auto" w:sz="6" w:space="1"/>
      </w:pBdr>
      <w:tabs>
        <w:tab w:val="center" w:pos="4153"/>
        <w:tab w:val="right" w:pos="8306"/>
      </w:tabs>
      <w:snapToGrid w:val="0"/>
      <w:jc w:val="center"/>
    </w:pPr>
    <w:rPr>
      <w:sz w:val="18"/>
      <w:szCs w:val="18"/>
    </w:rPr>
  </w:style>
  <w:style w:type="paragraph" w:customStyle="1" w:styleId="204">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正文缩进1"/>
    <w:basedOn w:val="1"/>
    <w:next w:val="1"/>
    <w:qFormat/>
    <w:uiPriority w:val="0"/>
    <w:pPr>
      <w:ind w:firstLine="420"/>
      <w:jc w:val="both"/>
    </w:pPr>
    <w:rPr>
      <w:color w:val="000000"/>
      <w:kern w:val="2"/>
      <w:sz w:val="21"/>
    </w:rPr>
  </w:style>
  <w:style w:type="paragraph" w:customStyle="1" w:styleId="206">
    <w:name w:val="页眉 New New New New New"/>
    <w:basedOn w:val="207"/>
    <w:qFormat/>
    <w:uiPriority w:val="0"/>
    <w:pPr>
      <w:pBdr>
        <w:bottom w:val="single" w:color="auto" w:sz="6" w:space="1"/>
      </w:pBdr>
      <w:tabs>
        <w:tab w:val="center" w:pos="4153"/>
        <w:tab w:val="right" w:pos="8306"/>
      </w:tabs>
      <w:snapToGrid w:val="0"/>
      <w:jc w:val="center"/>
    </w:pPr>
    <w:rPr>
      <w:sz w:val="18"/>
      <w:szCs w:val="18"/>
    </w:rPr>
  </w:style>
  <w:style w:type="paragraph" w:customStyle="1" w:styleId="207">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8">
    <w:name w:val="纯文本1"/>
    <w:basedOn w:val="1"/>
    <w:qFormat/>
    <w:uiPriority w:val="0"/>
    <w:pPr>
      <w:widowControl w:val="0"/>
      <w:adjustRightInd w:val="0"/>
      <w:jc w:val="both"/>
      <w:textAlignment w:val="baseline"/>
    </w:pPr>
    <w:rPr>
      <w:rFonts w:hAnsi="Courier New"/>
      <w:kern w:val="2"/>
      <w:sz w:val="21"/>
    </w:rPr>
  </w:style>
  <w:style w:type="paragraph" w:customStyle="1" w:styleId="209">
    <w:name w:val="Char"/>
    <w:basedOn w:val="1"/>
    <w:qFormat/>
    <w:uiPriority w:val="0"/>
    <w:pPr>
      <w:spacing w:after="160" w:line="240" w:lineRule="exact"/>
    </w:pPr>
    <w:rPr>
      <w:rFonts w:ascii="Tahoma" w:hAnsi="Tahoma"/>
      <w:kern w:val="2"/>
      <w:lang w:eastAsia="en-US"/>
    </w:rPr>
  </w:style>
  <w:style w:type="paragraph" w:customStyle="1" w:styleId="210">
    <w:name w:val="页眉 New New New New New New New New New New New New New New New New"/>
    <w:basedOn w:val="147"/>
    <w:qFormat/>
    <w:uiPriority w:val="0"/>
    <w:pPr>
      <w:pBdr>
        <w:bottom w:val="single" w:color="auto" w:sz="6" w:space="1"/>
      </w:pBdr>
      <w:tabs>
        <w:tab w:val="center" w:pos="4153"/>
        <w:tab w:val="right" w:pos="8306"/>
      </w:tabs>
      <w:snapToGrid w:val="0"/>
      <w:jc w:val="center"/>
    </w:pPr>
    <w:rPr>
      <w:sz w:val="18"/>
      <w:szCs w:val="18"/>
    </w:rPr>
  </w:style>
  <w:style w:type="paragraph" w:customStyle="1" w:styleId="21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2">
    <w:name w:val="页脚 New New New New New"/>
    <w:basedOn w:val="207"/>
    <w:qFormat/>
    <w:uiPriority w:val="0"/>
    <w:pPr>
      <w:tabs>
        <w:tab w:val="center" w:pos="4153"/>
        <w:tab w:val="right" w:pos="8306"/>
      </w:tabs>
      <w:snapToGrid w:val="0"/>
      <w:jc w:val="left"/>
    </w:pPr>
    <w:rPr>
      <w:sz w:val="18"/>
      <w:szCs w:val="18"/>
    </w:rPr>
  </w:style>
  <w:style w:type="paragraph" w:customStyle="1" w:styleId="213">
    <w:name w:val="xl70"/>
    <w:basedOn w:val="1"/>
    <w:qFormat/>
    <w:uiPriority w:val="0"/>
    <w:pPr>
      <w:spacing w:before="100" w:beforeAutospacing="1" w:after="100" w:afterAutospacing="1"/>
      <w:jc w:val="center"/>
    </w:pPr>
    <w:rPr>
      <w:rFonts w:hAnsi="宋体" w:cs="宋体"/>
    </w:rPr>
  </w:style>
  <w:style w:type="paragraph" w:customStyle="1" w:styleId="214">
    <w:name w:val="页眉 New New New New New New New New New New New"/>
    <w:basedOn w:val="215"/>
    <w:qFormat/>
    <w:uiPriority w:val="0"/>
    <w:pPr>
      <w:pBdr>
        <w:bottom w:val="single" w:color="auto" w:sz="6" w:space="1"/>
      </w:pBdr>
      <w:tabs>
        <w:tab w:val="center" w:pos="4153"/>
        <w:tab w:val="right" w:pos="8306"/>
      </w:tabs>
      <w:snapToGrid w:val="0"/>
      <w:jc w:val="center"/>
    </w:pPr>
    <w:rPr>
      <w:sz w:val="18"/>
      <w:szCs w:val="18"/>
    </w:rPr>
  </w:style>
  <w:style w:type="paragraph" w:customStyle="1" w:styleId="215">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6">
    <w:name w:val="xl72"/>
    <w:basedOn w:val="1"/>
    <w:qFormat/>
    <w:uiPriority w:val="0"/>
    <w:pPr>
      <w:spacing w:before="100" w:beforeAutospacing="1" w:after="100" w:afterAutospacing="1"/>
      <w:jc w:val="center"/>
    </w:pPr>
    <w:rPr>
      <w:rFonts w:hAnsi="宋体" w:cs="宋体"/>
    </w:rPr>
  </w:style>
  <w:style w:type="paragraph" w:customStyle="1" w:styleId="217">
    <w:name w:val="论文正文"/>
    <w:basedOn w:val="1"/>
    <w:qFormat/>
    <w:uiPriority w:val="0"/>
    <w:pPr>
      <w:widowControl w:val="0"/>
      <w:spacing w:line="300" w:lineRule="auto"/>
      <w:ind w:firstLine="200" w:firstLineChars="200"/>
      <w:jc w:val="both"/>
    </w:pPr>
    <w:rPr>
      <w:kern w:val="2"/>
    </w:rPr>
  </w:style>
  <w:style w:type="paragraph" w:customStyle="1" w:styleId="218">
    <w:name w:val="xl76"/>
    <w:basedOn w:val="1"/>
    <w:qFormat/>
    <w:uiPriority w:val="0"/>
    <w:pPr>
      <w:spacing w:before="100" w:beforeAutospacing="1" w:after="100" w:afterAutospacing="1"/>
      <w:jc w:val="center"/>
    </w:pPr>
    <w:rPr>
      <w:rFonts w:hAnsi="宋体" w:cs="宋体"/>
    </w:rPr>
  </w:style>
  <w:style w:type="paragraph" w:customStyle="1" w:styleId="219">
    <w:name w:val="xl115"/>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hAnsi="宋体" w:cs="宋体"/>
      <w:b/>
      <w:bCs/>
      <w:sz w:val="32"/>
      <w:szCs w:val="32"/>
    </w:rPr>
  </w:style>
  <w:style w:type="paragraph" w:customStyle="1" w:styleId="22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221">
    <w:name w:val="style6"/>
    <w:basedOn w:val="1"/>
    <w:qFormat/>
    <w:uiPriority w:val="0"/>
    <w:pPr>
      <w:spacing w:before="100" w:beforeAutospacing="1" w:after="100" w:afterAutospacing="1" w:line="375" w:lineRule="atLeast"/>
    </w:pPr>
    <w:rPr>
      <w:rFonts w:ascii="Arial" w:hAnsi="Arial" w:cs="Arial"/>
      <w:color w:val="003399"/>
      <w:sz w:val="18"/>
      <w:szCs w:val="18"/>
    </w:rPr>
  </w:style>
  <w:style w:type="paragraph" w:customStyle="1" w:styleId="222">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223">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sz w:val="20"/>
    </w:rPr>
  </w:style>
  <w:style w:type="paragraph" w:customStyle="1" w:styleId="224">
    <w:name w:val="black1"/>
    <w:basedOn w:val="1"/>
    <w:uiPriority w:val="0"/>
    <w:pPr>
      <w:spacing w:before="100" w:beforeAutospacing="1" w:after="100" w:afterAutospacing="1" w:line="280" w:lineRule="atLeast"/>
    </w:pPr>
    <w:rPr>
      <w:rFonts w:ascii="Arial" w:hAnsi="Arial" w:eastAsia="Arial Unicode MS"/>
      <w:color w:val="000000"/>
      <w:sz w:val="18"/>
    </w:rPr>
  </w:style>
  <w:style w:type="paragraph" w:customStyle="1" w:styleId="225">
    <w:name w:val="正文 首行缩进:  2 字符 Char Char"/>
    <w:basedOn w:val="1"/>
    <w:qFormat/>
    <w:uiPriority w:val="0"/>
    <w:pPr>
      <w:widowControl w:val="0"/>
      <w:spacing w:line="360" w:lineRule="auto"/>
      <w:ind w:firstLine="480"/>
      <w:jc w:val="both"/>
    </w:pPr>
    <w:rPr>
      <w:kern w:val="2"/>
    </w:rPr>
  </w:style>
  <w:style w:type="paragraph" w:customStyle="1" w:styleId="226">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227">
    <w:name w:val="默认段落字体 Para Char Char Char Char Char Char Char Char Char1 Char Char Char Char"/>
    <w:basedOn w:val="1"/>
    <w:qFormat/>
    <w:uiPriority w:val="0"/>
    <w:pPr>
      <w:widowControl w:val="0"/>
      <w:jc w:val="both"/>
    </w:pPr>
    <w:rPr>
      <w:rFonts w:ascii="Tahoma" w:hAnsi="Tahoma"/>
      <w:kern w:val="2"/>
    </w:rPr>
  </w:style>
  <w:style w:type="paragraph" w:customStyle="1" w:styleId="228">
    <w:name w:val="List Paragraph1"/>
    <w:basedOn w:val="1"/>
    <w:qFormat/>
    <w:uiPriority w:val="99"/>
    <w:pPr>
      <w:ind w:firstLine="420" w:firstLineChars="200"/>
    </w:pPr>
    <w:rPr>
      <w:szCs w:val="21"/>
    </w:rPr>
  </w:style>
  <w:style w:type="paragraph" w:customStyle="1" w:styleId="229">
    <w:name w:val="_Style 2"/>
    <w:basedOn w:val="1"/>
    <w:qFormat/>
    <w:uiPriority w:val="0"/>
    <w:pPr>
      <w:ind w:firstLine="420" w:firstLineChars="200"/>
    </w:pPr>
    <w:rPr>
      <w:sz w:val="18"/>
      <w:szCs w:val="18"/>
    </w:rPr>
  </w:style>
  <w:style w:type="paragraph" w:customStyle="1" w:styleId="230">
    <w:name w:val="页脚 New New New New New New New New"/>
    <w:basedOn w:val="204"/>
    <w:qFormat/>
    <w:uiPriority w:val="0"/>
    <w:pPr>
      <w:tabs>
        <w:tab w:val="center" w:pos="4153"/>
        <w:tab w:val="right" w:pos="8306"/>
      </w:tabs>
      <w:snapToGrid w:val="0"/>
      <w:jc w:val="left"/>
    </w:pPr>
    <w:rPr>
      <w:sz w:val="18"/>
      <w:szCs w:val="18"/>
    </w:rPr>
  </w:style>
  <w:style w:type="paragraph" w:customStyle="1" w:styleId="231">
    <w:name w:val="彩色列表11"/>
    <w:basedOn w:val="1"/>
    <w:qFormat/>
    <w:uiPriority w:val="0"/>
    <w:pPr>
      <w:ind w:firstLine="420" w:firstLineChars="200"/>
    </w:pPr>
    <w:rPr>
      <w:sz w:val="18"/>
      <w:szCs w:val="18"/>
    </w:rPr>
  </w:style>
  <w:style w:type="paragraph" w:customStyle="1" w:styleId="232">
    <w:name w:val="页脚 New New New New New New New New New New New"/>
    <w:basedOn w:val="215"/>
    <w:qFormat/>
    <w:uiPriority w:val="0"/>
    <w:pPr>
      <w:tabs>
        <w:tab w:val="center" w:pos="4153"/>
        <w:tab w:val="right" w:pos="8306"/>
      </w:tabs>
      <w:snapToGrid w:val="0"/>
      <w:jc w:val="left"/>
    </w:pPr>
    <w:rPr>
      <w:sz w:val="18"/>
      <w:szCs w:val="18"/>
    </w:rPr>
  </w:style>
  <w:style w:type="paragraph" w:customStyle="1" w:styleId="233">
    <w:name w:val="MM Topic 8"/>
    <w:basedOn w:val="10"/>
    <w:qFormat/>
    <w:uiPriority w:val="0"/>
    <w:pPr>
      <w:tabs>
        <w:tab w:val="left" w:pos="4394"/>
      </w:tabs>
    </w:pPr>
  </w:style>
  <w:style w:type="paragraph" w:customStyle="1" w:styleId="234">
    <w:name w:val="Char Char Char Char Char Char Char Char Char Char"/>
    <w:basedOn w:val="1"/>
    <w:qFormat/>
    <w:uiPriority w:val="0"/>
    <w:pPr>
      <w:widowControl w:val="0"/>
      <w:jc w:val="both"/>
    </w:pPr>
    <w:rPr>
      <w:rFonts w:ascii="Tahoma" w:hAnsi="Tahoma" w:cs="仿宋_GB2312"/>
      <w:kern w:val="2"/>
    </w:rPr>
  </w:style>
  <w:style w:type="paragraph" w:customStyle="1" w:styleId="235">
    <w:name w:val="页脚 New"/>
    <w:basedOn w:val="211"/>
    <w:qFormat/>
    <w:uiPriority w:val="0"/>
    <w:pPr>
      <w:tabs>
        <w:tab w:val="center" w:pos="4153"/>
        <w:tab w:val="right" w:pos="8306"/>
      </w:tabs>
      <w:snapToGrid w:val="0"/>
      <w:jc w:val="left"/>
    </w:pPr>
    <w:rPr>
      <w:sz w:val="18"/>
      <w:szCs w:val="18"/>
    </w:rPr>
  </w:style>
  <w:style w:type="paragraph" w:customStyle="1" w:styleId="236">
    <w:name w:val="大纲正文"/>
    <w:basedOn w:val="1"/>
    <w:qFormat/>
    <w:uiPriority w:val="0"/>
    <w:pPr>
      <w:widowControl w:val="0"/>
      <w:spacing w:line="360" w:lineRule="auto"/>
      <w:ind w:firstLine="480" w:firstLineChars="200"/>
      <w:jc w:val="both"/>
    </w:pPr>
    <w:rPr>
      <w:kern w:val="2"/>
    </w:rPr>
  </w:style>
  <w:style w:type="paragraph" w:customStyle="1" w:styleId="237">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23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239">
    <w:name w:val="样式 正文缩进 + 首行缩进:  2 字符"/>
    <w:basedOn w:val="13"/>
    <w:qFormat/>
    <w:uiPriority w:val="0"/>
    <w:pPr>
      <w:ind w:firstLine="480"/>
    </w:pPr>
    <w:rPr>
      <w:sz w:val="24"/>
      <w:szCs w:val="20"/>
    </w:rPr>
  </w:style>
  <w:style w:type="paragraph" w:customStyle="1" w:styleId="240">
    <w:name w:val="xl1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b/>
      <w:bCs/>
      <w:sz w:val="28"/>
      <w:szCs w:val="28"/>
    </w:rPr>
  </w:style>
  <w:style w:type="paragraph" w:customStyle="1" w:styleId="241">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242">
    <w:name w:val="xl112"/>
    <w:basedOn w:val="1"/>
    <w:qFormat/>
    <w:uiPriority w:val="0"/>
    <w:pPr>
      <w:pBdr>
        <w:top w:val="single" w:color="auto" w:sz="4" w:space="0"/>
        <w:bottom w:val="single" w:color="auto" w:sz="4" w:space="0"/>
        <w:right w:val="single" w:color="auto" w:sz="4" w:space="0"/>
      </w:pBdr>
      <w:spacing w:before="100" w:beforeAutospacing="1" w:after="100" w:afterAutospacing="1"/>
    </w:pPr>
    <w:rPr>
      <w:rFonts w:hAnsi="宋体" w:cs="宋体"/>
    </w:rPr>
  </w:style>
  <w:style w:type="paragraph" w:customStyle="1" w:styleId="243">
    <w:name w:val="页眉 New New New New New New New New New New New New New"/>
    <w:basedOn w:val="126"/>
    <w:qFormat/>
    <w:uiPriority w:val="0"/>
    <w:pPr>
      <w:pBdr>
        <w:bottom w:val="single" w:color="auto" w:sz="6" w:space="1"/>
      </w:pBdr>
      <w:tabs>
        <w:tab w:val="center" w:pos="4153"/>
        <w:tab w:val="right" w:pos="8306"/>
      </w:tabs>
      <w:snapToGrid w:val="0"/>
      <w:jc w:val="center"/>
    </w:pPr>
    <w:rPr>
      <w:sz w:val="18"/>
      <w:szCs w:val="18"/>
    </w:rPr>
  </w:style>
  <w:style w:type="paragraph" w:customStyle="1" w:styleId="244">
    <w:name w:val="样式 标题 1 + 宋体 居中 段前: 17 磅 段后: 16.5 磅"/>
    <w:basedOn w:val="3"/>
    <w:qFormat/>
    <w:uiPriority w:val="0"/>
    <w:pPr>
      <w:pageBreakBefore/>
      <w:numPr>
        <w:numId w:val="0"/>
      </w:numPr>
      <w:tabs>
        <w:tab w:val="left" w:pos="840"/>
        <w:tab w:val="clear" w:pos="425"/>
      </w:tabs>
      <w:ind w:left="840" w:hanging="420"/>
    </w:pPr>
    <w:rPr>
      <w:rFonts w:cs="宋体"/>
      <w:sz w:val="28"/>
      <w:szCs w:val="20"/>
    </w:rPr>
  </w:style>
  <w:style w:type="paragraph" w:customStyle="1" w:styleId="245">
    <w:name w:val="font12"/>
    <w:basedOn w:val="1"/>
    <w:qFormat/>
    <w:uiPriority w:val="0"/>
    <w:pPr>
      <w:spacing w:before="100" w:beforeAutospacing="1" w:after="100" w:afterAutospacing="1"/>
    </w:pPr>
    <w:rPr>
      <w:rFonts w:hAnsi="宋体" w:cs="宋体"/>
      <w:b/>
      <w:bCs/>
      <w:color w:val="000000"/>
      <w:sz w:val="20"/>
    </w:rPr>
  </w:style>
  <w:style w:type="paragraph" w:customStyle="1" w:styleId="246">
    <w:name w:val="WW-正文（首行缩进两字）"/>
    <w:basedOn w:val="1"/>
    <w:qFormat/>
    <w:uiPriority w:val="0"/>
    <w:pPr>
      <w:widowControl w:val="0"/>
      <w:autoSpaceDE w:val="0"/>
      <w:autoSpaceDN w:val="0"/>
      <w:adjustRightInd w:val="0"/>
      <w:ind w:firstLine="420"/>
      <w:jc w:val="both"/>
    </w:pPr>
    <w:rPr>
      <w:sz w:val="21"/>
      <w:szCs w:val="21"/>
    </w:rPr>
  </w:style>
  <w:style w:type="paragraph" w:customStyle="1" w:styleId="247">
    <w:name w:val="Char Char11"/>
    <w:basedOn w:val="1"/>
    <w:next w:val="1"/>
    <w:qFormat/>
    <w:uiPriority w:val="0"/>
    <w:pPr>
      <w:widowControl w:val="0"/>
      <w:spacing w:line="240" w:lineRule="atLeast"/>
      <w:ind w:left="420" w:firstLine="420"/>
    </w:pPr>
    <w:rPr>
      <w:rFonts w:ascii="楷体_GB2312" w:hAnsi="宋体" w:eastAsia="楷体_GB2312"/>
      <w:color w:val="000000"/>
      <w:sz w:val="28"/>
    </w:rPr>
  </w:style>
  <w:style w:type="paragraph" w:customStyle="1" w:styleId="248">
    <w:name w:val="页脚 New New New New New New New New New"/>
    <w:basedOn w:val="183"/>
    <w:qFormat/>
    <w:uiPriority w:val="0"/>
    <w:pPr>
      <w:tabs>
        <w:tab w:val="center" w:pos="4153"/>
        <w:tab w:val="right" w:pos="8306"/>
      </w:tabs>
      <w:snapToGrid w:val="0"/>
      <w:jc w:val="left"/>
    </w:pPr>
    <w:rPr>
      <w:sz w:val="18"/>
      <w:szCs w:val="18"/>
    </w:rPr>
  </w:style>
  <w:style w:type="paragraph" w:customStyle="1" w:styleId="24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250">
    <w:name w:val="正文2"/>
    <w:basedOn w:val="1"/>
    <w:qFormat/>
    <w:uiPriority w:val="0"/>
    <w:pPr>
      <w:widowControl w:val="0"/>
      <w:tabs>
        <w:tab w:val="left" w:pos="860"/>
      </w:tabs>
      <w:spacing w:line="440" w:lineRule="exact"/>
      <w:ind w:left="860" w:hanging="420"/>
      <w:jc w:val="both"/>
    </w:pPr>
    <w:rPr>
      <w:rFonts w:ascii="仿宋_GB2312" w:hAnsi="宋体" w:eastAsia="仿宋_GB2312"/>
      <w:spacing w:val="5"/>
      <w:kern w:val="2"/>
      <w:sz w:val="21"/>
    </w:rPr>
  </w:style>
  <w:style w:type="paragraph" w:customStyle="1" w:styleId="251">
    <w:name w:val="Char Char Char Char Char Char1 Char"/>
    <w:basedOn w:val="15"/>
    <w:qFormat/>
    <w:uiPriority w:val="0"/>
    <w:pPr>
      <w:widowControl w:val="0"/>
      <w:jc w:val="both"/>
    </w:pPr>
    <w:rPr>
      <w:rFonts w:ascii="Tahoma" w:hAnsi="Tahoma"/>
      <w:kern w:val="2"/>
    </w:rPr>
  </w:style>
  <w:style w:type="paragraph" w:customStyle="1" w:styleId="252">
    <w:name w:val="5-正文文字"/>
    <w:basedOn w:val="1"/>
    <w:qFormat/>
    <w:uiPriority w:val="0"/>
    <w:pPr>
      <w:autoSpaceDE w:val="0"/>
      <w:autoSpaceDN w:val="0"/>
      <w:adjustRightInd w:val="0"/>
      <w:spacing w:line="288" w:lineRule="auto"/>
      <w:ind w:firstLine="560" w:firstLineChars="200"/>
    </w:pPr>
    <w:rPr>
      <w:rFonts w:ascii="仿宋_GB2312" w:hAnsi="仿宋_GB2312" w:eastAsia="仿宋_GB2312" w:cs="仿宋_GB2312"/>
      <w:b/>
      <w:position w:val="-6"/>
      <w:sz w:val="28"/>
      <w:szCs w:val="28"/>
    </w:rPr>
  </w:style>
  <w:style w:type="paragraph" w:customStyle="1" w:styleId="25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254">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rPr>
  </w:style>
  <w:style w:type="paragraph" w:customStyle="1" w:styleId="255">
    <w:name w:val="Char Char Char Char"/>
    <w:basedOn w:val="1"/>
    <w:next w:val="1"/>
    <w:qFormat/>
    <w:uiPriority w:val="0"/>
    <w:pPr>
      <w:widowControl w:val="0"/>
      <w:spacing w:line="240" w:lineRule="atLeast"/>
      <w:ind w:left="420" w:firstLine="420"/>
    </w:pPr>
    <w:rPr>
      <w:sz w:val="21"/>
      <w:szCs w:val="21"/>
    </w:rPr>
  </w:style>
  <w:style w:type="paragraph" w:customStyle="1" w:styleId="256">
    <w:name w:val="8"/>
    <w:basedOn w:val="1"/>
    <w:qFormat/>
    <w:uiPriority w:val="0"/>
    <w:pPr>
      <w:spacing w:before="100" w:beforeAutospacing="1" w:after="100" w:afterAutospacing="1" w:line="432" w:lineRule="auto"/>
    </w:pPr>
    <w:rPr>
      <w:rFonts w:hAnsi="宋体"/>
      <w:szCs w:val="21"/>
    </w:rPr>
  </w:style>
  <w:style w:type="paragraph" w:customStyle="1" w:styleId="257">
    <w:name w:val="Char1"/>
    <w:basedOn w:val="1"/>
    <w:next w:val="1"/>
    <w:qFormat/>
    <w:uiPriority w:val="0"/>
    <w:pPr>
      <w:widowControl w:val="0"/>
      <w:spacing w:line="240" w:lineRule="atLeast"/>
      <w:ind w:left="420" w:firstLine="420"/>
    </w:pPr>
    <w:rPr>
      <w:sz w:val="21"/>
      <w:szCs w:val="21"/>
    </w:rPr>
  </w:style>
  <w:style w:type="paragraph" w:customStyle="1" w:styleId="258">
    <w:name w:val="页眉 New"/>
    <w:basedOn w:val="211"/>
    <w:qFormat/>
    <w:uiPriority w:val="0"/>
    <w:pPr>
      <w:pBdr>
        <w:bottom w:val="single" w:color="auto" w:sz="6" w:space="1"/>
      </w:pBdr>
      <w:tabs>
        <w:tab w:val="center" w:pos="4153"/>
        <w:tab w:val="right" w:pos="8306"/>
      </w:tabs>
      <w:snapToGrid w:val="0"/>
      <w:jc w:val="center"/>
    </w:pPr>
    <w:rPr>
      <w:sz w:val="18"/>
      <w:szCs w:val="18"/>
    </w:rPr>
  </w:style>
  <w:style w:type="paragraph" w:customStyle="1" w:styleId="259">
    <w:name w:val="正文序号 1"/>
    <w:basedOn w:val="1"/>
    <w:qFormat/>
    <w:uiPriority w:val="0"/>
    <w:pPr>
      <w:widowControl w:val="0"/>
      <w:numPr>
        <w:ilvl w:val="0"/>
        <w:numId w:val="4"/>
      </w:numPr>
      <w:tabs>
        <w:tab w:val="left" w:pos="839"/>
        <w:tab w:val="clear" w:pos="360"/>
      </w:tabs>
      <w:spacing w:before="60"/>
      <w:jc w:val="both"/>
    </w:pPr>
    <w:rPr>
      <w:kern w:val="2"/>
      <w:sz w:val="21"/>
    </w:rPr>
  </w:style>
  <w:style w:type="paragraph" w:customStyle="1" w:styleId="260">
    <w:name w:val="页眉 New New New New"/>
    <w:basedOn w:val="261"/>
    <w:qFormat/>
    <w:uiPriority w:val="0"/>
    <w:pPr>
      <w:pBdr>
        <w:bottom w:val="single" w:color="auto" w:sz="6" w:space="1"/>
      </w:pBdr>
      <w:tabs>
        <w:tab w:val="center" w:pos="4153"/>
        <w:tab w:val="right" w:pos="8306"/>
      </w:tabs>
      <w:snapToGrid w:val="0"/>
      <w:jc w:val="center"/>
    </w:pPr>
    <w:rPr>
      <w:sz w:val="18"/>
      <w:szCs w:val="18"/>
    </w:rPr>
  </w:style>
  <w:style w:type="paragraph" w:customStyle="1" w:styleId="261">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2">
    <w:name w:val="MM Topic 9"/>
    <w:basedOn w:val="11"/>
    <w:qFormat/>
    <w:uiPriority w:val="0"/>
    <w:pPr>
      <w:tabs>
        <w:tab w:val="left" w:pos="5102"/>
      </w:tabs>
    </w:pPr>
  </w:style>
  <w:style w:type="paragraph" w:customStyle="1" w:styleId="263">
    <w:name w:val="xl113"/>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hAnsi="宋体" w:cs="宋体"/>
      <w:b/>
      <w:bCs/>
      <w:sz w:val="32"/>
      <w:szCs w:val="32"/>
    </w:rPr>
  </w:style>
  <w:style w:type="paragraph" w:customStyle="1" w:styleId="264">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rPr>
  </w:style>
  <w:style w:type="paragraph" w:customStyle="1" w:styleId="26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6">
    <w:name w:val="样式2"/>
    <w:basedOn w:val="1"/>
    <w:qFormat/>
    <w:uiPriority w:val="0"/>
    <w:pPr>
      <w:widowControl w:val="0"/>
      <w:adjustRightInd w:val="0"/>
      <w:spacing w:line="410" w:lineRule="atLeast"/>
      <w:jc w:val="both"/>
      <w:textAlignment w:val="baseline"/>
    </w:pPr>
  </w:style>
  <w:style w:type="paragraph" w:customStyle="1" w:styleId="267">
    <w:name w:val="页眉 New New New New New New"/>
    <w:basedOn w:val="190"/>
    <w:qFormat/>
    <w:uiPriority w:val="0"/>
    <w:pPr>
      <w:pBdr>
        <w:bottom w:val="single" w:color="auto" w:sz="6" w:space="1"/>
      </w:pBdr>
      <w:tabs>
        <w:tab w:val="center" w:pos="4153"/>
        <w:tab w:val="right" w:pos="8306"/>
      </w:tabs>
      <w:snapToGrid w:val="0"/>
      <w:jc w:val="center"/>
    </w:pPr>
    <w:rPr>
      <w:sz w:val="18"/>
      <w:szCs w:val="18"/>
    </w:rPr>
  </w:style>
  <w:style w:type="paragraph" w:customStyle="1" w:styleId="268">
    <w:name w:val="页脚 New New"/>
    <w:basedOn w:val="168"/>
    <w:qFormat/>
    <w:uiPriority w:val="0"/>
    <w:pPr>
      <w:tabs>
        <w:tab w:val="center" w:pos="4153"/>
        <w:tab w:val="right" w:pos="8306"/>
      </w:tabs>
      <w:snapToGrid w:val="0"/>
      <w:jc w:val="left"/>
    </w:pPr>
    <w:rPr>
      <w:sz w:val="18"/>
      <w:szCs w:val="18"/>
    </w:rPr>
  </w:style>
  <w:style w:type="paragraph" w:customStyle="1" w:styleId="269">
    <w:name w:val="1 Char"/>
    <w:basedOn w:val="1"/>
    <w:qFormat/>
    <w:uiPriority w:val="0"/>
    <w:pPr>
      <w:spacing w:after="160" w:line="240" w:lineRule="exact"/>
    </w:pPr>
    <w:rPr>
      <w:rFonts w:ascii="Tahoma" w:hAnsi="Tahoma" w:eastAsia="Times New Roman"/>
      <w:lang w:eastAsia="en-US"/>
    </w:rPr>
  </w:style>
  <w:style w:type="paragraph" w:customStyle="1" w:styleId="270">
    <w:name w:val="标准正文"/>
    <w:basedOn w:val="1"/>
    <w:qFormat/>
    <w:uiPriority w:val="0"/>
    <w:pPr>
      <w:widowControl w:val="0"/>
      <w:adjustRightInd w:val="0"/>
      <w:spacing w:before="120" w:line="400" w:lineRule="atLeast"/>
      <w:ind w:firstLine="576"/>
      <w:textAlignment w:val="baseline"/>
    </w:pPr>
    <w:rPr>
      <w:rFonts w:eastAsia="楷体_GB2312"/>
      <w:sz w:val="28"/>
    </w:rPr>
  </w:style>
  <w:style w:type="paragraph" w:customStyle="1" w:styleId="271">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hAnsi="宋体"/>
      <w:sz w:val="22"/>
      <w:szCs w:val="22"/>
    </w:rPr>
  </w:style>
  <w:style w:type="paragraph" w:customStyle="1" w:styleId="272">
    <w:name w:val="标题样式"/>
    <w:basedOn w:val="1"/>
    <w:qFormat/>
    <w:uiPriority w:val="0"/>
    <w:pPr>
      <w:widowControl w:val="0"/>
      <w:tabs>
        <w:tab w:val="left" w:pos="420"/>
      </w:tabs>
      <w:spacing w:line="360" w:lineRule="auto"/>
      <w:jc w:val="both"/>
    </w:pPr>
    <w:rPr>
      <w:rFonts w:hAnsi="宋体"/>
      <w:kern w:val="2"/>
    </w:rPr>
  </w:style>
  <w:style w:type="paragraph" w:customStyle="1" w:styleId="273">
    <w:name w:val="标题 3 （加黑）"/>
    <w:basedOn w:val="5"/>
    <w:qFormat/>
    <w:uiPriority w:val="0"/>
    <w:pPr>
      <w:keepNext w:val="0"/>
      <w:numPr>
        <w:numId w:val="0"/>
      </w:numPr>
      <w:tabs>
        <w:tab w:val="clear" w:pos="900"/>
      </w:tabs>
      <w:spacing w:before="120" w:after="120" w:line="413" w:lineRule="auto"/>
      <w:ind w:left="354" w:hanging="354" w:hangingChars="150"/>
    </w:pPr>
    <w:rPr>
      <w:rFonts w:ascii="Times New Roman" w:hAnsi="Times New Roman"/>
      <w:sz w:val="24"/>
      <w:szCs w:val="32"/>
    </w:rPr>
  </w:style>
  <w:style w:type="paragraph" w:customStyle="1" w:styleId="274">
    <w:name w:val="pa-107"/>
    <w:basedOn w:val="1"/>
    <w:qFormat/>
    <w:uiPriority w:val="0"/>
    <w:pPr>
      <w:spacing w:line="360" w:lineRule="atLeast"/>
      <w:jc w:val="both"/>
    </w:pPr>
    <w:rPr>
      <w:rFonts w:hAnsi="宋体" w:cs="宋体"/>
    </w:rPr>
  </w:style>
  <w:style w:type="paragraph" w:customStyle="1" w:styleId="275">
    <w:name w:val="ptdl"/>
    <w:basedOn w:val="1"/>
    <w:qFormat/>
    <w:uiPriority w:val="0"/>
    <w:pPr>
      <w:widowControl w:val="0"/>
      <w:spacing w:after="156"/>
      <w:ind w:firstLine="480"/>
      <w:jc w:val="both"/>
    </w:pPr>
    <w:rPr>
      <w:kern w:val="2"/>
    </w:rPr>
  </w:style>
  <w:style w:type="paragraph" w:customStyle="1" w:styleId="276">
    <w:name w:val="正文2 Char"/>
    <w:basedOn w:val="1"/>
    <w:qFormat/>
    <w:uiPriority w:val="0"/>
    <w:pPr>
      <w:spacing w:line="360" w:lineRule="auto"/>
      <w:ind w:firstLine="520" w:firstLineChars="200"/>
    </w:pPr>
    <w:rPr>
      <w:rFonts w:hAnsi="宋体"/>
      <w:sz w:val="26"/>
      <w:szCs w:val="26"/>
    </w:rPr>
  </w:style>
  <w:style w:type="paragraph" w:customStyle="1" w:styleId="277">
    <w:name w:val="文章正文 Char Char1"/>
    <w:basedOn w:val="1"/>
    <w:qFormat/>
    <w:uiPriority w:val="0"/>
    <w:pPr>
      <w:widowControl w:val="0"/>
      <w:spacing w:line="360" w:lineRule="auto"/>
      <w:ind w:firstLine="420"/>
      <w:jc w:val="both"/>
    </w:pPr>
    <w:rPr>
      <w:kern w:val="2"/>
    </w:rPr>
  </w:style>
  <w:style w:type="paragraph" w:customStyle="1" w:styleId="278">
    <w:name w:val="标3"/>
    <w:basedOn w:val="1"/>
    <w:qFormat/>
    <w:uiPriority w:val="0"/>
    <w:pPr>
      <w:widowControl w:val="0"/>
      <w:tabs>
        <w:tab w:val="left" w:pos="1740"/>
      </w:tabs>
      <w:adjustRightInd w:val="0"/>
      <w:snapToGrid w:val="0"/>
      <w:spacing w:before="50"/>
      <w:ind w:left="1740" w:hanging="420"/>
      <w:jc w:val="both"/>
      <w:outlineLvl w:val="2"/>
    </w:pPr>
    <w:rPr>
      <w:rFonts w:ascii="Arial Narrow" w:hAnsi="Arial Narrow" w:eastAsia="仿宋_GB2312"/>
      <w:kern w:val="2"/>
      <w:sz w:val="28"/>
    </w:rPr>
  </w:style>
  <w:style w:type="paragraph" w:customStyle="1" w:styleId="279">
    <w:name w:val="MM Title"/>
    <w:basedOn w:val="1"/>
    <w:qFormat/>
    <w:uiPriority w:val="0"/>
    <w:pPr>
      <w:widowControl w:val="0"/>
      <w:spacing w:before="240" w:after="60"/>
      <w:jc w:val="center"/>
      <w:outlineLvl w:val="0"/>
    </w:pPr>
    <w:rPr>
      <w:rFonts w:ascii="Arial" w:hAnsi="Arial"/>
      <w:b/>
      <w:kern w:val="2"/>
      <w:sz w:val="32"/>
    </w:rPr>
  </w:style>
  <w:style w:type="paragraph" w:customStyle="1" w:styleId="280">
    <w:name w:val="p4"/>
    <w:basedOn w:val="1"/>
    <w:qFormat/>
    <w:uiPriority w:val="0"/>
    <w:pPr>
      <w:spacing w:before="100" w:beforeAutospacing="1" w:after="100" w:afterAutospacing="1" w:line="360" w:lineRule="auto"/>
      <w:ind w:firstLine="360"/>
    </w:pPr>
    <w:rPr>
      <w:rFonts w:hAnsi="宋体"/>
    </w:rPr>
  </w:style>
  <w:style w:type="paragraph" w:customStyle="1" w:styleId="281">
    <w:name w:val="页眉 New New New New New New New New New New New New New New"/>
    <w:basedOn w:val="172"/>
    <w:qFormat/>
    <w:uiPriority w:val="0"/>
    <w:pPr>
      <w:pBdr>
        <w:bottom w:val="single" w:color="auto" w:sz="6" w:space="1"/>
      </w:pBdr>
      <w:tabs>
        <w:tab w:val="center" w:pos="4153"/>
        <w:tab w:val="right" w:pos="8306"/>
      </w:tabs>
      <w:snapToGrid w:val="0"/>
      <w:jc w:val="center"/>
    </w:pPr>
    <w:rPr>
      <w:sz w:val="18"/>
      <w:szCs w:val="18"/>
    </w:rPr>
  </w:style>
  <w:style w:type="paragraph" w:customStyle="1" w:styleId="28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83">
    <w:name w:val="页眉 New New New New New New New New New New New New"/>
    <w:basedOn w:val="198"/>
    <w:qFormat/>
    <w:uiPriority w:val="0"/>
    <w:pPr>
      <w:pBdr>
        <w:bottom w:val="single" w:color="auto" w:sz="6" w:space="1"/>
      </w:pBdr>
      <w:tabs>
        <w:tab w:val="center" w:pos="4153"/>
        <w:tab w:val="right" w:pos="8306"/>
      </w:tabs>
      <w:snapToGrid w:val="0"/>
      <w:jc w:val="center"/>
    </w:pPr>
    <w:rPr>
      <w:sz w:val="18"/>
      <w:szCs w:val="18"/>
    </w:rPr>
  </w:style>
  <w:style w:type="paragraph" w:customStyle="1" w:styleId="284">
    <w:name w:val="页脚 New New New New"/>
    <w:basedOn w:val="261"/>
    <w:qFormat/>
    <w:uiPriority w:val="0"/>
    <w:pPr>
      <w:tabs>
        <w:tab w:val="center" w:pos="4153"/>
        <w:tab w:val="right" w:pos="8306"/>
      </w:tabs>
      <w:snapToGrid w:val="0"/>
      <w:jc w:val="left"/>
    </w:pPr>
    <w:rPr>
      <w:sz w:val="18"/>
      <w:szCs w:val="18"/>
    </w:rPr>
  </w:style>
  <w:style w:type="paragraph" w:customStyle="1" w:styleId="285">
    <w:name w:val="xl1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rPr>
  </w:style>
  <w:style w:type="paragraph" w:customStyle="1" w:styleId="286">
    <w:name w:val="2"/>
    <w:basedOn w:val="1"/>
    <w:qFormat/>
    <w:uiPriority w:val="0"/>
    <w:pPr>
      <w:spacing w:before="100" w:beforeAutospacing="1" w:after="100" w:afterAutospacing="1"/>
    </w:pPr>
    <w:rPr>
      <w:rFonts w:hAnsi="宋体"/>
      <w:sz w:val="21"/>
      <w:szCs w:val="21"/>
    </w:rPr>
  </w:style>
  <w:style w:type="paragraph" w:customStyle="1" w:styleId="287">
    <w:name w:val="标题3"/>
    <w:basedOn w:val="5"/>
    <w:qFormat/>
    <w:uiPriority w:val="0"/>
    <w:pPr>
      <w:keepNext w:val="0"/>
      <w:keepLines w:val="0"/>
      <w:numPr>
        <w:numId w:val="0"/>
      </w:numPr>
      <w:tabs>
        <w:tab w:val="left" w:pos="1843"/>
        <w:tab w:val="clear" w:pos="900"/>
      </w:tabs>
      <w:spacing w:before="0" w:after="0" w:line="240" w:lineRule="auto"/>
      <w:outlineLvl w:val="9"/>
    </w:pPr>
    <w:rPr>
      <w:rFonts w:ascii="Times New Roman" w:hAnsi="Times New Roman"/>
      <w:b w:val="0"/>
      <w:bCs w:val="0"/>
      <w:sz w:val="21"/>
      <w:szCs w:val="20"/>
    </w:rPr>
  </w:style>
  <w:style w:type="paragraph" w:customStyle="1" w:styleId="288">
    <w:name w:val="p0"/>
    <w:basedOn w:val="1"/>
    <w:qFormat/>
    <w:uiPriority w:val="0"/>
    <w:pPr>
      <w:jc w:val="both"/>
    </w:pPr>
    <w:rPr>
      <w:sz w:val="21"/>
    </w:rPr>
  </w:style>
  <w:style w:type="paragraph" w:customStyle="1" w:styleId="289">
    <w:name w:val="正文 A A"/>
    <w:qFormat/>
    <w:uiPriority w:val="99"/>
    <w:pPr>
      <w:widowControl w:val="0"/>
      <w:jc w:val="both"/>
    </w:pPr>
    <w:rPr>
      <w:rFonts w:ascii="Times New Roman" w:hAnsi="Times New Roman" w:eastAsia="Arial Unicode MS" w:cs="Calibri"/>
      <w:color w:val="000000"/>
      <w:kern w:val="2"/>
      <w:sz w:val="32"/>
      <w:szCs w:val="32"/>
      <w:lang w:val="en-US" w:eastAsia="zh-CN" w:bidi="ar-SA"/>
    </w:rPr>
  </w:style>
  <w:style w:type="paragraph" w:customStyle="1" w:styleId="290">
    <w:name w:val="样式"/>
    <w:qFormat/>
    <w:uiPriority w:val="99"/>
    <w:pPr>
      <w:widowControl w:val="0"/>
      <w:autoSpaceDE w:val="0"/>
      <w:autoSpaceDN w:val="0"/>
      <w:adjustRightInd w:val="0"/>
    </w:pPr>
    <w:rPr>
      <w:rFonts w:ascii="Courier New" w:hAnsi="Courier New" w:eastAsia="宋体" w:cs="Courier New"/>
      <w:sz w:val="24"/>
      <w:szCs w:val="24"/>
      <w:lang w:val="en-US" w:eastAsia="zh-CN" w:bidi="ar-SA"/>
    </w:rPr>
  </w:style>
  <w:style w:type="paragraph" w:customStyle="1" w:styleId="291">
    <w:name w:val="页脚 New New New"/>
    <w:basedOn w:val="131"/>
    <w:qFormat/>
    <w:uiPriority w:val="0"/>
    <w:pPr>
      <w:tabs>
        <w:tab w:val="center" w:pos="4153"/>
        <w:tab w:val="right" w:pos="8306"/>
      </w:tabs>
      <w:snapToGrid w:val="0"/>
      <w:jc w:val="left"/>
    </w:pPr>
    <w:rPr>
      <w:sz w:val="18"/>
      <w:szCs w:val="18"/>
    </w:rPr>
  </w:style>
  <w:style w:type="paragraph" w:customStyle="1" w:styleId="292">
    <w:name w:val="Char1 Char Char Char"/>
    <w:basedOn w:val="1"/>
    <w:next w:val="1"/>
    <w:qFormat/>
    <w:uiPriority w:val="0"/>
    <w:pPr>
      <w:widowControl w:val="0"/>
      <w:spacing w:line="240" w:lineRule="atLeast"/>
      <w:ind w:left="420" w:firstLine="420"/>
    </w:pPr>
    <w:rPr>
      <w:sz w:val="21"/>
    </w:rPr>
  </w:style>
  <w:style w:type="paragraph" w:customStyle="1" w:styleId="293">
    <w:name w:val="样式 首行缩进:  2 字符"/>
    <w:basedOn w:val="1"/>
    <w:qFormat/>
    <w:uiPriority w:val="0"/>
    <w:pPr>
      <w:widowControl w:val="0"/>
      <w:ind w:firstLine="420" w:firstLineChars="200"/>
      <w:jc w:val="both"/>
    </w:pPr>
    <w:rPr>
      <w:rFonts w:cs="宋体"/>
      <w:kern w:val="2"/>
      <w:sz w:val="21"/>
    </w:rPr>
  </w:style>
  <w:style w:type="paragraph" w:customStyle="1" w:styleId="294">
    <w:name w:val="表格"/>
    <w:basedOn w:val="1"/>
    <w:qFormat/>
    <w:uiPriority w:val="0"/>
    <w:pPr>
      <w:widowControl w:val="0"/>
      <w:spacing w:line="400" w:lineRule="exact"/>
      <w:jc w:val="both"/>
    </w:pPr>
    <w:rPr>
      <w:kern w:val="2"/>
    </w:rPr>
  </w:style>
  <w:style w:type="paragraph" w:customStyle="1" w:styleId="295">
    <w:name w:val="MM Topic 1"/>
    <w:basedOn w:val="3"/>
    <w:qFormat/>
    <w:uiPriority w:val="0"/>
    <w:pPr>
      <w:widowControl w:val="0"/>
      <w:numPr>
        <w:numId w:val="0"/>
      </w:numPr>
      <w:tabs>
        <w:tab w:val="clear" w:pos="425"/>
      </w:tabs>
      <w:spacing w:line="576" w:lineRule="auto"/>
    </w:pPr>
    <w:rPr>
      <w:rFonts w:ascii="Times New Roman" w:hAnsi="Times New Roman"/>
      <w:bCs w:val="0"/>
      <w:sz w:val="44"/>
      <w:szCs w:val="20"/>
    </w:rPr>
  </w:style>
  <w:style w:type="paragraph" w:customStyle="1" w:styleId="296">
    <w:name w:val="Char Char1 Char Char Char Char Char Char Char Char Char Char Char Char Char Char Char"/>
    <w:basedOn w:val="1"/>
    <w:qFormat/>
    <w:uiPriority w:val="0"/>
    <w:pPr>
      <w:spacing w:after="160" w:line="240" w:lineRule="exact"/>
    </w:pPr>
    <w:rPr>
      <w:rFonts w:ascii="Verdana" w:hAnsi="Verdana"/>
      <w:sz w:val="20"/>
      <w:lang w:eastAsia="en-US"/>
    </w:rPr>
  </w:style>
  <w:style w:type="paragraph" w:customStyle="1" w:styleId="297">
    <w:name w:val="默认段落字体 Para Char Char"/>
    <w:basedOn w:val="1"/>
    <w:qFormat/>
    <w:uiPriority w:val="0"/>
    <w:pPr>
      <w:widowControl w:val="0"/>
      <w:jc w:val="both"/>
    </w:pPr>
    <w:rPr>
      <w:kern w:val="2"/>
      <w:sz w:val="21"/>
    </w:rPr>
  </w:style>
  <w:style w:type="paragraph" w:customStyle="1" w:styleId="298">
    <w:name w:val="CM106"/>
    <w:basedOn w:val="180"/>
    <w:next w:val="180"/>
    <w:unhideWhenUsed/>
    <w:qFormat/>
    <w:uiPriority w:val="99"/>
    <w:rPr>
      <w:rFonts w:hint="eastAsia"/>
    </w:rPr>
  </w:style>
  <w:style w:type="paragraph" w:customStyle="1" w:styleId="299">
    <w:name w:val="xl103"/>
    <w:basedOn w:val="1"/>
    <w:qFormat/>
    <w:uiPriority w:val="0"/>
    <w:pPr>
      <w:pBdr>
        <w:top w:val="single" w:color="auto" w:sz="4" w:space="0"/>
        <w:bottom w:val="single" w:color="auto" w:sz="4" w:space="0"/>
        <w:right w:val="single" w:color="auto" w:sz="4" w:space="0"/>
      </w:pBdr>
      <w:spacing w:before="100" w:beforeAutospacing="1" w:after="100" w:afterAutospacing="1"/>
    </w:pPr>
    <w:rPr>
      <w:rFonts w:hAnsi="宋体" w:cs="宋体"/>
      <w:b/>
      <w:bCs/>
      <w:sz w:val="28"/>
      <w:szCs w:val="28"/>
    </w:rPr>
  </w:style>
  <w:style w:type="paragraph" w:customStyle="1" w:styleId="300">
    <w:name w:val="Char Char1 Char Char Char Char Char Char Char Char Char Char Char Char Char Char"/>
    <w:basedOn w:val="1"/>
    <w:qFormat/>
    <w:uiPriority w:val="0"/>
    <w:pPr>
      <w:spacing w:after="160" w:line="240" w:lineRule="exact"/>
    </w:pPr>
    <w:rPr>
      <w:rFonts w:ascii="Verdana" w:hAnsi="Verdana"/>
      <w:sz w:val="20"/>
      <w:lang w:eastAsia="en-US"/>
    </w:rPr>
  </w:style>
  <w:style w:type="paragraph" w:customStyle="1" w:styleId="301">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2">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303">
    <w:name w:val="样式 标题 2proj2proj21proj22proj23proj24proj25proj26proj27p...1"/>
    <w:basedOn w:val="4"/>
    <w:qFormat/>
    <w:uiPriority w:val="0"/>
    <w:pPr>
      <w:keepNext w:val="0"/>
      <w:keepLines w:val="0"/>
      <w:adjustRightInd w:val="0"/>
      <w:spacing w:before="0" w:after="0" w:line="360" w:lineRule="exact"/>
      <w:textAlignment w:val="baseline"/>
      <w:outlineLvl w:val="9"/>
    </w:pPr>
    <w:rPr>
      <w:rFonts w:ascii="Times New Roman" w:hAnsi="Times New Roman" w:cs="Times New Roman"/>
      <w:b w:val="0"/>
      <w:bCs w:val="0"/>
      <w:iCs w:val="0"/>
      <w:kern w:val="2"/>
      <w:sz w:val="24"/>
      <w:szCs w:val="20"/>
    </w:rPr>
  </w:style>
  <w:style w:type="paragraph" w:customStyle="1" w:styleId="304">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b/>
      <w:bCs/>
    </w:rPr>
  </w:style>
  <w:style w:type="paragraph" w:customStyle="1" w:styleId="3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rPr>
  </w:style>
  <w:style w:type="paragraph" w:customStyle="1" w:styleId="306">
    <w:name w:val="font7"/>
    <w:basedOn w:val="1"/>
    <w:qFormat/>
    <w:uiPriority w:val="0"/>
    <w:pPr>
      <w:spacing w:before="100" w:beforeAutospacing="1" w:after="100" w:afterAutospacing="1"/>
    </w:pPr>
    <w:rPr>
      <w:rFonts w:hAnsi="宋体" w:cs="宋体"/>
      <w:color w:val="000000"/>
      <w:sz w:val="22"/>
      <w:szCs w:val="22"/>
    </w:rPr>
  </w:style>
  <w:style w:type="paragraph" w:customStyle="1" w:styleId="307">
    <w:name w:val="xl9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hAnsi="宋体" w:cs="宋体"/>
      <w:sz w:val="20"/>
    </w:rPr>
  </w:style>
  <w:style w:type="paragraph" w:customStyle="1" w:styleId="308">
    <w:name w:val="正文序号 4"/>
    <w:basedOn w:val="1"/>
    <w:qFormat/>
    <w:uiPriority w:val="0"/>
    <w:pPr>
      <w:widowControl w:val="0"/>
      <w:numPr>
        <w:ilvl w:val="3"/>
        <w:numId w:val="4"/>
      </w:numPr>
      <w:tabs>
        <w:tab w:val="left" w:pos="1469"/>
        <w:tab w:val="clear" w:pos="1680"/>
      </w:tabs>
      <w:spacing w:before="60"/>
      <w:jc w:val="both"/>
    </w:pPr>
    <w:rPr>
      <w:kern w:val="2"/>
      <w:sz w:val="21"/>
    </w:rPr>
  </w:style>
  <w:style w:type="paragraph" w:customStyle="1" w:styleId="309">
    <w:name w:val="Char Char Char Char Char Char Char Char Char"/>
    <w:basedOn w:val="1"/>
    <w:qFormat/>
    <w:uiPriority w:val="0"/>
    <w:pPr>
      <w:spacing w:after="160" w:line="240" w:lineRule="exact"/>
    </w:pPr>
    <w:rPr>
      <w:rFonts w:ascii="Verdana" w:hAnsi="Verdana" w:eastAsia="仿宋_GB2312"/>
      <w:lang w:eastAsia="en-US"/>
    </w:rPr>
  </w:style>
  <w:style w:type="paragraph" w:customStyle="1" w:styleId="310">
    <w:name w:val="页脚 New New New New New New New New New New New New New New"/>
    <w:basedOn w:val="172"/>
    <w:qFormat/>
    <w:uiPriority w:val="0"/>
    <w:pPr>
      <w:tabs>
        <w:tab w:val="center" w:pos="4153"/>
        <w:tab w:val="right" w:pos="8306"/>
      </w:tabs>
      <w:snapToGrid w:val="0"/>
      <w:jc w:val="left"/>
    </w:pPr>
    <w:rPr>
      <w:sz w:val="18"/>
      <w:szCs w:val="18"/>
    </w:rPr>
  </w:style>
  <w:style w:type="paragraph" w:customStyle="1" w:styleId="311">
    <w:name w:val="样式 右侧:  1 字符1"/>
    <w:basedOn w:val="1"/>
    <w:qFormat/>
    <w:uiPriority w:val="0"/>
    <w:pPr>
      <w:widowControl w:val="0"/>
      <w:ind w:left="240" w:leftChars="100" w:right="100" w:rightChars="100"/>
      <w:jc w:val="both"/>
    </w:pPr>
    <w:rPr>
      <w:rFonts w:eastAsia="仿宋_GB2312"/>
      <w:kern w:val="2"/>
      <w:sz w:val="28"/>
    </w:rPr>
  </w:style>
  <w:style w:type="paragraph" w:customStyle="1" w:styleId="312">
    <w:name w:val="Char1 Char Char Char Char Char Char"/>
    <w:basedOn w:val="1"/>
    <w:qFormat/>
    <w:uiPriority w:val="0"/>
    <w:pPr>
      <w:widowControl w:val="0"/>
      <w:jc w:val="both"/>
    </w:pPr>
    <w:rPr>
      <w:rFonts w:ascii="Tahoma" w:hAnsi="Tahoma"/>
      <w:kern w:val="2"/>
    </w:rPr>
  </w:style>
  <w:style w:type="paragraph" w:customStyle="1" w:styleId="313">
    <w:name w:val="默认段落字体 Para Char Char Char Char"/>
    <w:basedOn w:val="1"/>
    <w:qFormat/>
    <w:uiPriority w:val="0"/>
    <w:pPr>
      <w:widowControl w:val="0"/>
      <w:jc w:val="both"/>
    </w:pPr>
    <w:rPr>
      <w:kern w:val="2"/>
      <w:sz w:val="21"/>
    </w:rPr>
  </w:style>
  <w:style w:type="paragraph" w:customStyle="1" w:styleId="314">
    <w:name w:val="表格题注"/>
    <w:next w:val="1"/>
    <w:qFormat/>
    <w:uiPriority w:val="0"/>
    <w:pPr>
      <w:keepLines/>
      <w:numPr>
        <w:ilvl w:val="8"/>
        <w:numId w:val="1"/>
      </w:numPr>
      <w:tabs>
        <w:tab w:val="left" w:pos="1559"/>
        <w:tab w:val="clear" w:pos="5399"/>
      </w:tabs>
      <w:spacing w:beforeLines="100"/>
      <w:jc w:val="center"/>
    </w:pPr>
    <w:rPr>
      <w:rFonts w:ascii="Arial" w:hAnsi="Arial" w:eastAsia="宋体" w:cs="Times New Roman"/>
      <w:sz w:val="18"/>
      <w:lang w:val="en-US" w:eastAsia="zh-CN" w:bidi="ar-SA"/>
    </w:rPr>
  </w:style>
  <w:style w:type="paragraph" w:customStyle="1" w:styleId="315">
    <w:name w:val="style3"/>
    <w:basedOn w:val="1"/>
    <w:qFormat/>
    <w:uiPriority w:val="0"/>
    <w:pPr>
      <w:spacing w:before="100" w:beforeAutospacing="1" w:after="100" w:afterAutospacing="1" w:line="450" w:lineRule="atLeast"/>
    </w:pPr>
    <w:rPr>
      <w:rFonts w:ascii="Arial" w:hAnsi="Arial" w:cs="Arial"/>
      <w:b/>
      <w:bCs/>
      <w:sz w:val="21"/>
      <w:szCs w:val="21"/>
    </w:rPr>
  </w:style>
  <w:style w:type="paragraph" w:customStyle="1" w:styleId="316">
    <w:name w:val="Char2 Char Char Char"/>
    <w:basedOn w:val="1"/>
    <w:qFormat/>
    <w:uiPriority w:val="0"/>
    <w:pPr>
      <w:widowControl w:val="0"/>
      <w:jc w:val="both"/>
    </w:pPr>
    <w:rPr>
      <w:rFonts w:ascii="仿宋_GB2312"/>
      <w:b/>
      <w:kern w:val="2"/>
      <w:sz w:val="30"/>
    </w:rPr>
  </w:style>
  <w:style w:type="paragraph" w:customStyle="1" w:styleId="317">
    <w:name w:val="页眉 New New New New New New New"/>
    <w:basedOn w:val="135"/>
    <w:qFormat/>
    <w:uiPriority w:val="0"/>
    <w:pPr>
      <w:pBdr>
        <w:bottom w:val="single" w:color="auto" w:sz="6" w:space="1"/>
      </w:pBdr>
      <w:tabs>
        <w:tab w:val="center" w:pos="4153"/>
        <w:tab w:val="right" w:pos="8306"/>
      </w:tabs>
      <w:snapToGrid w:val="0"/>
      <w:jc w:val="center"/>
    </w:pPr>
    <w:rPr>
      <w:sz w:val="18"/>
      <w:szCs w:val="18"/>
    </w:rPr>
  </w:style>
  <w:style w:type="paragraph" w:customStyle="1" w:styleId="318">
    <w:name w:val="Char21"/>
    <w:basedOn w:val="1"/>
    <w:next w:val="1"/>
    <w:qFormat/>
    <w:uiPriority w:val="0"/>
    <w:pPr>
      <w:widowControl w:val="0"/>
      <w:spacing w:line="240" w:lineRule="atLeast"/>
      <w:ind w:left="420" w:firstLine="420"/>
    </w:pPr>
    <w:rPr>
      <w:kern w:val="2"/>
    </w:rPr>
  </w:style>
  <w:style w:type="paragraph" w:customStyle="1" w:styleId="319">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sz w:val="20"/>
    </w:rPr>
  </w:style>
  <w:style w:type="paragraph" w:customStyle="1" w:styleId="320">
    <w:name w:val="文章正文 Char Char1 Char"/>
    <w:basedOn w:val="1"/>
    <w:qFormat/>
    <w:uiPriority w:val="0"/>
    <w:pPr>
      <w:widowControl w:val="0"/>
      <w:spacing w:line="360" w:lineRule="auto"/>
      <w:ind w:firstLine="420"/>
      <w:jc w:val="both"/>
    </w:pPr>
    <w:rPr>
      <w:kern w:val="2"/>
    </w:rPr>
  </w:style>
  <w:style w:type="paragraph" w:customStyle="1" w:styleId="321">
    <w:name w:val="MM Topic 4"/>
    <w:basedOn w:val="6"/>
    <w:qFormat/>
    <w:uiPriority w:val="0"/>
    <w:pPr>
      <w:keepLines/>
      <w:widowControl w:val="0"/>
      <w:tabs>
        <w:tab w:val="left" w:pos="1984"/>
      </w:tabs>
      <w:spacing w:before="280" w:after="290" w:line="372" w:lineRule="auto"/>
      <w:jc w:val="both"/>
    </w:pPr>
    <w:rPr>
      <w:rFonts w:ascii="宋体" w:hAnsi="宋体"/>
      <w:bCs w:val="0"/>
      <w:kern w:val="2"/>
      <w:szCs w:val="20"/>
    </w:rPr>
  </w:style>
  <w:style w:type="paragraph" w:customStyle="1" w:styleId="322">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hAnsi="宋体" w:cs="宋体"/>
      <w:sz w:val="20"/>
    </w:rPr>
  </w:style>
  <w:style w:type="paragraph" w:customStyle="1" w:styleId="323">
    <w:name w:val="MM Topic 5"/>
    <w:basedOn w:val="7"/>
    <w:qFormat/>
    <w:uiPriority w:val="0"/>
    <w:pPr>
      <w:numPr>
        <w:numId w:val="0"/>
      </w:numPr>
      <w:tabs>
        <w:tab w:val="left" w:pos="2551"/>
      </w:tabs>
      <w:autoSpaceDE/>
      <w:autoSpaceDN/>
      <w:adjustRightInd/>
      <w:spacing w:line="372" w:lineRule="auto"/>
    </w:pPr>
    <w:rPr>
      <w:bCs w:val="0"/>
      <w:kern w:val="2"/>
      <w:szCs w:val="20"/>
    </w:rPr>
  </w:style>
  <w:style w:type="paragraph" w:customStyle="1" w:styleId="324">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rPr>
  </w:style>
  <w:style w:type="paragraph" w:customStyle="1" w:styleId="325">
    <w:name w:val="xl78"/>
    <w:basedOn w:val="1"/>
    <w:qFormat/>
    <w:uiPriority w:val="0"/>
    <w:pPr>
      <w:spacing w:before="100" w:beforeAutospacing="1" w:after="100" w:afterAutospacing="1"/>
      <w:jc w:val="center"/>
    </w:pPr>
    <w:rPr>
      <w:rFonts w:hAnsi="宋体" w:cs="宋体"/>
    </w:rPr>
  </w:style>
  <w:style w:type="paragraph" w:customStyle="1" w:styleId="326">
    <w:name w:val="Char2"/>
    <w:basedOn w:val="1"/>
    <w:qFormat/>
    <w:uiPriority w:val="0"/>
    <w:pPr>
      <w:widowControl w:val="0"/>
      <w:jc w:val="both"/>
    </w:pPr>
    <w:rPr>
      <w:kern w:val="2"/>
      <w:sz w:val="21"/>
    </w:rPr>
  </w:style>
  <w:style w:type="paragraph" w:customStyle="1" w:styleId="327">
    <w:name w:val="彩色列表1"/>
    <w:basedOn w:val="1"/>
    <w:qFormat/>
    <w:uiPriority w:val="0"/>
    <w:pPr>
      <w:widowControl w:val="0"/>
      <w:ind w:firstLine="420" w:firstLineChars="200"/>
      <w:jc w:val="both"/>
    </w:pPr>
    <w:rPr>
      <w:rFonts w:ascii="Calibri" w:hAnsi="Calibri"/>
      <w:kern w:val="2"/>
      <w:sz w:val="21"/>
      <w:szCs w:val="22"/>
    </w:rPr>
  </w:style>
  <w:style w:type="paragraph" w:customStyle="1" w:styleId="328">
    <w:name w:val="页眉 New New New New New New New New New New"/>
    <w:basedOn w:val="161"/>
    <w:qFormat/>
    <w:uiPriority w:val="0"/>
    <w:pPr>
      <w:pBdr>
        <w:bottom w:val="single" w:color="auto" w:sz="6" w:space="1"/>
      </w:pBdr>
      <w:tabs>
        <w:tab w:val="center" w:pos="4153"/>
        <w:tab w:val="right" w:pos="8306"/>
      </w:tabs>
      <w:snapToGrid w:val="0"/>
      <w:jc w:val="center"/>
    </w:pPr>
    <w:rPr>
      <w:sz w:val="18"/>
      <w:szCs w:val="18"/>
    </w:rPr>
  </w:style>
  <w:style w:type="paragraph" w:customStyle="1" w:styleId="329">
    <w:name w:val="Char11"/>
    <w:basedOn w:val="1"/>
    <w:next w:val="1"/>
    <w:qFormat/>
    <w:uiPriority w:val="0"/>
    <w:pPr>
      <w:widowControl w:val="0"/>
      <w:spacing w:line="240" w:lineRule="atLeast"/>
      <w:ind w:left="420" w:firstLine="420"/>
    </w:pPr>
    <w:rPr>
      <w:sz w:val="21"/>
      <w:szCs w:val="21"/>
    </w:rPr>
  </w:style>
  <w:style w:type="paragraph" w:customStyle="1" w:styleId="330">
    <w:name w:val="xl111"/>
    <w:basedOn w:val="1"/>
    <w:qFormat/>
    <w:uiPriority w:val="0"/>
    <w:pPr>
      <w:pBdr>
        <w:top w:val="single" w:color="auto" w:sz="4" w:space="0"/>
        <w:left w:val="single" w:color="auto" w:sz="4" w:space="0"/>
        <w:bottom w:val="single" w:color="auto" w:sz="4" w:space="0"/>
      </w:pBdr>
      <w:spacing w:before="100" w:beforeAutospacing="1" w:after="100" w:afterAutospacing="1"/>
    </w:pPr>
    <w:rPr>
      <w:rFonts w:hAnsi="宋体" w:cs="宋体"/>
    </w:rPr>
  </w:style>
  <w:style w:type="paragraph" w:customStyle="1" w:styleId="331">
    <w:name w:val="条目正文"/>
    <w:basedOn w:val="1"/>
    <w:qFormat/>
    <w:uiPriority w:val="0"/>
    <w:pPr>
      <w:widowControl w:val="0"/>
      <w:numPr>
        <w:ilvl w:val="0"/>
        <w:numId w:val="6"/>
      </w:numPr>
      <w:tabs>
        <w:tab w:val="left" w:pos="1050"/>
        <w:tab w:val="clear" w:pos="1230"/>
      </w:tabs>
      <w:spacing w:after="120" w:line="360" w:lineRule="auto"/>
      <w:ind w:left="1050" w:hanging="450"/>
      <w:jc w:val="both"/>
    </w:pPr>
    <w:rPr>
      <w:rFonts w:hAnsi="Arial" w:cs="Arial"/>
    </w:rPr>
  </w:style>
  <w:style w:type="paragraph" w:customStyle="1" w:styleId="332">
    <w:name w:val="页脚 New New New New New New"/>
    <w:basedOn w:val="190"/>
    <w:qFormat/>
    <w:uiPriority w:val="0"/>
    <w:pPr>
      <w:tabs>
        <w:tab w:val="center" w:pos="4153"/>
        <w:tab w:val="right" w:pos="8306"/>
      </w:tabs>
      <w:snapToGrid w:val="0"/>
      <w:jc w:val="left"/>
    </w:pPr>
    <w:rPr>
      <w:sz w:val="18"/>
      <w:szCs w:val="18"/>
    </w:rPr>
  </w:style>
  <w:style w:type="paragraph" w:customStyle="1" w:styleId="333">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sz w:val="20"/>
    </w:rPr>
  </w:style>
  <w:style w:type="paragraph" w:customStyle="1" w:styleId="334">
    <w:name w:val="表格文字"/>
    <w:basedOn w:val="1"/>
    <w:qFormat/>
    <w:uiPriority w:val="0"/>
    <w:pPr>
      <w:widowControl w:val="0"/>
      <w:spacing w:beforeLines="25" w:afterLines="25"/>
      <w:jc w:val="both"/>
    </w:pPr>
    <w:rPr>
      <w:rFonts w:ascii="Times New (W1)" w:hAnsi="Times New (W1)"/>
      <w:spacing w:val="10"/>
      <w:kern w:val="2"/>
      <w:sz w:val="21"/>
    </w:rPr>
  </w:style>
  <w:style w:type="paragraph" w:customStyle="1" w:styleId="33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rPr>
  </w:style>
  <w:style w:type="paragraph" w:customStyle="1" w:styleId="336">
    <w:name w:val="xl77"/>
    <w:basedOn w:val="1"/>
    <w:qFormat/>
    <w:uiPriority w:val="0"/>
    <w:pPr>
      <w:spacing w:before="100" w:beforeAutospacing="1" w:after="100" w:afterAutospacing="1"/>
      <w:jc w:val="center"/>
    </w:pPr>
    <w:rPr>
      <w:rFonts w:hAnsi="宋体" w:cs="宋体"/>
    </w:rPr>
  </w:style>
  <w:style w:type="paragraph" w:customStyle="1" w:styleId="337">
    <w:name w:val="xl79"/>
    <w:basedOn w:val="1"/>
    <w:qFormat/>
    <w:uiPriority w:val="0"/>
    <w:pPr>
      <w:spacing w:before="100" w:beforeAutospacing="1" w:after="100" w:afterAutospacing="1"/>
      <w:jc w:val="center"/>
    </w:pPr>
    <w:rPr>
      <w:rFonts w:hAnsi="宋体" w:cs="宋体"/>
    </w:rPr>
  </w:style>
  <w:style w:type="paragraph" w:customStyle="1" w:styleId="338">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39">
    <w:name w:val="xl1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Ansi="宋体" w:cs="宋体"/>
    </w:rPr>
  </w:style>
  <w:style w:type="paragraph" w:customStyle="1" w:styleId="340">
    <w:name w:val="pa-106"/>
    <w:basedOn w:val="1"/>
    <w:qFormat/>
    <w:uiPriority w:val="0"/>
    <w:pPr>
      <w:spacing w:line="360" w:lineRule="atLeast"/>
      <w:ind w:firstLine="460"/>
      <w:jc w:val="both"/>
    </w:pPr>
    <w:rPr>
      <w:rFonts w:hAnsi="宋体" w:cs="宋体"/>
    </w:rPr>
  </w:style>
  <w:style w:type="paragraph" w:customStyle="1" w:styleId="341">
    <w:name w:val="列出段落1"/>
    <w:basedOn w:val="1"/>
    <w:qFormat/>
    <w:uiPriority w:val="0"/>
    <w:pPr>
      <w:widowControl w:val="0"/>
      <w:ind w:firstLine="420" w:firstLineChars="200"/>
      <w:jc w:val="both"/>
    </w:pPr>
    <w:rPr>
      <w:kern w:val="2"/>
      <w:sz w:val="21"/>
      <w:szCs w:val="22"/>
    </w:rPr>
  </w:style>
  <w:style w:type="paragraph" w:customStyle="1" w:styleId="342">
    <w:name w:val="样式1"/>
    <w:basedOn w:val="1"/>
    <w:qFormat/>
    <w:uiPriority w:val="0"/>
    <w:pPr>
      <w:widowControl w:val="0"/>
      <w:tabs>
        <w:tab w:val="left" w:pos="840"/>
      </w:tabs>
      <w:adjustRightInd w:val="0"/>
      <w:spacing w:line="360" w:lineRule="auto"/>
      <w:ind w:left="840" w:hanging="420"/>
      <w:jc w:val="both"/>
      <w:textAlignment w:val="baseline"/>
    </w:pPr>
    <w:rPr>
      <w:rFonts w:hAnsi="宋体"/>
      <w:szCs w:val="21"/>
    </w:rPr>
  </w:style>
  <w:style w:type="paragraph" w:customStyle="1" w:styleId="343">
    <w:name w:val="xl9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hAnsi="宋体" w:cs="宋体"/>
      <w:sz w:val="20"/>
    </w:rPr>
  </w:style>
  <w:style w:type="character" w:customStyle="1" w:styleId="344">
    <w:name w:val="批注文字 Char1"/>
    <w:qFormat/>
    <w:uiPriority w:val="0"/>
    <w:rPr>
      <w:rFonts w:ascii="Times New Roman" w:hAnsi="Times New Roman" w:eastAsia="宋体" w:cs="Times New Roman"/>
      <w:szCs w:val="24"/>
    </w:rPr>
  </w:style>
  <w:style w:type="character" w:customStyle="1" w:styleId="345">
    <w:name w:val="Book Title1"/>
    <w:qFormat/>
    <w:uiPriority w:val="99"/>
    <w:rPr>
      <w:b/>
      <w:bCs/>
      <w:smallCaps/>
      <w:spacing w:val="5"/>
    </w:rPr>
  </w:style>
  <w:style w:type="paragraph" w:styleId="346">
    <w:name w:val="Quote"/>
    <w:basedOn w:val="1"/>
    <w:next w:val="1"/>
    <w:qFormat/>
    <w:uiPriority w:val="99"/>
    <w:pPr>
      <w:wordWrap w:val="0"/>
      <w:spacing w:before="200" w:after="160"/>
      <w:ind w:left="864" w:right="864"/>
      <w:jc w:val="center"/>
    </w:pPr>
    <w:rPr>
      <w:rFonts w:ascii="Times New Roman"/>
      <w:i/>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103</Pages>
  <Words>6718</Words>
  <Characters>38298</Characters>
  <Lines>319</Lines>
  <Paragraphs>89</Paragraphs>
  <TotalTime>1</TotalTime>
  <ScaleCrop>false</ScaleCrop>
  <LinksUpToDate>false</LinksUpToDate>
  <CharactersWithSpaces>44927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2021-06-04T02:25:00Z</dcterms:created>
  <dc:creator>ffxp</dc:creator>
  <cp:lastModifiedBy>zhaozhao</cp:lastModifiedBy>
  <cp:lastPrinted>2019-02-02T00:55:00Z</cp:lastPrinted>
  <dcterms:modified xsi:type="dcterms:W3CDTF">2021-06-10T07:06:12Z</dcterms:modified>
  <dc:title>成都市猪肉质量安全溯源信息系统专用称重设备采购项目竞争性谈判公告</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804D096824574A5385AA7CC2E8E01347</vt:lpwstr>
  </property>
</Properties>
</file>