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E279F">
      <w:pPr>
        <w:adjustRightInd w:val="0"/>
        <w:spacing w:line="360" w:lineRule="auto"/>
        <w:jc w:val="center"/>
        <w:textAlignment w:val="baseline"/>
        <w:rPr>
          <w:color w:val="auto"/>
          <w:sz w:val="32"/>
        </w:rPr>
      </w:pPr>
    </w:p>
    <w:p w14:paraId="3C667B39">
      <w:pPr>
        <w:keepNext w:val="0"/>
        <w:keepLines w:val="0"/>
        <w:pageBreakBefore w:val="0"/>
        <w:widowControl w:val="0"/>
        <w:kinsoku/>
        <w:wordWrap/>
        <w:overflowPunct/>
        <w:topLinePunct w:val="0"/>
        <w:autoSpaceDE/>
        <w:autoSpaceDN/>
        <w:bidi w:val="0"/>
        <w:adjustRightInd w:val="0"/>
        <w:snapToGrid/>
        <w:spacing w:line="576" w:lineRule="exact"/>
        <w:jc w:val="center"/>
        <w:textAlignment w:val="baseline"/>
        <w:rPr>
          <w:rFonts w:hint="eastAsia"/>
          <w:b/>
          <w:color w:val="auto"/>
          <w:sz w:val="72"/>
          <w:szCs w:val="144"/>
        </w:rPr>
      </w:pPr>
      <w:r>
        <w:rPr>
          <w:rFonts w:hint="eastAsia"/>
          <w:b/>
          <w:color w:val="auto"/>
          <w:sz w:val="44"/>
          <w:szCs w:val="44"/>
          <w:lang w:eastAsia="zh-CN"/>
        </w:rPr>
        <w:t>2025年义务教育薄弱环节改善与能力提升及普通高中办学条件提升-乌兰县中小学教育装备及信息化设备采购项目</w:t>
      </w:r>
    </w:p>
    <w:p w14:paraId="1AE788F9">
      <w:pPr>
        <w:widowControl/>
        <w:kinsoku w:val="0"/>
        <w:autoSpaceDE w:val="0"/>
        <w:autoSpaceDN w:val="0"/>
        <w:adjustRightInd w:val="0"/>
        <w:snapToGrid w:val="0"/>
        <w:spacing w:before="266" w:line="222" w:lineRule="auto"/>
        <w:ind w:left="0"/>
        <w:jc w:val="center"/>
        <w:textAlignment w:val="baseline"/>
        <w:rPr>
          <w:rFonts w:ascii="宋体" w:hAnsi="宋体" w:eastAsia="宋体" w:cs="宋体"/>
          <w:b/>
          <w:bCs/>
          <w:snapToGrid w:val="0"/>
          <w:color w:val="000000"/>
          <w:spacing w:val="-11"/>
          <w:kern w:val="0"/>
          <w:sz w:val="82"/>
          <w:szCs w:val="82"/>
          <w:lang w:eastAsia="en-US"/>
        </w:rPr>
      </w:pPr>
    </w:p>
    <w:p w14:paraId="6260DB6B">
      <w:pPr>
        <w:widowControl/>
        <w:kinsoku w:val="0"/>
        <w:autoSpaceDE w:val="0"/>
        <w:autoSpaceDN w:val="0"/>
        <w:adjustRightInd w:val="0"/>
        <w:snapToGrid w:val="0"/>
        <w:spacing w:before="266" w:line="222" w:lineRule="auto"/>
        <w:ind w:left="0"/>
        <w:jc w:val="center"/>
        <w:textAlignment w:val="baseline"/>
        <w:rPr>
          <w:rFonts w:ascii="宋体" w:hAnsi="宋体" w:eastAsia="宋体" w:cs="宋体"/>
          <w:snapToGrid w:val="0"/>
          <w:color w:val="000000"/>
          <w:kern w:val="0"/>
          <w:sz w:val="82"/>
          <w:szCs w:val="82"/>
          <w:lang w:eastAsia="en-US"/>
        </w:rPr>
      </w:pPr>
      <w:r>
        <w:rPr>
          <w:rFonts w:ascii="宋体" w:hAnsi="宋体" w:eastAsia="宋体" w:cs="宋体"/>
          <w:b/>
          <w:bCs/>
          <w:snapToGrid w:val="0"/>
          <w:color w:val="000000"/>
          <w:spacing w:val="-11"/>
          <w:kern w:val="0"/>
          <w:sz w:val="82"/>
          <w:szCs w:val="82"/>
          <w:lang w:eastAsia="en-US"/>
        </w:rPr>
        <w:t>公开招标文件</w:t>
      </w:r>
    </w:p>
    <w:p w14:paraId="46D615C7">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27FABA5A">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0C08FF82">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50D6F78B">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1C995C2F">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4A6CB09A">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795E12CD">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6B87FE64">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16AF08CE">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1F19DED1">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131A8F7E">
      <w:pPr>
        <w:keepNext w:val="0"/>
        <w:keepLines w:val="0"/>
        <w:widowControl/>
        <w:suppressLineNumbers w:val="0"/>
        <w:ind w:firstLine="874" w:firstLineChars="300"/>
        <w:jc w:val="left"/>
      </w:pPr>
      <w:r>
        <w:rPr>
          <w:rFonts w:ascii="宋体" w:hAnsi="宋体" w:eastAsia="宋体" w:cs="宋体"/>
          <w:b/>
          <w:bCs/>
          <w:snapToGrid w:val="0"/>
          <w:color w:val="000000"/>
          <w:spacing w:val="-5"/>
          <w:kern w:val="0"/>
          <w:sz w:val="30"/>
          <w:szCs w:val="30"/>
          <w:lang w:eastAsia="en-US"/>
        </w:rPr>
        <w:t>采购项目编号：</w:t>
      </w:r>
      <w:r>
        <w:rPr>
          <w:rFonts w:hint="eastAsia" w:ascii="宋体" w:hAnsi="宋体" w:eastAsia="宋体" w:cs="宋体"/>
          <w:b/>
          <w:bCs/>
          <w:snapToGrid w:val="0"/>
          <w:color w:val="000000"/>
          <w:spacing w:val="-4"/>
          <w:kern w:val="0"/>
          <w:sz w:val="30"/>
          <w:szCs w:val="30"/>
          <w:lang w:eastAsia="zh-CN"/>
        </w:rPr>
        <w:t>乌政采</w:t>
      </w:r>
      <w:r>
        <w:rPr>
          <w:rFonts w:hint="eastAsia" w:ascii="宋体" w:hAnsi="宋体" w:eastAsia="宋体" w:cs="宋体"/>
          <w:b/>
          <w:bCs/>
          <w:i w:val="0"/>
          <w:caps w:val="0"/>
          <w:snapToGrid w:val="0"/>
          <w:color w:val="000000"/>
          <w:spacing w:val="-4"/>
          <w:kern w:val="0"/>
          <w:sz w:val="30"/>
          <w:szCs w:val="30"/>
          <w:lang w:val="en-US" w:eastAsia="zh-CN" w:bidi="ar"/>
        </w:rPr>
        <w:t>公招（货物）2025-0</w:t>
      </w:r>
      <w:r>
        <w:rPr>
          <w:rFonts w:hint="eastAsia" w:ascii="宋体" w:hAnsi="宋体" w:cs="宋体"/>
          <w:b/>
          <w:bCs/>
          <w:i w:val="0"/>
          <w:caps w:val="0"/>
          <w:snapToGrid w:val="0"/>
          <w:color w:val="000000"/>
          <w:spacing w:val="-4"/>
          <w:kern w:val="0"/>
          <w:sz w:val="30"/>
          <w:szCs w:val="30"/>
          <w:lang w:val="en-US" w:eastAsia="zh-CN" w:bidi="ar"/>
        </w:rPr>
        <w:t>2</w:t>
      </w:r>
    </w:p>
    <w:p w14:paraId="2994748E">
      <w:pPr>
        <w:kinsoku w:val="0"/>
        <w:autoSpaceDE w:val="0"/>
        <w:autoSpaceDN w:val="0"/>
        <w:adjustRightInd w:val="0"/>
        <w:snapToGrid w:val="0"/>
        <w:spacing w:line="420" w:lineRule="auto"/>
        <w:jc w:val="left"/>
        <w:textAlignment w:val="baseline"/>
        <w:rPr>
          <w:rFonts w:ascii="Arial" w:hAnsi="Arial" w:eastAsia="Arial" w:cs="Arial"/>
          <w:snapToGrid w:val="0"/>
          <w:color w:val="000000"/>
          <w:kern w:val="0"/>
          <w:sz w:val="21"/>
          <w:szCs w:val="21"/>
          <w:lang w:val="en-US" w:eastAsia="en-US" w:bidi="ar-SA"/>
        </w:rPr>
      </w:pPr>
    </w:p>
    <w:p w14:paraId="5AF0A625">
      <w:pPr>
        <w:widowControl/>
        <w:kinsoku w:val="0"/>
        <w:autoSpaceDE w:val="0"/>
        <w:autoSpaceDN w:val="0"/>
        <w:adjustRightInd w:val="0"/>
        <w:snapToGrid w:val="0"/>
        <w:spacing w:before="97" w:line="360" w:lineRule="auto"/>
        <w:ind w:left="903"/>
        <w:jc w:val="left"/>
        <w:textAlignment w:val="baseline"/>
        <w:rPr>
          <w:rFonts w:hint="eastAsia" w:ascii="宋体" w:hAnsi="宋体" w:eastAsia="宋体" w:cs="宋体"/>
          <w:snapToGrid w:val="0"/>
          <w:color w:val="000000"/>
          <w:kern w:val="0"/>
          <w:sz w:val="30"/>
          <w:szCs w:val="30"/>
          <w:lang w:eastAsia="zh-CN"/>
        </w:rPr>
      </w:pPr>
      <w:r>
        <w:rPr>
          <w:rFonts w:ascii="宋体" w:hAnsi="宋体" w:eastAsia="宋体" w:cs="宋体"/>
          <w:b/>
          <w:bCs/>
          <w:snapToGrid w:val="0"/>
          <w:color w:val="000000"/>
          <w:spacing w:val="-4"/>
          <w:kern w:val="0"/>
          <w:sz w:val="30"/>
          <w:szCs w:val="30"/>
          <w:lang w:eastAsia="en-US"/>
        </w:rPr>
        <w:t>采购项目名称：</w:t>
      </w:r>
      <w:r>
        <w:rPr>
          <w:rFonts w:hint="eastAsia" w:ascii="宋体" w:hAnsi="宋体" w:eastAsia="宋体" w:cs="宋体"/>
          <w:b/>
          <w:bCs/>
          <w:snapToGrid w:val="0"/>
          <w:color w:val="000000"/>
          <w:spacing w:val="-4"/>
          <w:kern w:val="0"/>
          <w:sz w:val="30"/>
          <w:szCs w:val="30"/>
          <w:lang w:eastAsia="zh-CN"/>
        </w:rPr>
        <w:t>2025年义务教育薄弱环节改善与能力提升及普通高中办学条件提升-乌兰县中小学教育装备及信息化设备采购项目</w:t>
      </w:r>
    </w:p>
    <w:p w14:paraId="6D87D558">
      <w:pPr>
        <w:kinsoku w:val="0"/>
        <w:autoSpaceDE w:val="0"/>
        <w:autoSpaceDN w:val="0"/>
        <w:adjustRightInd w:val="0"/>
        <w:snapToGrid w:val="0"/>
        <w:spacing w:line="422" w:lineRule="auto"/>
        <w:jc w:val="left"/>
        <w:textAlignment w:val="baseline"/>
        <w:rPr>
          <w:rFonts w:ascii="Arial" w:hAnsi="Arial" w:eastAsia="Arial" w:cs="Arial"/>
          <w:snapToGrid w:val="0"/>
          <w:color w:val="000000"/>
          <w:kern w:val="0"/>
          <w:sz w:val="21"/>
          <w:szCs w:val="21"/>
          <w:lang w:val="en-US" w:eastAsia="en-US" w:bidi="ar-SA"/>
        </w:rPr>
      </w:pPr>
    </w:p>
    <w:p w14:paraId="396C7CEC">
      <w:pPr>
        <w:widowControl/>
        <w:kinsoku w:val="0"/>
        <w:autoSpaceDE w:val="0"/>
        <w:autoSpaceDN w:val="0"/>
        <w:adjustRightInd w:val="0"/>
        <w:snapToGrid w:val="0"/>
        <w:spacing w:before="98" w:line="219" w:lineRule="auto"/>
        <w:ind w:left="903"/>
        <w:jc w:val="left"/>
        <w:textAlignment w:val="baseline"/>
        <w:rPr>
          <w:rFonts w:hint="eastAsia" w:ascii="宋体" w:hAnsi="宋体" w:eastAsia="宋体" w:cs="宋体"/>
          <w:snapToGrid w:val="0"/>
          <w:color w:val="000000"/>
          <w:kern w:val="0"/>
          <w:sz w:val="30"/>
          <w:szCs w:val="30"/>
          <w:lang w:eastAsia="zh-CN"/>
        </w:rPr>
      </w:pPr>
      <w:r>
        <w:rPr>
          <w:rFonts w:ascii="宋体" w:hAnsi="宋体" w:eastAsia="宋体" w:cs="宋体"/>
          <w:b/>
          <w:bCs/>
          <w:snapToGrid w:val="0"/>
          <w:color w:val="000000"/>
          <w:spacing w:val="-4"/>
          <w:kern w:val="0"/>
          <w:sz w:val="30"/>
          <w:szCs w:val="30"/>
          <w:lang w:eastAsia="en-US"/>
        </w:rPr>
        <w:t>采</w:t>
      </w:r>
      <w:r>
        <w:rPr>
          <w:rFonts w:ascii="宋体" w:hAnsi="宋体" w:eastAsia="宋体" w:cs="宋体"/>
          <w:snapToGrid w:val="0"/>
          <w:color w:val="000000"/>
          <w:spacing w:val="-4"/>
          <w:kern w:val="0"/>
          <w:sz w:val="30"/>
          <w:szCs w:val="30"/>
          <w:lang w:eastAsia="en-US"/>
        </w:rPr>
        <w:t xml:space="preserve">   </w:t>
      </w:r>
      <w:r>
        <w:rPr>
          <w:rFonts w:ascii="宋体" w:hAnsi="宋体" w:eastAsia="宋体" w:cs="宋体"/>
          <w:b/>
          <w:bCs/>
          <w:snapToGrid w:val="0"/>
          <w:color w:val="000000"/>
          <w:spacing w:val="-4"/>
          <w:kern w:val="0"/>
          <w:sz w:val="30"/>
          <w:szCs w:val="30"/>
          <w:lang w:eastAsia="en-US"/>
        </w:rPr>
        <w:t>购</w:t>
      </w:r>
      <w:r>
        <w:rPr>
          <w:rFonts w:ascii="宋体" w:hAnsi="宋体" w:eastAsia="宋体" w:cs="宋体"/>
          <w:snapToGrid w:val="0"/>
          <w:color w:val="000000"/>
          <w:spacing w:val="-4"/>
          <w:kern w:val="0"/>
          <w:sz w:val="30"/>
          <w:szCs w:val="30"/>
          <w:lang w:eastAsia="en-US"/>
        </w:rPr>
        <w:t xml:space="preserve">   </w:t>
      </w:r>
      <w:r>
        <w:rPr>
          <w:rFonts w:ascii="宋体" w:hAnsi="宋体" w:eastAsia="宋体" w:cs="宋体"/>
          <w:b/>
          <w:bCs/>
          <w:snapToGrid w:val="0"/>
          <w:color w:val="000000"/>
          <w:spacing w:val="-4"/>
          <w:kern w:val="0"/>
          <w:sz w:val="30"/>
          <w:szCs w:val="30"/>
          <w:lang w:eastAsia="en-US"/>
        </w:rPr>
        <w:t>人：</w:t>
      </w:r>
      <w:r>
        <w:rPr>
          <w:rFonts w:hint="eastAsia" w:ascii="宋体" w:hAnsi="宋体" w:eastAsia="宋体" w:cs="宋体"/>
          <w:b/>
          <w:bCs/>
          <w:snapToGrid w:val="0"/>
          <w:color w:val="000000"/>
          <w:spacing w:val="-4"/>
          <w:kern w:val="0"/>
          <w:sz w:val="30"/>
          <w:szCs w:val="30"/>
          <w:lang w:eastAsia="zh-CN"/>
        </w:rPr>
        <w:t>乌兰县教育局</w:t>
      </w:r>
    </w:p>
    <w:p w14:paraId="02D7A5FE">
      <w:pPr>
        <w:kinsoku w:val="0"/>
        <w:autoSpaceDE w:val="0"/>
        <w:autoSpaceDN w:val="0"/>
        <w:adjustRightInd w:val="0"/>
        <w:snapToGrid w:val="0"/>
        <w:spacing w:line="420" w:lineRule="auto"/>
        <w:jc w:val="left"/>
        <w:textAlignment w:val="baseline"/>
        <w:rPr>
          <w:rFonts w:ascii="Arial" w:hAnsi="Arial" w:eastAsia="Arial" w:cs="Arial"/>
          <w:snapToGrid w:val="0"/>
          <w:color w:val="000000"/>
          <w:kern w:val="0"/>
          <w:sz w:val="21"/>
          <w:szCs w:val="21"/>
          <w:lang w:val="en-US" w:eastAsia="en-US" w:bidi="ar-SA"/>
        </w:rPr>
      </w:pPr>
    </w:p>
    <w:p w14:paraId="7954759F">
      <w:pPr>
        <w:widowControl/>
        <w:kinsoku w:val="0"/>
        <w:autoSpaceDE w:val="0"/>
        <w:autoSpaceDN w:val="0"/>
        <w:adjustRightInd w:val="0"/>
        <w:snapToGrid w:val="0"/>
        <w:spacing w:before="97" w:line="219" w:lineRule="auto"/>
        <w:ind w:left="903"/>
        <w:jc w:val="left"/>
        <w:textAlignment w:val="baseline"/>
        <w:rPr>
          <w:rFonts w:hint="eastAsia" w:ascii="宋体" w:hAnsi="宋体" w:eastAsia="宋体" w:cs="宋体"/>
          <w:snapToGrid w:val="0"/>
          <w:color w:val="000000"/>
          <w:kern w:val="0"/>
          <w:sz w:val="30"/>
          <w:szCs w:val="30"/>
          <w:lang w:eastAsia="zh-CN"/>
        </w:rPr>
      </w:pPr>
      <w:r>
        <w:rPr>
          <w:rFonts w:ascii="宋体" w:hAnsi="宋体" w:eastAsia="宋体" w:cs="宋体"/>
          <w:b/>
          <w:bCs/>
          <w:snapToGrid w:val="0"/>
          <w:color w:val="000000"/>
          <w:spacing w:val="-5"/>
          <w:kern w:val="0"/>
          <w:sz w:val="30"/>
          <w:szCs w:val="30"/>
          <w:lang w:eastAsia="en-US"/>
        </w:rPr>
        <w:t>采购代理机构：</w:t>
      </w:r>
      <w:r>
        <w:rPr>
          <w:rFonts w:hint="eastAsia" w:ascii="宋体" w:hAnsi="宋体" w:eastAsia="宋体" w:cs="宋体"/>
          <w:b/>
          <w:bCs/>
          <w:snapToGrid w:val="0"/>
          <w:color w:val="000000"/>
          <w:spacing w:val="-5"/>
          <w:kern w:val="0"/>
          <w:sz w:val="30"/>
          <w:szCs w:val="30"/>
          <w:lang w:eastAsia="zh-CN"/>
        </w:rPr>
        <w:t>乌兰县政府采购服务中心</w:t>
      </w:r>
    </w:p>
    <w:p w14:paraId="4329B3C3">
      <w:pPr>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val="en-US" w:eastAsia="en-US" w:bidi="ar-SA"/>
        </w:rPr>
      </w:pPr>
    </w:p>
    <w:p w14:paraId="21AC88D3">
      <w:pPr>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val="en-US" w:eastAsia="en-US" w:bidi="ar-SA"/>
        </w:rPr>
      </w:pPr>
    </w:p>
    <w:p w14:paraId="7835F6AD">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7408B0D4">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55E3162F">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19B3D9AB">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263EBE98">
      <w:pPr>
        <w:autoSpaceDE w:val="0"/>
        <w:autoSpaceDN w:val="0"/>
        <w:adjustRightInd w:val="0"/>
        <w:spacing w:line="360" w:lineRule="auto"/>
        <w:jc w:val="center"/>
        <w:rPr>
          <w:rFonts w:hint="eastAsia" w:ascii="宋体" w:hAnsi="宋体" w:eastAsia="宋体" w:cs="宋体"/>
          <w:b/>
          <w:bCs/>
          <w:color w:val="auto"/>
          <w:kern w:val="0"/>
          <w:sz w:val="36"/>
          <w:szCs w:val="36"/>
          <w:lang w:val="zh-CN"/>
        </w:rPr>
      </w:pPr>
      <w:r>
        <w:rPr>
          <w:rFonts w:ascii="Arial" w:hAnsi="Arial" w:eastAsia="Arial" w:cs="Arial"/>
          <w:b/>
          <w:bCs/>
          <w:snapToGrid w:val="0"/>
          <w:color w:val="000000"/>
          <w:spacing w:val="-4"/>
          <w:kern w:val="0"/>
          <w:sz w:val="30"/>
          <w:szCs w:val="30"/>
          <w:lang w:val="en-US" w:eastAsia="en-US" w:bidi="ar-SA"/>
        </w:rPr>
        <w:t>202</w:t>
      </w:r>
      <w:r>
        <w:rPr>
          <w:rFonts w:hint="eastAsia" w:ascii="Arial" w:hAnsi="Arial" w:eastAsia="宋体" w:cs="Arial"/>
          <w:b/>
          <w:bCs/>
          <w:snapToGrid w:val="0"/>
          <w:color w:val="000000"/>
          <w:spacing w:val="-4"/>
          <w:kern w:val="0"/>
          <w:sz w:val="30"/>
          <w:szCs w:val="30"/>
          <w:lang w:val="en-US" w:eastAsia="zh-CN" w:bidi="ar-SA"/>
        </w:rPr>
        <w:t>5</w:t>
      </w:r>
      <w:r>
        <w:rPr>
          <w:rFonts w:ascii="宋体" w:hAnsi="宋体" w:eastAsia="宋体" w:cs="宋体"/>
          <w:b/>
          <w:bCs/>
          <w:snapToGrid w:val="0"/>
          <w:color w:val="000000"/>
          <w:spacing w:val="-4"/>
          <w:kern w:val="0"/>
          <w:sz w:val="30"/>
          <w:szCs w:val="30"/>
          <w:lang w:val="en-US" w:eastAsia="en-US" w:bidi="ar-SA"/>
        </w:rPr>
        <w:t>年</w:t>
      </w:r>
      <w:r>
        <w:rPr>
          <w:rFonts w:hint="eastAsia" w:ascii="Arial" w:hAnsi="Arial" w:eastAsia="宋体" w:cs="Arial"/>
          <w:b/>
          <w:bCs/>
          <w:snapToGrid w:val="0"/>
          <w:color w:val="000000"/>
          <w:spacing w:val="-4"/>
          <w:kern w:val="0"/>
          <w:sz w:val="30"/>
          <w:szCs w:val="30"/>
          <w:lang w:val="en-US" w:eastAsia="zh-CN" w:bidi="ar-SA"/>
        </w:rPr>
        <w:t>7</w:t>
      </w:r>
      <w:r>
        <w:rPr>
          <w:rFonts w:ascii="宋体" w:hAnsi="宋体" w:eastAsia="宋体" w:cs="宋体"/>
          <w:b/>
          <w:bCs/>
          <w:snapToGrid w:val="0"/>
          <w:color w:val="000000"/>
          <w:spacing w:val="-4"/>
          <w:kern w:val="0"/>
          <w:sz w:val="30"/>
          <w:szCs w:val="30"/>
          <w:lang w:val="en-US" w:eastAsia="en-US" w:bidi="ar-SA"/>
        </w:rPr>
        <w:t>月</w:t>
      </w:r>
    </w:p>
    <w:p w14:paraId="157C1113">
      <w:pPr>
        <w:adjustRightInd w:val="0"/>
        <w:spacing w:line="360" w:lineRule="auto"/>
        <w:jc w:val="center"/>
        <w:textAlignment w:val="baseline"/>
        <w:rPr>
          <w:b/>
          <w:color w:val="auto"/>
          <w:sz w:val="52"/>
          <w:lang w:val="zh-CN"/>
        </w:rPr>
      </w:pPr>
      <w:r>
        <w:rPr>
          <w:b/>
          <w:bCs/>
          <w:color w:val="auto"/>
          <w:sz w:val="32"/>
          <w:szCs w:val="32"/>
        </w:rPr>
        <w:br w:type="page"/>
      </w:r>
      <w:r>
        <w:rPr>
          <w:b/>
          <w:color w:val="auto"/>
          <w:sz w:val="48"/>
          <w:lang w:val="zh-CN"/>
        </w:rPr>
        <w:t>目录</w:t>
      </w:r>
    </w:p>
    <w:p w14:paraId="1993D236">
      <w:pPr>
        <w:pStyle w:val="13"/>
        <w:tabs>
          <w:tab w:val="right" w:leader="dot" w:pos="9026"/>
          <w:tab w:val="clear" w:pos="8296"/>
        </w:tabs>
      </w:pPr>
      <w:r>
        <w:rPr>
          <w:bCs/>
          <w:color w:val="auto"/>
          <w:sz w:val="420"/>
        </w:rPr>
        <w:fldChar w:fldCharType="begin"/>
      </w:r>
      <w:r>
        <w:rPr>
          <w:bCs/>
          <w:color w:val="auto"/>
          <w:sz w:val="420"/>
        </w:rPr>
        <w:instrText xml:space="preserve"> TOC \o "1-1" \h \z \t "标题 2,1,标题 3,1,副标题,1" </w:instrText>
      </w:r>
      <w:r>
        <w:rPr>
          <w:bCs/>
          <w:color w:val="auto"/>
          <w:sz w:val="420"/>
        </w:rPr>
        <w:fldChar w:fldCharType="separate"/>
      </w:r>
      <w:r>
        <w:rPr>
          <w:bCs/>
          <w:color w:val="auto"/>
        </w:rPr>
        <w:fldChar w:fldCharType="begin"/>
      </w:r>
      <w:r>
        <w:rPr>
          <w:bCs/>
        </w:rPr>
        <w:instrText xml:space="preserve"> HYPERLINK \l _Toc8474 </w:instrText>
      </w:r>
      <w:r>
        <w:rPr>
          <w:bCs/>
        </w:rPr>
        <w:fldChar w:fldCharType="separate"/>
      </w:r>
      <w:r>
        <w:rPr>
          <w:rFonts w:ascii="Times New Roman" w:hAnsi="Times New Roman"/>
          <w:lang w:val="zh-CN"/>
        </w:rPr>
        <w:t>第一部分  投标邀请</w:t>
      </w:r>
      <w:r>
        <w:tab/>
      </w:r>
      <w:r>
        <w:fldChar w:fldCharType="begin"/>
      </w:r>
      <w:r>
        <w:instrText xml:space="preserve"> PAGEREF _Toc8474 \h </w:instrText>
      </w:r>
      <w:r>
        <w:fldChar w:fldCharType="separate"/>
      </w:r>
      <w:r>
        <w:t>3</w:t>
      </w:r>
      <w:r>
        <w:fldChar w:fldCharType="end"/>
      </w:r>
      <w:r>
        <w:rPr>
          <w:bCs/>
          <w:color w:val="auto"/>
        </w:rPr>
        <w:fldChar w:fldCharType="end"/>
      </w:r>
    </w:p>
    <w:p w14:paraId="2E9E5323">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_Toc14499 </w:instrText>
      </w:r>
      <w:r>
        <w:rPr>
          <w:rFonts w:ascii="Times New Roman" w:hAnsi="Times New Roman"/>
          <w:bCs/>
          <w:szCs w:val="24"/>
        </w:rPr>
        <w:fldChar w:fldCharType="separate"/>
      </w:r>
      <w:r>
        <w:rPr>
          <w:rFonts w:hint="eastAsia" w:ascii="宋体" w:hAnsi="宋体" w:eastAsia="宋体" w:cs="宋体"/>
          <w:bCs/>
          <w:szCs w:val="24"/>
        </w:rPr>
        <w:t>一、项目基本情况</w:t>
      </w:r>
      <w:r>
        <w:tab/>
      </w:r>
      <w:r>
        <w:fldChar w:fldCharType="begin"/>
      </w:r>
      <w:r>
        <w:instrText xml:space="preserve"> PAGEREF _Toc14499 \h </w:instrText>
      </w:r>
      <w:r>
        <w:fldChar w:fldCharType="separate"/>
      </w:r>
      <w:r>
        <w:t>3</w:t>
      </w:r>
      <w:r>
        <w:fldChar w:fldCharType="end"/>
      </w:r>
      <w:r>
        <w:rPr>
          <w:rFonts w:ascii="Times New Roman" w:hAnsi="Times New Roman"/>
          <w:bCs/>
          <w:color w:val="auto"/>
          <w:szCs w:val="24"/>
        </w:rPr>
        <w:fldChar w:fldCharType="end"/>
      </w:r>
    </w:p>
    <w:p w14:paraId="4397D167">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_Toc20168 </w:instrText>
      </w:r>
      <w:r>
        <w:rPr>
          <w:rFonts w:ascii="Times New Roman" w:hAnsi="Times New Roman"/>
          <w:bCs/>
          <w:szCs w:val="24"/>
        </w:rPr>
        <w:fldChar w:fldCharType="separate"/>
      </w:r>
      <w:r>
        <w:rPr>
          <w:rFonts w:hint="eastAsia" w:ascii="宋体" w:hAnsi="宋体" w:eastAsia="宋体" w:cs="宋体"/>
          <w:bCs/>
          <w:szCs w:val="24"/>
        </w:rPr>
        <w:t>二、申请人的资格要求：</w:t>
      </w:r>
      <w:r>
        <w:tab/>
      </w:r>
      <w:r>
        <w:fldChar w:fldCharType="begin"/>
      </w:r>
      <w:r>
        <w:instrText xml:space="preserve"> PAGEREF _Toc20168 \h </w:instrText>
      </w:r>
      <w:r>
        <w:fldChar w:fldCharType="separate"/>
      </w:r>
      <w:r>
        <w:t>4</w:t>
      </w:r>
      <w:r>
        <w:fldChar w:fldCharType="end"/>
      </w:r>
      <w:r>
        <w:rPr>
          <w:rFonts w:ascii="Times New Roman" w:hAnsi="Times New Roman"/>
          <w:bCs/>
          <w:color w:val="auto"/>
          <w:szCs w:val="24"/>
        </w:rPr>
        <w:fldChar w:fldCharType="end"/>
      </w:r>
    </w:p>
    <w:p w14:paraId="2DD30301">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_Toc10827 </w:instrText>
      </w:r>
      <w:r>
        <w:rPr>
          <w:rFonts w:ascii="Times New Roman" w:hAnsi="Times New Roman"/>
          <w:bCs/>
          <w:szCs w:val="24"/>
        </w:rPr>
        <w:fldChar w:fldCharType="separate"/>
      </w:r>
      <w:r>
        <w:rPr>
          <w:rFonts w:hint="eastAsia" w:ascii="宋体" w:hAnsi="宋体" w:eastAsia="宋体" w:cs="宋体"/>
          <w:bCs/>
          <w:szCs w:val="24"/>
        </w:rPr>
        <w:t>三、获取招标文件</w:t>
      </w:r>
      <w:r>
        <w:tab/>
      </w:r>
      <w:r>
        <w:fldChar w:fldCharType="begin"/>
      </w:r>
      <w:r>
        <w:instrText xml:space="preserve"> PAGEREF _Toc10827 \h </w:instrText>
      </w:r>
      <w:r>
        <w:fldChar w:fldCharType="separate"/>
      </w:r>
      <w:r>
        <w:t>4</w:t>
      </w:r>
      <w:r>
        <w:fldChar w:fldCharType="end"/>
      </w:r>
      <w:r>
        <w:rPr>
          <w:rFonts w:ascii="Times New Roman" w:hAnsi="Times New Roman"/>
          <w:bCs/>
          <w:color w:val="auto"/>
          <w:szCs w:val="24"/>
        </w:rPr>
        <w:fldChar w:fldCharType="end"/>
      </w:r>
    </w:p>
    <w:p w14:paraId="2D513289">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_Toc24925 </w:instrText>
      </w:r>
      <w:r>
        <w:rPr>
          <w:rFonts w:ascii="Times New Roman" w:hAnsi="Times New Roman"/>
          <w:bCs/>
          <w:szCs w:val="24"/>
        </w:rPr>
        <w:fldChar w:fldCharType="separate"/>
      </w:r>
      <w:r>
        <w:rPr>
          <w:rFonts w:hint="eastAsia" w:ascii="宋体" w:hAnsi="宋体" w:eastAsia="宋体" w:cs="宋体"/>
          <w:bCs/>
          <w:szCs w:val="24"/>
        </w:rPr>
        <w:t>四、提交投标文件截止时间、开标时间和地点</w:t>
      </w:r>
      <w:r>
        <w:tab/>
      </w:r>
      <w:r>
        <w:fldChar w:fldCharType="begin"/>
      </w:r>
      <w:r>
        <w:instrText xml:space="preserve"> PAGEREF _Toc24925 \h </w:instrText>
      </w:r>
      <w:r>
        <w:fldChar w:fldCharType="separate"/>
      </w:r>
      <w:r>
        <w:t>4</w:t>
      </w:r>
      <w:r>
        <w:fldChar w:fldCharType="end"/>
      </w:r>
      <w:r>
        <w:rPr>
          <w:rFonts w:ascii="Times New Roman" w:hAnsi="Times New Roman"/>
          <w:bCs/>
          <w:color w:val="auto"/>
          <w:szCs w:val="24"/>
        </w:rPr>
        <w:fldChar w:fldCharType="end"/>
      </w:r>
    </w:p>
    <w:p w14:paraId="5465AD19">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_Toc13577 </w:instrText>
      </w:r>
      <w:r>
        <w:rPr>
          <w:rFonts w:ascii="Times New Roman" w:hAnsi="Times New Roman"/>
          <w:bCs/>
          <w:szCs w:val="24"/>
        </w:rPr>
        <w:fldChar w:fldCharType="separate"/>
      </w:r>
      <w:r>
        <w:rPr>
          <w:rFonts w:hint="eastAsia" w:ascii="宋体" w:hAnsi="宋体" w:eastAsia="宋体" w:cs="宋体"/>
          <w:bCs/>
          <w:szCs w:val="24"/>
        </w:rPr>
        <w:t>五、公告期限</w:t>
      </w:r>
      <w:r>
        <w:tab/>
      </w:r>
      <w:r>
        <w:fldChar w:fldCharType="begin"/>
      </w:r>
      <w:r>
        <w:instrText xml:space="preserve"> PAGEREF _Toc13577 \h </w:instrText>
      </w:r>
      <w:r>
        <w:fldChar w:fldCharType="separate"/>
      </w:r>
      <w:r>
        <w:t>5</w:t>
      </w:r>
      <w:r>
        <w:fldChar w:fldCharType="end"/>
      </w:r>
      <w:r>
        <w:rPr>
          <w:rFonts w:ascii="Times New Roman" w:hAnsi="Times New Roman"/>
          <w:bCs/>
          <w:color w:val="auto"/>
          <w:szCs w:val="24"/>
        </w:rPr>
        <w:fldChar w:fldCharType="end"/>
      </w:r>
    </w:p>
    <w:p w14:paraId="76EC41EA">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_Toc3661 </w:instrText>
      </w:r>
      <w:r>
        <w:rPr>
          <w:rFonts w:ascii="Times New Roman" w:hAnsi="Times New Roman"/>
          <w:bCs/>
          <w:szCs w:val="24"/>
        </w:rPr>
        <w:fldChar w:fldCharType="separate"/>
      </w:r>
      <w:r>
        <w:rPr>
          <w:rFonts w:hint="eastAsia" w:ascii="宋体" w:hAnsi="宋体" w:eastAsia="宋体" w:cs="宋体"/>
          <w:bCs/>
          <w:szCs w:val="24"/>
        </w:rPr>
        <w:t>六、其他补充事宜</w:t>
      </w:r>
      <w:r>
        <w:tab/>
      </w:r>
      <w:r>
        <w:fldChar w:fldCharType="begin"/>
      </w:r>
      <w:r>
        <w:instrText xml:space="preserve"> PAGEREF _Toc3661 \h </w:instrText>
      </w:r>
      <w:r>
        <w:fldChar w:fldCharType="separate"/>
      </w:r>
      <w:r>
        <w:t>5</w:t>
      </w:r>
      <w:r>
        <w:fldChar w:fldCharType="end"/>
      </w:r>
      <w:r>
        <w:rPr>
          <w:rFonts w:ascii="Times New Roman" w:hAnsi="Times New Roman"/>
          <w:bCs/>
          <w:color w:val="auto"/>
          <w:szCs w:val="24"/>
        </w:rPr>
        <w:fldChar w:fldCharType="end"/>
      </w:r>
    </w:p>
    <w:p w14:paraId="71DA792F">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_Toc2266 </w:instrText>
      </w:r>
      <w:r>
        <w:rPr>
          <w:rFonts w:ascii="Times New Roman" w:hAnsi="Times New Roman"/>
          <w:bCs/>
          <w:szCs w:val="24"/>
        </w:rPr>
        <w:fldChar w:fldCharType="separate"/>
      </w:r>
      <w:r>
        <w:rPr>
          <w:rFonts w:hint="eastAsia" w:ascii="宋体" w:hAnsi="宋体" w:eastAsia="宋体" w:cs="宋体"/>
          <w:bCs/>
          <w:szCs w:val="24"/>
        </w:rPr>
        <w:t>七、对本次招标提出询问，请按以下方式联系</w:t>
      </w:r>
      <w:r>
        <w:tab/>
      </w:r>
      <w:r>
        <w:fldChar w:fldCharType="begin"/>
      </w:r>
      <w:r>
        <w:instrText xml:space="preserve"> PAGEREF _Toc2266 \h </w:instrText>
      </w:r>
      <w:r>
        <w:fldChar w:fldCharType="separate"/>
      </w:r>
      <w:r>
        <w:t>5</w:t>
      </w:r>
      <w:r>
        <w:fldChar w:fldCharType="end"/>
      </w:r>
      <w:r>
        <w:rPr>
          <w:rFonts w:ascii="Times New Roman" w:hAnsi="Times New Roman"/>
          <w:bCs/>
          <w:color w:val="auto"/>
          <w:szCs w:val="24"/>
        </w:rPr>
        <w:fldChar w:fldCharType="end"/>
      </w:r>
    </w:p>
    <w:p w14:paraId="462B5345">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_Toc15508 </w:instrText>
      </w:r>
      <w:r>
        <w:rPr>
          <w:rFonts w:ascii="Times New Roman" w:hAnsi="Times New Roman"/>
          <w:bCs/>
          <w:szCs w:val="24"/>
        </w:rPr>
        <w:fldChar w:fldCharType="separate"/>
      </w:r>
      <w:r>
        <w:rPr>
          <w:rFonts w:ascii="Times New Roman" w:hAnsi="Times New Roman"/>
          <w:lang w:val="zh-CN"/>
        </w:rPr>
        <w:t>第二部分  投标人须知</w:t>
      </w:r>
      <w:r>
        <w:tab/>
      </w:r>
      <w:r>
        <w:fldChar w:fldCharType="begin"/>
      </w:r>
      <w:r>
        <w:instrText xml:space="preserve"> PAGEREF _Toc15508 \h </w:instrText>
      </w:r>
      <w:r>
        <w:fldChar w:fldCharType="separate"/>
      </w:r>
      <w:r>
        <w:t>6</w:t>
      </w:r>
      <w:r>
        <w:fldChar w:fldCharType="end"/>
      </w:r>
      <w:r>
        <w:rPr>
          <w:rFonts w:ascii="Times New Roman" w:hAnsi="Times New Roman"/>
          <w:bCs/>
          <w:color w:val="auto"/>
          <w:szCs w:val="24"/>
        </w:rPr>
        <w:fldChar w:fldCharType="end"/>
      </w:r>
    </w:p>
    <w:p w14:paraId="5C2620B9">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_Toc21496 </w:instrText>
      </w:r>
      <w:r>
        <w:rPr>
          <w:rFonts w:ascii="Times New Roman" w:hAnsi="Times New Roman"/>
          <w:bCs/>
          <w:szCs w:val="24"/>
        </w:rPr>
        <w:fldChar w:fldCharType="separate"/>
      </w:r>
      <w:r>
        <w:rPr>
          <w:rFonts w:ascii="Times New Roman" w:hAnsi="Times New Roman"/>
          <w:lang w:val="zh-CN"/>
        </w:rPr>
        <w:t>一、说明</w:t>
      </w:r>
      <w:r>
        <w:tab/>
      </w:r>
      <w:r>
        <w:fldChar w:fldCharType="begin"/>
      </w:r>
      <w:r>
        <w:instrText xml:space="preserve"> PAGEREF _Toc21496 \h </w:instrText>
      </w:r>
      <w:r>
        <w:fldChar w:fldCharType="separate"/>
      </w:r>
      <w:r>
        <w:t>6</w:t>
      </w:r>
      <w:r>
        <w:fldChar w:fldCharType="end"/>
      </w:r>
      <w:r>
        <w:rPr>
          <w:rFonts w:ascii="Times New Roman" w:hAnsi="Times New Roman"/>
          <w:bCs/>
          <w:color w:val="auto"/>
          <w:szCs w:val="24"/>
        </w:rPr>
        <w:fldChar w:fldCharType="end"/>
      </w:r>
    </w:p>
    <w:p w14:paraId="2FFBD59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_Toc24581 </w:instrText>
      </w:r>
      <w:r>
        <w:rPr>
          <w:rFonts w:ascii="Times New Roman" w:hAnsi="Times New Roman"/>
          <w:bCs/>
          <w:szCs w:val="24"/>
        </w:rPr>
        <w:fldChar w:fldCharType="separate"/>
      </w:r>
      <w:r>
        <w:rPr>
          <w:rFonts w:ascii="Times New Roman" w:hAnsi="Times New Roman"/>
          <w:szCs w:val="28"/>
          <w:lang w:val="zh-CN"/>
        </w:rPr>
        <w:t>1.适用范围</w:t>
      </w:r>
      <w:r>
        <w:tab/>
      </w:r>
      <w:r>
        <w:fldChar w:fldCharType="begin"/>
      </w:r>
      <w:r>
        <w:instrText xml:space="preserve"> PAGEREF _Toc24581 \h </w:instrText>
      </w:r>
      <w:r>
        <w:fldChar w:fldCharType="separate"/>
      </w:r>
      <w:r>
        <w:t>6</w:t>
      </w:r>
      <w:r>
        <w:fldChar w:fldCharType="end"/>
      </w:r>
      <w:r>
        <w:rPr>
          <w:rFonts w:ascii="Times New Roman" w:hAnsi="Times New Roman"/>
          <w:bCs/>
          <w:color w:val="auto"/>
          <w:szCs w:val="24"/>
        </w:rPr>
        <w:fldChar w:fldCharType="end"/>
      </w:r>
    </w:p>
    <w:p w14:paraId="06FD2F3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_Toc18271 </w:instrText>
      </w:r>
      <w:r>
        <w:rPr>
          <w:rFonts w:ascii="Times New Roman" w:hAnsi="Times New Roman"/>
          <w:bCs/>
          <w:szCs w:val="24"/>
        </w:rPr>
        <w:fldChar w:fldCharType="separate"/>
      </w:r>
      <w:r>
        <w:rPr>
          <w:rFonts w:ascii="Times New Roman" w:hAnsi="Times New Roman"/>
          <w:szCs w:val="28"/>
          <w:lang w:val="zh-CN"/>
        </w:rPr>
        <w:t>2.采购方式、合格的投标人</w:t>
      </w:r>
      <w:r>
        <w:tab/>
      </w:r>
      <w:r>
        <w:fldChar w:fldCharType="begin"/>
      </w:r>
      <w:r>
        <w:instrText xml:space="preserve"> PAGEREF _Toc18271 \h </w:instrText>
      </w:r>
      <w:r>
        <w:fldChar w:fldCharType="separate"/>
      </w:r>
      <w:r>
        <w:t>6</w:t>
      </w:r>
      <w:r>
        <w:fldChar w:fldCharType="end"/>
      </w:r>
      <w:r>
        <w:rPr>
          <w:rFonts w:ascii="Times New Roman" w:hAnsi="Times New Roman"/>
          <w:bCs/>
          <w:color w:val="auto"/>
          <w:szCs w:val="24"/>
        </w:rPr>
        <w:fldChar w:fldCharType="end"/>
      </w:r>
    </w:p>
    <w:p w14:paraId="6F12107E">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_Toc10304 </w:instrText>
      </w:r>
      <w:r>
        <w:rPr>
          <w:rFonts w:ascii="Times New Roman" w:hAnsi="Times New Roman"/>
          <w:bCs/>
          <w:szCs w:val="24"/>
        </w:rPr>
        <w:fldChar w:fldCharType="separate"/>
      </w:r>
      <w:r>
        <w:rPr>
          <w:rFonts w:ascii="Times New Roman" w:hAnsi="Times New Roman"/>
          <w:szCs w:val="28"/>
          <w:lang w:val="zh-CN"/>
        </w:rPr>
        <w:t>3.投标费用</w:t>
      </w:r>
      <w:r>
        <w:tab/>
      </w:r>
      <w:r>
        <w:fldChar w:fldCharType="begin"/>
      </w:r>
      <w:r>
        <w:instrText xml:space="preserve"> PAGEREF _Toc10304 \h </w:instrText>
      </w:r>
      <w:r>
        <w:fldChar w:fldCharType="separate"/>
      </w:r>
      <w:r>
        <w:t>6</w:t>
      </w:r>
      <w:r>
        <w:fldChar w:fldCharType="end"/>
      </w:r>
      <w:r>
        <w:rPr>
          <w:rFonts w:ascii="Times New Roman" w:hAnsi="Times New Roman"/>
          <w:bCs/>
          <w:color w:val="auto"/>
          <w:szCs w:val="24"/>
        </w:rPr>
        <w:fldChar w:fldCharType="end"/>
      </w:r>
    </w:p>
    <w:p w14:paraId="08C1E4B3">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_Toc21627 </w:instrText>
      </w:r>
      <w:r>
        <w:rPr>
          <w:rFonts w:ascii="Times New Roman" w:hAnsi="Times New Roman"/>
          <w:bCs/>
          <w:szCs w:val="24"/>
        </w:rPr>
        <w:fldChar w:fldCharType="separate"/>
      </w:r>
      <w:r>
        <w:rPr>
          <w:rFonts w:ascii="Times New Roman" w:hAnsi="Times New Roman"/>
          <w:lang w:val="zh-CN"/>
        </w:rPr>
        <w:t>二、招标文件说明</w:t>
      </w:r>
      <w:r>
        <w:tab/>
      </w:r>
      <w:r>
        <w:fldChar w:fldCharType="begin"/>
      </w:r>
      <w:r>
        <w:instrText xml:space="preserve"> PAGEREF _Toc21627 \h </w:instrText>
      </w:r>
      <w:r>
        <w:fldChar w:fldCharType="separate"/>
      </w:r>
      <w:r>
        <w:t>6</w:t>
      </w:r>
      <w:r>
        <w:fldChar w:fldCharType="end"/>
      </w:r>
      <w:r>
        <w:rPr>
          <w:rFonts w:ascii="Times New Roman" w:hAnsi="Times New Roman"/>
          <w:bCs/>
          <w:color w:val="auto"/>
          <w:szCs w:val="24"/>
        </w:rPr>
        <w:fldChar w:fldCharType="end"/>
      </w:r>
    </w:p>
    <w:p w14:paraId="62ABEBEE">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_Toc26662 </w:instrText>
      </w:r>
      <w:r>
        <w:rPr>
          <w:rFonts w:ascii="Times New Roman" w:hAnsi="Times New Roman"/>
          <w:bCs/>
          <w:szCs w:val="24"/>
        </w:rPr>
        <w:fldChar w:fldCharType="separate"/>
      </w:r>
      <w:r>
        <w:rPr>
          <w:rFonts w:ascii="Times New Roman" w:hAnsi="Times New Roman"/>
          <w:szCs w:val="28"/>
          <w:lang w:val="zh-CN"/>
        </w:rPr>
        <w:t>4.招标文件的构成</w:t>
      </w:r>
      <w:r>
        <w:tab/>
      </w:r>
      <w:r>
        <w:fldChar w:fldCharType="begin"/>
      </w:r>
      <w:r>
        <w:instrText xml:space="preserve"> PAGEREF _Toc26662 \h </w:instrText>
      </w:r>
      <w:r>
        <w:fldChar w:fldCharType="separate"/>
      </w:r>
      <w:r>
        <w:t>6</w:t>
      </w:r>
      <w:r>
        <w:fldChar w:fldCharType="end"/>
      </w:r>
      <w:r>
        <w:rPr>
          <w:rFonts w:ascii="Times New Roman" w:hAnsi="Times New Roman"/>
          <w:bCs/>
          <w:color w:val="auto"/>
          <w:szCs w:val="24"/>
        </w:rPr>
        <w:fldChar w:fldCharType="end"/>
      </w:r>
    </w:p>
    <w:p w14:paraId="7BF731D6">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_Toc5444 </w:instrText>
      </w:r>
      <w:r>
        <w:rPr>
          <w:rFonts w:ascii="Times New Roman" w:hAnsi="Times New Roman"/>
          <w:bCs/>
          <w:szCs w:val="24"/>
        </w:rPr>
        <w:fldChar w:fldCharType="separate"/>
      </w:r>
      <w:r>
        <w:rPr>
          <w:rFonts w:ascii="Times New Roman" w:hAnsi="Times New Roman"/>
          <w:szCs w:val="28"/>
          <w:lang w:val="zh-CN"/>
        </w:rPr>
        <w:t>5.招标公告、招标文件、采购活动和中标结果的质疑</w:t>
      </w:r>
      <w:r>
        <w:tab/>
      </w:r>
      <w:r>
        <w:fldChar w:fldCharType="begin"/>
      </w:r>
      <w:r>
        <w:instrText xml:space="preserve"> PAGEREF _Toc5444 \h </w:instrText>
      </w:r>
      <w:r>
        <w:fldChar w:fldCharType="separate"/>
      </w:r>
      <w:r>
        <w:t>6</w:t>
      </w:r>
      <w:r>
        <w:fldChar w:fldCharType="end"/>
      </w:r>
      <w:r>
        <w:rPr>
          <w:rFonts w:ascii="Times New Roman" w:hAnsi="Times New Roman"/>
          <w:bCs/>
          <w:color w:val="auto"/>
          <w:szCs w:val="24"/>
        </w:rPr>
        <w:fldChar w:fldCharType="end"/>
      </w:r>
    </w:p>
    <w:p w14:paraId="330AEA8A">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_Toc505 </w:instrText>
      </w:r>
      <w:r>
        <w:rPr>
          <w:rFonts w:ascii="Times New Roman" w:hAnsi="Times New Roman"/>
          <w:bCs/>
          <w:szCs w:val="24"/>
        </w:rPr>
        <w:fldChar w:fldCharType="separate"/>
      </w:r>
      <w:r>
        <w:rPr>
          <w:rFonts w:ascii="Times New Roman" w:hAnsi="Times New Roman"/>
          <w:szCs w:val="28"/>
          <w:lang w:val="zh-CN"/>
        </w:rPr>
        <w:t>6.招标文件的澄清或修改</w:t>
      </w:r>
      <w:r>
        <w:tab/>
      </w:r>
      <w:r>
        <w:fldChar w:fldCharType="begin"/>
      </w:r>
      <w:r>
        <w:instrText xml:space="preserve"> PAGEREF _Toc505 \h </w:instrText>
      </w:r>
      <w:r>
        <w:fldChar w:fldCharType="separate"/>
      </w:r>
      <w:r>
        <w:t>7</w:t>
      </w:r>
      <w:r>
        <w:fldChar w:fldCharType="end"/>
      </w:r>
      <w:r>
        <w:rPr>
          <w:rFonts w:ascii="Times New Roman" w:hAnsi="Times New Roman"/>
          <w:bCs/>
          <w:color w:val="auto"/>
          <w:szCs w:val="24"/>
        </w:rPr>
        <w:fldChar w:fldCharType="end"/>
      </w:r>
    </w:p>
    <w:p w14:paraId="62FD02C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_Toc6749 </w:instrText>
      </w:r>
      <w:r>
        <w:rPr>
          <w:rFonts w:ascii="Times New Roman" w:hAnsi="Times New Roman"/>
          <w:bCs/>
          <w:szCs w:val="24"/>
        </w:rPr>
        <w:fldChar w:fldCharType="separate"/>
      </w:r>
      <w:r>
        <w:rPr>
          <w:rFonts w:ascii="Times New Roman" w:hAnsi="Times New Roman"/>
          <w:lang w:val="zh-CN"/>
        </w:rPr>
        <w:t>三、投标文件的编制</w:t>
      </w:r>
      <w:r>
        <w:tab/>
      </w:r>
      <w:r>
        <w:fldChar w:fldCharType="begin"/>
      </w:r>
      <w:r>
        <w:instrText xml:space="preserve"> PAGEREF _Toc6749 \h </w:instrText>
      </w:r>
      <w:r>
        <w:fldChar w:fldCharType="separate"/>
      </w:r>
      <w:r>
        <w:t>7</w:t>
      </w:r>
      <w:r>
        <w:fldChar w:fldCharType="end"/>
      </w:r>
      <w:r>
        <w:rPr>
          <w:rFonts w:ascii="Times New Roman" w:hAnsi="Times New Roman"/>
          <w:bCs/>
          <w:color w:val="auto"/>
          <w:szCs w:val="24"/>
        </w:rPr>
        <w:fldChar w:fldCharType="end"/>
      </w:r>
    </w:p>
    <w:p w14:paraId="08FD1BD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_Toc17814 </w:instrText>
      </w:r>
      <w:r>
        <w:rPr>
          <w:rFonts w:ascii="Times New Roman" w:hAnsi="Times New Roman"/>
          <w:bCs/>
          <w:szCs w:val="24"/>
        </w:rPr>
        <w:fldChar w:fldCharType="separate"/>
      </w:r>
      <w:r>
        <w:rPr>
          <w:rFonts w:ascii="Times New Roman" w:hAnsi="Times New Roman"/>
          <w:szCs w:val="28"/>
          <w:lang w:val="zh-CN"/>
        </w:rPr>
        <w:t>7.投标文件的语言及度量衡单位</w:t>
      </w:r>
      <w:r>
        <w:tab/>
      </w:r>
      <w:r>
        <w:fldChar w:fldCharType="begin"/>
      </w:r>
      <w:r>
        <w:instrText xml:space="preserve"> PAGEREF _Toc17814 \h </w:instrText>
      </w:r>
      <w:r>
        <w:fldChar w:fldCharType="separate"/>
      </w:r>
      <w:r>
        <w:t>7</w:t>
      </w:r>
      <w:r>
        <w:fldChar w:fldCharType="end"/>
      </w:r>
      <w:r>
        <w:rPr>
          <w:rFonts w:ascii="Times New Roman" w:hAnsi="Times New Roman"/>
          <w:bCs/>
          <w:color w:val="auto"/>
          <w:szCs w:val="24"/>
        </w:rPr>
        <w:fldChar w:fldCharType="end"/>
      </w:r>
    </w:p>
    <w:p w14:paraId="40CE068B">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_Toc30440 </w:instrText>
      </w:r>
      <w:r>
        <w:rPr>
          <w:rFonts w:ascii="Times New Roman" w:hAnsi="Times New Roman"/>
          <w:bCs/>
          <w:szCs w:val="24"/>
        </w:rPr>
        <w:fldChar w:fldCharType="separate"/>
      </w:r>
      <w:r>
        <w:rPr>
          <w:rFonts w:ascii="Times New Roman" w:hAnsi="Times New Roman"/>
          <w:szCs w:val="28"/>
          <w:lang w:val="zh-CN"/>
        </w:rPr>
        <w:t>8.投标报价及币种</w:t>
      </w:r>
      <w:r>
        <w:tab/>
      </w:r>
      <w:r>
        <w:fldChar w:fldCharType="begin"/>
      </w:r>
      <w:r>
        <w:instrText xml:space="preserve"> PAGEREF _Toc30440 \h </w:instrText>
      </w:r>
      <w:r>
        <w:fldChar w:fldCharType="separate"/>
      </w:r>
      <w:r>
        <w:t>8</w:t>
      </w:r>
      <w:r>
        <w:fldChar w:fldCharType="end"/>
      </w:r>
      <w:r>
        <w:rPr>
          <w:rFonts w:ascii="Times New Roman" w:hAnsi="Times New Roman"/>
          <w:bCs/>
          <w:color w:val="auto"/>
          <w:szCs w:val="24"/>
        </w:rPr>
        <w:fldChar w:fldCharType="end"/>
      </w:r>
    </w:p>
    <w:p w14:paraId="514726FC">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_Toc22891 </w:instrText>
      </w:r>
      <w:r>
        <w:rPr>
          <w:rFonts w:ascii="Times New Roman" w:hAnsi="Times New Roman"/>
          <w:bCs/>
          <w:szCs w:val="24"/>
        </w:rPr>
        <w:fldChar w:fldCharType="separate"/>
      </w:r>
      <w:r>
        <w:rPr>
          <w:rFonts w:hint="eastAsia"/>
          <w:kern w:val="0"/>
          <w:lang w:val="zh-CN"/>
        </w:rPr>
        <w:t>9.</w:t>
      </w:r>
      <w:r>
        <w:rPr>
          <w:rFonts w:hint="eastAsia" w:ascii="宋体" w:hAnsi="宋体" w:cs="宋体"/>
          <w:szCs w:val="28"/>
          <w:lang w:val="zh-CN"/>
        </w:rPr>
        <w:t xml:space="preserve"> 投标保证金</w:t>
      </w:r>
      <w:r>
        <w:tab/>
      </w:r>
      <w:r>
        <w:fldChar w:fldCharType="begin"/>
      </w:r>
      <w:r>
        <w:instrText xml:space="preserve"> PAGEREF _Toc22891 \h </w:instrText>
      </w:r>
      <w:r>
        <w:fldChar w:fldCharType="separate"/>
      </w:r>
      <w:r>
        <w:t>8</w:t>
      </w:r>
      <w:r>
        <w:fldChar w:fldCharType="end"/>
      </w:r>
      <w:r>
        <w:rPr>
          <w:rFonts w:ascii="Times New Roman" w:hAnsi="Times New Roman"/>
          <w:bCs/>
          <w:color w:val="auto"/>
          <w:szCs w:val="24"/>
        </w:rPr>
        <w:fldChar w:fldCharType="end"/>
      </w:r>
    </w:p>
    <w:p w14:paraId="4F298470">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_Toc24617 </w:instrText>
      </w:r>
      <w:r>
        <w:rPr>
          <w:rFonts w:ascii="Times New Roman" w:hAnsi="Times New Roman"/>
          <w:bCs/>
          <w:szCs w:val="24"/>
        </w:rPr>
        <w:fldChar w:fldCharType="separate"/>
      </w:r>
      <w:r>
        <w:rPr>
          <w:rFonts w:hint="eastAsia" w:ascii="Times New Roman" w:hAnsi="Times New Roman"/>
          <w:szCs w:val="28"/>
        </w:rPr>
        <w:t>10</w:t>
      </w:r>
      <w:r>
        <w:rPr>
          <w:rFonts w:ascii="Times New Roman" w:hAnsi="Times New Roman"/>
          <w:szCs w:val="28"/>
          <w:lang w:val="zh-CN"/>
        </w:rPr>
        <w:t>.投标有效期</w:t>
      </w:r>
      <w:r>
        <w:tab/>
      </w:r>
      <w:r>
        <w:fldChar w:fldCharType="begin"/>
      </w:r>
      <w:r>
        <w:instrText xml:space="preserve"> PAGEREF _Toc24617 \h </w:instrText>
      </w:r>
      <w:r>
        <w:fldChar w:fldCharType="separate"/>
      </w:r>
      <w:r>
        <w:t>9</w:t>
      </w:r>
      <w:r>
        <w:fldChar w:fldCharType="end"/>
      </w:r>
      <w:r>
        <w:rPr>
          <w:rFonts w:ascii="Times New Roman" w:hAnsi="Times New Roman"/>
          <w:bCs/>
          <w:color w:val="auto"/>
          <w:szCs w:val="24"/>
        </w:rPr>
        <w:fldChar w:fldCharType="end"/>
      </w:r>
    </w:p>
    <w:p w14:paraId="1085086C">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_Toc19468 </w:instrText>
      </w:r>
      <w:r>
        <w:rPr>
          <w:rFonts w:ascii="Times New Roman" w:hAnsi="Times New Roman"/>
          <w:bCs/>
          <w:szCs w:val="24"/>
        </w:rPr>
        <w:fldChar w:fldCharType="separate"/>
      </w:r>
      <w:r>
        <w:rPr>
          <w:rFonts w:hint="eastAsia" w:ascii="Times New Roman" w:hAnsi="Times New Roman"/>
          <w:szCs w:val="28"/>
          <w:lang w:val="zh-CN"/>
        </w:rPr>
        <w:t>11</w:t>
      </w:r>
      <w:r>
        <w:rPr>
          <w:rFonts w:ascii="Times New Roman" w:hAnsi="Times New Roman"/>
          <w:szCs w:val="28"/>
          <w:lang w:val="zh-CN"/>
        </w:rPr>
        <w:t>.投标文件构成</w:t>
      </w:r>
      <w:r>
        <w:tab/>
      </w:r>
      <w:r>
        <w:fldChar w:fldCharType="begin"/>
      </w:r>
      <w:r>
        <w:instrText xml:space="preserve"> PAGEREF _Toc19468 \h </w:instrText>
      </w:r>
      <w:r>
        <w:fldChar w:fldCharType="separate"/>
      </w:r>
      <w:r>
        <w:t>9</w:t>
      </w:r>
      <w:r>
        <w:fldChar w:fldCharType="end"/>
      </w:r>
      <w:r>
        <w:rPr>
          <w:rFonts w:ascii="Times New Roman" w:hAnsi="Times New Roman"/>
          <w:bCs/>
          <w:color w:val="auto"/>
          <w:szCs w:val="24"/>
        </w:rPr>
        <w:fldChar w:fldCharType="end"/>
      </w:r>
    </w:p>
    <w:p w14:paraId="54CD69DA">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_Toc10042 </w:instrText>
      </w:r>
      <w:r>
        <w:rPr>
          <w:rFonts w:ascii="Times New Roman" w:hAnsi="Times New Roman"/>
          <w:bCs/>
          <w:szCs w:val="24"/>
        </w:rPr>
        <w:fldChar w:fldCharType="separate"/>
      </w:r>
      <w:r>
        <w:rPr>
          <w:rFonts w:hint="eastAsia" w:ascii="宋体" w:hAnsi="宋体" w:cs="宋体"/>
          <w:szCs w:val="28"/>
          <w:lang w:val="zh-CN"/>
        </w:rPr>
        <w:t>12.投标文件的编制要求</w:t>
      </w:r>
      <w:r>
        <w:tab/>
      </w:r>
      <w:r>
        <w:fldChar w:fldCharType="begin"/>
      </w:r>
      <w:r>
        <w:instrText xml:space="preserve"> PAGEREF _Toc10042 \h </w:instrText>
      </w:r>
      <w:r>
        <w:fldChar w:fldCharType="separate"/>
      </w:r>
      <w:r>
        <w:t>10</w:t>
      </w:r>
      <w:r>
        <w:fldChar w:fldCharType="end"/>
      </w:r>
      <w:r>
        <w:rPr>
          <w:rFonts w:ascii="Times New Roman" w:hAnsi="Times New Roman"/>
          <w:bCs/>
          <w:color w:val="auto"/>
          <w:szCs w:val="24"/>
        </w:rPr>
        <w:fldChar w:fldCharType="end"/>
      </w:r>
    </w:p>
    <w:p w14:paraId="444AFFFB">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_Toc7071 </w:instrText>
      </w:r>
      <w:r>
        <w:rPr>
          <w:rFonts w:ascii="Times New Roman" w:hAnsi="Times New Roman"/>
          <w:bCs/>
          <w:szCs w:val="24"/>
        </w:rPr>
        <w:fldChar w:fldCharType="separate"/>
      </w:r>
      <w:r>
        <w:rPr>
          <w:rFonts w:hint="eastAsia" w:ascii="宋体" w:hAnsi="宋体" w:cs="宋体"/>
          <w:lang w:val="zh-CN"/>
        </w:rPr>
        <w:t>四、投标文件的提交</w:t>
      </w:r>
      <w:r>
        <w:tab/>
      </w:r>
      <w:r>
        <w:fldChar w:fldCharType="begin"/>
      </w:r>
      <w:r>
        <w:instrText xml:space="preserve"> PAGEREF _Toc7071 \h </w:instrText>
      </w:r>
      <w:r>
        <w:fldChar w:fldCharType="separate"/>
      </w:r>
      <w:r>
        <w:t>10</w:t>
      </w:r>
      <w:r>
        <w:fldChar w:fldCharType="end"/>
      </w:r>
      <w:r>
        <w:rPr>
          <w:rFonts w:ascii="Times New Roman" w:hAnsi="Times New Roman"/>
          <w:bCs/>
          <w:color w:val="auto"/>
          <w:szCs w:val="24"/>
        </w:rPr>
        <w:fldChar w:fldCharType="end"/>
      </w:r>
    </w:p>
    <w:p w14:paraId="525B51C5">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_Toc17750 </w:instrText>
      </w:r>
      <w:r>
        <w:rPr>
          <w:rFonts w:ascii="Times New Roman" w:hAnsi="Times New Roman"/>
          <w:bCs/>
          <w:szCs w:val="24"/>
        </w:rPr>
        <w:fldChar w:fldCharType="separate"/>
      </w:r>
      <w:r>
        <w:rPr>
          <w:rFonts w:hint="eastAsia" w:ascii="宋体" w:hAnsi="宋体" w:cs="宋体"/>
          <w:szCs w:val="28"/>
          <w:lang w:val="zh-CN"/>
        </w:rPr>
        <w:t>13.提交投标文件的时间、地点、方式</w:t>
      </w:r>
      <w:r>
        <w:tab/>
      </w:r>
      <w:r>
        <w:fldChar w:fldCharType="begin"/>
      </w:r>
      <w:r>
        <w:instrText xml:space="preserve"> PAGEREF _Toc17750 \h </w:instrText>
      </w:r>
      <w:r>
        <w:fldChar w:fldCharType="separate"/>
      </w:r>
      <w:r>
        <w:t>10</w:t>
      </w:r>
      <w:r>
        <w:fldChar w:fldCharType="end"/>
      </w:r>
      <w:r>
        <w:rPr>
          <w:rFonts w:ascii="Times New Roman" w:hAnsi="Times New Roman"/>
          <w:bCs/>
          <w:color w:val="auto"/>
          <w:szCs w:val="24"/>
        </w:rPr>
        <w:fldChar w:fldCharType="end"/>
      </w:r>
    </w:p>
    <w:p w14:paraId="0B946331">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_Toc10611 </w:instrText>
      </w:r>
      <w:r>
        <w:rPr>
          <w:rFonts w:ascii="Times New Roman" w:hAnsi="Times New Roman"/>
          <w:bCs/>
          <w:szCs w:val="24"/>
        </w:rPr>
        <w:fldChar w:fldCharType="separate"/>
      </w:r>
      <w:r>
        <w:rPr>
          <w:rFonts w:hint="eastAsia" w:ascii="宋体" w:hAnsi="宋体" w:cs="宋体"/>
          <w:szCs w:val="28"/>
          <w:lang w:val="zh-CN"/>
        </w:rPr>
        <w:t>14.投标文件的补充、修改或者撤回</w:t>
      </w:r>
      <w:r>
        <w:tab/>
      </w:r>
      <w:r>
        <w:fldChar w:fldCharType="begin"/>
      </w:r>
      <w:r>
        <w:instrText xml:space="preserve"> PAGEREF _Toc10611 \h </w:instrText>
      </w:r>
      <w:r>
        <w:fldChar w:fldCharType="separate"/>
      </w:r>
      <w:r>
        <w:t>10</w:t>
      </w:r>
      <w:r>
        <w:fldChar w:fldCharType="end"/>
      </w:r>
      <w:r>
        <w:rPr>
          <w:rFonts w:ascii="Times New Roman" w:hAnsi="Times New Roman"/>
          <w:bCs/>
          <w:color w:val="auto"/>
          <w:szCs w:val="24"/>
        </w:rPr>
        <w:fldChar w:fldCharType="end"/>
      </w:r>
    </w:p>
    <w:p w14:paraId="7F943564">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_Toc14214 </w:instrText>
      </w:r>
      <w:r>
        <w:rPr>
          <w:rFonts w:ascii="Times New Roman" w:hAnsi="Times New Roman"/>
          <w:bCs/>
          <w:szCs w:val="24"/>
        </w:rPr>
        <w:fldChar w:fldCharType="separate"/>
      </w:r>
      <w:r>
        <w:rPr>
          <w:rFonts w:hint="eastAsia" w:ascii="宋体" w:hAnsi="宋体" w:cs="宋体"/>
          <w:lang w:val="zh-CN"/>
        </w:rPr>
        <w:t>五、开标</w:t>
      </w:r>
      <w:r>
        <w:tab/>
      </w:r>
      <w:r>
        <w:fldChar w:fldCharType="begin"/>
      </w:r>
      <w:r>
        <w:instrText xml:space="preserve"> PAGEREF _Toc14214 \h </w:instrText>
      </w:r>
      <w:r>
        <w:fldChar w:fldCharType="separate"/>
      </w:r>
      <w:r>
        <w:t>10</w:t>
      </w:r>
      <w:r>
        <w:fldChar w:fldCharType="end"/>
      </w:r>
      <w:r>
        <w:rPr>
          <w:rFonts w:ascii="Times New Roman" w:hAnsi="Times New Roman"/>
          <w:bCs/>
          <w:color w:val="auto"/>
          <w:szCs w:val="24"/>
        </w:rPr>
        <w:fldChar w:fldCharType="end"/>
      </w:r>
    </w:p>
    <w:p w14:paraId="702F8000">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_Toc892 </w:instrText>
      </w:r>
      <w:r>
        <w:rPr>
          <w:rFonts w:ascii="Times New Roman" w:hAnsi="Times New Roman"/>
          <w:bCs/>
          <w:szCs w:val="24"/>
        </w:rPr>
        <w:fldChar w:fldCharType="separate"/>
      </w:r>
      <w:r>
        <w:rPr>
          <w:rFonts w:hint="eastAsia" w:ascii="宋体" w:hAnsi="宋体" w:cs="宋体"/>
          <w:szCs w:val="28"/>
          <w:lang w:val="zh-CN"/>
        </w:rPr>
        <w:t>15.开标</w:t>
      </w:r>
      <w:r>
        <w:tab/>
      </w:r>
      <w:r>
        <w:fldChar w:fldCharType="begin"/>
      </w:r>
      <w:r>
        <w:instrText xml:space="preserve"> PAGEREF _Toc892 \h </w:instrText>
      </w:r>
      <w:r>
        <w:fldChar w:fldCharType="separate"/>
      </w:r>
      <w:r>
        <w:t>10</w:t>
      </w:r>
      <w:r>
        <w:fldChar w:fldCharType="end"/>
      </w:r>
      <w:r>
        <w:rPr>
          <w:rFonts w:ascii="Times New Roman" w:hAnsi="Times New Roman"/>
          <w:bCs/>
          <w:color w:val="auto"/>
          <w:szCs w:val="24"/>
        </w:rPr>
        <w:fldChar w:fldCharType="end"/>
      </w:r>
    </w:p>
    <w:p w14:paraId="58ED41A9">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_Toc3259 </w:instrText>
      </w:r>
      <w:r>
        <w:rPr>
          <w:rFonts w:ascii="Times New Roman" w:hAnsi="Times New Roman"/>
          <w:bCs/>
          <w:szCs w:val="24"/>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_Toc3259 \h </w:instrText>
      </w:r>
      <w:r>
        <w:fldChar w:fldCharType="separate"/>
      </w:r>
      <w:r>
        <w:t>11</w:t>
      </w:r>
      <w:r>
        <w:fldChar w:fldCharType="end"/>
      </w:r>
      <w:r>
        <w:rPr>
          <w:rFonts w:ascii="Times New Roman" w:hAnsi="Times New Roman"/>
          <w:bCs/>
          <w:color w:val="auto"/>
          <w:szCs w:val="24"/>
        </w:rPr>
        <w:fldChar w:fldCharType="end"/>
      </w:r>
    </w:p>
    <w:p w14:paraId="60122DC3">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_Toc31375 </w:instrText>
      </w:r>
      <w:r>
        <w:rPr>
          <w:rFonts w:ascii="Times New Roman" w:hAnsi="Times New Roman"/>
          <w:bCs/>
          <w:szCs w:val="24"/>
        </w:rPr>
        <w:fldChar w:fldCharType="separate"/>
      </w:r>
      <w:r>
        <w:rPr>
          <w:rFonts w:hint="eastAsia" w:ascii="宋体" w:hAnsi="宋体" w:cs="宋体"/>
          <w:szCs w:val="28"/>
        </w:rPr>
        <w:t>16.资格审查</w:t>
      </w:r>
      <w:r>
        <w:tab/>
      </w:r>
      <w:r>
        <w:fldChar w:fldCharType="begin"/>
      </w:r>
      <w:r>
        <w:instrText xml:space="preserve"> PAGEREF _Toc31375 \h </w:instrText>
      </w:r>
      <w:r>
        <w:fldChar w:fldCharType="separate"/>
      </w:r>
      <w:r>
        <w:t>11</w:t>
      </w:r>
      <w:r>
        <w:fldChar w:fldCharType="end"/>
      </w:r>
      <w:r>
        <w:rPr>
          <w:rFonts w:ascii="Times New Roman" w:hAnsi="Times New Roman"/>
          <w:bCs/>
          <w:color w:val="auto"/>
          <w:szCs w:val="24"/>
        </w:rPr>
        <w:fldChar w:fldCharType="end"/>
      </w:r>
    </w:p>
    <w:p w14:paraId="40D7798A">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_Toc24975 </w:instrText>
      </w:r>
      <w:r>
        <w:rPr>
          <w:rFonts w:ascii="Times New Roman" w:hAnsi="Times New Roman"/>
          <w:bCs/>
          <w:szCs w:val="24"/>
        </w:rPr>
        <w:fldChar w:fldCharType="separate"/>
      </w:r>
      <w:r>
        <w:rPr>
          <w:rFonts w:hint="eastAsia" w:ascii="宋体" w:hAnsi="宋体" w:cs="宋体"/>
          <w:lang w:val="zh-CN"/>
        </w:rPr>
        <w:t>七、评审程序及方法</w:t>
      </w:r>
      <w:r>
        <w:tab/>
      </w:r>
      <w:r>
        <w:fldChar w:fldCharType="begin"/>
      </w:r>
      <w:r>
        <w:instrText xml:space="preserve"> PAGEREF _Toc24975 \h </w:instrText>
      </w:r>
      <w:r>
        <w:fldChar w:fldCharType="separate"/>
      </w:r>
      <w:r>
        <w:t>11</w:t>
      </w:r>
      <w:r>
        <w:fldChar w:fldCharType="end"/>
      </w:r>
      <w:r>
        <w:rPr>
          <w:rFonts w:ascii="Times New Roman" w:hAnsi="Times New Roman"/>
          <w:bCs/>
          <w:color w:val="auto"/>
          <w:szCs w:val="24"/>
        </w:rPr>
        <w:fldChar w:fldCharType="end"/>
      </w:r>
    </w:p>
    <w:p w14:paraId="53F3B3E5">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_Toc29581 </w:instrText>
      </w:r>
      <w:r>
        <w:rPr>
          <w:rFonts w:ascii="Times New Roman" w:hAnsi="Times New Roman"/>
          <w:bCs/>
          <w:szCs w:val="24"/>
        </w:rPr>
        <w:fldChar w:fldCharType="separate"/>
      </w:r>
      <w:r>
        <w:rPr>
          <w:rFonts w:hint="eastAsia" w:ascii="宋体" w:hAnsi="宋体" w:cs="宋体"/>
          <w:szCs w:val="28"/>
          <w:lang w:val="zh-CN"/>
        </w:rPr>
        <w:t>17.评标委员会</w:t>
      </w:r>
      <w:r>
        <w:tab/>
      </w:r>
      <w:r>
        <w:fldChar w:fldCharType="begin"/>
      </w:r>
      <w:r>
        <w:instrText xml:space="preserve"> PAGEREF _Toc29581 \h </w:instrText>
      </w:r>
      <w:r>
        <w:fldChar w:fldCharType="separate"/>
      </w:r>
      <w:r>
        <w:t>11</w:t>
      </w:r>
      <w:r>
        <w:fldChar w:fldCharType="end"/>
      </w:r>
      <w:r>
        <w:rPr>
          <w:rFonts w:ascii="Times New Roman" w:hAnsi="Times New Roman"/>
          <w:bCs/>
          <w:color w:val="auto"/>
          <w:szCs w:val="24"/>
        </w:rPr>
        <w:fldChar w:fldCharType="end"/>
      </w:r>
    </w:p>
    <w:p w14:paraId="7E666825">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_Toc8009 </w:instrText>
      </w:r>
      <w:r>
        <w:rPr>
          <w:rFonts w:ascii="Times New Roman" w:hAnsi="Times New Roman"/>
          <w:bCs/>
          <w:szCs w:val="24"/>
        </w:rPr>
        <w:fldChar w:fldCharType="separate"/>
      </w:r>
      <w:r>
        <w:rPr>
          <w:rFonts w:hint="eastAsia" w:ascii="宋体" w:hAnsi="宋体" w:cs="宋体"/>
          <w:szCs w:val="28"/>
          <w:lang w:val="zh-CN"/>
        </w:rPr>
        <w:t>18.评审工作程序</w:t>
      </w:r>
      <w:r>
        <w:tab/>
      </w:r>
      <w:r>
        <w:fldChar w:fldCharType="begin"/>
      </w:r>
      <w:r>
        <w:instrText xml:space="preserve"> PAGEREF _Toc8009 \h </w:instrText>
      </w:r>
      <w:r>
        <w:fldChar w:fldCharType="separate"/>
      </w:r>
      <w:r>
        <w:t>13</w:t>
      </w:r>
      <w:r>
        <w:fldChar w:fldCharType="end"/>
      </w:r>
      <w:r>
        <w:rPr>
          <w:rFonts w:ascii="Times New Roman" w:hAnsi="Times New Roman"/>
          <w:bCs/>
          <w:color w:val="auto"/>
          <w:szCs w:val="24"/>
        </w:rPr>
        <w:fldChar w:fldCharType="end"/>
      </w:r>
    </w:p>
    <w:p w14:paraId="229D508C">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_Toc4834 </w:instrText>
      </w:r>
      <w:r>
        <w:rPr>
          <w:rFonts w:ascii="Times New Roman" w:hAnsi="Times New Roman"/>
          <w:bCs/>
          <w:szCs w:val="24"/>
        </w:rPr>
        <w:fldChar w:fldCharType="separate"/>
      </w:r>
      <w:r>
        <w:rPr>
          <w:rFonts w:ascii="宋体" w:hAnsi="宋体" w:cs="宋体"/>
          <w:szCs w:val="28"/>
          <w:lang w:val="zh-CN"/>
        </w:rPr>
        <w:t>1</w:t>
      </w:r>
      <w:r>
        <w:rPr>
          <w:rFonts w:hint="eastAsia" w:ascii="宋体" w:hAnsi="宋体" w:cs="宋体"/>
          <w:szCs w:val="28"/>
          <w:lang w:val="zh-CN"/>
        </w:rPr>
        <w:t>9.评审方法和标准</w:t>
      </w:r>
      <w:r>
        <w:tab/>
      </w:r>
      <w:r>
        <w:fldChar w:fldCharType="begin"/>
      </w:r>
      <w:r>
        <w:instrText xml:space="preserve"> PAGEREF _Toc4834 \h </w:instrText>
      </w:r>
      <w:r>
        <w:fldChar w:fldCharType="separate"/>
      </w:r>
      <w:r>
        <w:t>15</w:t>
      </w:r>
      <w:r>
        <w:fldChar w:fldCharType="end"/>
      </w:r>
      <w:r>
        <w:rPr>
          <w:rFonts w:ascii="Times New Roman" w:hAnsi="Times New Roman"/>
          <w:bCs/>
          <w:color w:val="auto"/>
          <w:szCs w:val="24"/>
        </w:rPr>
        <w:fldChar w:fldCharType="end"/>
      </w:r>
    </w:p>
    <w:p w14:paraId="7C2CD6DC">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_Toc16349 </w:instrText>
      </w:r>
      <w:r>
        <w:rPr>
          <w:rFonts w:ascii="Times New Roman" w:hAnsi="Times New Roman"/>
          <w:bCs/>
          <w:szCs w:val="24"/>
        </w:rPr>
        <w:fldChar w:fldCharType="separate"/>
      </w:r>
      <w:r>
        <w:rPr>
          <w:rFonts w:hint="eastAsia" w:ascii="宋体" w:hAnsi="宋体" w:cs="宋体"/>
        </w:rPr>
        <w:t>八</w:t>
      </w:r>
      <w:r>
        <w:rPr>
          <w:rFonts w:hint="eastAsia" w:ascii="宋体" w:hAnsi="宋体" w:cs="宋体"/>
          <w:lang w:val="zh-CN"/>
        </w:rPr>
        <w:t>、中标</w:t>
      </w:r>
      <w:r>
        <w:tab/>
      </w:r>
      <w:r>
        <w:fldChar w:fldCharType="begin"/>
      </w:r>
      <w:r>
        <w:instrText xml:space="preserve"> PAGEREF _Toc16349 \h </w:instrText>
      </w:r>
      <w:r>
        <w:fldChar w:fldCharType="separate"/>
      </w:r>
      <w:r>
        <w:t>18</w:t>
      </w:r>
      <w:r>
        <w:fldChar w:fldCharType="end"/>
      </w:r>
      <w:r>
        <w:rPr>
          <w:rFonts w:ascii="Times New Roman" w:hAnsi="Times New Roman"/>
          <w:bCs/>
          <w:color w:val="auto"/>
          <w:szCs w:val="24"/>
        </w:rPr>
        <w:fldChar w:fldCharType="end"/>
      </w:r>
    </w:p>
    <w:p w14:paraId="68E754CF">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_Toc7428 </w:instrText>
      </w:r>
      <w:r>
        <w:rPr>
          <w:rFonts w:ascii="Times New Roman" w:hAnsi="Times New Roman"/>
          <w:bCs/>
          <w:szCs w:val="24"/>
        </w:rPr>
        <w:fldChar w:fldCharType="separate"/>
      </w:r>
      <w:r>
        <w:rPr>
          <w:rFonts w:hint="eastAsia" w:ascii="宋体" w:hAnsi="宋体" w:cs="宋体"/>
          <w:szCs w:val="28"/>
          <w:lang w:val="zh-CN"/>
        </w:rPr>
        <w:t>20.推荐并确定中标人</w:t>
      </w:r>
      <w:r>
        <w:tab/>
      </w:r>
      <w:r>
        <w:fldChar w:fldCharType="begin"/>
      </w:r>
      <w:r>
        <w:instrText xml:space="preserve"> PAGEREF _Toc7428 \h </w:instrText>
      </w:r>
      <w:r>
        <w:fldChar w:fldCharType="separate"/>
      </w:r>
      <w:r>
        <w:t>18</w:t>
      </w:r>
      <w:r>
        <w:fldChar w:fldCharType="end"/>
      </w:r>
      <w:r>
        <w:rPr>
          <w:rFonts w:ascii="Times New Roman" w:hAnsi="Times New Roman"/>
          <w:bCs/>
          <w:color w:val="auto"/>
          <w:szCs w:val="24"/>
        </w:rPr>
        <w:fldChar w:fldCharType="end"/>
      </w:r>
    </w:p>
    <w:p w14:paraId="5722437B">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_Toc9976 </w:instrText>
      </w:r>
      <w:r>
        <w:rPr>
          <w:rFonts w:ascii="Times New Roman" w:hAnsi="Times New Roman"/>
          <w:bCs/>
          <w:szCs w:val="24"/>
        </w:rPr>
        <w:fldChar w:fldCharType="separate"/>
      </w:r>
      <w:r>
        <w:rPr>
          <w:rFonts w:hint="eastAsia" w:ascii="宋体" w:hAnsi="宋体" w:cs="宋体"/>
          <w:szCs w:val="28"/>
          <w:lang w:val="zh-CN"/>
        </w:rPr>
        <w:t>21.中标通知</w:t>
      </w:r>
      <w:r>
        <w:tab/>
      </w:r>
      <w:r>
        <w:fldChar w:fldCharType="begin"/>
      </w:r>
      <w:r>
        <w:instrText xml:space="preserve"> PAGEREF _Toc9976 \h </w:instrText>
      </w:r>
      <w:r>
        <w:fldChar w:fldCharType="separate"/>
      </w:r>
      <w:r>
        <w:t>18</w:t>
      </w:r>
      <w:r>
        <w:fldChar w:fldCharType="end"/>
      </w:r>
      <w:r>
        <w:rPr>
          <w:rFonts w:ascii="Times New Roman" w:hAnsi="Times New Roman"/>
          <w:bCs/>
          <w:color w:val="auto"/>
          <w:szCs w:val="24"/>
        </w:rPr>
        <w:fldChar w:fldCharType="end"/>
      </w:r>
    </w:p>
    <w:p w14:paraId="6C368A7F">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_Toc31697 </w:instrText>
      </w:r>
      <w:r>
        <w:rPr>
          <w:rFonts w:ascii="Times New Roman" w:hAnsi="Times New Roman"/>
          <w:bCs/>
          <w:szCs w:val="24"/>
        </w:rPr>
        <w:fldChar w:fldCharType="separate"/>
      </w:r>
      <w:r>
        <w:rPr>
          <w:rFonts w:hint="eastAsia" w:ascii="宋体" w:hAnsi="宋体" w:cs="宋体"/>
        </w:rPr>
        <w:t>九</w:t>
      </w:r>
      <w:r>
        <w:rPr>
          <w:rFonts w:hint="eastAsia" w:ascii="宋体" w:hAnsi="宋体" w:cs="宋体"/>
          <w:lang w:val="zh-CN"/>
        </w:rPr>
        <w:t>、授予合同</w:t>
      </w:r>
      <w:r>
        <w:tab/>
      </w:r>
      <w:r>
        <w:fldChar w:fldCharType="begin"/>
      </w:r>
      <w:r>
        <w:instrText xml:space="preserve"> PAGEREF _Toc31697 \h </w:instrText>
      </w:r>
      <w:r>
        <w:fldChar w:fldCharType="separate"/>
      </w:r>
      <w:r>
        <w:t>18</w:t>
      </w:r>
      <w:r>
        <w:fldChar w:fldCharType="end"/>
      </w:r>
      <w:r>
        <w:rPr>
          <w:rFonts w:ascii="Times New Roman" w:hAnsi="Times New Roman"/>
          <w:bCs/>
          <w:color w:val="auto"/>
          <w:szCs w:val="24"/>
        </w:rPr>
        <w:fldChar w:fldCharType="end"/>
      </w:r>
    </w:p>
    <w:p w14:paraId="4BBCDE95">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_Toc24664 </w:instrText>
      </w:r>
      <w:r>
        <w:rPr>
          <w:rFonts w:ascii="Times New Roman" w:hAnsi="Times New Roman"/>
          <w:bCs/>
          <w:szCs w:val="24"/>
        </w:rPr>
        <w:fldChar w:fldCharType="separate"/>
      </w:r>
      <w:r>
        <w:rPr>
          <w:rFonts w:hint="eastAsia" w:ascii="宋体" w:hAnsi="宋体" w:cs="宋体"/>
          <w:szCs w:val="28"/>
          <w:lang w:val="zh-CN"/>
        </w:rPr>
        <w:t>22.签订合同</w:t>
      </w:r>
      <w:r>
        <w:tab/>
      </w:r>
      <w:r>
        <w:fldChar w:fldCharType="begin"/>
      </w:r>
      <w:r>
        <w:instrText xml:space="preserve"> PAGEREF _Toc24664 \h </w:instrText>
      </w:r>
      <w:r>
        <w:fldChar w:fldCharType="separate"/>
      </w:r>
      <w:r>
        <w:t>18</w:t>
      </w:r>
      <w:r>
        <w:fldChar w:fldCharType="end"/>
      </w:r>
      <w:r>
        <w:rPr>
          <w:rFonts w:ascii="Times New Roman" w:hAnsi="Times New Roman"/>
          <w:bCs/>
          <w:color w:val="auto"/>
          <w:szCs w:val="24"/>
        </w:rPr>
        <w:fldChar w:fldCharType="end"/>
      </w:r>
    </w:p>
    <w:p w14:paraId="05A1AA6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_Toc6143 </w:instrText>
      </w:r>
      <w:r>
        <w:rPr>
          <w:rFonts w:ascii="Times New Roman" w:hAnsi="Times New Roman"/>
          <w:bCs/>
          <w:szCs w:val="24"/>
        </w:rPr>
        <w:fldChar w:fldCharType="separate"/>
      </w:r>
      <w:r>
        <w:rPr>
          <w:rFonts w:hint="eastAsia" w:ascii="宋体" w:hAnsi="宋体" w:cs="宋体"/>
        </w:rPr>
        <w:t>十</w:t>
      </w:r>
      <w:r>
        <w:rPr>
          <w:rFonts w:hint="eastAsia" w:ascii="宋体" w:hAnsi="宋体" w:cs="宋体"/>
          <w:lang w:val="zh-CN"/>
        </w:rPr>
        <w:t>、招标代理费</w:t>
      </w:r>
      <w:r>
        <w:tab/>
      </w:r>
      <w:r>
        <w:fldChar w:fldCharType="begin"/>
      </w:r>
      <w:r>
        <w:instrText xml:space="preserve"> PAGEREF _Toc6143 \h </w:instrText>
      </w:r>
      <w:r>
        <w:fldChar w:fldCharType="separate"/>
      </w:r>
      <w:r>
        <w:t>19</w:t>
      </w:r>
      <w:r>
        <w:fldChar w:fldCharType="end"/>
      </w:r>
      <w:r>
        <w:rPr>
          <w:rFonts w:ascii="Times New Roman" w:hAnsi="Times New Roman"/>
          <w:bCs/>
          <w:color w:val="auto"/>
          <w:szCs w:val="24"/>
        </w:rPr>
        <w:fldChar w:fldCharType="end"/>
      </w:r>
    </w:p>
    <w:p w14:paraId="10299955">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_Toc22018 </w:instrText>
      </w:r>
      <w:r>
        <w:rPr>
          <w:rFonts w:ascii="Times New Roman" w:hAnsi="Times New Roman"/>
          <w:bCs/>
          <w:szCs w:val="24"/>
        </w:rPr>
        <w:fldChar w:fldCharType="separate"/>
      </w:r>
      <w:r>
        <w:rPr>
          <w:rFonts w:hint="eastAsia" w:ascii="宋体" w:hAnsi="宋体" w:cs="宋体"/>
          <w:lang w:val="zh-CN"/>
        </w:rPr>
        <w:t>十</w:t>
      </w:r>
      <w:r>
        <w:rPr>
          <w:rFonts w:hint="eastAsia" w:ascii="宋体" w:hAnsi="宋体" w:cs="宋体"/>
        </w:rPr>
        <w:t>一</w:t>
      </w:r>
      <w:r>
        <w:rPr>
          <w:rFonts w:hint="eastAsia" w:ascii="宋体" w:hAnsi="宋体" w:cs="宋体"/>
          <w:lang w:val="zh-CN"/>
        </w:rPr>
        <w:t>、其他</w:t>
      </w:r>
      <w:r>
        <w:tab/>
      </w:r>
      <w:r>
        <w:fldChar w:fldCharType="begin"/>
      </w:r>
      <w:r>
        <w:instrText xml:space="preserve"> PAGEREF _Toc22018 \h </w:instrText>
      </w:r>
      <w:r>
        <w:fldChar w:fldCharType="separate"/>
      </w:r>
      <w:r>
        <w:t>19</w:t>
      </w:r>
      <w:r>
        <w:fldChar w:fldCharType="end"/>
      </w:r>
      <w:r>
        <w:rPr>
          <w:rFonts w:ascii="Times New Roman" w:hAnsi="Times New Roman"/>
          <w:bCs/>
          <w:color w:val="auto"/>
          <w:szCs w:val="24"/>
        </w:rPr>
        <w:fldChar w:fldCharType="end"/>
      </w:r>
    </w:p>
    <w:p w14:paraId="1361B43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_Toc28419 </w:instrText>
      </w:r>
      <w:r>
        <w:rPr>
          <w:rFonts w:ascii="Times New Roman" w:hAnsi="Times New Roman"/>
          <w:bCs/>
          <w:szCs w:val="24"/>
        </w:rPr>
        <w:fldChar w:fldCharType="separate"/>
      </w:r>
      <w:r>
        <w:rPr>
          <w:rFonts w:ascii="Times New Roman" w:hAnsi="Times New Roman"/>
          <w:lang w:val="zh-CN"/>
        </w:rPr>
        <w:t>第三部分  青海省政府采购合同文本样式</w:t>
      </w:r>
      <w:r>
        <w:tab/>
      </w:r>
      <w:r>
        <w:fldChar w:fldCharType="begin"/>
      </w:r>
      <w:r>
        <w:instrText xml:space="preserve"> PAGEREF _Toc28419 \h </w:instrText>
      </w:r>
      <w:r>
        <w:fldChar w:fldCharType="separate"/>
      </w:r>
      <w:r>
        <w:t>21</w:t>
      </w:r>
      <w:r>
        <w:fldChar w:fldCharType="end"/>
      </w:r>
      <w:r>
        <w:rPr>
          <w:rFonts w:ascii="Times New Roman" w:hAnsi="Times New Roman"/>
          <w:bCs/>
          <w:color w:val="auto"/>
          <w:szCs w:val="24"/>
        </w:rPr>
        <w:fldChar w:fldCharType="end"/>
      </w:r>
    </w:p>
    <w:p w14:paraId="566B9E64">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_Toc25878 </w:instrText>
      </w:r>
      <w:r>
        <w:rPr>
          <w:rFonts w:ascii="Times New Roman" w:hAnsi="Times New Roman"/>
          <w:bCs/>
          <w:szCs w:val="24"/>
        </w:rPr>
        <w:fldChar w:fldCharType="separate"/>
      </w:r>
      <w:r>
        <w:rPr>
          <w:rFonts w:ascii="Times New Roman" w:hAnsi="Times New Roman"/>
          <w:lang w:val="zh-CN"/>
        </w:rPr>
        <w:t>第四部分  投标文件格式</w:t>
      </w:r>
      <w:r>
        <w:tab/>
      </w:r>
      <w:r>
        <w:fldChar w:fldCharType="begin"/>
      </w:r>
      <w:r>
        <w:instrText xml:space="preserve"> PAGEREF _Toc25878 \h </w:instrText>
      </w:r>
      <w:r>
        <w:fldChar w:fldCharType="separate"/>
      </w:r>
      <w:r>
        <w:t>35</w:t>
      </w:r>
      <w:r>
        <w:fldChar w:fldCharType="end"/>
      </w:r>
      <w:r>
        <w:rPr>
          <w:rFonts w:ascii="Times New Roman" w:hAnsi="Times New Roman"/>
          <w:bCs/>
          <w:color w:val="auto"/>
          <w:szCs w:val="24"/>
        </w:rPr>
        <w:fldChar w:fldCharType="end"/>
      </w:r>
    </w:p>
    <w:p w14:paraId="451CCAE6">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_Toc20747 </w:instrText>
      </w:r>
      <w:r>
        <w:rPr>
          <w:rFonts w:ascii="Times New Roman" w:hAnsi="Times New Roman"/>
          <w:bCs/>
          <w:szCs w:val="24"/>
        </w:rPr>
        <w:fldChar w:fldCharType="separate"/>
      </w:r>
      <w:r>
        <w:rPr>
          <w:rFonts w:ascii="Times New Roman" w:hAnsi="Times New Roman"/>
        </w:rPr>
        <w:t>投标文件封面（上册）</w:t>
      </w:r>
      <w:r>
        <w:tab/>
      </w:r>
      <w:r>
        <w:fldChar w:fldCharType="begin"/>
      </w:r>
      <w:r>
        <w:instrText xml:space="preserve"> PAGEREF _Toc20747 \h </w:instrText>
      </w:r>
      <w:r>
        <w:fldChar w:fldCharType="separate"/>
      </w:r>
      <w:r>
        <w:t>35</w:t>
      </w:r>
      <w:r>
        <w:fldChar w:fldCharType="end"/>
      </w:r>
      <w:r>
        <w:rPr>
          <w:rFonts w:ascii="Times New Roman" w:hAnsi="Times New Roman"/>
          <w:bCs/>
          <w:color w:val="auto"/>
          <w:szCs w:val="24"/>
        </w:rPr>
        <w:fldChar w:fldCharType="end"/>
      </w:r>
    </w:p>
    <w:p w14:paraId="2661A609">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_Toc11856 </w:instrText>
      </w:r>
      <w:r>
        <w:rPr>
          <w:rFonts w:ascii="Times New Roman" w:hAnsi="Times New Roman"/>
          <w:bCs/>
          <w:szCs w:val="24"/>
        </w:rPr>
        <w:fldChar w:fldCharType="separate"/>
      </w:r>
      <w:r>
        <w:rPr>
          <w:rFonts w:ascii="Times New Roman" w:hAnsi="Times New Roman"/>
        </w:rPr>
        <w:t>投标文件目录（上册）</w:t>
      </w:r>
      <w:r>
        <w:tab/>
      </w:r>
      <w:r>
        <w:fldChar w:fldCharType="begin"/>
      </w:r>
      <w:r>
        <w:instrText xml:space="preserve"> PAGEREF _Toc11856 \h </w:instrText>
      </w:r>
      <w:r>
        <w:fldChar w:fldCharType="separate"/>
      </w:r>
      <w:r>
        <w:t>36</w:t>
      </w:r>
      <w:r>
        <w:fldChar w:fldCharType="end"/>
      </w:r>
      <w:r>
        <w:rPr>
          <w:rFonts w:ascii="Times New Roman" w:hAnsi="Times New Roman"/>
          <w:bCs/>
          <w:color w:val="auto"/>
          <w:szCs w:val="24"/>
        </w:rPr>
        <w:fldChar w:fldCharType="end"/>
      </w:r>
    </w:p>
    <w:p w14:paraId="088F941E">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_Toc20490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1</w:t>
      </w:r>
      <w:r>
        <w:rPr>
          <w:rFonts w:ascii="Times New Roman" w:hAnsi="Times New Roman"/>
          <w:lang w:val="zh-CN"/>
        </w:rPr>
        <w:t>：投标函</w:t>
      </w:r>
      <w:r>
        <w:tab/>
      </w:r>
      <w:r>
        <w:fldChar w:fldCharType="begin"/>
      </w:r>
      <w:r>
        <w:instrText xml:space="preserve"> PAGEREF _Toc20490 \h </w:instrText>
      </w:r>
      <w:r>
        <w:fldChar w:fldCharType="separate"/>
      </w:r>
      <w:r>
        <w:t>37</w:t>
      </w:r>
      <w:r>
        <w:fldChar w:fldCharType="end"/>
      </w:r>
      <w:r>
        <w:rPr>
          <w:rFonts w:ascii="Times New Roman" w:hAnsi="Times New Roman"/>
          <w:bCs/>
          <w:color w:val="auto"/>
          <w:szCs w:val="24"/>
        </w:rPr>
        <w:fldChar w:fldCharType="end"/>
      </w:r>
    </w:p>
    <w:p w14:paraId="17C6DA1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_Toc10098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2</w:t>
      </w:r>
      <w:r>
        <w:rPr>
          <w:rFonts w:ascii="Times New Roman" w:hAnsi="Times New Roman"/>
          <w:lang w:val="zh-CN"/>
        </w:rPr>
        <w:t>：法定代表人证明书</w:t>
      </w:r>
      <w:r>
        <w:tab/>
      </w:r>
      <w:r>
        <w:fldChar w:fldCharType="begin"/>
      </w:r>
      <w:r>
        <w:instrText xml:space="preserve"> PAGEREF _Toc10098 \h </w:instrText>
      </w:r>
      <w:r>
        <w:fldChar w:fldCharType="separate"/>
      </w:r>
      <w:r>
        <w:t>38</w:t>
      </w:r>
      <w:r>
        <w:fldChar w:fldCharType="end"/>
      </w:r>
      <w:r>
        <w:rPr>
          <w:rFonts w:ascii="Times New Roman" w:hAnsi="Times New Roman"/>
          <w:bCs/>
          <w:color w:val="auto"/>
          <w:szCs w:val="24"/>
        </w:rPr>
        <w:fldChar w:fldCharType="end"/>
      </w:r>
    </w:p>
    <w:p w14:paraId="3AA6F096">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_Toc28646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3</w:t>
      </w:r>
      <w:r>
        <w:rPr>
          <w:rFonts w:ascii="Times New Roman" w:hAnsi="Times New Roman"/>
          <w:lang w:val="zh-CN"/>
        </w:rPr>
        <w:t>：法定代表人授权书</w:t>
      </w:r>
      <w:r>
        <w:tab/>
      </w:r>
      <w:r>
        <w:fldChar w:fldCharType="begin"/>
      </w:r>
      <w:r>
        <w:instrText xml:space="preserve"> PAGEREF _Toc28646 \h </w:instrText>
      </w:r>
      <w:r>
        <w:fldChar w:fldCharType="separate"/>
      </w:r>
      <w:r>
        <w:t>39</w:t>
      </w:r>
      <w:r>
        <w:fldChar w:fldCharType="end"/>
      </w:r>
      <w:r>
        <w:rPr>
          <w:rFonts w:ascii="Times New Roman" w:hAnsi="Times New Roman"/>
          <w:bCs/>
          <w:color w:val="auto"/>
          <w:szCs w:val="24"/>
        </w:rPr>
        <w:fldChar w:fldCharType="end"/>
      </w:r>
    </w:p>
    <w:p w14:paraId="1CA66794">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_Toc23857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4</w:t>
      </w:r>
      <w:r>
        <w:rPr>
          <w:rFonts w:ascii="Times New Roman" w:hAnsi="Times New Roman"/>
          <w:lang w:val="zh-CN"/>
        </w:rPr>
        <w:t>：</w:t>
      </w:r>
      <w:r>
        <w:rPr>
          <w:rFonts w:hint="eastAsia" w:ascii="Times New Roman" w:hAnsi="Times New Roman"/>
          <w:lang w:val="zh-CN"/>
        </w:rPr>
        <w:t>投标人</w:t>
      </w:r>
      <w:r>
        <w:rPr>
          <w:rFonts w:ascii="Times New Roman" w:hAnsi="Times New Roman"/>
          <w:lang w:val="zh-CN"/>
        </w:rPr>
        <w:t>承诺书</w:t>
      </w:r>
      <w:r>
        <w:tab/>
      </w:r>
      <w:r>
        <w:fldChar w:fldCharType="begin"/>
      </w:r>
      <w:r>
        <w:instrText xml:space="preserve"> PAGEREF _Toc23857 \h </w:instrText>
      </w:r>
      <w:r>
        <w:fldChar w:fldCharType="separate"/>
      </w:r>
      <w:r>
        <w:t>40</w:t>
      </w:r>
      <w:r>
        <w:fldChar w:fldCharType="end"/>
      </w:r>
      <w:r>
        <w:rPr>
          <w:rFonts w:ascii="Times New Roman" w:hAnsi="Times New Roman"/>
          <w:bCs/>
          <w:color w:val="auto"/>
          <w:szCs w:val="24"/>
        </w:rPr>
        <w:fldChar w:fldCharType="end"/>
      </w:r>
    </w:p>
    <w:p w14:paraId="1811D75B">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_Toc26949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5</w:t>
      </w:r>
      <w:r>
        <w:rPr>
          <w:rFonts w:ascii="Times New Roman" w:hAnsi="Times New Roman"/>
          <w:lang w:val="zh-CN"/>
        </w:rPr>
        <w:t>：</w:t>
      </w:r>
      <w:r>
        <w:rPr>
          <w:rFonts w:hint="eastAsia" w:ascii="Times New Roman" w:hAnsi="Times New Roman"/>
          <w:lang w:val="zh-CN"/>
        </w:rPr>
        <w:t>投标人</w:t>
      </w:r>
      <w:r>
        <w:rPr>
          <w:rFonts w:ascii="Times New Roman" w:hAnsi="Times New Roman"/>
          <w:lang w:val="zh-CN"/>
        </w:rPr>
        <w:t>诚信承诺书</w:t>
      </w:r>
      <w:r>
        <w:tab/>
      </w:r>
      <w:r>
        <w:fldChar w:fldCharType="begin"/>
      </w:r>
      <w:r>
        <w:instrText xml:space="preserve"> PAGEREF _Toc26949 \h </w:instrText>
      </w:r>
      <w:r>
        <w:fldChar w:fldCharType="separate"/>
      </w:r>
      <w:r>
        <w:t>41</w:t>
      </w:r>
      <w:r>
        <w:fldChar w:fldCharType="end"/>
      </w:r>
      <w:r>
        <w:rPr>
          <w:rFonts w:ascii="Times New Roman" w:hAnsi="Times New Roman"/>
          <w:bCs/>
          <w:color w:val="auto"/>
          <w:szCs w:val="24"/>
        </w:rPr>
        <w:fldChar w:fldCharType="end"/>
      </w:r>
    </w:p>
    <w:p w14:paraId="6458A58C">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_Toc4446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6</w:t>
      </w:r>
      <w:r>
        <w:rPr>
          <w:rFonts w:ascii="Times New Roman" w:hAnsi="Times New Roman"/>
          <w:lang w:val="zh-CN"/>
        </w:rPr>
        <w:t>：资格证明材料</w:t>
      </w:r>
      <w:r>
        <w:tab/>
      </w:r>
      <w:r>
        <w:fldChar w:fldCharType="begin"/>
      </w:r>
      <w:r>
        <w:instrText xml:space="preserve"> PAGEREF _Toc4446 \h </w:instrText>
      </w:r>
      <w:r>
        <w:fldChar w:fldCharType="separate"/>
      </w:r>
      <w:r>
        <w:t>42</w:t>
      </w:r>
      <w:r>
        <w:fldChar w:fldCharType="end"/>
      </w:r>
      <w:r>
        <w:rPr>
          <w:rFonts w:ascii="Times New Roman" w:hAnsi="Times New Roman"/>
          <w:bCs/>
          <w:color w:val="auto"/>
          <w:szCs w:val="24"/>
        </w:rPr>
        <w:fldChar w:fldCharType="end"/>
      </w:r>
    </w:p>
    <w:p w14:paraId="65EDC9C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_Toc7050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7</w:t>
      </w:r>
      <w:r>
        <w:rPr>
          <w:rFonts w:ascii="Times New Roman" w:hAnsi="Times New Roman"/>
          <w:lang w:val="zh-CN"/>
        </w:rPr>
        <w:t>：财务状况、缴纳税收和社会保障资金证明</w:t>
      </w:r>
      <w:r>
        <w:tab/>
      </w:r>
      <w:r>
        <w:fldChar w:fldCharType="begin"/>
      </w:r>
      <w:r>
        <w:instrText xml:space="preserve"> PAGEREF _Toc7050 \h </w:instrText>
      </w:r>
      <w:r>
        <w:fldChar w:fldCharType="separate"/>
      </w:r>
      <w:r>
        <w:t>43</w:t>
      </w:r>
      <w:r>
        <w:fldChar w:fldCharType="end"/>
      </w:r>
      <w:r>
        <w:rPr>
          <w:rFonts w:ascii="Times New Roman" w:hAnsi="Times New Roman"/>
          <w:bCs/>
          <w:color w:val="auto"/>
          <w:szCs w:val="24"/>
        </w:rPr>
        <w:fldChar w:fldCharType="end"/>
      </w:r>
    </w:p>
    <w:p w14:paraId="71373A4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_Toc32594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8</w:t>
      </w:r>
      <w:r>
        <w:rPr>
          <w:rFonts w:ascii="Times New Roman" w:hAnsi="Times New Roman"/>
          <w:lang w:val="zh-CN"/>
        </w:rPr>
        <w:t>：具备履行合同所必需的设备和专业技术能力证明</w:t>
      </w:r>
      <w:r>
        <w:tab/>
      </w:r>
      <w:r>
        <w:fldChar w:fldCharType="begin"/>
      </w:r>
      <w:r>
        <w:instrText xml:space="preserve"> PAGEREF _Toc32594 \h </w:instrText>
      </w:r>
      <w:r>
        <w:fldChar w:fldCharType="separate"/>
      </w:r>
      <w:r>
        <w:t>44</w:t>
      </w:r>
      <w:r>
        <w:fldChar w:fldCharType="end"/>
      </w:r>
      <w:r>
        <w:rPr>
          <w:rFonts w:ascii="Times New Roman" w:hAnsi="Times New Roman"/>
          <w:bCs/>
          <w:color w:val="auto"/>
          <w:szCs w:val="24"/>
        </w:rPr>
        <w:fldChar w:fldCharType="end"/>
      </w:r>
    </w:p>
    <w:p w14:paraId="29830EFE">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_Toc28676 </w:instrText>
      </w:r>
      <w:r>
        <w:rPr>
          <w:rFonts w:ascii="Times New Roman" w:hAnsi="Times New Roman"/>
          <w:bCs/>
          <w:szCs w:val="24"/>
        </w:rPr>
        <w:fldChar w:fldCharType="separate"/>
      </w:r>
      <w:r>
        <w:rPr>
          <w:rFonts w:hint="eastAsia" w:ascii="Times New Roman" w:hAnsi="Times New Roman" w:eastAsia="宋体" w:cs="Times New Roman"/>
          <w:bCs/>
          <w:lang w:val="zh-CN" w:eastAsia="zh-CN"/>
        </w:rPr>
        <w:t>格式9：无重大违法记录声明</w:t>
      </w:r>
      <w:r>
        <w:tab/>
      </w:r>
      <w:r>
        <w:fldChar w:fldCharType="begin"/>
      </w:r>
      <w:r>
        <w:instrText xml:space="preserve"> PAGEREF _Toc28676 \h </w:instrText>
      </w:r>
      <w:r>
        <w:fldChar w:fldCharType="separate"/>
      </w:r>
      <w:r>
        <w:t>45</w:t>
      </w:r>
      <w:r>
        <w:fldChar w:fldCharType="end"/>
      </w:r>
      <w:r>
        <w:rPr>
          <w:rFonts w:ascii="Times New Roman" w:hAnsi="Times New Roman"/>
          <w:bCs/>
          <w:color w:val="auto"/>
          <w:szCs w:val="24"/>
        </w:rPr>
        <w:fldChar w:fldCharType="end"/>
      </w:r>
    </w:p>
    <w:p w14:paraId="2E3BC8C6">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_Toc8442 </w:instrText>
      </w:r>
      <w:r>
        <w:rPr>
          <w:rFonts w:ascii="Times New Roman" w:hAnsi="Times New Roman"/>
          <w:bCs/>
          <w:szCs w:val="24"/>
        </w:rPr>
        <w:fldChar w:fldCharType="separate"/>
      </w:r>
      <w:r>
        <w:rPr>
          <w:rFonts w:hint="eastAsia"/>
          <w:lang w:val="zh-CN"/>
        </w:rPr>
        <w:t>格式10：投标保证金证明</w:t>
      </w:r>
      <w:r>
        <w:tab/>
      </w:r>
      <w:r>
        <w:fldChar w:fldCharType="begin"/>
      </w:r>
      <w:r>
        <w:instrText xml:space="preserve"> PAGEREF _Toc8442 \h </w:instrText>
      </w:r>
      <w:r>
        <w:fldChar w:fldCharType="separate"/>
      </w:r>
      <w:r>
        <w:t>46</w:t>
      </w:r>
      <w:r>
        <w:fldChar w:fldCharType="end"/>
      </w:r>
      <w:r>
        <w:rPr>
          <w:rFonts w:ascii="Times New Roman" w:hAnsi="Times New Roman"/>
          <w:bCs/>
          <w:color w:val="auto"/>
          <w:szCs w:val="24"/>
        </w:rPr>
        <w:fldChar w:fldCharType="end"/>
      </w:r>
    </w:p>
    <w:p w14:paraId="6C38D9A3">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_Toc16230 </w:instrText>
      </w:r>
      <w:r>
        <w:rPr>
          <w:rFonts w:ascii="Times New Roman" w:hAnsi="Times New Roman"/>
          <w:bCs/>
          <w:szCs w:val="24"/>
        </w:rPr>
        <w:fldChar w:fldCharType="separate"/>
      </w:r>
      <w:r>
        <w:rPr>
          <w:lang w:val="zh-CN"/>
        </w:rPr>
        <w:t>投标文件封面（下册）</w:t>
      </w:r>
      <w:r>
        <w:tab/>
      </w:r>
      <w:r>
        <w:fldChar w:fldCharType="begin"/>
      </w:r>
      <w:r>
        <w:instrText xml:space="preserve"> PAGEREF _Toc16230 \h </w:instrText>
      </w:r>
      <w:r>
        <w:fldChar w:fldCharType="separate"/>
      </w:r>
      <w:r>
        <w:t>47</w:t>
      </w:r>
      <w:r>
        <w:fldChar w:fldCharType="end"/>
      </w:r>
      <w:r>
        <w:rPr>
          <w:rFonts w:ascii="Times New Roman" w:hAnsi="Times New Roman"/>
          <w:bCs/>
          <w:color w:val="auto"/>
          <w:szCs w:val="24"/>
        </w:rPr>
        <w:fldChar w:fldCharType="end"/>
      </w:r>
    </w:p>
    <w:p w14:paraId="74E14164">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_Toc24811 </w:instrText>
      </w:r>
      <w:r>
        <w:rPr>
          <w:rFonts w:ascii="Times New Roman" w:hAnsi="Times New Roman"/>
          <w:bCs/>
          <w:szCs w:val="24"/>
        </w:rPr>
        <w:fldChar w:fldCharType="separate"/>
      </w:r>
      <w:r>
        <w:rPr>
          <w:rFonts w:ascii="Times New Roman" w:hAnsi="Times New Roman"/>
          <w:szCs w:val="30"/>
          <w:lang w:val="zh-CN"/>
        </w:rPr>
        <w:t>投标文件目录（下册）</w:t>
      </w:r>
      <w:r>
        <w:tab/>
      </w:r>
      <w:r>
        <w:fldChar w:fldCharType="begin"/>
      </w:r>
      <w:r>
        <w:instrText xml:space="preserve"> PAGEREF _Toc24811 \h </w:instrText>
      </w:r>
      <w:r>
        <w:fldChar w:fldCharType="separate"/>
      </w:r>
      <w:r>
        <w:t>48</w:t>
      </w:r>
      <w:r>
        <w:fldChar w:fldCharType="end"/>
      </w:r>
      <w:r>
        <w:rPr>
          <w:rFonts w:ascii="Times New Roman" w:hAnsi="Times New Roman"/>
          <w:bCs/>
          <w:color w:val="auto"/>
          <w:szCs w:val="24"/>
        </w:rPr>
        <w:fldChar w:fldCharType="end"/>
      </w:r>
    </w:p>
    <w:p w14:paraId="296BB49E">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_Toc5102 </w:instrText>
      </w:r>
      <w:r>
        <w:rPr>
          <w:rFonts w:ascii="Times New Roman" w:hAnsi="Times New Roman"/>
          <w:bCs/>
          <w:szCs w:val="24"/>
        </w:rPr>
        <w:fldChar w:fldCharType="separate"/>
      </w:r>
      <w:r>
        <w:rPr>
          <w:rFonts w:hint="eastAsia" w:ascii="Times New Roman" w:hAnsi="Times New Roman"/>
          <w:szCs w:val="30"/>
        </w:rPr>
        <w:t>格式11：</w:t>
      </w:r>
      <w:r>
        <w:rPr>
          <w:rFonts w:ascii="Times New Roman" w:hAnsi="Times New Roman"/>
          <w:szCs w:val="30"/>
          <w:lang w:val="zh-CN"/>
        </w:rPr>
        <w:t>评分对照表</w:t>
      </w:r>
      <w:r>
        <w:tab/>
      </w:r>
      <w:r>
        <w:fldChar w:fldCharType="begin"/>
      </w:r>
      <w:r>
        <w:instrText xml:space="preserve"> PAGEREF _Toc5102 \h </w:instrText>
      </w:r>
      <w:r>
        <w:fldChar w:fldCharType="separate"/>
      </w:r>
      <w:r>
        <w:t>49</w:t>
      </w:r>
      <w:r>
        <w:fldChar w:fldCharType="end"/>
      </w:r>
      <w:r>
        <w:rPr>
          <w:rFonts w:ascii="Times New Roman" w:hAnsi="Times New Roman"/>
          <w:bCs/>
          <w:color w:val="auto"/>
          <w:szCs w:val="24"/>
        </w:rPr>
        <w:fldChar w:fldCharType="end"/>
      </w:r>
    </w:p>
    <w:p w14:paraId="620E57B3">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_Toc19045 </w:instrText>
      </w:r>
      <w:r>
        <w:rPr>
          <w:rFonts w:ascii="Times New Roman" w:hAnsi="Times New Roman"/>
          <w:bCs/>
          <w:szCs w:val="24"/>
        </w:rPr>
        <w:fldChar w:fldCharType="separate"/>
      </w:r>
      <w:r>
        <w:rPr>
          <w:rFonts w:hint="eastAsia" w:ascii="Times New Roman" w:hAnsi="Times New Roman"/>
          <w:szCs w:val="30"/>
        </w:rPr>
        <w:t>格式12：</w:t>
      </w:r>
      <w:r>
        <w:rPr>
          <w:rFonts w:ascii="Times New Roman" w:hAnsi="Times New Roman"/>
          <w:szCs w:val="30"/>
          <w:lang w:val="zh-CN"/>
        </w:rPr>
        <w:t>开标一览表（报价表）</w:t>
      </w:r>
      <w:r>
        <w:tab/>
      </w:r>
      <w:r>
        <w:fldChar w:fldCharType="begin"/>
      </w:r>
      <w:r>
        <w:instrText xml:space="preserve"> PAGEREF _Toc19045 \h </w:instrText>
      </w:r>
      <w:r>
        <w:fldChar w:fldCharType="separate"/>
      </w:r>
      <w:r>
        <w:t>50</w:t>
      </w:r>
      <w:r>
        <w:fldChar w:fldCharType="end"/>
      </w:r>
      <w:r>
        <w:rPr>
          <w:rFonts w:ascii="Times New Roman" w:hAnsi="Times New Roman"/>
          <w:bCs/>
          <w:color w:val="auto"/>
          <w:szCs w:val="24"/>
        </w:rPr>
        <w:fldChar w:fldCharType="end"/>
      </w:r>
    </w:p>
    <w:p w14:paraId="592EB842">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_Toc13807 </w:instrText>
      </w:r>
      <w:r>
        <w:rPr>
          <w:rFonts w:ascii="Times New Roman" w:hAnsi="Times New Roman"/>
          <w:bCs/>
          <w:szCs w:val="24"/>
        </w:rPr>
        <w:fldChar w:fldCharType="separate"/>
      </w:r>
      <w:r>
        <w:rPr>
          <w:rFonts w:hint="eastAsia" w:ascii="Times New Roman" w:hAnsi="Times New Roman"/>
          <w:szCs w:val="30"/>
        </w:rPr>
        <w:t>格式13：</w:t>
      </w:r>
      <w:r>
        <w:rPr>
          <w:rFonts w:ascii="Times New Roman" w:hAnsi="Times New Roman"/>
          <w:szCs w:val="30"/>
          <w:lang w:val="zh-CN"/>
        </w:rPr>
        <w:t>分项报价表</w:t>
      </w:r>
      <w:r>
        <w:tab/>
      </w:r>
      <w:r>
        <w:fldChar w:fldCharType="begin"/>
      </w:r>
      <w:r>
        <w:instrText xml:space="preserve"> PAGEREF _Toc13807 \h </w:instrText>
      </w:r>
      <w:r>
        <w:fldChar w:fldCharType="separate"/>
      </w:r>
      <w:r>
        <w:t>51</w:t>
      </w:r>
      <w:r>
        <w:fldChar w:fldCharType="end"/>
      </w:r>
      <w:r>
        <w:rPr>
          <w:rFonts w:ascii="Times New Roman" w:hAnsi="Times New Roman"/>
          <w:bCs/>
          <w:color w:val="auto"/>
          <w:szCs w:val="24"/>
        </w:rPr>
        <w:fldChar w:fldCharType="end"/>
      </w:r>
    </w:p>
    <w:p w14:paraId="48FD0C2A">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_Toc3638 </w:instrText>
      </w:r>
      <w:r>
        <w:rPr>
          <w:rFonts w:ascii="Times New Roman" w:hAnsi="Times New Roman"/>
          <w:bCs/>
          <w:szCs w:val="24"/>
        </w:rPr>
        <w:fldChar w:fldCharType="separate"/>
      </w:r>
      <w:r>
        <w:rPr>
          <w:rFonts w:hint="eastAsia" w:ascii="Times New Roman" w:hAnsi="Times New Roman"/>
          <w:szCs w:val="30"/>
        </w:rPr>
        <w:t>格式14：</w:t>
      </w:r>
      <w:r>
        <w:rPr>
          <w:rFonts w:ascii="Times New Roman" w:hAnsi="Times New Roman"/>
          <w:szCs w:val="30"/>
          <w:lang w:val="zh-CN"/>
        </w:rPr>
        <w:t>技术规格响应表</w:t>
      </w:r>
      <w:r>
        <w:tab/>
      </w:r>
      <w:r>
        <w:fldChar w:fldCharType="begin"/>
      </w:r>
      <w:r>
        <w:instrText xml:space="preserve"> PAGEREF _Toc3638 \h </w:instrText>
      </w:r>
      <w:r>
        <w:fldChar w:fldCharType="separate"/>
      </w:r>
      <w:r>
        <w:t>52</w:t>
      </w:r>
      <w:r>
        <w:fldChar w:fldCharType="end"/>
      </w:r>
      <w:r>
        <w:rPr>
          <w:rFonts w:ascii="Times New Roman" w:hAnsi="Times New Roman"/>
          <w:bCs/>
          <w:color w:val="auto"/>
          <w:szCs w:val="24"/>
        </w:rPr>
        <w:fldChar w:fldCharType="end"/>
      </w:r>
    </w:p>
    <w:p w14:paraId="3E019ED6">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_Toc7584 </w:instrText>
      </w:r>
      <w:r>
        <w:rPr>
          <w:rFonts w:ascii="Times New Roman" w:hAnsi="Times New Roman"/>
          <w:bCs/>
          <w:szCs w:val="24"/>
        </w:rPr>
        <w:fldChar w:fldCharType="separate"/>
      </w:r>
      <w:r>
        <w:rPr>
          <w:rFonts w:hint="eastAsia" w:ascii="Times New Roman" w:hAnsi="Times New Roman"/>
          <w:szCs w:val="30"/>
        </w:rPr>
        <w:t>格式15：</w:t>
      </w:r>
      <w:r>
        <w:rPr>
          <w:rFonts w:ascii="Times New Roman" w:hAnsi="Times New Roman"/>
          <w:szCs w:val="30"/>
          <w:lang w:val="zh-CN"/>
        </w:rPr>
        <w:t>投标产品相关资料</w:t>
      </w:r>
      <w:r>
        <w:tab/>
      </w:r>
      <w:r>
        <w:fldChar w:fldCharType="begin"/>
      </w:r>
      <w:r>
        <w:instrText xml:space="preserve"> PAGEREF _Toc7584 \h </w:instrText>
      </w:r>
      <w:r>
        <w:fldChar w:fldCharType="separate"/>
      </w:r>
      <w:r>
        <w:t>53</w:t>
      </w:r>
      <w:r>
        <w:fldChar w:fldCharType="end"/>
      </w:r>
      <w:r>
        <w:rPr>
          <w:rFonts w:ascii="Times New Roman" w:hAnsi="Times New Roman"/>
          <w:bCs/>
          <w:color w:val="auto"/>
          <w:szCs w:val="24"/>
        </w:rPr>
        <w:fldChar w:fldCharType="end"/>
      </w:r>
    </w:p>
    <w:p w14:paraId="6F8A8B46">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_Toc11218 </w:instrText>
      </w:r>
      <w:r>
        <w:rPr>
          <w:rFonts w:ascii="Times New Roman" w:hAnsi="Times New Roman"/>
          <w:bCs/>
          <w:szCs w:val="24"/>
        </w:rPr>
        <w:fldChar w:fldCharType="separate"/>
      </w:r>
      <w:r>
        <w:rPr>
          <w:rFonts w:hint="eastAsia" w:ascii="Times New Roman" w:hAnsi="Times New Roman"/>
          <w:szCs w:val="30"/>
        </w:rPr>
        <w:t>格式16：</w:t>
      </w:r>
      <w:r>
        <w:rPr>
          <w:rFonts w:hint="eastAsia" w:ascii="Times New Roman" w:hAnsi="Times New Roman"/>
          <w:lang w:val="zh-CN"/>
        </w:rPr>
        <w:t>投标人</w:t>
      </w:r>
      <w:r>
        <w:rPr>
          <w:rFonts w:ascii="Times New Roman" w:hAnsi="Times New Roman"/>
          <w:lang w:val="zh-CN"/>
        </w:rPr>
        <w:t>类似业绩证明材料</w:t>
      </w:r>
      <w:r>
        <w:tab/>
      </w:r>
      <w:r>
        <w:fldChar w:fldCharType="begin"/>
      </w:r>
      <w:r>
        <w:instrText xml:space="preserve"> PAGEREF _Toc11218 \h </w:instrText>
      </w:r>
      <w:r>
        <w:fldChar w:fldCharType="separate"/>
      </w:r>
      <w:r>
        <w:t>54</w:t>
      </w:r>
      <w:r>
        <w:fldChar w:fldCharType="end"/>
      </w:r>
      <w:r>
        <w:rPr>
          <w:rFonts w:ascii="Times New Roman" w:hAnsi="Times New Roman"/>
          <w:bCs/>
          <w:color w:val="auto"/>
          <w:szCs w:val="24"/>
        </w:rPr>
        <w:fldChar w:fldCharType="end"/>
      </w:r>
    </w:p>
    <w:p w14:paraId="529C1584">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_Toc31831 </w:instrText>
      </w:r>
      <w:r>
        <w:rPr>
          <w:rFonts w:ascii="Times New Roman" w:hAnsi="Times New Roman"/>
          <w:bCs/>
          <w:szCs w:val="24"/>
        </w:rPr>
        <w:fldChar w:fldCharType="separate"/>
      </w:r>
      <w:r>
        <w:rPr>
          <w:rFonts w:hint="eastAsia" w:ascii="Times New Roman" w:hAnsi="Times New Roman"/>
          <w:lang w:val="zh-CN"/>
        </w:rPr>
        <w:t>格式17：享受政府采购政策优惠的证明资料</w:t>
      </w:r>
      <w:r>
        <w:tab/>
      </w:r>
      <w:r>
        <w:fldChar w:fldCharType="begin"/>
      </w:r>
      <w:r>
        <w:instrText xml:space="preserve"> PAGEREF _Toc31831 \h </w:instrText>
      </w:r>
      <w:r>
        <w:fldChar w:fldCharType="separate"/>
      </w:r>
      <w:r>
        <w:t>55</w:t>
      </w:r>
      <w:r>
        <w:fldChar w:fldCharType="end"/>
      </w:r>
      <w:r>
        <w:rPr>
          <w:rFonts w:ascii="Times New Roman" w:hAnsi="Times New Roman"/>
          <w:bCs/>
          <w:color w:val="auto"/>
          <w:szCs w:val="24"/>
        </w:rPr>
        <w:fldChar w:fldCharType="end"/>
      </w:r>
    </w:p>
    <w:p w14:paraId="6A296FC4">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_Toc18469 </w:instrText>
      </w:r>
      <w:r>
        <w:rPr>
          <w:rFonts w:ascii="Times New Roman" w:hAnsi="Times New Roman"/>
          <w:bCs/>
          <w:szCs w:val="24"/>
        </w:rPr>
        <w:fldChar w:fldCharType="separate"/>
      </w:r>
      <w:r>
        <w:rPr>
          <w:rFonts w:hint="eastAsia" w:ascii="Times New Roman" w:hAnsi="Times New Roman"/>
          <w:szCs w:val="30"/>
        </w:rPr>
        <w:t>格式18：</w:t>
      </w:r>
      <w:r>
        <w:rPr>
          <w:rFonts w:ascii="Times New Roman" w:hAnsi="Times New Roman"/>
          <w:szCs w:val="30"/>
          <w:lang w:val="zh-CN"/>
        </w:rPr>
        <w:t>投标人认为在其他方面有必要说明的事项</w:t>
      </w:r>
      <w:r>
        <w:tab/>
      </w:r>
      <w:r>
        <w:fldChar w:fldCharType="begin"/>
      </w:r>
      <w:r>
        <w:instrText xml:space="preserve"> PAGEREF _Toc18469 \h </w:instrText>
      </w:r>
      <w:r>
        <w:fldChar w:fldCharType="separate"/>
      </w:r>
      <w:r>
        <w:t>59</w:t>
      </w:r>
      <w:r>
        <w:fldChar w:fldCharType="end"/>
      </w:r>
      <w:r>
        <w:rPr>
          <w:rFonts w:ascii="Times New Roman" w:hAnsi="Times New Roman"/>
          <w:bCs/>
          <w:color w:val="auto"/>
          <w:szCs w:val="24"/>
        </w:rPr>
        <w:fldChar w:fldCharType="end"/>
      </w:r>
    </w:p>
    <w:p w14:paraId="646BA90C">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_Toc24727 </w:instrText>
      </w:r>
      <w:r>
        <w:rPr>
          <w:rFonts w:ascii="Times New Roman" w:hAnsi="Times New Roman"/>
          <w:bCs/>
          <w:szCs w:val="24"/>
        </w:rPr>
        <w:fldChar w:fldCharType="separate"/>
      </w:r>
      <w:r>
        <w:rPr>
          <w:rFonts w:ascii="Times New Roman" w:hAnsi="Times New Roman"/>
          <w:lang w:val="zh-CN"/>
        </w:rPr>
        <w:t>第五部分  采购项目要求及技术参数</w:t>
      </w:r>
      <w:r>
        <w:tab/>
      </w:r>
      <w:r>
        <w:fldChar w:fldCharType="begin"/>
      </w:r>
      <w:r>
        <w:instrText xml:space="preserve"> PAGEREF _Toc24727 \h </w:instrText>
      </w:r>
      <w:r>
        <w:fldChar w:fldCharType="separate"/>
      </w:r>
      <w:r>
        <w:t>60</w:t>
      </w:r>
      <w:r>
        <w:fldChar w:fldCharType="end"/>
      </w:r>
      <w:r>
        <w:rPr>
          <w:rFonts w:ascii="Times New Roman" w:hAnsi="Times New Roman"/>
          <w:bCs/>
          <w:color w:val="auto"/>
          <w:szCs w:val="24"/>
        </w:rPr>
        <w:fldChar w:fldCharType="end"/>
      </w:r>
    </w:p>
    <w:p w14:paraId="62B3EA4C">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_Toc18399 </w:instrText>
      </w:r>
      <w:r>
        <w:rPr>
          <w:rFonts w:ascii="Times New Roman" w:hAnsi="Times New Roman"/>
          <w:bCs/>
          <w:szCs w:val="24"/>
        </w:rPr>
        <w:fldChar w:fldCharType="separate"/>
      </w:r>
      <w:r>
        <w:rPr>
          <w:rFonts w:ascii="Times New Roman" w:hAnsi="Times New Roman"/>
          <w:lang w:val="zh-CN"/>
        </w:rPr>
        <w:t>一、投标要求</w:t>
      </w:r>
      <w:r>
        <w:tab/>
      </w:r>
      <w:r>
        <w:fldChar w:fldCharType="begin"/>
      </w:r>
      <w:r>
        <w:instrText xml:space="preserve"> PAGEREF _Toc18399 \h </w:instrText>
      </w:r>
      <w:r>
        <w:fldChar w:fldCharType="separate"/>
      </w:r>
      <w:r>
        <w:t>60</w:t>
      </w:r>
      <w:r>
        <w:fldChar w:fldCharType="end"/>
      </w:r>
      <w:r>
        <w:rPr>
          <w:rFonts w:ascii="Times New Roman" w:hAnsi="Times New Roman"/>
          <w:bCs/>
          <w:color w:val="auto"/>
          <w:szCs w:val="24"/>
        </w:rPr>
        <w:fldChar w:fldCharType="end"/>
      </w:r>
    </w:p>
    <w:p w14:paraId="71EC6E10">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_Toc21404 </w:instrText>
      </w:r>
      <w:r>
        <w:rPr>
          <w:rFonts w:ascii="Times New Roman" w:hAnsi="Times New Roman"/>
          <w:bCs/>
          <w:szCs w:val="24"/>
        </w:rPr>
        <w:fldChar w:fldCharType="separate"/>
      </w:r>
      <w:r>
        <w:rPr>
          <w:rFonts w:ascii="Times New Roman" w:hAnsi="Times New Roman"/>
          <w:lang w:val="zh-CN"/>
        </w:rPr>
        <w:t>二、项目概况及技术参数</w:t>
      </w:r>
      <w:r>
        <w:tab/>
      </w:r>
      <w:r>
        <w:fldChar w:fldCharType="begin"/>
      </w:r>
      <w:r>
        <w:instrText xml:space="preserve"> PAGEREF _Toc21404 \h </w:instrText>
      </w:r>
      <w:r>
        <w:fldChar w:fldCharType="separate"/>
      </w:r>
      <w:r>
        <w:t>61</w:t>
      </w:r>
      <w:r>
        <w:fldChar w:fldCharType="end"/>
      </w:r>
      <w:r>
        <w:rPr>
          <w:rFonts w:ascii="Times New Roman" w:hAnsi="Times New Roman"/>
          <w:bCs/>
          <w:color w:val="auto"/>
          <w:szCs w:val="24"/>
        </w:rPr>
        <w:fldChar w:fldCharType="end"/>
      </w:r>
    </w:p>
    <w:p w14:paraId="7DC7FABA">
      <w:pPr>
        <w:pStyle w:val="15"/>
        <w:spacing w:line="480" w:lineRule="auto"/>
        <w:rPr>
          <w:rFonts w:ascii="Times New Roman" w:hAnsi="Times New Roman"/>
          <w:color w:val="auto"/>
          <w:lang w:val="zh-CN"/>
        </w:rPr>
      </w:pPr>
      <w:r>
        <w:rPr>
          <w:rFonts w:ascii="Times New Roman" w:hAnsi="Times New Roman"/>
          <w:bCs w:val="0"/>
          <w:color w:val="auto"/>
          <w:szCs w:val="24"/>
        </w:rPr>
        <w:fldChar w:fldCharType="end"/>
      </w:r>
      <w:bookmarkStart w:id="0" w:name="_Toc8474"/>
      <w:r>
        <w:rPr>
          <w:rFonts w:ascii="Times New Roman" w:hAnsi="Times New Roman"/>
          <w:b w:val="0"/>
          <w:color w:val="auto"/>
          <w:sz w:val="144"/>
        </w:rPr>
        <w:br w:type="page"/>
      </w:r>
      <w:bookmarkStart w:id="1" w:name="_Toc444715732"/>
      <w:r>
        <w:rPr>
          <w:rFonts w:ascii="Times New Roman" w:hAnsi="Times New Roman"/>
          <w:color w:val="auto"/>
          <w:lang w:val="zh-CN"/>
        </w:rPr>
        <w:t>第一部分</w:t>
      </w:r>
      <w:bookmarkEnd w:id="1"/>
      <w:r>
        <w:rPr>
          <w:rFonts w:ascii="Times New Roman" w:hAnsi="Times New Roman"/>
          <w:color w:val="auto"/>
          <w:lang w:val="zh-CN"/>
        </w:rPr>
        <w:t xml:space="preserve">  投标邀请</w:t>
      </w:r>
      <w:bookmarkEnd w:id="0"/>
    </w:p>
    <w:p w14:paraId="5A0DFAD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117F09C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2025年义务教育薄弱环节改善与能力提升及普通高中办学条件提升-乌兰县中小学教育装备及信息化设备采购项目</w:t>
      </w:r>
      <w:r>
        <w:rPr>
          <w:rFonts w:hint="eastAsia" w:ascii="宋体" w:hAnsi="宋体" w:eastAsia="宋体" w:cs="宋体"/>
          <w:color w:val="auto"/>
          <w:sz w:val="24"/>
          <w:szCs w:val="24"/>
        </w:rPr>
        <w:t>招标项目的潜在投标人应在</w:t>
      </w:r>
      <w:r>
        <w:rPr>
          <w:rFonts w:hint="eastAsia" w:ascii="宋体" w:hAnsi="宋体" w:eastAsia="宋体" w:cs="宋体"/>
          <w:color w:val="auto"/>
          <w:sz w:val="24"/>
          <w:szCs w:val="24"/>
          <w:u w:val="single"/>
          <w:lang w:val="zh-CN"/>
        </w:rPr>
        <w:t>政采云平台</w:t>
      </w:r>
      <w:r>
        <w:rPr>
          <w:rFonts w:hint="eastAsia" w:ascii="宋体" w:hAnsi="宋体" w:eastAsia="宋体" w:cs="宋体"/>
          <w:color w:val="auto"/>
          <w:sz w:val="24"/>
          <w:szCs w:val="24"/>
          <w:u w:val="single"/>
        </w:rPr>
        <w:t>（www.zcygov.cn）</w:t>
      </w:r>
      <w:r>
        <w:rPr>
          <w:rFonts w:hint="eastAsia" w:ascii="宋体" w:hAnsi="宋体" w:eastAsia="宋体" w:cs="宋体"/>
          <w:color w:val="auto"/>
          <w:sz w:val="24"/>
          <w:szCs w:val="24"/>
        </w:rPr>
        <w:t>获取招标文件，并于</w:t>
      </w:r>
      <w:r>
        <w:rPr>
          <w:rFonts w:hint="eastAsia" w:ascii="宋体" w:hAnsi="宋体" w:eastAsia="宋体" w:cs="宋体"/>
          <w:color w:val="auto"/>
          <w:sz w:val="24"/>
          <w:szCs w:val="24"/>
          <w:u w:val="single"/>
          <w:lang w:eastAsia="zh-CN"/>
        </w:rPr>
        <w:t>2025年07月</w:t>
      </w:r>
      <w:r>
        <w:rPr>
          <w:rFonts w:hint="eastAsia" w:ascii="宋体" w:hAnsi="宋体" w:eastAsia="宋体" w:cs="宋体"/>
          <w:color w:val="auto"/>
          <w:sz w:val="24"/>
          <w:szCs w:val="24"/>
          <w:u w:val="single"/>
          <w:lang w:val="en-US" w:eastAsia="zh-CN"/>
        </w:rPr>
        <w:t>29</w:t>
      </w:r>
      <w:r>
        <w:rPr>
          <w:rFonts w:hint="eastAsia" w:ascii="宋体" w:hAnsi="宋体" w:eastAsia="宋体" w:cs="宋体"/>
          <w:color w:val="auto"/>
          <w:sz w:val="24"/>
          <w:szCs w:val="24"/>
          <w:u w:val="single"/>
          <w:lang w:eastAsia="zh-CN"/>
        </w:rPr>
        <w:t>日上午09:00（北京时间）</w:t>
      </w:r>
      <w:r>
        <w:rPr>
          <w:rFonts w:hint="eastAsia" w:ascii="宋体" w:hAnsi="宋体" w:eastAsia="宋体" w:cs="宋体"/>
          <w:bCs/>
          <w:color w:val="auto"/>
          <w:sz w:val="24"/>
          <w:szCs w:val="24"/>
        </w:rPr>
        <w:t>前上传投标文件</w:t>
      </w:r>
      <w:r>
        <w:rPr>
          <w:rFonts w:hint="eastAsia" w:ascii="宋体" w:hAnsi="宋体" w:eastAsia="宋体" w:cs="宋体"/>
          <w:color w:val="auto"/>
          <w:sz w:val="24"/>
          <w:szCs w:val="24"/>
        </w:rPr>
        <w:t>。</w:t>
      </w:r>
    </w:p>
    <w:p w14:paraId="2B20F95C">
      <w:pPr>
        <w:pStyle w:val="2"/>
        <w:numPr>
          <w:ilvl w:val="0"/>
          <w:numId w:val="0"/>
        </w:numPr>
        <w:spacing w:line="360" w:lineRule="auto"/>
        <w:ind w:leftChars="0"/>
        <w:rPr>
          <w:rFonts w:hint="eastAsia" w:ascii="宋体" w:hAnsi="宋体" w:eastAsia="宋体" w:cs="宋体"/>
          <w:b/>
          <w:bCs/>
          <w:color w:val="auto"/>
          <w:sz w:val="24"/>
          <w:szCs w:val="24"/>
        </w:rPr>
      </w:pPr>
      <w:bookmarkStart w:id="2" w:name="_Toc35393790"/>
      <w:bookmarkStart w:id="3" w:name="_Toc35393621"/>
      <w:bookmarkStart w:id="4" w:name="_Toc28359079"/>
      <w:bookmarkStart w:id="5" w:name="_Toc28359002"/>
      <w:bookmarkStart w:id="6" w:name="_Toc30554"/>
      <w:bookmarkStart w:id="7" w:name="_Toc14499"/>
      <w:bookmarkStart w:id="8" w:name="_Hlk24379207"/>
    </w:p>
    <w:p w14:paraId="787271D1">
      <w:pPr>
        <w:pStyle w:val="2"/>
        <w:numPr>
          <w:ilvl w:val="0"/>
          <w:numId w:val="0"/>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bookmarkEnd w:id="2"/>
      <w:bookmarkEnd w:id="3"/>
      <w:bookmarkEnd w:id="4"/>
      <w:bookmarkEnd w:id="5"/>
      <w:bookmarkEnd w:id="6"/>
      <w:bookmarkEnd w:id="7"/>
    </w:p>
    <w:p w14:paraId="3A037E4F">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r>
        <w:rPr>
          <w:rFonts w:hint="default" w:ascii="宋体" w:hAnsi="宋体" w:eastAsia="宋体" w:cs="宋体"/>
          <w:color w:val="auto"/>
          <w:sz w:val="24"/>
          <w:szCs w:val="24"/>
          <w:lang w:eastAsia="zh-CN"/>
        </w:rPr>
        <w:t>乌政采</w:t>
      </w:r>
      <w:r>
        <w:rPr>
          <w:rFonts w:hint="default" w:ascii="宋体" w:hAnsi="宋体" w:eastAsia="宋体" w:cs="宋体"/>
          <w:color w:val="auto"/>
          <w:sz w:val="24"/>
          <w:szCs w:val="24"/>
          <w:lang w:val="en-US" w:eastAsia="zh-CN"/>
        </w:rPr>
        <w:t>公招（货物）2025-0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 xml:space="preserve">   </w:t>
      </w:r>
    </w:p>
    <w:p w14:paraId="697906D4">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项目名称：</w:t>
      </w:r>
      <w:bookmarkEnd w:id="8"/>
      <w:bookmarkStart w:id="9" w:name="OLE_LINK63"/>
      <w:r>
        <w:rPr>
          <w:rFonts w:hint="eastAsia" w:ascii="宋体" w:hAnsi="宋体" w:eastAsia="宋体" w:cs="宋体"/>
          <w:color w:val="auto"/>
          <w:sz w:val="24"/>
          <w:szCs w:val="24"/>
          <w:lang w:eastAsia="zh-CN"/>
        </w:rPr>
        <w:t>2025年义务教育薄弱环节改善与能力提升及普通高中办学条件提升-乌兰县中小学教育装备及信息化设备采购项目</w:t>
      </w:r>
    </w:p>
    <w:bookmarkEnd w:id="9"/>
    <w:p w14:paraId="5CB13EC6">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预算金额：</w:t>
      </w:r>
      <w:r>
        <w:rPr>
          <w:rFonts w:hint="eastAsia" w:ascii="宋体" w:hAnsi="宋体" w:eastAsia="宋体" w:cs="宋体"/>
          <w:color w:val="auto"/>
          <w:sz w:val="24"/>
          <w:szCs w:val="24"/>
          <w:lang w:val="en-US" w:eastAsia="zh-CN"/>
        </w:rPr>
        <w:t>4073223.00</w:t>
      </w:r>
      <w:commentRangeStart w:id="0"/>
      <w:r>
        <w:rPr>
          <w:rFonts w:hint="eastAsia" w:ascii="宋体" w:hAnsi="宋体" w:eastAsia="宋体" w:cs="宋体"/>
          <w:color w:val="auto"/>
          <w:sz w:val="24"/>
          <w:szCs w:val="24"/>
          <w:lang w:val="en-US" w:eastAsia="zh-CN"/>
        </w:rPr>
        <w:t>元</w:t>
      </w:r>
      <w:commentRangeEnd w:id="0"/>
      <w:r>
        <w:rPr>
          <w:rFonts w:hint="eastAsia" w:ascii="宋体" w:hAnsi="宋体" w:eastAsia="宋体" w:cs="宋体"/>
          <w:color w:val="auto"/>
          <w:sz w:val="24"/>
          <w:szCs w:val="24"/>
          <w:lang w:eastAsia="zh-CN"/>
        </w:rPr>
        <w:commentReference w:id="0"/>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包一713947.00元；包二1524160.00元；包三1835116.00元）</w:t>
      </w:r>
      <w:r>
        <w:rPr>
          <w:rFonts w:hint="eastAsia" w:ascii="宋体" w:hAnsi="宋体" w:eastAsia="宋体" w:cs="宋体"/>
          <w:color w:val="auto"/>
          <w:sz w:val="24"/>
          <w:szCs w:val="24"/>
          <w:lang w:eastAsia="zh-CN"/>
        </w:rPr>
        <w:t xml:space="preserve">  </w:t>
      </w:r>
    </w:p>
    <w:p w14:paraId="75BD672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采购需求：</w:t>
      </w:r>
    </w:p>
    <w:p w14:paraId="3DD55D0B">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标项名称：</w:t>
      </w:r>
      <w:bookmarkStart w:id="10" w:name="OLE_LINK3"/>
      <w:r>
        <w:rPr>
          <w:rFonts w:hint="eastAsia" w:ascii="宋体" w:hAnsi="宋体" w:eastAsia="宋体" w:cs="宋体"/>
          <w:color w:val="auto"/>
          <w:sz w:val="24"/>
          <w:szCs w:val="24"/>
          <w:lang w:eastAsia="zh-CN"/>
        </w:rPr>
        <w:t>2025年义务教育薄弱环节改善与能力提升及普通高中办学条件提升-乌兰县中小学教育装备及信息化设备采购项目</w:t>
      </w:r>
    </w:p>
    <w:bookmarkEnd w:id="10"/>
    <w:p w14:paraId="27B05EBF">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数量：具体内容详见《</w:t>
      </w:r>
      <w:r>
        <w:rPr>
          <w:rFonts w:hint="eastAsia" w:ascii="宋体" w:hAnsi="宋体" w:eastAsia="宋体" w:cs="宋体"/>
          <w:color w:val="auto"/>
          <w:sz w:val="24"/>
          <w:szCs w:val="24"/>
          <w:lang w:val="en-US" w:eastAsia="zh-CN"/>
        </w:rPr>
        <w:t>公开</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lang w:val="en-US" w:eastAsia="zh-CN"/>
        </w:rPr>
        <w:t>技术参数</w:t>
      </w:r>
      <w:r>
        <w:rPr>
          <w:rFonts w:hint="eastAsia" w:ascii="宋体" w:hAnsi="宋体" w:eastAsia="宋体" w:cs="宋体"/>
          <w:color w:val="auto"/>
          <w:sz w:val="24"/>
          <w:szCs w:val="24"/>
          <w:lang w:eastAsia="zh-CN"/>
        </w:rPr>
        <w:t> </w:t>
      </w:r>
    </w:p>
    <w:p w14:paraId="1FC05E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r>
        <w:rPr>
          <w:rFonts w:hint="eastAsia" w:ascii="宋体" w:hAnsi="宋体" w:cs="宋体"/>
          <w:color w:val="auto"/>
          <w:sz w:val="24"/>
          <w:szCs w:val="24"/>
          <w:lang w:val="en-US" w:eastAsia="zh-CN"/>
        </w:rPr>
        <w:t>4073223.00</w:t>
      </w:r>
      <w:commentRangeStart w:id="1"/>
      <w:r>
        <w:rPr>
          <w:rFonts w:hint="eastAsia" w:ascii="宋体" w:hAnsi="宋体" w:eastAsia="宋体" w:cs="宋体"/>
          <w:color w:val="auto"/>
          <w:sz w:val="24"/>
          <w:szCs w:val="24"/>
          <w:lang w:val="en-US" w:eastAsia="zh-CN"/>
        </w:rPr>
        <w:t>元</w:t>
      </w:r>
      <w:commentRangeEnd w:id="1"/>
      <w:r>
        <w:rPr>
          <w:rFonts w:hint="eastAsia" w:ascii="宋体" w:hAnsi="宋体" w:eastAsia="宋体" w:cs="宋体"/>
          <w:color w:val="auto"/>
          <w:sz w:val="24"/>
          <w:szCs w:val="24"/>
          <w:lang w:eastAsia="zh-CN"/>
        </w:rPr>
        <w:commentReference w:id="1"/>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包一</w:t>
      </w:r>
      <w:r>
        <w:rPr>
          <w:rFonts w:hint="eastAsia"/>
          <w:lang w:val="en-US" w:eastAsia="zh-CN"/>
        </w:rPr>
        <w:t>713947.00元；包二</w:t>
      </w:r>
      <w:r>
        <w:rPr>
          <w:rFonts w:hint="eastAsia" w:asciiTheme="minorEastAsia" w:hAnsiTheme="minorEastAsia" w:eastAsiaTheme="minorEastAsia" w:cstheme="minorEastAsia"/>
          <w:i w:val="0"/>
          <w:iCs w:val="0"/>
          <w:color w:val="000000"/>
          <w:kern w:val="0"/>
          <w:sz w:val="20"/>
          <w:szCs w:val="20"/>
          <w:u w:val="none"/>
          <w:lang w:val="en-US" w:eastAsia="zh-CN" w:bidi="ar"/>
        </w:rPr>
        <w:t>1</w:t>
      </w:r>
      <w:r>
        <w:rPr>
          <w:rFonts w:hint="eastAsia" w:eastAsia="宋体"/>
          <w:lang w:val="en-US" w:eastAsia="zh-CN"/>
        </w:rPr>
        <w:t>524160.00</w:t>
      </w:r>
      <w:r>
        <w:rPr>
          <w:rFonts w:hint="eastAsia"/>
          <w:lang w:val="en-US" w:eastAsia="zh-CN"/>
        </w:rPr>
        <w:t>元；包三1835116.00元）</w:t>
      </w: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单位：具体内容详见《</w:t>
      </w:r>
      <w:r>
        <w:rPr>
          <w:rFonts w:hint="eastAsia" w:ascii="宋体" w:hAnsi="宋体" w:eastAsia="宋体" w:cs="宋体"/>
          <w:color w:val="auto"/>
          <w:sz w:val="24"/>
          <w:szCs w:val="24"/>
          <w:lang w:val="en-US" w:eastAsia="zh-CN"/>
        </w:rPr>
        <w:t>公开</w:t>
      </w:r>
      <w:r>
        <w:rPr>
          <w:rFonts w:hint="eastAsia" w:ascii="宋体" w:hAnsi="宋体" w:eastAsia="宋体" w:cs="宋体"/>
          <w:color w:val="auto"/>
          <w:sz w:val="24"/>
          <w:szCs w:val="24"/>
        </w:rPr>
        <w:t>招标文件》 </w:t>
      </w:r>
    </w:p>
    <w:p w14:paraId="1DA72C9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简要规格描述：具体内容详见《</w:t>
      </w:r>
      <w:r>
        <w:rPr>
          <w:rFonts w:hint="eastAsia" w:ascii="宋体" w:hAnsi="宋体" w:eastAsia="宋体" w:cs="宋体"/>
          <w:color w:val="auto"/>
          <w:sz w:val="24"/>
          <w:szCs w:val="24"/>
          <w:lang w:val="en-US" w:eastAsia="zh-CN"/>
        </w:rPr>
        <w:t>公开</w:t>
      </w:r>
      <w:r>
        <w:rPr>
          <w:rFonts w:hint="eastAsia" w:ascii="宋体" w:hAnsi="宋体" w:eastAsia="宋体" w:cs="宋体"/>
          <w:color w:val="auto"/>
          <w:sz w:val="24"/>
          <w:szCs w:val="24"/>
        </w:rPr>
        <w:t>招标文件》</w:t>
      </w:r>
    </w:p>
    <w:p w14:paraId="211C7C0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44FB74C0">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kern w:val="2"/>
          <w:sz w:val="24"/>
          <w:szCs w:val="24"/>
          <w:lang w:val="en-US" w:eastAsia="zh-CN" w:bidi="ar-SA"/>
        </w:rPr>
        <w:t>本项目（否）接受联合体投标。</w:t>
      </w:r>
      <w:bookmarkStart w:id="11" w:name="_Toc28359080"/>
      <w:bookmarkStart w:id="12" w:name="_Toc35393791"/>
      <w:bookmarkStart w:id="13" w:name="_Toc28359003"/>
      <w:bookmarkStart w:id="14" w:name="_Toc20168"/>
      <w:bookmarkStart w:id="15" w:name="_Toc27510"/>
      <w:bookmarkStart w:id="16" w:name="_Toc35393622"/>
    </w:p>
    <w:p w14:paraId="6DBD9800">
      <w:pPr>
        <w:pStyle w:val="2"/>
        <w:numPr>
          <w:ilvl w:val="0"/>
          <w:numId w:val="0"/>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bookmarkEnd w:id="11"/>
      <w:bookmarkEnd w:id="12"/>
      <w:bookmarkEnd w:id="13"/>
      <w:bookmarkEnd w:id="14"/>
      <w:bookmarkEnd w:id="15"/>
      <w:bookmarkEnd w:id="16"/>
    </w:p>
    <w:p w14:paraId="638A657B">
      <w:pPr>
        <w:pStyle w:val="20"/>
        <w:spacing w:line="360" w:lineRule="auto"/>
        <w:rPr>
          <w:rFonts w:hint="eastAsia" w:ascii="宋体" w:hAnsi="宋体" w:eastAsia="宋体" w:cs="宋体"/>
          <w:bCs/>
          <w:color w:val="auto"/>
          <w:kern w:val="0"/>
          <w:sz w:val="24"/>
          <w:szCs w:val="24"/>
          <w:lang w:val="zh-CN"/>
        </w:rPr>
      </w:pPr>
      <w:bookmarkStart w:id="17" w:name="OLE_LINK38"/>
      <w:bookmarkStart w:id="18" w:name="_Toc28359081"/>
      <w:bookmarkStart w:id="19" w:name="_Toc35393623"/>
      <w:bookmarkStart w:id="20" w:name="_Toc35393792"/>
      <w:bookmarkStart w:id="21" w:name="_Toc13259"/>
      <w:bookmarkStart w:id="22" w:name="_Toc28359004"/>
      <w:r>
        <w:rPr>
          <w:rFonts w:hint="eastAsia" w:ascii="宋体" w:hAnsi="宋体" w:eastAsia="宋体" w:cs="宋体"/>
          <w:bCs/>
          <w:color w:val="auto"/>
          <w:kern w:val="0"/>
          <w:sz w:val="24"/>
          <w:szCs w:val="24"/>
          <w:lang w:val="zh-CN"/>
        </w:rPr>
        <w:t>1、符合《政府采购法》第 22 条</w:t>
      </w:r>
      <w:r>
        <w:rPr>
          <w:rFonts w:hint="eastAsia" w:ascii="宋体" w:hAnsi="宋体" w:eastAsia="宋体" w:cs="宋体"/>
          <w:bCs/>
          <w:color w:val="auto"/>
          <w:kern w:val="0"/>
          <w:sz w:val="24"/>
          <w:szCs w:val="24"/>
          <w:lang w:val="en-US" w:eastAsia="zh-CN"/>
        </w:rPr>
        <w:t>规定的</w:t>
      </w:r>
      <w:r>
        <w:rPr>
          <w:rFonts w:hint="eastAsia" w:ascii="宋体" w:hAnsi="宋体" w:eastAsia="宋体" w:cs="宋体"/>
          <w:bCs/>
          <w:color w:val="auto"/>
          <w:kern w:val="0"/>
          <w:sz w:val="24"/>
          <w:szCs w:val="24"/>
          <w:lang w:val="zh-CN"/>
        </w:rPr>
        <w:t>条件，并提供下列材料：</w:t>
      </w:r>
    </w:p>
    <w:p w14:paraId="707CCAF7">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&lt;1&gt;投标人的营业执照等证明文件，自然人的身份证明。</w:t>
      </w:r>
    </w:p>
    <w:p w14:paraId="7142A471">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&lt;2&gt;财务状况报告，依法缴纳税收和社会保障资金的相关材料。</w:t>
      </w:r>
    </w:p>
    <w:p w14:paraId="5E7D0771">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&lt;3&gt;具备履行合同所必需的设备和专业技术能力的证明材料。</w:t>
      </w:r>
    </w:p>
    <w:p w14:paraId="06AFA097">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&lt;4&gt;参加政府采购活动前 3 年内在经营活动中没有重大违法记录的书面声明。</w:t>
      </w:r>
    </w:p>
    <w:p w14:paraId="2D8E44BC">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&lt;5&gt;具备法律、行政法规规定的其他条件的证明材料。</w:t>
      </w:r>
    </w:p>
    <w:p w14:paraId="350D583E">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2、经信用中国(www.creditchina.gov.cn)、中国政府采购</w:t>
      </w:r>
    </w:p>
    <w:p w14:paraId="5FB1E456">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网(www.ccgp.gov.cn)等渠道查询后，列入失信被执行人、重大税收违法黑名单、政府采购严重违法失信行为记录名单的，取消投标资格。(提供“信用中国 ”“ 中国政府采购网 ”网站的查询截图，时间为投标  截止时间前20天内);</w:t>
      </w:r>
    </w:p>
    <w:p w14:paraId="09F54D47">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3、单位负责人为同一人或者存在直接控股、管理关系的不同投标人，不得参加同一合同项下的政府采购活动。否则，皆取消投标资格；</w:t>
      </w:r>
    </w:p>
    <w:p w14:paraId="7EE7FDBD">
      <w:pPr>
        <w:pStyle w:val="20"/>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zh-CN"/>
        </w:rPr>
        <w:t>4、为本采购项目提供整体设计、规范编制或者项目管理、监理、检</w:t>
      </w:r>
      <w:bookmarkEnd w:id="17"/>
      <w:r>
        <w:rPr>
          <w:rFonts w:hint="eastAsia" w:ascii="宋体" w:hAnsi="宋体" w:eastAsia="宋体" w:cs="宋体"/>
          <w:bCs/>
          <w:color w:val="auto"/>
          <w:kern w:val="0"/>
          <w:sz w:val="24"/>
          <w:szCs w:val="24"/>
          <w:lang w:val="en-US" w:eastAsia="zh-CN"/>
        </w:rPr>
        <w:t>测等服务的投标人，不得再参加该采购项目的其他采购活动；</w:t>
      </w:r>
    </w:p>
    <w:p w14:paraId="41E9C555">
      <w:pPr>
        <w:pStyle w:val="20"/>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5、本项目不接受投标人以联合体方式进行投标；</w:t>
      </w:r>
    </w:p>
    <w:p w14:paraId="263A37A7">
      <w:pPr>
        <w:pStyle w:val="20"/>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6、本项目不专门面向中小企业进行采购；</w:t>
      </w:r>
    </w:p>
    <w:p w14:paraId="58DE3282">
      <w:pPr>
        <w:pStyle w:val="20"/>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7、本项目</w:t>
      </w:r>
      <w:r>
        <w:rPr>
          <w:rFonts w:hint="eastAsia" w:ascii="宋体" w:hAnsi="宋体" w:cs="宋体"/>
          <w:bCs/>
          <w:color w:val="auto"/>
          <w:kern w:val="0"/>
          <w:sz w:val="24"/>
          <w:szCs w:val="24"/>
          <w:lang w:val="en-US" w:eastAsia="zh-CN"/>
        </w:rPr>
        <w:t>包一</w:t>
      </w:r>
      <w:r>
        <w:rPr>
          <w:rFonts w:hint="eastAsia" w:ascii="宋体" w:hAnsi="宋体" w:eastAsia="宋体" w:cs="宋体"/>
          <w:bCs/>
          <w:color w:val="auto"/>
          <w:kern w:val="0"/>
          <w:sz w:val="24"/>
          <w:szCs w:val="24"/>
          <w:lang w:val="en-US" w:eastAsia="zh-CN"/>
        </w:rPr>
        <w:t>所属行业为制造业；</w:t>
      </w:r>
      <w:r>
        <w:rPr>
          <w:rFonts w:hint="eastAsia" w:ascii="宋体" w:hAnsi="宋体" w:cs="宋体"/>
          <w:bCs/>
          <w:color w:val="auto"/>
          <w:kern w:val="0"/>
          <w:sz w:val="24"/>
          <w:szCs w:val="24"/>
          <w:lang w:val="en-US" w:eastAsia="zh-CN"/>
        </w:rPr>
        <w:t>包二、包三所属行业为</w:t>
      </w:r>
      <w:r>
        <w:rPr>
          <w:rFonts w:hint="eastAsia" w:ascii="宋体" w:hAnsi="宋体" w:eastAsia="宋体" w:cs="宋体"/>
          <w:bCs/>
          <w:color w:val="auto"/>
          <w:kern w:val="0"/>
          <w:sz w:val="24"/>
          <w:szCs w:val="24"/>
          <w:lang w:val="en-US" w:eastAsia="zh-CN"/>
        </w:rPr>
        <w:t>软件和信息技术服务业</w:t>
      </w:r>
      <w:bookmarkStart w:id="23" w:name="_Toc10827"/>
    </w:p>
    <w:p w14:paraId="213A8405">
      <w:pPr>
        <w:pStyle w:val="20"/>
        <w:spacing w:line="360" w:lineRule="auto"/>
        <w:rPr>
          <w:rFonts w:hint="default" w:ascii="宋体" w:hAnsi="宋体" w:eastAsia="宋体" w:cs="宋体"/>
          <w:bCs/>
          <w:color w:val="auto"/>
          <w:kern w:val="0"/>
          <w:sz w:val="24"/>
          <w:szCs w:val="24"/>
          <w:lang w:val="en" w:eastAsia="zh-CN"/>
        </w:rPr>
      </w:pPr>
      <w:r>
        <w:rPr>
          <w:rFonts w:hint="default" w:ascii="宋体" w:hAnsi="宋体" w:cs="宋体"/>
          <w:bCs/>
          <w:color w:val="auto"/>
          <w:kern w:val="0"/>
          <w:sz w:val="24"/>
          <w:szCs w:val="24"/>
          <w:lang w:val="en" w:eastAsia="zh-CN"/>
        </w:rPr>
        <w:t>8</w:t>
      </w:r>
      <w:r>
        <w:rPr>
          <w:rFonts w:hint="eastAsia" w:ascii="宋体" w:hAnsi="宋体" w:eastAsia="宋体" w:cs="宋体"/>
          <w:bCs/>
          <w:color w:val="auto"/>
          <w:kern w:val="0"/>
          <w:sz w:val="24"/>
          <w:szCs w:val="24"/>
          <w:lang w:val="en-US" w:eastAsia="zh-CN"/>
        </w:rPr>
        <w:t>、本项目兼投不兼中，供应商可就上述三个包进行投标，但最多只能中一个包。</w:t>
      </w:r>
    </w:p>
    <w:p w14:paraId="6BF0A9E6">
      <w:pPr>
        <w:pStyle w:val="2"/>
        <w:numPr>
          <w:ilvl w:val="0"/>
          <w:numId w:val="0"/>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bookmarkEnd w:id="18"/>
      <w:bookmarkEnd w:id="19"/>
      <w:bookmarkEnd w:id="20"/>
      <w:bookmarkEnd w:id="21"/>
      <w:bookmarkEnd w:id="22"/>
      <w:bookmarkEnd w:id="23"/>
    </w:p>
    <w:p w14:paraId="2203D09C">
      <w:pPr>
        <w:spacing w:line="360" w:lineRule="auto"/>
        <w:ind w:firstLine="420"/>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rPr>
        <w:t>时间</w:t>
      </w:r>
      <w:r>
        <w:rPr>
          <w:rFonts w:hint="eastAsia" w:ascii="宋体" w:hAnsi="宋体" w:eastAsia="宋体" w:cs="宋体"/>
          <w:bCs/>
          <w:color w:val="auto"/>
          <w:kern w:val="0"/>
          <w:sz w:val="24"/>
          <w:szCs w:val="24"/>
          <w:lang w:val="en-US" w:eastAsia="zh-CN" w:bidi="ar-SA"/>
        </w:rPr>
        <w:t>：2025年07月</w:t>
      </w:r>
      <w:r>
        <w:rPr>
          <w:rFonts w:hint="eastAsia" w:ascii="宋体" w:hAnsi="宋体" w:eastAsia="宋体" w:cs="宋体"/>
          <w:bCs/>
          <w:color w:val="auto"/>
          <w:kern w:val="0"/>
          <w:sz w:val="24"/>
          <w:szCs w:val="24"/>
          <w:lang w:val="en-US" w:eastAsia="zh-CN" w:bidi="ar-SA"/>
        </w:rPr>
        <w:t>14日至2025年07月21日，每天00:00至23:59</w:t>
      </w:r>
    </w:p>
    <w:p w14:paraId="6B383545">
      <w:pPr>
        <w:spacing w:line="360" w:lineRule="auto"/>
        <w:ind w:firstLine="42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zh-CN"/>
        </w:rPr>
        <w:t>政采云平台</w:t>
      </w:r>
      <w:r>
        <w:rPr>
          <w:rFonts w:hint="eastAsia" w:ascii="宋体" w:hAnsi="宋体" w:eastAsia="宋体" w:cs="宋体"/>
          <w:color w:val="auto"/>
          <w:sz w:val="24"/>
          <w:szCs w:val="24"/>
        </w:rPr>
        <w:t>（www.zcygov.cn）</w:t>
      </w:r>
    </w:p>
    <w:p w14:paraId="7119BD62">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方式：供应商登录政采云平台在线申请获取采购文件（进入“项目采购”应用，在获取采购文件菜单中选择项目，申请获取采购文件）</w:t>
      </w:r>
    </w:p>
    <w:p w14:paraId="3CD786E7">
      <w:pPr>
        <w:spacing w:line="360" w:lineRule="auto"/>
        <w:ind w:firstLine="420"/>
        <w:rPr>
          <w:rFonts w:hint="eastAsia" w:ascii="宋体" w:hAnsi="宋体" w:eastAsia="宋体" w:cs="宋体"/>
          <w:b/>
          <w:bCs/>
          <w:color w:val="auto"/>
          <w:sz w:val="24"/>
          <w:szCs w:val="24"/>
        </w:rPr>
      </w:pPr>
      <w:r>
        <w:rPr>
          <w:rFonts w:hint="eastAsia" w:ascii="宋体" w:hAnsi="宋体" w:eastAsia="宋体" w:cs="宋体"/>
          <w:color w:val="auto"/>
          <w:sz w:val="24"/>
          <w:szCs w:val="24"/>
        </w:rPr>
        <w:t>售价（元）：</w:t>
      </w:r>
      <w:r>
        <w:rPr>
          <w:rFonts w:hint="eastAsia" w:ascii="宋体" w:hAnsi="宋体" w:eastAsia="宋体" w:cs="宋体"/>
          <w:color w:val="auto"/>
          <w:kern w:val="0"/>
          <w:sz w:val="24"/>
          <w:szCs w:val="24"/>
        </w:rPr>
        <w:t>0</w:t>
      </w:r>
      <w:bookmarkStart w:id="24" w:name="_Toc28359005"/>
      <w:bookmarkStart w:id="25" w:name="_Toc28359082"/>
      <w:bookmarkStart w:id="26" w:name="_Toc26690"/>
      <w:bookmarkStart w:id="27" w:name="_Toc35393793"/>
      <w:bookmarkStart w:id="28" w:name="_Toc35393624"/>
      <w:bookmarkStart w:id="29" w:name="_Toc24925"/>
    </w:p>
    <w:p w14:paraId="5CA5C13F">
      <w:pPr>
        <w:pStyle w:val="2"/>
        <w:numPr>
          <w:ilvl w:val="0"/>
          <w:numId w:val="0"/>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四、提交投标文件</w:t>
      </w:r>
      <w:bookmarkEnd w:id="24"/>
      <w:bookmarkEnd w:id="25"/>
      <w:r>
        <w:rPr>
          <w:rFonts w:hint="eastAsia" w:ascii="宋体" w:hAnsi="宋体" w:eastAsia="宋体" w:cs="宋体"/>
          <w:b/>
          <w:bCs/>
          <w:color w:val="auto"/>
          <w:sz w:val="24"/>
          <w:szCs w:val="24"/>
        </w:rPr>
        <w:t>截止时间、开标时间和地点</w:t>
      </w:r>
      <w:bookmarkEnd w:id="26"/>
      <w:bookmarkEnd w:id="27"/>
      <w:bookmarkEnd w:id="28"/>
      <w:bookmarkEnd w:id="29"/>
    </w:p>
    <w:p w14:paraId="3E7F268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提交投标文件截止时间：</w:t>
      </w:r>
      <w:commentRangeStart w:id="2"/>
      <w:r>
        <w:rPr>
          <w:rFonts w:hint="eastAsia" w:ascii="宋体" w:hAnsi="宋体" w:eastAsia="宋体" w:cs="宋体"/>
          <w:color w:val="auto"/>
          <w:sz w:val="24"/>
          <w:szCs w:val="24"/>
          <w:lang w:eastAsia="zh-CN"/>
        </w:rPr>
        <w:t>2025年0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eastAsia="zh-CN"/>
        </w:rPr>
        <w:t>日上午09:00</w:t>
      </w:r>
      <w:r>
        <w:rPr>
          <w:rFonts w:hint="eastAsia" w:ascii="宋体" w:hAnsi="宋体" w:eastAsia="宋体" w:cs="宋体"/>
          <w:color w:val="auto"/>
          <w:sz w:val="24"/>
          <w:szCs w:val="24"/>
          <w:lang w:eastAsia="zh-CN"/>
        </w:rPr>
        <w:t>（北京时间）</w:t>
      </w:r>
      <w:commentRangeEnd w:id="2"/>
      <w:r>
        <w:rPr>
          <w:rFonts w:hint="eastAsia" w:ascii="宋体" w:hAnsi="宋体" w:eastAsia="宋体" w:cs="宋体"/>
          <w:color w:val="auto"/>
          <w:sz w:val="24"/>
          <w:szCs w:val="24"/>
        </w:rPr>
        <w:commentReference w:id="2"/>
      </w:r>
    </w:p>
    <w:p w14:paraId="690372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投标地点：投标人请登录政采云投标客户端进行投标</w:t>
      </w:r>
    </w:p>
    <w:p w14:paraId="7645D9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2025年0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eastAsia="zh-CN"/>
        </w:rPr>
        <w:t>日上午09:00（北京时间）</w:t>
      </w:r>
    </w:p>
    <w:p w14:paraId="154E337D">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开标地点：</w:t>
      </w:r>
      <w:r>
        <w:rPr>
          <w:rFonts w:hint="eastAsia" w:ascii="宋体" w:hAnsi="宋体" w:eastAsia="宋体" w:cs="宋体"/>
          <w:color w:val="auto"/>
          <w:sz w:val="24"/>
          <w:szCs w:val="24"/>
          <w:lang w:eastAsia="zh-CN"/>
        </w:rPr>
        <w:t>海西州政务服务中心四楼</w:t>
      </w:r>
      <w:r>
        <w:rPr>
          <w:rFonts w:hint="eastAsia" w:ascii="宋体" w:hAnsi="宋体" w:eastAsia="宋体" w:cs="宋体"/>
          <w:color w:val="auto"/>
          <w:sz w:val="24"/>
          <w:szCs w:val="24"/>
        </w:rPr>
        <w:t xml:space="preserve">     </w:t>
      </w:r>
      <w:bookmarkStart w:id="30" w:name="_Toc35393625"/>
      <w:bookmarkStart w:id="31" w:name="_Toc35393794"/>
      <w:bookmarkStart w:id="32" w:name="_Toc28359084"/>
      <w:bookmarkStart w:id="33" w:name="_Toc13577"/>
      <w:bookmarkStart w:id="34" w:name="_Toc28359007"/>
      <w:bookmarkStart w:id="35" w:name="_Toc28711"/>
    </w:p>
    <w:p w14:paraId="25772A5A">
      <w:pPr>
        <w:pStyle w:val="2"/>
        <w:numPr>
          <w:ilvl w:val="0"/>
          <w:numId w:val="0"/>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五、公告期限</w:t>
      </w:r>
      <w:bookmarkEnd w:id="30"/>
      <w:bookmarkEnd w:id="31"/>
      <w:bookmarkEnd w:id="32"/>
      <w:bookmarkEnd w:id="33"/>
      <w:bookmarkEnd w:id="34"/>
      <w:bookmarkEnd w:id="35"/>
    </w:p>
    <w:p w14:paraId="004925E8">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kern w:val="0"/>
          <w:sz w:val="24"/>
          <w:szCs w:val="24"/>
        </w:rPr>
        <w:t>自本公告发布之日起5个工作日。</w:t>
      </w:r>
      <w:bookmarkStart w:id="36" w:name="_Toc3661"/>
      <w:bookmarkStart w:id="37" w:name="_Toc35393795"/>
      <w:bookmarkStart w:id="38" w:name="_Toc16267"/>
      <w:bookmarkStart w:id="39" w:name="_Toc35393626"/>
    </w:p>
    <w:p w14:paraId="2C7CCAB9">
      <w:pPr>
        <w:pStyle w:val="2"/>
        <w:numPr>
          <w:ilvl w:val="0"/>
          <w:numId w:val="0"/>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六、其他补充事宜</w:t>
      </w:r>
      <w:bookmarkEnd w:id="36"/>
      <w:bookmarkEnd w:id="37"/>
      <w:bookmarkEnd w:id="38"/>
      <w:bookmarkEnd w:id="39"/>
    </w:p>
    <w:p w14:paraId="014DC001">
      <w:pPr>
        <w:pStyle w:val="2"/>
        <w:numPr>
          <w:ilvl w:val="0"/>
          <w:numId w:val="0"/>
        </w:numPr>
        <w:spacing w:line="360" w:lineRule="auto"/>
        <w:ind w:leftChars="0"/>
        <w:rPr>
          <w:rFonts w:hint="eastAsia" w:ascii="宋体" w:hAnsi="宋体" w:eastAsia="宋体" w:cs="宋体"/>
          <w:color w:val="auto"/>
          <w:sz w:val="24"/>
          <w:szCs w:val="24"/>
        </w:rPr>
      </w:pPr>
      <w:bookmarkStart w:id="40" w:name="_Toc28359008"/>
      <w:bookmarkStart w:id="41" w:name="_Toc2266"/>
      <w:bookmarkStart w:id="42" w:name="_Toc22353"/>
      <w:bookmarkStart w:id="43" w:name="_Toc35393627"/>
      <w:bookmarkStart w:id="44" w:name="_Toc35393796"/>
      <w:bookmarkStart w:id="45" w:name="_Toc28359085"/>
      <w:r>
        <w:rPr>
          <w:rFonts w:hint="eastAsia" w:ascii="宋体" w:hAnsi="宋体" w:eastAsia="宋体" w:cs="宋体"/>
          <w:color w:val="auto"/>
          <w:sz w:val="24"/>
          <w:szCs w:val="24"/>
        </w:rPr>
        <w:t>（1）本项目招标公告在《中国采购与招标网》《青海省政府采购网》《青海省电子招标投标公共服务平台》同时发布；</w:t>
      </w:r>
    </w:p>
    <w:p w14:paraId="4BA08F19">
      <w:pPr>
        <w:pStyle w:val="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（2）公告期限：自青海省政府采购网发布之日起5个工作日；</w:t>
      </w:r>
    </w:p>
    <w:p w14:paraId="54B147B7">
      <w:pPr>
        <w:pStyle w:val="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（3）公告内容以青海省政府采购网发布的为准。</w:t>
      </w:r>
    </w:p>
    <w:p w14:paraId="6E60DB46">
      <w:pPr>
        <w:pStyle w:val="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（4）本次招标采用线上提交投标文件的方式进行采购，线上投标文件 必须在递交截止时间前上传至政采云平台。</w:t>
      </w:r>
    </w:p>
    <w:p w14:paraId="08C63036">
      <w:pPr>
        <w:pStyle w:val="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（5）若对项目采购电子交易系统操作有疑问，可登录政采云</w:t>
      </w:r>
    </w:p>
    <w:p w14:paraId="05FA328C">
      <w:pPr>
        <w:pStyle w:val="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（https://www.zcygov.cn/），点击右侧咨询小采，获取采小蜜智能服务管家帮助，或拨打政采云服务热线95763获取热线服务帮助。CA问题PC咨询网址（可及时反馈问题截图，让客服快速定位问题）:</w:t>
      </w:r>
    </w:p>
    <w:p w14:paraId="26D7597E">
      <w:pPr>
        <w:pStyle w:val="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http://tseal.cn/k.html，联系电话（人工）：400-087-8198。</w:t>
      </w:r>
    </w:p>
    <w:p w14:paraId="0F0D85F6">
      <w:pPr>
        <w:pStyle w:val="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（6）投标供应商解密和投标报价时必须由e签宝注册人办理，投标供应商须在固定电脑设备前登陆等待解密和投标报价，投标供应商须在规定的时间内完成，如超时，则视为无效投标。</w:t>
      </w:r>
    </w:p>
    <w:p w14:paraId="1C813176">
      <w:pPr>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）本项目供应商可通过政采云线上平台进行质疑程序，代理机构通过线上平台进行质疑投诉流程工作。</w:t>
      </w:r>
    </w:p>
    <w:p w14:paraId="5915ED15">
      <w:pPr>
        <w:pStyle w:val="2"/>
        <w:numPr>
          <w:ilvl w:val="0"/>
          <w:numId w:val="0"/>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七、对本次招标提出询问，请按以下方式联系</w:t>
      </w:r>
      <w:bookmarkEnd w:id="40"/>
      <w:bookmarkEnd w:id="41"/>
      <w:bookmarkEnd w:id="42"/>
      <w:bookmarkEnd w:id="43"/>
      <w:bookmarkEnd w:id="44"/>
      <w:bookmarkEnd w:id="45"/>
    </w:p>
    <w:p w14:paraId="627BB3A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6742659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zh-CN"/>
        </w:rPr>
        <w:t>乌兰县教育局</w:t>
      </w:r>
    </w:p>
    <w:p w14:paraId="2E8E8447">
      <w:pPr>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bCs/>
          <w:kern w:val="0"/>
          <w:sz w:val="24"/>
          <w:szCs w:val="24"/>
          <w:lang w:eastAsia="zh-CN"/>
        </w:rPr>
        <w:t>乌兰县西大街</w:t>
      </w:r>
      <w:r>
        <w:rPr>
          <w:rFonts w:hint="eastAsia" w:ascii="宋体" w:hAnsi="宋体" w:eastAsia="宋体" w:cs="宋体"/>
          <w:bCs/>
          <w:kern w:val="0"/>
          <w:sz w:val="24"/>
          <w:szCs w:val="24"/>
          <w:lang w:val="en-US" w:eastAsia="zh-CN"/>
        </w:rPr>
        <w:t>6号</w:t>
      </w:r>
    </w:p>
    <w:p w14:paraId="01E2E779">
      <w:pPr>
        <w:spacing w:line="360" w:lineRule="auto"/>
        <w:ind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lang w:val="zh-CN"/>
        </w:rPr>
        <w:t xml:space="preserve">联 系 </w:t>
      </w:r>
      <w:r>
        <w:rPr>
          <w:rFonts w:hint="eastAsia" w:ascii="宋体" w:hAnsi="宋体" w:eastAsia="宋体" w:cs="宋体"/>
          <w:color w:val="auto"/>
          <w:sz w:val="24"/>
          <w:szCs w:val="24"/>
          <w:highlight w:val="none"/>
          <w:lang w:val="zh-CN"/>
        </w:rPr>
        <w:t>人：</w:t>
      </w:r>
      <w:bookmarkStart w:id="46" w:name="OLE_LINK41"/>
      <w:r>
        <w:rPr>
          <w:rFonts w:hint="eastAsia" w:ascii="宋体" w:hAnsi="宋体" w:eastAsia="宋体" w:cs="宋体"/>
          <w:color w:val="auto"/>
          <w:sz w:val="24"/>
          <w:szCs w:val="24"/>
          <w:highlight w:val="none"/>
          <w:lang w:val="zh-CN"/>
        </w:rPr>
        <w:t>党</w:t>
      </w:r>
      <w:r>
        <w:rPr>
          <w:rFonts w:hint="eastAsia" w:ascii="宋体" w:hAnsi="宋体" w:eastAsia="宋体" w:cs="宋体"/>
          <w:color w:val="auto"/>
          <w:sz w:val="24"/>
          <w:szCs w:val="24"/>
          <w:highlight w:val="none"/>
          <w:lang w:val="en-US" w:eastAsia="zh-CN"/>
        </w:rPr>
        <w:t>老师</w:t>
      </w:r>
      <w:bookmarkEnd w:id="46"/>
    </w:p>
    <w:p w14:paraId="399B2BE5">
      <w:pPr>
        <w:numPr>
          <w:ilvl w:val="0"/>
          <w:numId w:val="0"/>
        </w:numPr>
        <w:spacing w:line="360" w:lineRule="auto"/>
        <w:ind w:leftChars="0"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zh-CN"/>
        </w:rPr>
        <w:t>联系方式：</w:t>
      </w:r>
      <w:bookmarkStart w:id="47" w:name="_Toc28359086"/>
      <w:bookmarkStart w:id="48" w:name="_Toc28359009"/>
      <w:r>
        <w:rPr>
          <w:rFonts w:hint="eastAsia" w:ascii="宋体" w:hAnsi="宋体" w:eastAsia="宋体" w:cs="宋体"/>
          <w:bCs/>
          <w:kern w:val="0"/>
          <w:sz w:val="24"/>
          <w:szCs w:val="24"/>
          <w:lang w:val="en-US" w:eastAsia="zh-CN"/>
        </w:rPr>
        <w:t>0977-8243715</w:t>
      </w:r>
    </w:p>
    <w:p w14:paraId="639B721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bookmarkEnd w:id="47"/>
      <w:bookmarkEnd w:id="48"/>
    </w:p>
    <w:p w14:paraId="6AE57B92">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乌兰县政府采购服务中心</w:t>
      </w:r>
    </w:p>
    <w:p w14:paraId="4ADE5B2D">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乌兰县东大街</w:t>
      </w:r>
      <w:r>
        <w:rPr>
          <w:rFonts w:hint="eastAsia" w:ascii="宋体" w:hAnsi="宋体" w:eastAsia="宋体" w:cs="宋体"/>
          <w:color w:val="auto"/>
          <w:sz w:val="24"/>
          <w:szCs w:val="24"/>
          <w:lang w:val="en-US" w:eastAsia="zh-CN"/>
        </w:rPr>
        <w:t>7-2号</w:t>
      </w:r>
    </w:p>
    <w:p w14:paraId="41B394BC">
      <w:pPr>
        <w:spacing w:line="360" w:lineRule="auto"/>
        <w:ind w:firstLine="480" w:firstLineChars="200"/>
        <w:rPr>
          <w:rFonts w:hint="default" w:ascii="宋体" w:hAnsi="宋体" w:eastAsia="宋体" w:cs="宋体"/>
          <w:color w:val="auto"/>
          <w:sz w:val="24"/>
          <w:szCs w:val="24"/>
          <w:lang w:val="en-US"/>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蒲先生</w:t>
      </w:r>
    </w:p>
    <w:p w14:paraId="6D558C39">
      <w:pPr>
        <w:spacing w:line="360" w:lineRule="auto"/>
        <w:ind w:firstLine="480"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rPr>
        <w:t>联系方式：</w:t>
      </w:r>
      <w:bookmarkStart w:id="49" w:name="_Toc28359087"/>
      <w:bookmarkStart w:id="50" w:name="_Toc28359010"/>
      <w:r>
        <w:rPr>
          <w:rFonts w:hint="eastAsia" w:ascii="宋体" w:hAnsi="宋体" w:eastAsia="宋体" w:cs="宋体"/>
          <w:color w:val="auto"/>
          <w:sz w:val="24"/>
          <w:szCs w:val="24"/>
          <w:lang w:val="en-US" w:eastAsia="zh-CN"/>
        </w:rPr>
        <w:t>0977-8248245</w:t>
      </w:r>
    </w:p>
    <w:p w14:paraId="4B3EE1A0">
      <w:pPr>
        <w:pStyle w:val="2"/>
        <w:numPr>
          <w:ilvl w:val="0"/>
          <w:numId w:val="0"/>
        </w:numPr>
        <w:spacing w:line="360" w:lineRule="auto"/>
        <w:ind w:leftChars="0"/>
        <w:rPr>
          <w:rFonts w:hint="default" w:ascii="宋体" w:hAnsi="宋体" w:eastAsia="宋体" w:cs="宋体"/>
          <w:color w:val="auto"/>
          <w:sz w:val="24"/>
          <w:szCs w:val="24"/>
          <w:lang w:val="en-US" w:eastAsia="zh-CN"/>
        </w:rPr>
      </w:pPr>
      <w:r>
        <w:rPr>
          <w:rFonts w:hint="eastAsia" w:ascii="宋体" w:hAnsi="宋体" w:eastAsia="宋体" w:cs="宋体"/>
          <w:b/>
          <w:bCs/>
          <w:color w:val="auto"/>
          <w:kern w:val="2"/>
          <w:sz w:val="24"/>
          <w:szCs w:val="24"/>
          <w:lang w:val="en-US" w:eastAsia="zh-CN" w:bidi="ar-SA"/>
        </w:rPr>
        <w:t>八、</w:t>
      </w:r>
      <w:r>
        <w:rPr>
          <w:rFonts w:hint="default" w:ascii="宋体" w:hAnsi="宋体" w:eastAsia="宋体" w:cs="宋体"/>
          <w:b/>
          <w:bCs/>
          <w:color w:val="auto"/>
          <w:kern w:val="2"/>
          <w:sz w:val="24"/>
          <w:szCs w:val="24"/>
          <w:lang w:val="en-US" w:eastAsia="zh-CN" w:bidi="ar-SA"/>
        </w:rPr>
        <w:t>财政监督部门及电话</w:t>
      </w:r>
      <w:r>
        <w:rPr>
          <w:rFonts w:hint="default" w:ascii="宋体" w:hAnsi="宋体" w:eastAsia="宋体" w:cs="宋体"/>
          <w:color w:val="auto"/>
          <w:sz w:val="24"/>
          <w:szCs w:val="24"/>
          <w:lang w:val="en-US" w:eastAsia="zh-CN"/>
        </w:rPr>
        <w:tab/>
      </w:r>
    </w:p>
    <w:p w14:paraId="47349107">
      <w:pPr>
        <w:spacing w:line="360" w:lineRule="auto"/>
        <w:ind w:firstLine="480" w:firstLineChars="20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单位名称：</w:t>
      </w:r>
      <w:r>
        <w:rPr>
          <w:rFonts w:hint="eastAsia" w:ascii="宋体" w:hAnsi="宋体" w:eastAsia="宋体" w:cs="宋体"/>
          <w:color w:val="auto"/>
          <w:sz w:val="24"/>
          <w:szCs w:val="24"/>
          <w:lang w:val="en-US" w:eastAsia="zh-CN"/>
        </w:rPr>
        <w:t>乌兰县财政局</w:t>
      </w:r>
    </w:p>
    <w:p w14:paraId="53E7C2FF">
      <w:pPr>
        <w:spacing w:line="360" w:lineRule="auto"/>
        <w:ind w:firstLine="480" w:firstLineChars="20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联系电话：</w:t>
      </w:r>
      <w:r>
        <w:rPr>
          <w:rFonts w:hint="eastAsia" w:ascii="宋体" w:hAnsi="宋体" w:cs="宋体"/>
          <w:color w:val="auto"/>
          <w:sz w:val="24"/>
          <w:szCs w:val="24"/>
          <w:lang w:val="en-US" w:eastAsia="zh-CN"/>
        </w:rPr>
        <w:t>0977-8241394</w:t>
      </w:r>
    </w:p>
    <w:p w14:paraId="47D65547">
      <w:pPr>
        <w:spacing w:line="360" w:lineRule="auto"/>
        <w:ind w:firstLine="480" w:firstLineChars="200"/>
        <w:rPr>
          <w:rFonts w:hint="default" w:ascii="宋体" w:hAnsi="宋体" w:eastAsia="宋体" w:cs="宋体"/>
          <w:color w:val="auto"/>
          <w:sz w:val="24"/>
          <w:szCs w:val="24"/>
          <w:lang w:val="en-US" w:eastAsia="zh-CN"/>
        </w:rPr>
      </w:pPr>
    </w:p>
    <w:bookmarkEnd w:id="49"/>
    <w:bookmarkEnd w:id="50"/>
    <w:p w14:paraId="4F36E1E7">
      <w:pPr>
        <w:pStyle w:val="15"/>
        <w:jc w:val="both"/>
        <w:rPr>
          <w:rFonts w:ascii="Times New Roman" w:hAnsi="Times New Roman"/>
          <w:color w:val="auto"/>
          <w:lang w:val="zh-CN"/>
        </w:rPr>
      </w:pPr>
      <w:bookmarkStart w:id="51" w:name="_Toc444715733"/>
      <w:bookmarkStart w:id="52" w:name="_Toc15508"/>
    </w:p>
    <w:p w14:paraId="0E12C75B">
      <w:pPr>
        <w:pStyle w:val="15"/>
        <w:jc w:val="center"/>
        <w:rPr>
          <w:b w:val="0"/>
          <w:bCs w:val="0"/>
          <w:color w:val="auto"/>
          <w:lang w:val="zh-CN"/>
        </w:rPr>
      </w:pPr>
      <w:r>
        <w:rPr>
          <w:rFonts w:ascii="Times New Roman" w:hAnsi="Times New Roman"/>
          <w:color w:val="auto"/>
          <w:lang w:val="zh-CN"/>
        </w:rPr>
        <w:t xml:space="preserve">第二部分  </w:t>
      </w:r>
      <w:bookmarkEnd w:id="51"/>
      <w:r>
        <w:rPr>
          <w:rFonts w:ascii="Times New Roman" w:hAnsi="Times New Roman"/>
          <w:color w:val="auto"/>
          <w:lang w:val="zh-CN"/>
        </w:rPr>
        <w:t>投标人须知</w:t>
      </w:r>
      <w:bookmarkEnd w:id="52"/>
    </w:p>
    <w:p w14:paraId="4D9C4A20">
      <w:pPr>
        <w:pStyle w:val="15"/>
        <w:spacing w:before="0" w:after="0" w:line="360" w:lineRule="auto"/>
        <w:rPr>
          <w:rFonts w:ascii="Times New Roman" w:hAnsi="Times New Roman"/>
          <w:color w:val="auto"/>
        </w:rPr>
      </w:pPr>
      <w:bookmarkStart w:id="53" w:name="_Toc21496"/>
      <w:bookmarkStart w:id="54" w:name="_Toc10961"/>
      <w:r>
        <w:rPr>
          <w:rFonts w:ascii="Times New Roman" w:hAnsi="Times New Roman"/>
          <w:color w:val="auto"/>
          <w:lang w:val="zh-CN"/>
        </w:rPr>
        <w:t>一、说明</w:t>
      </w:r>
      <w:bookmarkEnd w:id="53"/>
      <w:bookmarkEnd w:id="54"/>
    </w:p>
    <w:p w14:paraId="5B6C9B8D">
      <w:pPr>
        <w:pStyle w:val="15"/>
        <w:spacing w:before="0" w:after="0" w:line="360" w:lineRule="auto"/>
        <w:jc w:val="left"/>
        <w:rPr>
          <w:rFonts w:ascii="Times New Roman" w:hAnsi="Times New Roman"/>
          <w:color w:val="auto"/>
          <w:lang w:val="zh-CN"/>
        </w:rPr>
      </w:pPr>
      <w:bookmarkStart w:id="55" w:name="_Toc24581"/>
      <w:bookmarkStart w:id="56" w:name="_Toc31605"/>
      <w:r>
        <w:rPr>
          <w:rFonts w:ascii="Times New Roman" w:hAnsi="Times New Roman"/>
          <w:color w:val="auto"/>
          <w:sz w:val="28"/>
          <w:szCs w:val="28"/>
          <w:lang w:val="zh-CN"/>
        </w:rPr>
        <w:t>1.适用范围</w:t>
      </w:r>
      <w:bookmarkEnd w:id="55"/>
      <w:bookmarkEnd w:id="56"/>
    </w:p>
    <w:p w14:paraId="026D4E12">
      <w:pPr>
        <w:autoSpaceDE w:val="0"/>
        <w:autoSpaceDN w:val="0"/>
        <w:spacing w:line="360" w:lineRule="auto"/>
        <w:ind w:firstLine="360" w:firstLineChars="150"/>
        <w:rPr>
          <w:color w:val="auto"/>
          <w:kern w:val="0"/>
          <w:sz w:val="24"/>
          <w:lang w:val="zh-CN"/>
        </w:rPr>
      </w:pPr>
      <w:r>
        <w:rPr>
          <w:color w:val="auto"/>
          <w:kern w:val="0"/>
          <w:sz w:val="24"/>
          <w:lang w:val="zh-CN"/>
        </w:rPr>
        <w:t>本次招标依据采购人的采购计划，仅适用于本招标文件中所叙述的项目。</w:t>
      </w:r>
    </w:p>
    <w:p w14:paraId="22285CC4">
      <w:pPr>
        <w:pStyle w:val="15"/>
        <w:spacing w:before="0" w:after="0" w:line="360" w:lineRule="auto"/>
        <w:jc w:val="left"/>
        <w:rPr>
          <w:rFonts w:ascii="Times New Roman" w:hAnsi="Times New Roman"/>
          <w:color w:val="auto"/>
          <w:lang w:val="zh-CN"/>
        </w:rPr>
      </w:pPr>
      <w:bookmarkStart w:id="57" w:name="_Toc21356"/>
      <w:bookmarkStart w:id="58" w:name="_Toc18271"/>
      <w:r>
        <w:rPr>
          <w:rFonts w:ascii="Times New Roman" w:hAnsi="Times New Roman"/>
          <w:color w:val="auto"/>
          <w:sz w:val="28"/>
          <w:szCs w:val="28"/>
          <w:lang w:val="zh-CN"/>
        </w:rPr>
        <w:t>2.采购方式、合格的投标人</w:t>
      </w:r>
      <w:bookmarkEnd w:id="57"/>
      <w:bookmarkEnd w:id="58"/>
    </w:p>
    <w:p w14:paraId="01002A51">
      <w:pPr>
        <w:autoSpaceDE w:val="0"/>
        <w:autoSpaceDN w:val="0"/>
        <w:spacing w:line="360" w:lineRule="auto"/>
        <w:ind w:firstLine="360" w:firstLineChars="150"/>
        <w:rPr>
          <w:b/>
          <w:bCs/>
          <w:color w:val="auto"/>
          <w:kern w:val="0"/>
          <w:sz w:val="24"/>
          <w:lang w:val="zh-CN"/>
        </w:rPr>
      </w:pPr>
      <w:r>
        <w:rPr>
          <w:color w:val="auto"/>
          <w:kern w:val="0"/>
          <w:sz w:val="24"/>
          <w:lang w:val="zh-CN"/>
        </w:rPr>
        <w:t>2.1</w:t>
      </w:r>
      <w:r>
        <w:rPr>
          <w:color w:val="auto"/>
          <w:kern w:val="0"/>
          <w:sz w:val="24"/>
        </w:rPr>
        <w:t xml:space="preserve"> </w:t>
      </w:r>
      <w:r>
        <w:rPr>
          <w:color w:val="auto"/>
          <w:kern w:val="0"/>
          <w:sz w:val="24"/>
          <w:lang w:val="zh-CN"/>
        </w:rPr>
        <w:t>本次招标采取公开招标方式。</w:t>
      </w:r>
    </w:p>
    <w:p w14:paraId="20B6C954">
      <w:pPr>
        <w:autoSpaceDE w:val="0"/>
        <w:autoSpaceDN w:val="0"/>
        <w:spacing w:line="360" w:lineRule="auto"/>
        <w:ind w:firstLine="360" w:firstLineChars="150"/>
        <w:rPr>
          <w:color w:val="auto"/>
          <w:kern w:val="0"/>
          <w:sz w:val="24"/>
          <w:lang w:val="zh-CN"/>
        </w:rPr>
      </w:pPr>
      <w:r>
        <w:rPr>
          <w:color w:val="auto"/>
          <w:kern w:val="0"/>
          <w:sz w:val="24"/>
          <w:lang w:val="zh-CN"/>
        </w:rPr>
        <w:t>2.2</w:t>
      </w:r>
      <w:r>
        <w:rPr>
          <w:color w:val="auto"/>
          <w:kern w:val="0"/>
          <w:sz w:val="24"/>
        </w:rPr>
        <w:t xml:space="preserve"> </w:t>
      </w:r>
      <w:r>
        <w:rPr>
          <w:color w:val="auto"/>
          <w:kern w:val="0"/>
          <w:sz w:val="24"/>
          <w:lang w:val="zh-CN"/>
        </w:rPr>
        <w:t>合格的投标人：</w:t>
      </w:r>
      <w:r>
        <w:rPr>
          <w:rFonts w:hint="eastAsia"/>
          <w:color w:val="auto"/>
          <w:kern w:val="0"/>
          <w:sz w:val="24"/>
          <w:lang w:val="zh-CN"/>
        </w:rPr>
        <w:t>详见第一部分“申请人资格要求”</w:t>
      </w:r>
      <w:r>
        <w:rPr>
          <w:color w:val="auto"/>
          <w:kern w:val="0"/>
          <w:sz w:val="24"/>
        </w:rPr>
        <w:t>。</w:t>
      </w:r>
    </w:p>
    <w:p w14:paraId="53BD8B98">
      <w:pPr>
        <w:pStyle w:val="15"/>
        <w:spacing w:before="0" w:after="0" w:line="360" w:lineRule="auto"/>
        <w:jc w:val="left"/>
        <w:rPr>
          <w:rFonts w:ascii="Times New Roman" w:hAnsi="Times New Roman"/>
          <w:color w:val="auto"/>
          <w:lang w:val="zh-CN"/>
        </w:rPr>
      </w:pPr>
      <w:bookmarkStart w:id="59" w:name="_Toc10304"/>
      <w:bookmarkStart w:id="60" w:name="_Toc28175"/>
      <w:r>
        <w:rPr>
          <w:rFonts w:ascii="Times New Roman" w:hAnsi="Times New Roman"/>
          <w:color w:val="auto"/>
          <w:sz w:val="28"/>
          <w:szCs w:val="28"/>
          <w:lang w:val="zh-CN"/>
        </w:rPr>
        <w:t>3.投标费用</w:t>
      </w:r>
      <w:bookmarkEnd w:id="59"/>
      <w:bookmarkEnd w:id="60"/>
    </w:p>
    <w:p w14:paraId="4D5FA82D">
      <w:pPr>
        <w:autoSpaceDE w:val="0"/>
        <w:autoSpaceDN w:val="0"/>
        <w:spacing w:line="360" w:lineRule="auto"/>
        <w:ind w:firstLine="480" w:firstLineChars="200"/>
        <w:rPr>
          <w:color w:val="auto"/>
          <w:kern w:val="0"/>
          <w:sz w:val="24"/>
          <w:lang w:val="zh-CN"/>
        </w:rPr>
      </w:pPr>
      <w:r>
        <w:rPr>
          <w:color w:val="auto"/>
          <w:kern w:val="0"/>
          <w:sz w:val="24"/>
          <w:lang w:val="zh-CN"/>
        </w:rPr>
        <w:t>投标人应自愿承担与参加本次投标有关的费用。采购代理机构对投标人发生的费用不承担任何责任。</w:t>
      </w:r>
    </w:p>
    <w:p w14:paraId="7DF7FC02">
      <w:pPr>
        <w:pStyle w:val="15"/>
        <w:spacing w:before="0" w:after="0" w:line="360" w:lineRule="auto"/>
        <w:rPr>
          <w:rFonts w:ascii="Times New Roman" w:hAnsi="Times New Roman"/>
          <w:color w:val="auto"/>
        </w:rPr>
      </w:pPr>
      <w:bookmarkStart w:id="61" w:name="_Toc30204"/>
      <w:bookmarkStart w:id="62" w:name="_Toc21627"/>
      <w:r>
        <w:rPr>
          <w:rFonts w:ascii="Times New Roman" w:hAnsi="Times New Roman"/>
          <w:color w:val="auto"/>
          <w:lang w:val="zh-CN"/>
        </w:rPr>
        <w:t>二、招标文件说明</w:t>
      </w:r>
      <w:bookmarkEnd w:id="61"/>
      <w:bookmarkEnd w:id="62"/>
    </w:p>
    <w:p w14:paraId="4E343295">
      <w:pPr>
        <w:pStyle w:val="15"/>
        <w:spacing w:before="0" w:after="0" w:line="360" w:lineRule="auto"/>
        <w:jc w:val="left"/>
        <w:rPr>
          <w:rFonts w:ascii="Times New Roman" w:hAnsi="Times New Roman"/>
          <w:color w:val="auto"/>
          <w:lang w:val="zh-CN"/>
        </w:rPr>
      </w:pPr>
      <w:bookmarkStart w:id="63" w:name="_Toc22632"/>
      <w:bookmarkStart w:id="64" w:name="_Toc26662"/>
      <w:r>
        <w:rPr>
          <w:rFonts w:ascii="Times New Roman" w:hAnsi="Times New Roman"/>
          <w:color w:val="auto"/>
          <w:sz w:val="28"/>
          <w:szCs w:val="28"/>
          <w:lang w:val="zh-CN"/>
        </w:rPr>
        <w:t>4.招标文件的构成</w:t>
      </w:r>
      <w:bookmarkEnd w:id="63"/>
      <w:bookmarkEnd w:id="64"/>
    </w:p>
    <w:p w14:paraId="5D7D8282">
      <w:pPr>
        <w:autoSpaceDE w:val="0"/>
        <w:autoSpaceDN w:val="0"/>
        <w:spacing w:line="360" w:lineRule="auto"/>
        <w:ind w:firstLine="360" w:firstLineChars="150"/>
        <w:rPr>
          <w:color w:val="auto"/>
          <w:kern w:val="0"/>
          <w:sz w:val="24"/>
          <w:lang w:val="zh-CN"/>
        </w:rPr>
      </w:pPr>
      <w:r>
        <w:rPr>
          <w:color w:val="auto"/>
          <w:kern w:val="0"/>
          <w:sz w:val="24"/>
          <w:lang w:val="zh-CN"/>
        </w:rPr>
        <w:t>4.1</w:t>
      </w:r>
      <w:r>
        <w:rPr>
          <w:color w:val="auto"/>
          <w:kern w:val="0"/>
          <w:sz w:val="24"/>
        </w:rPr>
        <w:t xml:space="preserve"> </w:t>
      </w:r>
      <w:r>
        <w:rPr>
          <w:color w:val="auto"/>
          <w:kern w:val="0"/>
          <w:sz w:val="24"/>
          <w:lang w:val="zh-CN"/>
        </w:rPr>
        <w:t>招标文件包括：</w:t>
      </w:r>
    </w:p>
    <w:p w14:paraId="771B03DD">
      <w:pPr>
        <w:autoSpaceDE w:val="0"/>
        <w:autoSpaceDN w:val="0"/>
        <w:spacing w:line="360" w:lineRule="auto"/>
        <w:ind w:firstLine="480" w:firstLineChars="200"/>
        <w:rPr>
          <w:color w:val="auto"/>
          <w:kern w:val="0"/>
          <w:sz w:val="24"/>
          <w:lang w:val="zh-CN"/>
        </w:rPr>
      </w:pPr>
      <w:r>
        <w:rPr>
          <w:color w:val="auto"/>
          <w:kern w:val="0"/>
          <w:sz w:val="24"/>
          <w:lang w:val="zh-CN"/>
        </w:rPr>
        <w:t>（1）投标邀请</w:t>
      </w:r>
    </w:p>
    <w:p w14:paraId="631257EF">
      <w:pPr>
        <w:autoSpaceDE w:val="0"/>
        <w:autoSpaceDN w:val="0"/>
        <w:spacing w:line="360" w:lineRule="auto"/>
        <w:ind w:firstLine="480" w:firstLineChars="200"/>
        <w:rPr>
          <w:color w:val="auto"/>
          <w:kern w:val="0"/>
          <w:sz w:val="24"/>
          <w:lang w:val="zh-CN"/>
        </w:rPr>
      </w:pPr>
      <w:r>
        <w:rPr>
          <w:color w:val="auto"/>
          <w:kern w:val="0"/>
          <w:sz w:val="24"/>
          <w:lang w:val="zh-CN"/>
        </w:rPr>
        <w:t>（</w:t>
      </w:r>
      <w:r>
        <w:rPr>
          <w:color w:val="auto"/>
          <w:kern w:val="0"/>
          <w:sz w:val="24"/>
        </w:rPr>
        <w:t>2</w:t>
      </w:r>
      <w:r>
        <w:rPr>
          <w:color w:val="auto"/>
          <w:kern w:val="0"/>
          <w:sz w:val="24"/>
          <w:lang w:val="zh-CN"/>
        </w:rPr>
        <w:t>）投标人须知</w:t>
      </w:r>
    </w:p>
    <w:p w14:paraId="73DC094A">
      <w:pPr>
        <w:autoSpaceDE w:val="0"/>
        <w:autoSpaceDN w:val="0"/>
        <w:spacing w:line="360" w:lineRule="auto"/>
        <w:ind w:firstLine="480" w:firstLineChars="200"/>
        <w:rPr>
          <w:color w:val="auto"/>
          <w:kern w:val="0"/>
          <w:sz w:val="24"/>
          <w:lang w:val="zh-CN"/>
        </w:rPr>
      </w:pPr>
      <w:r>
        <w:rPr>
          <w:color w:val="auto"/>
          <w:kern w:val="0"/>
          <w:sz w:val="24"/>
          <w:lang w:val="zh-CN"/>
        </w:rPr>
        <w:t>（</w:t>
      </w:r>
      <w:r>
        <w:rPr>
          <w:color w:val="auto"/>
          <w:kern w:val="0"/>
          <w:sz w:val="24"/>
        </w:rPr>
        <w:t>3</w:t>
      </w:r>
      <w:r>
        <w:rPr>
          <w:color w:val="auto"/>
          <w:kern w:val="0"/>
          <w:sz w:val="24"/>
          <w:lang w:val="zh-CN"/>
        </w:rPr>
        <w:t>）青海省政府采购项目合同书范本</w:t>
      </w:r>
    </w:p>
    <w:p w14:paraId="0EA3132B">
      <w:pPr>
        <w:autoSpaceDE w:val="0"/>
        <w:autoSpaceDN w:val="0"/>
        <w:spacing w:line="360" w:lineRule="auto"/>
        <w:ind w:firstLine="480" w:firstLineChars="200"/>
        <w:rPr>
          <w:color w:val="auto"/>
          <w:kern w:val="0"/>
          <w:sz w:val="24"/>
          <w:lang w:val="zh-CN"/>
        </w:rPr>
      </w:pPr>
      <w:r>
        <w:rPr>
          <w:color w:val="auto"/>
          <w:kern w:val="0"/>
          <w:sz w:val="24"/>
          <w:lang w:val="zh-CN"/>
        </w:rPr>
        <w:t>（</w:t>
      </w:r>
      <w:r>
        <w:rPr>
          <w:color w:val="auto"/>
          <w:kern w:val="0"/>
          <w:sz w:val="24"/>
        </w:rPr>
        <w:t>4</w:t>
      </w:r>
      <w:r>
        <w:rPr>
          <w:color w:val="auto"/>
          <w:kern w:val="0"/>
          <w:sz w:val="24"/>
          <w:lang w:val="zh-CN"/>
        </w:rPr>
        <w:t>）投标文件格式</w:t>
      </w:r>
    </w:p>
    <w:p w14:paraId="61C5E506">
      <w:pPr>
        <w:autoSpaceDE w:val="0"/>
        <w:autoSpaceDN w:val="0"/>
        <w:spacing w:line="360" w:lineRule="auto"/>
        <w:ind w:firstLine="480" w:firstLineChars="200"/>
        <w:rPr>
          <w:color w:val="auto"/>
          <w:kern w:val="0"/>
          <w:sz w:val="24"/>
          <w:lang w:val="zh-CN"/>
        </w:rPr>
      </w:pPr>
      <w:r>
        <w:rPr>
          <w:color w:val="auto"/>
          <w:kern w:val="0"/>
          <w:sz w:val="24"/>
          <w:lang w:val="zh-CN"/>
        </w:rPr>
        <w:t>（</w:t>
      </w:r>
      <w:r>
        <w:rPr>
          <w:color w:val="auto"/>
          <w:kern w:val="0"/>
          <w:sz w:val="24"/>
        </w:rPr>
        <w:t>5</w:t>
      </w:r>
      <w:r>
        <w:rPr>
          <w:color w:val="auto"/>
          <w:kern w:val="0"/>
          <w:sz w:val="24"/>
          <w:lang w:val="zh-CN"/>
        </w:rPr>
        <w:t>）采购项目要求及技术参数</w:t>
      </w:r>
      <w:r>
        <w:rPr>
          <w:rFonts w:hint="eastAsia"/>
          <w:color w:val="auto"/>
          <w:kern w:val="0"/>
          <w:sz w:val="24"/>
          <w:lang w:val="zh-CN"/>
        </w:rPr>
        <w:t xml:space="preserve">                                               </w:t>
      </w:r>
    </w:p>
    <w:p w14:paraId="24F985D2">
      <w:pPr>
        <w:autoSpaceDE w:val="0"/>
        <w:autoSpaceDN w:val="0"/>
        <w:spacing w:line="360" w:lineRule="auto"/>
        <w:ind w:firstLine="480" w:firstLineChars="200"/>
        <w:rPr>
          <w:color w:val="auto"/>
          <w:kern w:val="0"/>
          <w:sz w:val="24"/>
          <w:lang w:val="zh-CN"/>
        </w:rPr>
      </w:pPr>
      <w:r>
        <w:rPr>
          <w:color w:val="auto"/>
          <w:kern w:val="0"/>
          <w:sz w:val="24"/>
          <w:lang w:val="zh-CN"/>
        </w:rPr>
        <w:t>（</w:t>
      </w:r>
      <w:r>
        <w:rPr>
          <w:color w:val="auto"/>
          <w:kern w:val="0"/>
          <w:sz w:val="24"/>
        </w:rPr>
        <w:t>6</w:t>
      </w:r>
      <w:r>
        <w:rPr>
          <w:color w:val="auto"/>
          <w:kern w:val="0"/>
          <w:sz w:val="24"/>
          <w:lang w:val="zh-CN"/>
        </w:rPr>
        <w:t>）采购过程中发生的澄清、变更和补充文件</w:t>
      </w:r>
    </w:p>
    <w:p w14:paraId="0081FE5B">
      <w:pPr>
        <w:autoSpaceDE w:val="0"/>
        <w:autoSpaceDN w:val="0"/>
        <w:spacing w:line="360" w:lineRule="auto"/>
        <w:ind w:firstLine="360" w:firstLineChars="150"/>
        <w:rPr>
          <w:color w:val="auto"/>
          <w:kern w:val="0"/>
          <w:sz w:val="24"/>
          <w:lang w:val="zh-CN"/>
        </w:rPr>
      </w:pPr>
      <w:r>
        <w:rPr>
          <w:color w:val="auto"/>
          <w:kern w:val="0"/>
          <w:sz w:val="24"/>
          <w:lang w:val="zh-CN"/>
        </w:rPr>
        <w:t xml:space="preserve">4.2 </w:t>
      </w:r>
      <w:r>
        <w:rPr>
          <w:rFonts w:hint="eastAsia" w:ascii="宋体" w:hAnsi="宋体" w:cs="宋体"/>
          <w:color w:val="auto"/>
          <w:kern w:val="0"/>
          <w:sz w:val="24"/>
          <w:lang w:val="zh-CN"/>
        </w:rPr>
        <w:t>投标人应认真阅读招标文件中列示的事项、格式、条款和要求等内容。如果投标人未按招标文件要求提交全部资料，或者对招标文件未作出实质性响应的，根据相关法律法规要求，此类投标将被拒绝（视为无效投标）。</w:t>
      </w:r>
      <w:r>
        <w:rPr>
          <w:rFonts w:hint="eastAsia" w:ascii="宋体" w:hAnsi="宋体" w:cs="宋体"/>
          <w:color w:val="auto"/>
          <w:kern w:val="0"/>
          <w:sz w:val="24"/>
          <w:lang w:val="zh-CN"/>
        </w:rPr>
        <w:tab/>
      </w:r>
    </w:p>
    <w:p w14:paraId="69AD6FA4">
      <w:pPr>
        <w:pStyle w:val="15"/>
        <w:spacing w:before="0" w:after="0" w:line="360" w:lineRule="auto"/>
        <w:jc w:val="left"/>
        <w:rPr>
          <w:rFonts w:ascii="Times New Roman" w:hAnsi="Times New Roman"/>
          <w:color w:val="auto"/>
          <w:sz w:val="28"/>
          <w:szCs w:val="28"/>
          <w:lang w:val="zh-CN"/>
        </w:rPr>
      </w:pPr>
      <w:bookmarkStart w:id="65" w:name="_Toc5444"/>
      <w:bookmarkStart w:id="66" w:name="_Toc32125"/>
      <w:r>
        <w:rPr>
          <w:rFonts w:ascii="Times New Roman" w:hAnsi="Times New Roman"/>
          <w:color w:val="auto"/>
          <w:sz w:val="28"/>
          <w:szCs w:val="28"/>
          <w:lang w:val="zh-CN"/>
        </w:rPr>
        <w:t>5.招标公告、招标文件、采购活动和中标结果的质疑</w:t>
      </w:r>
      <w:bookmarkEnd w:id="65"/>
      <w:bookmarkEnd w:id="66"/>
    </w:p>
    <w:p w14:paraId="78CD2629">
      <w:pPr>
        <w:autoSpaceDE w:val="0"/>
        <w:autoSpaceDN w:val="0"/>
        <w:spacing w:line="360" w:lineRule="auto"/>
        <w:ind w:firstLine="480" w:firstLineChars="200"/>
        <w:rPr>
          <w:color w:val="auto"/>
          <w:kern w:val="0"/>
          <w:sz w:val="24"/>
          <w:lang w:val="zh-CN"/>
        </w:rPr>
      </w:pPr>
      <w:r>
        <w:rPr>
          <w:color w:val="auto"/>
          <w:kern w:val="0"/>
          <w:sz w:val="24"/>
          <w:lang w:val="zh-CN"/>
        </w:rPr>
        <w:t>投标人认为招标文件、采购过程和中标结果使自己的权益受到损害的，可以在知道或者应知其权益受到损害之日起7个工作日内以书面形式（如信件、传真等）向采购人或者采购代理机构提出</w:t>
      </w:r>
      <w:r>
        <w:rPr>
          <w:rFonts w:hint="eastAsia"/>
          <w:color w:val="auto"/>
          <w:kern w:val="0"/>
          <w:sz w:val="24"/>
          <w:lang w:val="en-US" w:eastAsia="zh-CN"/>
        </w:rPr>
        <w:t>异议</w:t>
      </w:r>
      <w:r>
        <w:rPr>
          <w:color w:val="auto"/>
          <w:kern w:val="0"/>
          <w:sz w:val="24"/>
          <w:lang w:val="zh-CN"/>
        </w:rPr>
        <w:t>，不接受匿名质疑。潜在供应商已依法获取其可质疑的采购文件的，可以对该文件提出</w:t>
      </w:r>
      <w:r>
        <w:rPr>
          <w:rFonts w:hint="eastAsia"/>
          <w:color w:val="auto"/>
          <w:kern w:val="0"/>
          <w:sz w:val="24"/>
          <w:lang w:val="en-US" w:eastAsia="zh-CN"/>
        </w:rPr>
        <w:t>异议</w:t>
      </w:r>
      <w:r>
        <w:rPr>
          <w:color w:val="auto"/>
          <w:kern w:val="0"/>
          <w:sz w:val="24"/>
          <w:lang w:val="zh-CN"/>
        </w:rPr>
        <w:t>，对采购文件提出</w:t>
      </w:r>
      <w:r>
        <w:rPr>
          <w:rFonts w:hint="eastAsia"/>
          <w:color w:val="auto"/>
          <w:kern w:val="0"/>
          <w:sz w:val="24"/>
          <w:lang w:val="en-US" w:eastAsia="zh-CN"/>
        </w:rPr>
        <w:t>异议</w:t>
      </w:r>
      <w:r>
        <w:rPr>
          <w:color w:val="auto"/>
          <w:kern w:val="0"/>
          <w:sz w:val="24"/>
          <w:lang w:val="zh-CN"/>
        </w:rPr>
        <w:t>的，应当在获取采购文件或者采购文件公告期限届满之日起7个工作日内提出。供应商须在法定质疑期内一次性提出针对同一采购程序环节的</w:t>
      </w:r>
      <w:r>
        <w:rPr>
          <w:rFonts w:hint="eastAsia"/>
          <w:color w:val="auto"/>
          <w:kern w:val="0"/>
          <w:sz w:val="24"/>
          <w:lang w:val="en-US" w:eastAsia="zh-CN"/>
        </w:rPr>
        <w:t>异议</w:t>
      </w:r>
      <w:commentRangeStart w:id="3"/>
      <w:r>
        <w:rPr>
          <w:color w:val="auto"/>
          <w:kern w:val="0"/>
          <w:sz w:val="24"/>
          <w:lang w:val="zh-CN"/>
        </w:rPr>
        <w:t>。采购人或采购代理机构在收到书面质疑函后7个工作日内作出答复。</w:t>
      </w:r>
      <w:commentRangeEnd w:id="3"/>
      <w:r>
        <w:commentReference w:id="3"/>
      </w:r>
    </w:p>
    <w:p w14:paraId="4A860457">
      <w:pPr>
        <w:autoSpaceDE w:val="0"/>
        <w:autoSpaceDN w:val="0"/>
        <w:spacing w:line="360" w:lineRule="auto"/>
        <w:ind w:firstLine="480" w:firstLineChars="200"/>
        <w:rPr>
          <w:color w:val="auto"/>
          <w:kern w:val="0"/>
          <w:sz w:val="24"/>
          <w:lang w:val="zh-CN"/>
        </w:rPr>
      </w:pPr>
      <w:r>
        <w:rPr>
          <w:color w:val="auto"/>
          <w:kern w:val="0"/>
          <w:sz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43EE01EB">
      <w:pPr>
        <w:autoSpaceDE w:val="0"/>
        <w:autoSpaceDN w:val="0"/>
        <w:spacing w:line="360" w:lineRule="auto"/>
        <w:ind w:firstLine="480" w:firstLineChars="200"/>
        <w:rPr>
          <w:color w:val="auto"/>
          <w:kern w:val="0"/>
          <w:sz w:val="24"/>
          <w:lang w:val="zh-CN"/>
        </w:rPr>
      </w:pPr>
      <w:r>
        <w:rPr>
          <w:color w:val="auto"/>
          <w:kern w:val="0"/>
          <w:sz w:val="24"/>
          <w:lang w:val="zh-CN"/>
        </w:rPr>
        <w:t>投标人应知其权益受到损害之日，是指：</w:t>
      </w:r>
    </w:p>
    <w:p w14:paraId="0264709B">
      <w:pPr>
        <w:autoSpaceDE w:val="0"/>
        <w:autoSpaceDN w:val="0"/>
        <w:spacing w:line="360" w:lineRule="auto"/>
        <w:ind w:firstLine="480" w:firstLineChars="200"/>
        <w:rPr>
          <w:color w:val="auto"/>
          <w:kern w:val="0"/>
          <w:sz w:val="24"/>
          <w:lang w:val="zh-CN"/>
        </w:rPr>
      </w:pPr>
      <w:r>
        <w:rPr>
          <w:color w:val="auto"/>
          <w:kern w:val="0"/>
          <w:sz w:val="24"/>
          <w:lang w:val="zh-CN"/>
        </w:rPr>
        <w:t>（一）对可以质疑的招标文件提出质疑的，为收到招标文件之日或者招标文件公告期限届满之日；</w:t>
      </w:r>
    </w:p>
    <w:p w14:paraId="5C0DC41E">
      <w:pPr>
        <w:autoSpaceDE w:val="0"/>
        <w:autoSpaceDN w:val="0"/>
        <w:spacing w:line="360" w:lineRule="auto"/>
        <w:ind w:firstLine="480" w:firstLineChars="200"/>
        <w:rPr>
          <w:color w:val="auto"/>
          <w:kern w:val="0"/>
          <w:sz w:val="24"/>
          <w:lang w:val="zh-CN"/>
        </w:rPr>
      </w:pPr>
      <w:r>
        <w:rPr>
          <w:color w:val="auto"/>
          <w:kern w:val="0"/>
          <w:sz w:val="24"/>
          <w:lang w:val="zh-CN"/>
        </w:rPr>
        <w:t>（二）对采购过程提出质疑的，为各采购程序环节结束之日；</w:t>
      </w:r>
    </w:p>
    <w:p w14:paraId="0ECC8EC4">
      <w:pPr>
        <w:autoSpaceDE w:val="0"/>
        <w:autoSpaceDN w:val="0"/>
        <w:spacing w:line="360" w:lineRule="auto"/>
        <w:ind w:firstLine="480" w:firstLineChars="200"/>
        <w:rPr>
          <w:color w:val="auto"/>
          <w:kern w:val="0"/>
          <w:lang w:val="zh-CN"/>
        </w:rPr>
      </w:pPr>
      <w:r>
        <w:rPr>
          <w:color w:val="auto"/>
          <w:kern w:val="0"/>
          <w:sz w:val="24"/>
          <w:lang w:val="zh-CN"/>
        </w:rPr>
        <w:t>（三）对中标结果提出质疑的，为中标结果公告期限届满之日。</w:t>
      </w:r>
    </w:p>
    <w:p w14:paraId="593A9804">
      <w:pPr>
        <w:pStyle w:val="15"/>
        <w:spacing w:before="0" w:after="0" w:line="360" w:lineRule="auto"/>
        <w:jc w:val="left"/>
        <w:rPr>
          <w:rFonts w:ascii="Times New Roman" w:hAnsi="Times New Roman"/>
          <w:color w:val="auto"/>
          <w:lang w:val="zh-CN"/>
        </w:rPr>
      </w:pPr>
      <w:bookmarkStart w:id="67" w:name="_Toc505"/>
      <w:bookmarkStart w:id="68" w:name="_Toc14432"/>
      <w:r>
        <w:rPr>
          <w:rFonts w:ascii="Times New Roman" w:hAnsi="Times New Roman"/>
          <w:color w:val="auto"/>
          <w:sz w:val="28"/>
          <w:szCs w:val="28"/>
          <w:lang w:val="zh-CN"/>
        </w:rPr>
        <w:t>6.招标文件的澄清或修改</w:t>
      </w:r>
      <w:bookmarkEnd w:id="67"/>
      <w:bookmarkEnd w:id="68"/>
    </w:p>
    <w:p w14:paraId="153B2C7C">
      <w:pPr>
        <w:autoSpaceDE w:val="0"/>
        <w:autoSpaceDN w:val="0"/>
        <w:spacing w:line="360" w:lineRule="auto"/>
        <w:ind w:firstLine="480" w:firstLineChars="200"/>
        <w:rPr>
          <w:color w:val="auto"/>
          <w:kern w:val="0"/>
          <w:sz w:val="24"/>
          <w:lang w:val="zh-CN"/>
        </w:rPr>
      </w:pPr>
      <w:r>
        <w:rPr>
          <w:color w:val="auto"/>
          <w:kern w:val="0"/>
          <w:sz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782BB2B">
      <w:pPr>
        <w:autoSpaceDE w:val="0"/>
        <w:autoSpaceDN w:val="0"/>
        <w:spacing w:line="360" w:lineRule="auto"/>
        <w:ind w:firstLine="480" w:firstLineChars="200"/>
        <w:rPr>
          <w:color w:val="auto"/>
          <w:kern w:val="0"/>
          <w:sz w:val="24"/>
          <w:lang w:val="zh-CN"/>
        </w:rPr>
      </w:pPr>
      <w:r>
        <w:rPr>
          <w:rFonts w:hint="eastAsia" w:ascii="宋体" w:hAnsi="宋体" w:cs="宋体"/>
          <w:color w:val="auto"/>
          <w:kern w:val="0"/>
          <w:sz w:val="24"/>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8337F20">
      <w:pPr>
        <w:autoSpaceDE w:val="0"/>
        <w:autoSpaceDN w:val="0"/>
        <w:spacing w:line="360" w:lineRule="auto"/>
        <w:ind w:firstLine="480" w:firstLineChars="200"/>
        <w:rPr>
          <w:color w:val="auto"/>
          <w:kern w:val="0"/>
          <w:sz w:val="24"/>
          <w:lang w:val="zh-CN"/>
        </w:rPr>
      </w:pPr>
      <w:r>
        <w:rPr>
          <w:color w:val="auto"/>
          <w:kern w:val="0"/>
          <w:sz w:val="24"/>
          <w:lang w:val="zh-CN"/>
        </w:rPr>
        <w:t>6.2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F298847">
      <w:pPr>
        <w:pStyle w:val="15"/>
        <w:spacing w:before="0" w:after="0" w:line="360" w:lineRule="auto"/>
        <w:rPr>
          <w:rFonts w:ascii="Times New Roman" w:hAnsi="Times New Roman"/>
          <w:color w:val="auto"/>
        </w:rPr>
      </w:pPr>
      <w:bookmarkStart w:id="69" w:name="_Toc7106"/>
      <w:bookmarkStart w:id="70" w:name="_Toc6749"/>
      <w:r>
        <w:rPr>
          <w:rFonts w:ascii="Times New Roman" w:hAnsi="Times New Roman"/>
          <w:color w:val="auto"/>
          <w:lang w:val="zh-CN"/>
        </w:rPr>
        <w:t>三、投标文件的编制</w:t>
      </w:r>
      <w:bookmarkEnd w:id="69"/>
      <w:bookmarkEnd w:id="70"/>
    </w:p>
    <w:p w14:paraId="7120E23D">
      <w:pPr>
        <w:pStyle w:val="15"/>
        <w:spacing w:before="0" w:after="0" w:line="360" w:lineRule="auto"/>
        <w:jc w:val="left"/>
        <w:rPr>
          <w:rFonts w:ascii="Times New Roman" w:hAnsi="Times New Roman"/>
          <w:color w:val="auto"/>
          <w:lang w:val="zh-CN"/>
        </w:rPr>
      </w:pPr>
      <w:bookmarkStart w:id="71" w:name="_Toc17814"/>
      <w:bookmarkStart w:id="72" w:name="_Toc15916"/>
      <w:r>
        <w:rPr>
          <w:rFonts w:ascii="Times New Roman" w:hAnsi="Times New Roman"/>
          <w:color w:val="auto"/>
          <w:sz w:val="28"/>
          <w:szCs w:val="28"/>
          <w:lang w:val="zh-CN"/>
        </w:rPr>
        <w:t>7.投标文件的语言及度量衡单位</w:t>
      </w:r>
      <w:bookmarkEnd w:id="71"/>
      <w:bookmarkEnd w:id="72"/>
    </w:p>
    <w:p w14:paraId="0FEBF77F">
      <w:pPr>
        <w:autoSpaceDE w:val="0"/>
        <w:autoSpaceDN w:val="0"/>
        <w:spacing w:line="360" w:lineRule="auto"/>
        <w:ind w:firstLine="480" w:firstLineChars="200"/>
        <w:rPr>
          <w:color w:val="auto"/>
          <w:kern w:val="0"/>
          <w:sz w:val="24"/>
          <w:lang w:val="zh-CN"/>
        </w:rPr>
      </w:pPr>
      <w:r>
        <w:rPr>
          <w:color w:val="auto"/>
          <w:kern w:val="0"/>
          <w:sz w:val="24"/>
          <w:lang w:val="zh-CN"/>
        </w:rPr>
        <w:t>7.1</w:t>
      </w:r>
      <w:r>
        <w:rPr>
          <w:color w:val="auto"/>
          <w:kern w:val="0"/>
          <w:sz w:val="24"/>
        </w:rPr>
        <w:t xml:space="preserve"> </w:t>
      </w:r>
      <w:r>
        <w:rPr>
          <w:color w:val="auto"/>
          <w:kern w:val="0"/>
          <w:sz w:val="24"/>
          <w:lang w:val="zh-CN"/>
        </w:rPr>
        <w:t>投标人提交的投标文件以及投标人与采购代理机构就此投标发生的所有来往函电均应使用简体中文。</w:t>
      </w:r>
      <w:r>
        <w:rPr>
          <w:color w:val="auto"/>
          <w:sz w:val="24"/>
        </w:rPr>
        <w:t>除签名、盖章、专用名称等特殊情形外，以中文汉语以外的文字表述的投标文件视同未提供。</w:t>
      </w:r>
    </w:p>
    <w:p w14:paraId="2217C0AF">
      <w:pPr>
        <w:autoSpaceDE w:val="0"/>
        <w:autoSpaceDN w:val="0"/>
        <w:spacing w:line="360" w:lineRule="auto"/>
        <w:ind w:firstLine="480" w:firstLineChars="200"/>
        <w:rPr>
          <w:color w:val="auto"/>
          <w:kern w:val="0"/>
          <w:sz w:val="24"/>
          <w:lang w:val="zh-CN"/>
        </w:rPr>
      </w:pPr>
      <w:r>
        <w:rPr>
          <w:color w:val="auto"/>
          <w:kern w:val="0"/>
          <w:sz w:val="24"/>
          <w:lang w:val="zh-CN"/>
        </w:rPr>
        <w:t>7.2 除招标文件中另有规定外，投标文件所使用的度量衡单位，均须采用国家法定计量单位。</w:t>
      </w:r>
    </w:p>
    <w:p w14:paraId="1B753ACB">
      <w:pPr>
        <w:autoSpaceDE w:val="0"/>
        <w:autoSpaceDN w:val="0"/>
        <w:spacing w:line="360" w:lineRule="auto"/>
        <w:ind w:firstLine="480" w:firstLineChars="200"/>
        <w:rPr>
          <w:color w:val="auto"/>
          <w:kern w:val="0"/>
          <w:lang w:val="zh-CN"/>
        </w:rPr>
      </w:pPr>
      <w:r>
        <w:rPr>
          <w:color w:val="auto"/>
          <w:kern w:val="0"/>
          <w:sz w:val="24"/>
          <w:lang w:val="zh-CN"/>
        </w:rPr>
        <w:t>7.3 附有外文资料的须翻译成中文，并加盖投标人公章，如果翻译的中文资料与外文资料出现差异与矛盾时，以中文为准，其准确性由投标人负责。</w:t>
      </w:r>
    </w:p>
    <w:p w14:paraId="6A9EDA04">
      <w:pPr>
        <w:pStyle w:val="15"/>
        <w:spacing w:before="0" w:after="0" w:line="360" w:lineRule="auto"/>
        <w:jc w:val="left"/>
        <w:rPr>
          <w:rFonts w:ascii="Times New Roman" w:hAnsi="Times New Roman"/>
          <w:color w:val="auto"/>
          <w:lang w:val="zh-CN"/>
        </w:rPr>
      </w:pPr>
      <w:bookmarkStart w:id="73" w:name="_Toc5931"/>
      <w:bookmarkStart w:id="74" w:name="_Toc30440"/>
      <w:r>
        <w:rPr>
          <w:rFonts w:ascii="Times New Roman" w:hAnsi="Times New Roman"/>
          <w:color w:val="auto"/>
          <w:sz w:val="28"/>
          <w:szCs w:val="28"/>
          <w:lang w:val="zh-CN"/>
        </w:rPr>
        <w:t>8.投标报价及币种</w:t>
      </w:r>
      <w:bookmarkEnd w:id="73"/>
      <w:bookmarkEnd w:id="74"/>
    </w:p>
    <w:p w14:paraId="65702A9E">
      <w:pPr>
        <w:autoSpaceDE w:val="0"/>
        <w:autoSpaceDN w:val="0"/>
        <w:spacing w:line="360" w:lineRule="auto"/>
        <w:ind w:firstLine="480" w:firstLineChars="200"/>
        <w:rPr>
          <w:rFonts w:hint="eastAsia" w:eastAsia="宋体"/>
          <w:color w:val="auto"/>
          <w:kern w:val="0"/>
          <w:sz w:val="24"/>
          <w:lang w:val="zh-CN" w:eastAsia="zh-CN"/>
        </w:rPr>
      </w:pPr>
      <w:r>
        <w:rPr>
          <w:color w:val="auto"/>
          <w:kern w:val="0"/>
          <w:sz w:val="24"/>
          <w:lang w:val="zh-CN"/>
        </w:rPr>
        <w:t>8.1</w:t>
      </w:r>
      <w:r>
        <w:rPr>
          <w:color w:val="auto"/>
          <w:kern w:val="0"/>
          <w:sz w:val="24"/>
        </w:rPr>
        <w:t xml:space="preserve"> </w:t>
      </w:r>
      <w:r>
        <w:rPr>
          <w:color w:val="auto"/>
          <w:kern w:val="0"/>
          <w:sz w:val="24"/>
          <w:lang w:val="zh-CN"/>
        </w:rPr>
        <w:t>投标报价为投标总价。</w:t>
      </w:r>
      <w:r>
        <w:rPr>
          <w:rFonts w:hint="eastAsia"/>
          <w:color w:val="auto"/>
          <w:sz w:val="24"/>
          <w:lang w:eastAsia="zh-CN"/>
        </w:rPr>
        <w:t>投标报价应包含产品费、验收费、手续费、包装费、运输费、保险费、安装调试费、售前、售中、售后服务费、招标代理费、税金及不可预见费等全部费用。</w:t>
      </w:r>
    </w:p>
    <w:p w14:paraId="755B62E3">
      <w:pPr>
        <w:autoSpaceDE w:val="0"/>
        <w:autoSpaceDN w:val="0"/>
        <w:spacing w:line="360" w:lineRule="auto"/>
        <w:ind w:firstLine="480" w:firstLineChars="200"/>
        <w:rPr>
          <w:color w:val="auto"/>
          <w:kern w:val="0"/>
          <w:sz w:val="24"/>
          <w:lang w:val="zh-CN"/>
        </w:rPr>
      </w:pPr>
      <w:r>
        <w:rPr>
          <w:color w:val="auto"/>
          <w:kern w:val="0"/>
          <w:sz w:val="24"/>
          <w:lang w:val="zh-CN"/>
        </w:rPr>
        <w:t>8.2</w:t>
      </w:r>
      <w:r>
        <w:rPr>
          <w:color w:val="auto"/>
          <w:kern w:val="0"/>
          <w:sz w:val="24"/>
        </w:rPr>
        <w:t xml:space="preserve"> </w:t>
      </w:r>
      <w:r>
        <w:rPr>
          <w:color w:val="auto"/>
          <w:kern w:val="0"/>
          <w:sz w:val="24"/>
          <w:lang w:val="zh-CN"/>
        </w:rPr>
        <w:t>投标报价有效期与投标有效期一致。</w:t>
      </w:r>
    </w:p>
    <w:p w14:paraId="67D0BE75">
      <w:pPr>
        <w:autoSpaceDE w:val="0"/>
        <w:autoSpaceDN w:val="0"/>
        <w:spacing w:line="360" w:lineRule="auto"/>
        <w:ind w:firstLine="480" w:firstLineChars="200"/>
        <w:rPr>
          <w:color w:val="auto"/>
          <w:kern w:val="0"/>
          <w:sz w:val="24"/>
          <w:lang w:val="zh-CN"/>
        </w:rPr>
      </w:pPr>
      <w:r>
        <w:rPr>
          <w:color w:val="auto"/>
          <w:kern w:val="0"/>
          <w:sz w:val="24"/>
          <w:lang w:val="zh-CN"/>
        </w:rPr>
        <w:t>8.</w:t>
      </w:r>
      <w:r>
        <w:rPr>
          <w:color w:val="auto"/>
          <w:kern w:val="0"/>
          <w:sz w:val="24"/>
        </w:rPr>
        <w:t xml:space="preserve">3 </w:t>
      </w:r>
      <w:r>
        <w:rPr>
          <w:color w:val="auto"/>
          <w:kern w:val="0"/>
          <w:sz w:val="24"/>
          <w:lang w:val="zh-CN"/>
        </w:rPr>
        <w:t>投标报价为闭口价，即中标后在合同有效期内价格不变。</w:t>
      </w:r>
    </w:p>
    <w:p w14:paraId="0D2BC284">
      <w:pPr>
        <w:autoSpaceDE w:val="0"/>
        <w:autoSpaceDN w:val="0"/>
        <w:spacing w:line="360" w:lineRule="auto"/>
        <w:ind w:firstLine="480" w:firstLineChars="200"/>
        <w:rPr>
          <w:rFonts w:hint="eastAsia"/>
          <w:color w:val="auto"/>
          <w:kern w:val="0"/>
          <w:sz w:val="24"/>
          <w:lang w:val="zh-CN"/>
        </w:rPr>
      </w:pPr>
      <w:r>
        <w:rPr>
          <w:color w:val="auto"/>
          <w:kern w:val="0"/>
          <w:sz w:val="24"/>
          <w:lang w:val="zh-CN"/>
        </w:rPr>
        <w:t>8.</w:t>
      </w:r>
      <w:r>
        <w:rPr>
          <w:color w:val="auto"/>
          <w:kern w:val="0"/>
          <w:sz w:val="24"/>
        </w:rPr>
        <w:t xml:space="preserve">4 </w:t>
      </w:r>
      <w:r>
        <w:rPr>
          <w:color w:val="auto"/>
          <w:kern w:val="0"/>
          <w:sz w:val="24"/>
          <w:lang w:val="zh-CN"/>
        </w:rPr>
        <w:t>投标币种是人民币。</w:t>
      </w:r>
    </w:p>
    <w:p w14:paraId="380456A2">
      <w:pPr>
        <w:pStyle w:val="15"/>
        <w:spacing w:before="0" w:after="0" w:line="360" w:lineRule="auto"/>
        <w:jc w:val="left"/>
        <w:rPr>
          <w:rFonts w:hint="eastAsia" w:ascii="宋体" w:hAnsi="宋体" w:cs="宋体"/>
          <w:color w:val="auto"/>
          <w:lang w:val="zh-CN"/>
        </w:rPr>
      </w:pPr>
      <w:bookmarkStart w:id="75" w:name="_Toc22891"/>
      <w:r>
        <w:rPr>
          <w:rFonts w:hint="eastAsia"/>
          <w:color w:val="auto"/>
          <w:kern w:val="0"/>
          <w:sz w:val="24"/>
          <w:lang w:val="zh-CN"/>
        </w:rPr>
        <w:t>9.</w:t>
      </w:r>
      <w:r>
        <w:rPr>
          <w:rFonts w:hint="eastAsia" w:ascii="宋体" w:hAnsi="宋体" w:cs="宋体"/>
          <w:color w:val="auto"/>
          <w:sz w:val="28"/>
          <w:szCs w:val="28"/>
          <w:lang w:val="zh-CN"/>
        </w:rPr>
        <w:t xml:space="preserve"> 投标保证金</w:t>
      </w:r>
      <w:bookmarkEnd w:id="75"/>
    </w:p>
    <w:p w14:paraId="50195F76">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lang w:val="zh-CN"/>
        </w:rPr>
        <w:t>9.1</w:t>
      </w:r>
      <w:r>
        <w:rPr>
          <w:rFonts w:hint="eastAsia" w:ascii="宋体" w:hAnsi="宋体" w:cs="宋体"/>
          <w:color w:val="auto"/>
          <w:kern w:val="0"/>
          <w:sz w:val="24"/>
        </w:rPr>
        <w:t xml:space="preserve"> </w:t>
      </w:r>
      <w:r>
        <w:rPr>
          <w:rFonts w:hint="eastAsia" w:ascii="宋体" w:hAnsi="宋体" w:cs="宋体"/>
          <w:color w:val="auto"/>
          <w:kern w:val="0"/>
          <w:sz w:val="24"/>
          <w:lang w:val="zh-CN"/>
        </w:rPr>
        <w:t>投标</w:t>
      </w:r>
      <w:r>
        <w:rPr>
          <w:rFonts w:hint="eastAsia" w:ascii="宋体" w:hAnsi="宋体" w:cs="宋体"/>
          <w:color w:val="auto"/>
          <w:kern w:val="0"/>
          <w:sz w:val="24"/>
          <w:highlight w:val="none"/>
          <w:lang w:val="zh-CN"/>
        </w:rPr>
        <w:t>人须在投标截止期前按以下要求缴纳投标保证金：</w:t>
      </w:r>
    </w:p>
    <w:p w14:paraId="459E9E50">
      <w:pPr>
        <w:autoSpaceDE w:val="0"/>
        <w:autoSpaceDN w:val="0"/>
        <w:spacing w:line="360" w:lineRule="auto"/>
        <w:ind w:firstLine="480" w:firstLineChars="200"/>
        <w:rPr>
          <w:rFonts w:hint="default"/>
          <w:color w:val="auto"/>
          <w:kern w:val="0"/>
          <w:sz w:val="24"/>
          <w:lang w:val="en-US" w:eastAsia="zh-CN"/>
        </w:rPr>
      </w:pPr>
      <w:r>
        <w:rPr>
          <w:rFonts w:hint="eastAsia"/>
          <w:color w:val="auto"/>
          <w:kern w:val="0"/>
          <w:sz w:val="24"/>
          <w:lang w:val="zh-CN"/>
        </w:rPr>
        <w:t>投标保证金金额：</w:t>
      </w:r>
      <w:r>
        <w:rPr>
          <w:rFonts w:hint="eastAsia"/>
          <w:color w:val="auto"/>
          <w:kern w:val="0"/>
          <w:sz w:val="24"/>
          <w:lang w:val="en-US" w:eastAsia="zh-CN"/>
        </w:rPr>
        <w:t xml:space="preserve">本项目不收取保证金  </w:t>
      </w:r>
    </w:p>
    <w:p w14:paraId="40A54FAF">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交纳时间：投标截止时间前，以银行到账时间为准。</w:t>
      </w:r>
    </w:p>
    <w:p w14:paraId="733B9F14">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如采购项目变更开标时间，则保证金交纳时间相应顺延。</w:t>
      </w:r>
    </w:p>
    <w:p w14:paraId="5E1C17AF">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9.2</w:t>
      </w:r>
      <w:r>
        <w:rPr>
          <w:rFonts w:hint="eastAsia" w:ascii="宋体" w:hAnsi="宋体" w:cs="宋体"/>
          <w:color w:val="auto"/>
          <w:kern w:val="0"/>
          <w:sz w:val="24"/>
        </w:rPr>
        <w:t xml:space="preserve"> 缴费方式：投标保证金应当以支票、汇票、本票或者金融机构、担保机构出具的保函等非现金形式提交。通过银行转账的，必须由投标人从其基本账户(须提供开户许可证复印件)汇（转）入征集文件规定的账户。</w:t>
      </w:r>
    </w:p>
    <w:p w14:paraId="759A3AD5">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9.3</w:t>
      </w:r>
      <w:r>
        <w:rPr>
          <w:rFonts w:hint="eastAsia" w:ascii="宋体" w:hAnsi="宋体" w:cs="宋体"/>
          <w:color w:val="auto"/>
          <w:kern w:val="0"/>
          <w:sz w:val="24"/>
        </w:rPr>
        <w:t xml:space="preserve"> </w:t>
      </w:r>
      <w:r>
        <w:rPr>
          <w:rFonts w:hint="eastAsia" w:ascii="宋体" w:hAnsi="宋体" w:cs="宋体"/>
          <w:color w:val="auto"/>
          <w:kern w:val="0"/>
          <w:sz w:val="24"/>
          <w:lang w:val="zh-CN"/>
        </w:rPr>
        <w:t>投标保证金退还：投标人在投标截止时间前撤回已提交的响应文件的，采购人或采购代理机构应当自收到投标人书面撤回通知之日起5个工作日内，退还已收取的投标保证金，但因投标人自身原因导致无法及时退还的除外。</w:t>
      </w:r>
    </w:p>
    <w:p w14:paraId="39ED42ED">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采购代理机构应当自中标通知书发出之日起5个工作日内退还未中标供应商的投标保证金，自采购合同签订之日起5个工作日内退还中标供应商的投标保证金或者转为中标供应商的履约保证金。</w:t>
      </w:r>
    </w:p>
    <w:p w14:paraId="5D9CC8F6">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4F47B4D3">
      <w:pPr>
        <w:pStyle w:val="15"/>
        <w:spacing w:before="0" w:after="0" w:line="360" w:lineRule="auto"/>
        <w:jc w:val="left"/>
        <w:rPr>
          <w:rFonts w:ascii="Times New Roman" w:hAnsi="Times New Roman"/>
          <w:color w:val="auto"/>
          <w:lang w:val="zh-CN"/>
        </w:rPr>
      </w:pPr>
      <w:bookmarkStart w:id="76" w:name="_Toc24617"/>
      <w:bookmarkStart w:id="77" w:name="_Toc16192"/>
      <w:r>
        <w:rPr>
          <w:rFonts w:hint="eastAsia" w:ascii="Times New Roman" w:hAnsi="Times New Roman"/>
          <w:color w:val="auto"/>
          <w:sz w:val="28"/>
          <w:szCs w:val="28"/>
        </w:rPr>
        <w:t>10</w:t>
      </w:r>
      <w:r>
        <w:rPr>
          <w:rFonts w:ascii="Times New Roman" w:hAnsi="Times New Roman"/>
          <w:color w:val="auto"/>
          <w:sz w:val="28"/>
          <w:szCs w:val="28"/>
          <w:lang w:val="zh-CN"/>
        </w:rPr>
        <w:t>.投标有效期</w:t>
      </w:r>
      <w:bookmarkEnd w:id="76"/>
      <w:bookmarkEnd w:id="77"/>
    </w:p>
    <w:p w14:paraId="178BCE96">
      <w:pPr>
        <w:autoSpaceDE w:val="0"/>
        <w:autoSpaceDN w:val="0"/>
        <w:spacing w:line="360" w:lineRule="auto"/>
        <w:ind w:firstLine="480" w:firstLineChars="200"/>
        <w:rPr>
          <w:color w:val="auto"/>
          <w:kern w:val="0"/>
          <w:sz w:val="24"/>
          <w:lang w:val="zh-CN"/>
        </w:rPr>
      </w:pPr>
      <w:r>
        <w:rPr>
          <w:color w:val="auto"/>
          <w:sz w:val="24"/>
          <w:shd w:val="clear" w:color="auto" w:fill="FFFFFF"/>
        </w:rPr>
        <w:t>从提交投标文件的截止之日起</w:t>
      </w:r>
      <w:r>
        <w:rPr>
          <w:color w:val="auto"/>
          <w:sz w:val="24"/>
          <w:u w:val="single"/>
          <w:shd w:val="clear" w:color="auto" w:fill="FFFFFF"/>
        </w:rPr>
        <w:t xml:space="preserve"> </w:t>
      </w:r>
      <w:r>
        <w:rPr>
          <w:rFonts w:hint="eastAsia"/>
          <w:color w:val="auto"/>
          <w:kern w:val="0"/>
          <w:sz w:val="24"/>
          <w:u w:val="single"/>
          <w:lang w:val="zh-CN"/>
        </w:rPr>
        <w:t>60</w:t>
      </w:r>
      <w:r>
        <w:rPr>
          <w:color w:val="auto"/>
          <w:kern w:val="0"/>
          <w:sz w:val="24"/>
          <w:u w:val="single"/>
          <w:lang w:val="zh-CN"/>
        </w:rPr>
        <w:t xml:space="preserve"> </w:t>
      </w:r>
      <w:r>
        <w:rPr>
          <w:rFonts w:hint="eastAsia"/>
          <w:color w:val="auto"/>
          <w:kern w:val="0"/>
          <w:sz w:val="24"/>
          <w:lang w:val="zh-CN"/>
        </w:rPr>
        <w:t>日历</w:t>
      </w:r>
      <w:r>
        <w:rPr>
          <w:color w:val="auto"/>
          <w:kern w:val="0"/>
          <w:sz w:val="24"/>
          <w:lang w:val="zh-CN"/>
        </w:rPr>
        <w:t>日。投标文件中承诺的投标有效期应当不少于招标文件中载明的投标有效期。</w:t>
      </w:r>
    </w:p>
    <w:p w14:paraId="3CA6CBE9">
      <w:pPr>
        <w:pStyle w:val="15"/>
        <w:spacing w:before="0" w:after="0" w:line="360" w:lineRule="auto"/>
        <w:jc w:val="left"/>
        <w:rPr>
          <w:rFonts w:ascii="Times New Roman" w:hAnsi="Times New Roman"/>
          <w:color w:val="auto"/>
          <w:lang w:val="zh-CN"/>
        </w:rPr>
      </w:pPr>
      <w:bookmarkStart w:id="78" w:name="_Toc19468"/>
      <w:bookmarkStart w:id="79" w:name="_Toc1791"/>
      <w:r>
        <w:rPr>
          <w:rFonts w:hint="eastAsia" w:ascii="Times New Roman" w:hAnsi="Times New Roman"/>
          <w:color w:val="auto"/>
          <w:sz w:val="28"/>
          <w:szCs w:val="28"/>
          <w:lang w:val="zh-CN"/>
        </w:rPr>
        <w:t>11</w:t>
      </w:r>
      <w:r>
        <w:rPr>
          <w:rFonts w:ascii="Times New Roman" w:hAnsi="Times New Roman"/>
          <w:color w:val="auto"/>
          <w:sz w:val="28"/>
          <w:szCs w:val="28"/>
          <w:lang w:val="zh-CN"/>
        </w:rPr>
        <w:t>.投标文件构成</w:t>
      </w:r>
      <w:bookmarkEnd w:id="78"/>
      <w:bookmarkEnd w:id="79"/>
    </w:p>
    <w:p w14:paraId="1D4EF10D">
      <w:pPr>
        <w:autoSpaceDE w:val="0"/>
        <w:autoSpaceDN w:val="0"/>
        <w:spacing w:line="360" w:lineRule="auto"/>
        <w:ind w:firstLine="480" w:firstLineChars="200"/>
        <w:rPr>
          <w:color w:val="auto"/>
          <w:kern w:val="0"/>
          <w:sz w:val="24"/>
          <w:lang w:val="zh-CN"/>
        </w:rPr>
      </w:pPr>
      <w:r>
        <w:rPr>
          <w:color w:val="auto"/>
          <w:kern w:val="0"/>
          <w:sz w:val="24"/>
          <w:lang w:val="zh-CN"/>
        </w:rPr>
        <w:t>投标人应提交相关证明材料，作为其参加投标和中标后有能力履行合同的证明。编写的投标文件须包括以下内容（格式见招标文件第四部分）：</w:t>
      </w:r>
    </w:p>
    <w:p w14:paraId="75553959">
      <w:pPr>
        <w:autoSpaceDE w:val="0"/>
        <w:autoSpaceDN w:val="0"/>
        <w:spacing w:line="360" w:lineRule="auto"/>
        <w:ind w:left="284"/>
        <w:rPr>
          <w:color w:val="auto"/>
          <w:kern w:val="0"/>
          <w:sz w:val="24"/>
          <w:lang w:val="zh-CN"/>
        </w:rPr>
      </w:pPr>
      <w:r>
        <w:rPr>
          <w:rFonts w:hint="eastAsia"/>
          <w:color w:val="auto"/>
          <w:kern w:val="0"/>
          <w:sz w:val="24"/>
        </w:rPr>
        <w:t xml:space="preserve">11.1 </w:t>
      </w:r>
      <w:r>
        <w:rPr>
          <w:color w:val="auto"/>
          <w:kern w:val="0"/>
          <w:sz w:val="24"/>
          <w:lang w:val="zh-CN"/>
        </w:rPr>
        <w:t>投标文件（上册）（资格审查）</w:t>
      </w:r>
    </w:p>
    <w:p w14:paraId="3C680F87">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w:t>
      </w:r>
      <w:r>
        <w:rPr>
          <w:color w:val="auto"/>
          <w:kern w:val="0"/>
          <w:sz w:val="24"/>
          <w:lang w:val="zh-CN"/>
        </w:rPr>
        <w:t>投标函</w:t>
      </w:r>
    </w:p>
    <w:p w14:paraId="683CECAB">
      <w:pPr>
        <w:autoSpaceDE w:val="0"/>
        <w:autoSpaceDN w:val="0"/>
        <w:spacing w:line="360" w:lineRule="auto"/>
        <w:ind w:firstLine="480" w:firstLineChars="200"/>
        <w:rPr>
          <w:color w:val="auto"/>
          <w:kern w:val="0"/>
          <w:sz w:val="24"/>
          <w:lang w:val="zh-CN"/>
        </w:rPr>
      </w:pPr>
      <w:r>
        <w:rPr>
          <w:rFonts w:hint="eastAsia"/>
          <w:color w:val="auto"/>
          <w:kern w:val="0"/>
          <w:sz w:val="24"/>
          <w:lang w:val="zh-CN"/>
        </w:rPr>
        <w:t>（2）</w:t>
      </w:r>
      <w:r>
        <w:rPr>
          <w:color w:val="auto"/>
          <w:kern w:val="0"/>
          <w:sz w:val="24"/>
          <w:lang w:val="zh-CN"/>
        </w:rPr>
        <w:t>法定代表人证明书</w:t>
      </w:r>
    </w:p>
    <w:p w14:paraId="51571FEC">
      <w:pPr>
        <w:autoSpaceDE w:val="0"/>
        <w:autoSpaceDN w:val="0"/>
        <w:spacing w:line="360" w:lineRule="auto"/>
        <w:ind w:firstLine="480" w:firstLineChars="200"/>
        <w:rPr>
          <w:color w:val="auto"/>
          <w:kern w:val="0"/>
          <w:sz w:val="24"/>
          <w:lang w:val="zh-CN"/>
        </w:rPr>
      </w:pPr>
      <w:r>
        <w:rPr>
          <w:rFonts w:hint="eastAsia"/>
          <w:color w:val="auto"/>
          <w:kern w:val="0"/>
          <w:sz w:val="24"/>
          <w:lang w:val="zh-CN"/>
        </w:rPr>
        <w:t>（3）</w:t>
      </w:r>
      <w:r>
        <w:rPr>
          <w:color w:val="auto"/>
          <w:kern w:val="0"/>
          <w:sz w:val="24"/>
          <w:lang w:val="zh-CN"/>
        </w:rPr>
        <w:t>法定代表人授权书</w:t>
      </w:r>
    </w:p>
    <w:p w14:paraId="6A7DE214">
      <w:pPr>
        <w:autoSpaceDE w:val="0"/>
        <w:autoSpaceDN w:val="0"/>
        <w:spacing w:line="360" w:lineRule="auto"/>
        <w:ind w:firstLine="480" w:firstLineChars="200"/>
        <w:rPr>
          <w:color w:val="auto"/>
          <w:kern w:val="0"/>
          <w:sz w:val="24"/>
          <w:lang w:val="zh-CN"/>
        </w:rPr>
      </w:pPr>
      <w:r>
        <w:rPr>
          <w:rFonts w:hint="eastAsia"/>
          <w:color w:val="auto"/>
          <w:kern w:val="0"/>
          <w:sz w:val="24"/>
          <w:lang w:val="zh-CN"/>
        </w:rPr>
        <w:t>（4）</w:t>
      </w:r>
      <w:r>
        <w:rPr>
          <w:color w:val="auto"/>
          <w:kern w:val="0"/>
          <w:sz w:val="24"/>
          <w:lang w:val="zh-CN"/>
        </w:rPr>
        <w:t>投标人承诺函</w:t>
      </w:r>
    </w:p>
    <w:p w14:paraId="1773D611">
      <w:pPr>
        <w:autoSpaceDE w:val="0"/>
        <w:autoSpaceDN w:val="0"/>
        <w:spacing w:line="360" w:lineRule="auto"/>
        <w:ind w:firstLine="480" w:firstLineChars="200"/>
        <w:rPr>
          <w:color w:val="auto"/>
          <w:kern w:val="0"/>
          <w:sz w:val="24"/>
          <w:lang w:val="zh-CN"/>
        </w:rPr>
      </w:pPr>
      <w:r>
        <w:rPr>
          <w:rFonts w:hint="eastAsia"/>
          <w:color w:val="auto"/>
          <w:kern w:val="0"/>
          <w:sz w:val="24"/>
          <w:lang w:val="zh-CN"/>
        </w:rPr>
        <w:t>（5）</w:t>
      </w:r>
      <w:r>
        <w:rPr>
          <w:color w:val="auto"/>
          <w:kern w:val="0"/>
          <w:sz w:val="24"/>
          <w:lang w:val="zh-CN"/>
        </w:rPr>
        <w:t>投标人诚信承诺书</w:t>
      </w:r>
    </w:p>
    <w:p w14:paraId="4A557090">
      <w:pPr>
        <w:autoSpaceDE w:val="0"/>
        <w:autoSpaceDN w:val="0"/>
        <w:spacing w:line="360" w:lineRule="auto"/>
        <w:ind w:firstLine="480" w:firstLineChars="200"/>
        <w:rPr>
          <w:color w:val="auto"/>
          <w:kern w:val="0"/>
          <w:sz w:val="24"/>
          <w:lang w:val="zh-CN"/>
        </w:rPr>
      </w:pPr>
      <w:r>
        <w:rPr>
          <w:rFonts w:hint="eastAsia"/>
          <w:color w:val="auto"/>
          <w:kern w:val="0"/>
          <w:sz w:val="24"/>
          <w:lang w:val="zh-CN"/>
        </w:rPr>
        <w:t>（6）</w:t>
      </w:r>
      <w:r>
        <w:rPr>
          <w:color w:val="auto"/>
          <w:kern w:val="0"/>
          <w:sz w:val="24"/>
          <w:lang w:val="zh-CN"/>
        </w:rPr>
        <w:t>资格证明材料</w:t>
      </w:r>
    </w:p>
    <w:p w14:paraId="4FD8D9A4">
      <w:pPr>
        <w:autoSpaceDE w:val="0"/>
        <w:autoSpaceDN w:val="0"/>
        <w:spacing w:line="360" w:lineRule="auto"/>
        <w:ind w:firstLine="480" w:firstLineChars="200"/>
        <w:rPr>
          <w:color w:val="auto"/>
          <w:kern w:val="0"/>
          <w:sz w:val="24"/>
          <w:lang w:val="zh-CN"/>
        </w:rPr>
      </w:pPr>
      <w:r>
        <w:rPr>
          <w:rFonts w:hint="eastAsia"/>
          <w:color w:val="auto"/>
          <w:kern w:val="0"/>
          <w:sz w:val="24"/>
          <w:lang w:val="zh-CN"/>
        </w:rPr>
        <w:t>（7）</w:t>
      </w:r>
      <w:r>
        <w:rPr>
          <w:color w:val="auto"/>
          <w:kern w:val="0"/>
          <w:sz w:val="24"/>
          <w:lang w:val="zh-CN"/>
        </w:rPr>
        <w:t>财务状况报告，依法缴纳税收和社会保障资金的相关证明</w:t>
      </w:r>
    </w:p>
    <w:p w14:paraId="64604B38">
      <w:pPr>
        <w:autoSpaceDE w:val="0"/>
        <w:autoSpaceDN w:val="0"/>
        <w:spacing w:line="360" w:lineRule="auto"/>
        <w:ind w:firstLine="480" w:firstLineChars="200"/>
        <w:rPr>
          <w:color w:val="auto"/>
          <w:kern w:val="0"/>
          <w:sz w:val="24"/>
          <w:lang w:val="zh-CN"/>
        </w:rPr>
      </w:pPr>
      <w:r>
        <w:rPr>
          <w:rFonts w:hint="eastAsia"/>
          <w:color w:val="auto"/>
          <w:kern w:val="0"/>
          <w:sz w:val="24"/>
          <w:lang w:val="zh-CN"/>
        </w:rPr>
        <w:t>（8）</w:t>
      </w:r>
      <w:r>
        <w:rPr>
          <w:color w:val="auto"/>
          <w:kern w:val="0"/>
          <w:sz w:val="24"/>
          <w:lang w:val="zh-CN"/>
        </w:rPr>
        <w:t>具备履行合同所必需的设备和专业技术能力的证明材料</w:t>
      </w:r>
    </w:p>
    <w:p w14:paraId="473F151D">
      <w:pPr>
        <w:autoSpaceDE w:val="0"/>
        <w:autoSpaceDN w:val="0"/>
        <w:spacing w:line="360" w:lineRule="auto"/>
        <w:ind w:firstLine="480" w:firstLineChars="200"/>
        <w:rPr>
          <w:rFonts w:hint="eastAsia"/>
          <w:color w:val="auto"/>
          <w:kern w:val="0"/>
          <w:sz w:val="24"/>
          <w:lang w:val="zh-CN"/>
        </w:rPr>
      </w:pPr>
      <w:r>
        <w:rPr>
          <w:rFonts w:hint="eastAsia"/>
          <w:color w:val="auto"/>
          <w:kern w:val="0"/>
          <w:sz w:val="24"/>
          <w:lang w:val="zh-CN"/>
        </w:rPr>
        <w:t>（9）</w:t>
      </w:r>
      <w:r>
        <w:rPr>
          <w:color w:val="auto"/>
          <w:kern w:val="0"/>
          <w:sz w:val="24"/>
          <w:lang w:val="zh-CN"/>
        </w:rPr>
        <w:t>无重大违法记录声明</w:t>
      </w:r>
    </w:p>
    <w:p w14:paraId="4B9F5873">
      <w:pPr>
        <w:autoSpaceDE w:val="0"/>
        <w:autoSpaceDN w:val="0"/>
        <w:spacing w:line="360" w:lineRule="auto"/>
        <w:ind w:firstLine="480" w:firstLineChars="200"/>
        <w:rPr>
          <w:color w:val="auto"/>
          <w:kern w:val="0"/>
          <w:sz w:val="24"/>
          <w:lang w:val="zh-CN"/>
        </w:rPr>
      </w:pPr>
      <w:r>
        <w:rPr>
          <w:rFonts w:hint="eastAsia"/>
          <w:color w:val="auto"/>
          <w:kern w:val="0"/>
          <w:sz w:val="24"/>
          <w:lang w:val="zh-CN"/>
        </w:rPr>
        <w:t>（10）投标保证金证明</w:t>
      </w:r>
    </w:p>
    <w:p w14:paraId="4A912F3C">
      <w:pPr>
        <w:autoSpaceDE w:val="0"/>
        <w:autoSpaceDN w:val="0"/>
        <w:spacing w:line="360" w:lineRule="auto"/>
        <w:ind w:left="284"/>
        <w:rPr>
          <w:color w:val="auto"/>
          <w:kern w:val="0"/>
          <w:sz w:val="24"/>
          <w:lang w:val="zh-CN"/>
        </w:rPr>
      </w:pPr>
      <w:r>
        <w:rPr>
          <w:rFonts w:hint="eastAsia"/>
          <w:color w:val="auto"/>
          <w:kern w:val="0"/>
          <w:sz w:val="24"/>
        </w:rPr>
        <w:t xml:space="preserve">11.2 </w:t>
      </w:r>
      <w:r>
        <w:rPr>
          <w:color w:val="auto"/>
          <w:kern w:val="0"/>
          <w:sz w:val="24"/>
          <w:lang w:val="zh-CN"/>
        </w:rPr>
        <w:t>投标文件（下册）</w:t>
      </w:r>
    </w:p>
    <w:p w14:paraId="09D31566">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1）</w:t>
      </w:r>
      <w:r>
        <w:rPr>
          <w:color w:val="auto"/>
          <w:kern w:val="0"/>
          <w:sz w:val="24"/>
          <w:lang w:val="zh-CN"/>
        </w:rPr>
        <w:t>评分对照表</w:t>
      </w:r>
    </w:p>
    <w:p w14:paraId="7171F6AC">
      <w:pPr>
        <w:autoSpaceDE w:val="0"/>
        <w:autoSpaceDN w:val="0"/>
        <w:spacing w:line="360" w:lineRule="auto"/>
        <w:ind w:firstLine="480" w:firstLineChars="200"/>
        <w:rPr>
          <w:color w:val="auto"/>
          <w:kern w:val="0"/>
          <w:sz w:val="24"/>
        </w:rPr>
      </w:pPr>
      <w:r>
        <w:rPr>
          <w:rFonts w:hint="eastAsia"/>
          <w:color w:val="auto"/>
          <w:kern w:val="0"/>
          <w:sz w:val="24"/>
          <w:lang w:val="zh-CN"/>
        </w:rPr>
        <w:t>（</w:t>
      </w:r>
      <w:r>
        <w:rPr>
          <w:color w:val="auto"/>
          <w:kern w:val="0"/>
          <w:sz w:val="24"/>
          <w:lang w:val="zh-CN"/>
        </w:rPr>
        <w:t>1</w:t>
      </w:r>
      <w:r>
        <w:rPr>
          <w:rFonts w:hint="eastAsia"/>
          <w:color w:val="auto"/>
          <w:kern w:val="0"/>
          <w:sz w:val="24"/>
          <w:lang w:val="zh-CN"/>
        </w:rPr>
        <w:t>2）</w:t>
      </w:r>
      <w:r>
        <w:rPr>
          <w:color w:val="auto"/>
          <w:kern w:val="0"/>
          <w:sz w:val="24"/>
          <w:lang w:val="zh-CN"/>
        </w:rPr>
        <w:t>开标一览表（报价表）</w:t>
      </w:r>
    </w:p>
    <w:p w14:paraId="5A05A670">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3）</w:t>
      </w:r>
      <w:r>
        <w:rPr>
          <w:color w:val="auto"/>
          <w:kern w:val="0"/>
          <w:sz w:val="24"/>
          <w:lang w:val="zh-CN"/>
        </w:rPr>
        <w:t>分项报价表</w:t>
      </w:r>
    </w:p>
    <w:p w14:paraId="3492E5D8">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4）</w:t>
      </w:r>
      <w:r>
        <w:rPr>
          <w:color w:val="auto"/>
          <w:kern w:val="0"/>
          <w:sz w:val="24"/>
          <w:lang w:val="zh-CN"/>
        </w:rPr>
        <w:t>技术规格响应表</w:t>
      </w:r>
    </w:p>
    <w:p w14:paraId="1C1340E6">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5）</w:t>
      </w:r>
      <w:r>
        <w:rPr>
          <w:color w:val="auto"/>
          <w:kern w:val="0"/>
          <w:sz w:val="24"/>
          <w:lang w:val="zh-CN"/>
        </w:rPr>
        <w:t>投标产品相关资料</w:t>
      </w:r>
    </w:p>
    <w:p w14:paraId="180071F4">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6）</w:t>
      </w:r>
      <w:r>
        <w:rPr>
          <w:color w:val="auto"/>
          <w:kern w:val="0"/>
          <w:sz w:val="24"/>
          <w:lang w:val="zh-CN"/>
        </w:rPr>
        <w:t>投标人的类似业绩证明材料</w:t>
      </w:r>
    </w:p>
    <w:p w14:paraId="084BF7E6">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7）享受政府采购政策优惠的证明资料</w:t>
      </w:r>
    </w:p>
    <w:p w14:paraId="11D8ABB7">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8）</w:t>
      </w:r>
      <w:r>
        <w:rPr>
          <w:color w:val="auto"/>
          <w:kern w:val="0"/>
          <w:sz w:val="24"/>
          <w:lang w:val="zh-CN"/>
        </w:rPr>
        <w:t>投标人认为在其他方面有必要说明的事项</w:t>
      </w:r>
    </w:p>
    <w:p w14:paraId="15381254">
      <w:pPr>
        <w:autoSpaceDE w:val="0"/>
        <w:autoSpaceDN w:val="0"/>
        <w:spacing w:line="360" w:lineRule="auto"/>
        <w:ind w:firstLine="600" w:firstLineChars="250"/>
        <w:rPr>
          <w:color w:val="auto"/>
          <w:kern w:val="0"/>
          <w:lang w:val="zh-CN"/>
        </w:rPr>
      </w:pPr>
      <w:r>
        <w:rPr>
          <w:color w:val="auto"/>
          <w:kern w:val="0"/>
          <w:sz w:val="24"/>
          <w:lang w:val="zh-CN"/>
        </w:rPr>
        <w:t>注：投标人须按上述内容、顺序和格式编制投标文件，并按要求编制目录、页码，并保证所提供的全部资料真实可信，自愿承担相应责任。</w:t>
      </w:r>
    </w:p>
    <w:p w14:paraId="53C43747">
      <w:pPr>
        <w:pStyle w:val="15"/>
        <w:spacing w:before="0" w:after="0" w:line="360" w:lineRule="auto"/>
        <w:jc w:val="left"/>
        <w:rPr>
          <w:rFonts w:hint="eastAsia" w:ascii="宋体" w:hAnsi="宋体" w:cs="宋体"/>
          <w:color w:val="auto"/>
          <w:lang w:val="zh-CN"/>
        </w:rPr>
      </w:pPr>
      <w:bookmarkStart w:id="80" w:name="_Toc1806"/>
      <w:bookmarkStart w:id="81" w:name="_Toc10042"/>
      <w:bookmarkStart w:id="82" w:name="_Toc88234626"/>
      <w:r>
        <w:rPr>
          <w:rFonts w:hint="eastAsia" w:ascii="宋体" w:hAnsi="宋体" w:cs="宋体"/>
          <w:color w:val="auto"/>
          <w:sz w:val="28"/>
          <w:szCs w:val="28"/>
          <w:lang w:val="zh-CN"/>
        </w:rPr>
        <w:t>12.投标文件的编制要求</w:t>
      </w:r>
      <w:bookmarkEnd w:id="80"/>
      <w:bookmarkEnd w:id="81"/>
      <w:bookmarkEnd w:id="82"/>
    </w:p>
    <w:p w14:paraId="61F0F4BD">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12.1</w:t>
      </w:r>
      <w:r>
        <w:rPr>
          <w:rFonts w:hint="eastAsia" w:ascii="宋体" w:hAnsi="宋体" w:cs="宋体"/>
          <w:color w:val="auto"/>
          <w:kern w:val="0"/>
          <w:sz w:val="24"/>
        </w:rPr>
        <w:t xml:space="preserve"> </w:t>
      </w:r>
      <w:r>
        <w:rPr>
          <w:color w:val="auto"/>
          <w:kern w:val="0"/>
          <w:sz w:val="24"/>
          <w:lang w:val="zh-CN"/>
        </w:rPr>
        <w:t>投标人应按照招标文件所提供的投标文件格式，分别填写招标文件第</w:t>
      </w:r>
      <w:r>
        <w:rPr>
          <w:rFonts w:hint="eastAsia"/>
          <w:color w:val="auto"/>
          <w:kern w:val="0"/>
          <w:sz w:val="24"/>
        </w:rPr>
        <w:t>四</w:t>
      </w:r>
      <w:r>
        <w:rPr>
          <w:color w:val="auto"/>
          <w:kern w:val="0"/>
          <w:sz w:val="24"/>
          <w:lang w:val="zh-CN"/>
        </w:rPr>
        <w:t>部分的内容，应分别注明所提供货物的名称、技术配置及参数、数量和价格等内容；招标文件要求签字、盖章的地方必须由投标人的法定代表人或委托代理人按要求签字、盖章。</w:t>
      </w:r>
    </w:p>
    <w:p w14:paraId="03401553">
      <w:pPr>
        <w:pStyle w:val="15"/>
        <w:spacing w:before="0" w:after="0" w:line="360" w:lineRule="auto"/>
        <w:rPr>
          <w:rFonts w:hint="eastAsia" w:ascii="宋体" w:hAnsi="宋体" w:cs="宋体"/>
          <w:color w:val="auto"/>
        </w:rPr>
      </w:pPr>
      <w:bookmarkStart w:id="83" w:name="_Toc7071"/>
      <w:bookmarkStart w:id="84" w:name="_Toc15912"/>
      <w:bookmarkStart w:id="85" w:name="_Toc88234627"/>
      <w:r>
        <w:rPr>
          <w:rFonts w:hint="eastAsia" w:ascii="宋体" w:hAnsi="宋体" w:cs="宋体"/>
          <w:color w:val="auto"/>
          <w:lang w:val="zh-CN"/>
        </w:rPr>
        <w:t>四、投标文件的提交</w:t>
      </w:r>
      <w:bookmarkEnd w:id="83"/>
      <w:bookmarkEnd w:id="84"/>
      <w:bookmarkEnd w:id="85"/>
    </w:p>
    <w:p w14:paraId="5F7AEDA7">
      <w:pPr>
        <w:pStyle w:val="15"/>
        <w:spacing w:before="0" w:after="0" w:line="360" w:lineRule="auto"/>
        <w:jc w:val="left"/>
        <w:rPr>
          <w:rFonts w:hint="eastAsia" w:ascii="宋体" w:hAnsi="宋体" w:cs="宋体"/>
          <w:color w:val="auto"/>
          <w:lang w:val="zh-CN"/>
        </w:rPr>
      </w:pPr>
      <w:bookmarkStart w:id="86" w:name="_Toc17012"/>
      <w:bookmarkStart w:id="87" w:name="_Toc88234628"/>
      <w:bookmarkStart w:id="88" w:name="_Toc17750"/>
      <w:r>
        <w:rPr>
          <w:rFonts w:hint="eastAsia" w:ascii="宋体" w:hAnsi="宋体" w:cs="宋体"/>
          <w:color w:val="auto"/>
          <w:sz w:val="28"/>
          <w:szCs w:val="28"/>
          <w:lang w:val="zh-CN"/>
        </w:rPr>
        <w:t>13.提交投标文件的时间、地点、方式</w:t>
      </w:r>
      <w:bookmarkEnd w:id="86"/>
      <w:bookmarkEnd w:id="87"/>
      <w:bookmarkEnd w:id="88"/>
    </w:p>
    <w:p w14:paraId="4B931C26">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13.1</w:t>
      </w:r>
      <w:r>
        <w:rPr>
          <w:rFonts w:hint="eastAsia" w:ascii="宋体" w:hAnsi="宋体" w:cs="宋体"/>
          <w:color w:val="auto"/>
          <w:kern w:val="0"/>
          <w:sz w:val="24"/>
        </w:rPr>
        <w:t xml:space="preserve"> </w:t>
      </w:r>
      <w:r>
        <w:rPr>
          <w:rFonts w:hint="eastAsia" w:ascii="宋体" w:hAnsi="宋体" w:cs="宋体"/>
          <w:color w:val="auto"/>
          <w:kern w:val="0"/>
          <w:sz w:val="24"/>
          <w:lang w:val="zh-CN"/>
        </w:rPr>
        <w:t>投标人应当在招标文件要求提交投标文件的截止时间前，将投标文件加密上传至政采云平台。采购人或者采购代理机构应当在招标文件规定的开启时间内开启投标文件。</w:t>
      </w:r>
    </w:p>
    <w:p w14:paraId="6DF7D093">
      <w:pPr>
        <w:pStyle w:val="15"/>
        <w:spacing w:before="0" w:after="0" w:line="360" w:lineRule="auto"/>
        <w:jc w:val="left"/>
        <w:rPr>
          <w:rFonts w:hint="eastAsia" w:ascii="宋体" w:hAnsi="宋体" w:cs="宋体"/>
          <w:color w:val="auto"/>
          <w:lang w:val="zh-CN"/>
        </w:rPr>
      </w:pPr>
      <w:bookmarkStart w:id="89" w:name="_Toc10611"/>
      <w:bookmarkStart w:id="90" w:name="_Toc88234629"/>
      <w:bookmarkStart w:id="91" w:name="_Toc15550"/>
      <w:r>
        <w:rPr>
          <w:rFonts w:hint="eastAsia" w:ascii="宋体" w:hAnsi="宋体" w:cs="宋体"/>
          <w:color w:val="auto"/>
          <w:sz w:val="28"/>
          <w:szCs w:val="28"/>
          <w:lang w:val="zh-CN"/>
        </w:rPr>
        <w:t>14.投标文件的补充、修改或者撤回</w:t>
      </w:r>
      <w:bookmarkEnd w:id="89"/>
      <w:bookmarkEnd w:id="90"/>
      <w:bookmarkEnd w:id="91"/>
    </w:p>
    <w:p w14:paraId="7D7182A1">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14.1</w:t>
      </w:r>
      <w:r>
        <w:rPr>
          <w:rFonts w:hint="eastAsia" w:ascii="宋体" w:hAnsi="宋体" w:cs="宋体"/>
          <w:color w:val="auto"/>
          <w:kern w:val="0"/>
          <w:sz w:val="24"/>
        </w:rPr>
        <w:t xml:space="preserve"> 投标人在投标截止时间前，可以对所递交的投标文件进行补充、修改或者撤回，可登录政采云操作。投标截止期后不得</w:t>
      </w:r>
      <w:r>
        <w:rPr>
          <w:rFonts w:hint="eastAsia" w:ascii="宋体" w:hAnsi="宋体" w:cs="宋体"/>
          <w:color w:val="auto"/>
          <w:sz w:val="24"/>
          <w:szCs w:val="28"/>
        </w:rPr>
        <w:t>撤回其投标。</w:t>
      </w:r>
    </w:p>
    <w:p w14:paraId="0FB6E5E8">
      <w:pPr>
        <w:pStyle w:val="15"/>
        <w:spacing w:before="0" w:after="0" w:line="360" w:lineRule="auto"/>
        <w:rPr>
          <w:rFonts w:hint="eastAsia" w:ascii="宋体" w:hAnsi="宋体" w:cs="宋体"/>
          <w:color w:val="auto"/>
          <w:highlight w:val="green"/>
        </w:rPr>
      </w:pPr>
      <w:bookmarkStart w:id="92" w:name="_Toc14214"/>
      <w:bookmarkStart w:id="93" w:name="_Toc88234630"/>
      <w:bookmarkStart w:id="94" w:name="_Toc15412"/>
      <w:r>
        <w:rPr>
          <w:rFonts w:hint="eastAsia" w:ascii="宋体" w:hAnsi="宋体" w:cs="宋体"/>
          <w:color w:val="auto"/>
          <w:lang w:val="zh-CN"/>
        </w:rPr>
        <w:t>五、开标</w:t>
      </w:r>
      <w:bookmarkEnd w:id="92"/>
      <w:bookmarkEnd w:id="93"/>
      <w:bookmarkEnd w:id="94"/>
    </w:p>
    <w:p w14:paraId="29A52C1C">
      <w:pPr>
        <w:pStyle w:val="15"/>
        <w:spacing w:before="0" w:after="0" w:line="360" w:lineRule="auto"/>
        <w:jc w:val="left"/>
        <w:rPr>
          <w:rFonts w:hint="eastAsia" w:ascii="宋体" w:hAnsi="宋体" w:cs="宋体"/>
          <w:color w:val="auto"/>
          <w:lang w:val="zh-CN"/>
        </w:rPr>
      </w:pPr>
      <w:bookmarkStart w:id="95" w:name="_Toc7749"/>
      <w:bookmarkStart w:id="96" w:name="_Toc88234631"/>
      <w:bookmarkStart w:id="97" w:name="_Toc892"/>
      <w:r>
        <w:rPr>
          <w:rFonts w:hint="eastAsia" w:ascii="宋体" w:hAnsi="宋体" w:cs="宋体"/>
          <w:color w:val="auto"/>
          <w:sz w:val="28"/>
          <w:szCs w:val="28"/>
          <w:lang w:val="zh-CN"/>
        </w:rPr>
        <w:t>15.开标</w:t>
      </w:r>
      <w:bookmarkEnd w:id="95"/>
      <w:bookmarkEnd w:id="96"/>
      <w:bookmarkEnd w:id="97"/>
    </w:p>
    <w:p w14:paraId="1B80748F">
      <w:pPr>
        <w:autoSpaceDE w:val="0"/>
        <w:autoSpaceDN w:val="0"/>
        <w:spacing w:line="360" w:lineRule="auto"/>
        <w:ind w:firstLine="480" w:firstLineChars="200"/>
        <w:rPr>
          <w:rFonts w:hint="eastAsia" w:ascii="宋体" w:hAnsi="宋体" w:cs="宋体"/>
          <w:color w:val="auto"/>
          <w:sz w:val="24"/>
          <w:szCs w:val="28"/>
        </w:rPr>
      </w:pPr>
      <w:r>
        <w:rPr>
          <w:rFonts w:hint="eastAsia" w:ascii="宋体" w:hAnsi="宋体" w:cs="宋体"/>
          <w:color w:val="auto"/>
          <w:kern w:val="0"/>
          <w:sz w:val="24"/>
          <w:lang w:val="zh-CN"/>
        </w:rPr>
        <w:t>15.1</w:t>
      </w:r>
      <w:r>
        <w:rPr>
          <w:rFonts w:hint="eastAsia" w:ascii="宋体" w:hAnsi="宋体" w:cs="宋体"/>
          <w:color w:val="auto"/>
          <w:kern w:val="0"/>
          <w:sz w:val="24"/>
        </w:rPr>
        <w:t xml:space="preserve"> </w:t>
      </w:r>
      <w:r>
        <w:rPr>
          <w:rFonts w:hint="eastAsia" w:ascii="宋体" w:hAnsi="宋体" w:cs="宋体"/>
          <w:color w:val="auto"/>
          <w:kern w:val="0"/>
          <w:sz w:val="24"/>
          <w:lang w:val="zh-CN"/>
        </w:rPr>
        <w:t>开标应当在招标文件确定的提交投标文件截止时间的同一时间进行。采购代理机构应当按本文件中确定的时间和地点组织开标活动。</w:t>
      </w:r>
      <w:r>
        <w:rPr>
          <w:rFonts w:hint="eastAsia" w:ascii="宋体" w:hAnsi="宋体" w:cs="宋体"/>
          <w:color w:val="auto"/>
          <w:sz w:val="24"/>
          <w:szCs w:val="28"/>
        </w:rPr>
        <w:t>采购代理机构按本文件中确定的时间和地点组织招标开标。</w:t>
      </w:r>
      <w:r>
        <w:rPr>
          <w:rFonts w:hint="eastAsia" w:ascii="宋体" w:hAnsi="宋体" w:cs="宋体"/>
          <w:color w:val="auto"/>
          <w:sz w:val="24"/>
          <w:szCs w:val="28"/>
          <w:lang w:eastAsia="zh-CN"/>
        </w:rPr>
        <w:t>投标人</w:t>
      </w:r>
      <w:r>
        <w:rPr>
          <w:rFonts w:hint="eastAsia" w:ascii="宋体" w:hAnsi="宋体" w:cs="宋体"/>
          <w:color w:val="auto"/>
          <w:sz w:val="24"/>
          <w:szCs w:val="28"/>
        </w:rPr>
        <w:t>须按本文件中确定的时间和地点由法定代表人或委托代理人在政采云平台上参加并解密投标文件证明其出席开标会议，否则视为自动放弃；</w:t>
      </w:r>
    </w:p>
    <w:p w14:paraId="2F4948FD">
      <w:pPr>
        <w:autoSpaceDE w:val="0"/>
        <w:autoSpaceDN w:val="0"/>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采购代理机构应当对开标、评标现场活动进行全程录音录像。录音录像应当清晰可辨，音像资料作为采购文件一并存档。</w:t>
      </w:r>
    </w:p>
    <w:p w14:paraId="5DE73623">
      <w:pPr>
        <w:autoSpaceDE w:val="0"/>
        <w:autoSpaceDN w:val="0"/>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15.2 开标由采购代理机构在政采云平台上主持，邀请投标人参加。评标委员会成员（包括采购人代表）不得参加开标活动。</w:t>
      </w:r>
    </w:p>
    <w:p w14:paraId="40FC78CB">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zCs w:val="28"/>
        </w:rPr>
        <w:t>15.3 开标时，应当由投标人登录政采云对</w:t>
      </w:r>
      <w:r>
        <w:rPr>
          <w:rFonts w:hint="eastAsia" w:ascii="宋体" w:hAnsi="宋体" w:cs="宋体"/>
          <w:color w:val="auto"/>
          <w:sz w:val="24"/>
          <w:shd w:val="clear" w:color="auto" w:fill="FFFFFF"/>
        </w:rPr>
        <w:t>投标文件进行C</w:t>
      </w:r>
      <w:r>
        <w:rPr>
          <w:rFonts w:ascii="宋体" w:hAnsi="宋体" w:cs="宋体"/>
          <w:color w:val="auto"/>
          <w:sz w:val="24"/>
          <w:shd w:val="clear" w:color="auto" w:fill="FFFFFF"/>
        </w:rPr>
        <w:t>A</w:t>
      </w:r>
      <w:r>
        <w:rPr>
          <w:rFonts w:hint="eastAsia" w:ascii="宋体" w:hAnsi="宋体" w:cs="宋体"/>
          <w:color w:val="auto"/>
          <w:sz w:val="24"/>
          <w:shd w:val="clear" w:color="auto" w:fill="FFFFFF"/>
        </w:rPr>
        <w:t>密封。</w:t>
      </w:r>
    </w:p>
    <w:p w14:paraId="021272EF">
      <w:pPr>
        <w:autoSpaceDE w:val="0"/>
        <w:autoSpaceDN w:val="0"/>
        <w:spacing w:line="360" w:lineRule="auto"/>
        <w:ind w:firstLine="480" w:firstLineChars="200"/>
        <w:rPr>
          <w:rFonts w:hint="eastAsia" w:ascii="宋体" w:hAnsi="宋体" w:cs="宋体"/>
          <w:color w:val="auto"/>
          <w:sz w:val="24"/>
          <w:shd w:val="clear" w:color="auto" w:fill="FFFFFF"/>
          <w:lang w:val="zh-CN"/>
        </w:rPr>
      </w:pPr>
      <w:r>
        <w:rPr>
          <w:rFonts w:hint="eastAsia" w:ascii="宋体" w:hAnsi="宋体" w:cs="宋体"/>
          <w:color w:val="auto"/>
          <w:sz w:val="24"/>
          <w:shd w:val="clear" w:color="auto" w:fill="FFFFFF"/>
          <w:lang w:val="zh-CN"/>
        </w:rPr>
        <w:t>投标人不足3家的，不得开标。</w:t>
      </w:r>
    </w:p>
    <w:p w14:paraId="62BB9960">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15.4 开标过程应当由</w:t>
      </w:r>
      <w:r>
        <w:rPr>
          <w:rFonts w:hint="eastAsia" w:ascii="宋体" w:hAnsi="宋体" w:cs="宋体"/>
          <w:color w:val="auto"/>
          <w:kern w:val="0"/>
          <w:sz w:val="24"/>
          <w:lang w:val="zh-CN"/>
        </w:rPr>
        <w:t>采购代理机构</w:t>
      </w:r>
      <w:r>
        <w:rPr>
          <w:rFonts w:hint="eastAsia" w:ascii="宋体" w:hAnsi="宋体" w:cs="宋体"/>
          <w:color w:val="auto"/>
          <w:kern w:val="0"/>
          <w:sz w:val="24"/>
        </w:rPr>
        <w:t>负责记录，由参加开标相关工作人员签字确认。</w:t>
      </w:r>
    </w:p>
    <w:p w14:paraId="243540B8">
      <w:pPr>
        <w:autoSpaceDE w:val="0"/>
        <w:autoSpaceDN w:val="0"/>
        <w:spacing w:line="360" w:lineRule="auto"/>
        <w:ind w:firstLine="480" w:firstLineChars="200"/>
        <w:rPr>
          <w:rFonts w:hint="eastAsia" w:ascii="宋体" w:hAnsi="宋体" w:cs="宋体"/>
          <w:color w:val="auto"/>
          <w:sz w:val="24"/>
          <w:szCs w:val="28"/>
        </w:rPr>
      </w:pPr>
      <w:r>
        <w:rPr>
          <w:rFonts w:hint="eastAsia" w:ascii="宋体" w:hAnsi="宋体" w:cs="宋体"/>
          <w:color w:val="auto"/>
          <w:kern w:val="0"/>
          <w:sz w:val="24"/>
        </w:rPr>
        <w:t>15.5 开标时，投</w:t>
      </w:r>
      <w:r>
        <w:rPr>
          <w:rFonts w:hint="eastAsia" w:ascii="宋体" w:hAnsi="宋体" w:cs="宋体"/>
          <w:color w:val="auto"/>
          <w:sz w:val="24"/>
          <w:szCs w:val="28"/>
        </w:rPr>
        <w:t>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w:t>
      </w:r>
      <w:r>
        <w:rPr>
          <w:rFonts w:hint="eastAsia" w:ascii="宋体" w:hAnsi="宋体" w:cs="宋体"/>
          <w:color w:val="auto"/>
          <w:sz w:val="24"/>
          <w:szCs w:val="28"/>
          <w:lang w:eastAsia="zh-CN"/>
        </w:rPr>
        <w:t>投标人</w:t>
      </w:r>
      <w:r>
        <w:rPr>
          <w:rFonts w:hint="eastAsia" w:ascii="宋体" w:hAnsi="宋体" w:cs="宋体"/>
          <w:color w:val="auto"/>
          <w:sz w:val="24"/>
          <w:szCs w:val="28"/>
        </w:rPr>
        <w:t>拒绝接受，其投标将被拒绝；</w:t>
      </w:r>
    </w:p>
    <w:p w14:paraId="58B49B24">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w:t>
      </w:r>
      <w:r>
        <w:rPr>
          <w:rFonts w:ascii="宋体" w:hAnsi="宋体" w:cs="宋体"/>
          <w:color w:val="auto"/>
          <w:kern w:val="0"/>
          <w:sz w:val="24"/>
        </w:rPr>
        <w:t>6</w:t>
      </w:r>
      <w:r>
        <w:rPr>
          <w:rFonts w:hint="eastAsia" w:ascii="宋体" w:hAnsi="宋体" w:cs="宋体"/>
          <w:color w:val="auto"/>
          <w:kern w:val="0"/>
          <w:sz w:val="24"/>
        </w:rPr>
        <w:t xml:space="preserve"> </w:t>
      </w:r>
      <w:r>
        <w:rPr>
          <w:rFonts w:hint="eastAsia" w:ascii="宋体" w:hAnsi="宋体" w:cs="宋体"/>
          <w:color w:val="auto"/>
          <w:sz w:val="24"/>
          <w:szCs w:val="28"/>
        </w:rPr>
        <w:t>答疑：本项目的评标委员会对</w:t>
      </w:r>
      <w:r>
        <w:rPr>
          <w:rFonts w:hint="eastAsia" w:ascii="宋体" w:hAnsi="宋体" w:cs="宋体"/>
          <w:color w:val="auto"/>
          <w:sz w:val="24"/>
          <w:szCs w:val="28"/>
          <w:lang w:eastAsia="zh-CN"/>
        </w:rPr>
        <w:t>投标人</w:t>
      </w:r>
      <w:r>
        <w:rPr>
          <w:rFonts w:hint="eastAsia" w:ascii="宋体" w:hAnsi="宋体" w:cs="宋体"/>
          <w:color w:val="auto"/>
          <w:sz w:val="24"/>
          <w:szCs w:val="28"/>
        </w:rPr>
        <w:t>的投标文件进行评审，并根据评审情况确定答疑时间，</w:t>
      </w:r>
      <w:r>
        <w:rPr>
          <w:rFonts w:hint="eastAsia" w:ascii="宋体" w:hAnsi="宋体" w:cs="宋体"/>
          <w:color w:val="auto"/>
          <w:sz w:val="24"/>
          <w:szCs w:val="28"/>
          <w:lang w:eastAsia="zh-CN"/>
        </w:rPr>
        <w:t>投标人</w:t>
      </w:r>
      <w:r>
        <w:rPr>
          <w:rFonts w:hint="eastAsia" w:ascii="宋体" w:hAnsi="宋体" w:cs="宋体"/>
          <w:color w:val="auto"/>
          <w:sz w:val="24"/>
          <w:szCs w:val="28"/>
        </w:rPr>
        <w:t>应在规定的时间内</w:t>
      </w:r>
      <w:r>
        <w:rPr>
          <w:rFonts w:hint="eastAsia" w:ascii="宋体" w:hAnsi="宋体" w:cs="宋体"/>
          <w:color w:val="auto"/>
          <w:kern w:val="0"/>
          <w:sz w:val="24"/>
          <w:lang w:val="zh-CN"/>
        </w:rPr>
        <w:t>通过政采云平台进行答疑澄清，如在规定的时间内未按要求进行澄清，视同放弃答疑。</w:t>
      </w:r>
    </w:p>
    <w:p w14:paraId="46F4EE8E">
      <w:pPr>
        <w:pStyle w:val="15"/>
        <w:spacing w:before="0" w:after="0" w:line="360" w:lineRule="auto"/>
        <w:rPr>
          <w:rFonts w:hint="eastAsia" w:ascii="宋体" w:hAnsi="宋体" w:cs="宋体"/>
          <w:color w:val="auto"/>
          <w:kern w:val="0"/>
        </w:rPr>
      </w:pPr>
      <w:bookmarkStart w:id="98" w:name="_Toc88234632"/>
      <w:bookmarkStart w:id="99" w:name="_Toc3259"/>
      <w:bookmarkStart w:id="100" w:name="_Toc496004006"/>
      <w:bookmarkStart w:id="101" w:name="_Toc14913"/>
      <w:r>
        <w:rPr>
          <w:rFonts w:hint="eastAsia" w:ascii="宋体" w:hAnsi="宋体" w:cs="宋体"/>
          <w:color w:val="auto"/>
          <w:kern w:val="0"/>
          <w:szCs w:val="36"/>
        </w:rPr>
        <w:t>六、资格</w:t>
      </w:r>
      <w:r>
        <w:rPr>
          <w:rFonts w:hint="eastAsia" w:ascii="宋体" w:hAnsi="宋体" w:cs="宋体"/>
          <w:color w:val="auto"/>
          <w:lang w:val="zh-CN"/>
        </w:rPr>
        <w:t>审查</w:t>
      </w:r>
      <w:r>
        <w:rPr>
          <w:rFonts w:hint="eastAsia" w:ascii="宋体" w:hAnsi="宋体" w:cs="宋体"/>
          <w:color w:val="auto"/>
          <w:kern w:val="0"/>
          <w:szCs w:val="36"/>
        </w:rPr>
        <w:t>程序</w:t>
      </w:r>
      <w:bookmarkEnd w:id="98"/>
      <w:bookmarkEnd w:id="99"/>
      <w:bookmarkEnd w:id="100"/>
      <w:bookmarkEnd w:id="101"/>
    </w:p>
    <w:p w14:paraId="2F50CDE7">
      <w:pPr>
        <w:pStyle w:val="15"/>
        <w:spacing w:before="0" w:after="0" w:line="360" w:lineRule="auto"/>
        <w:jc w:val="left"/>
        <w:rPr>
          <w:rFonts w:hint="eastAsia" w:ascii="宋体" w:hAnsi="宋体" w:cs="宋体"/>
          <w:color w:val="auto"/>
          <w:sz w:val="28"/>
          <w:szCs w:val="28"/>
        </w:rPr>
      </w:pPr>
      <w:bookmarkStart w:id="102" w:name="_Toc88234633"/>
      <w:bookmarkStart w:id="103" w:name="_Toc29485"/>
      <w:bookmarkStart w:id="104" w:name="_Toc31375"/>
      <w:r>
        <w:rPr>
          <w:rFonts w:hint="eastAsia" w:ascii="宋体" w:hAnsi="宋体" w:cs="宋体"/>
          <w:color w:val="auto"/>
          <w:sz w:val="28"/>
          <w:szCs w:val="28"/>
        </w:rPr>
        <w:t>16.资格审查</w:t>
      </w:r>
      <w:bookmarkEnd w:id="102"/>
      <w:bookmarkEnd w:id="103"/>
      <w:bookmarkEnd w:id="104"/>
    </w:p>
    <w:p w14:paraId="2F51FA67">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16.1 开标结束后，采购人或者采购代理机构应当依法对投标人的资格性审查文件（上册）进行审查。</w:t>
      </w:r>
    </w:p>
    <w:p w14:paraId="5FB14E49">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16.2 合格投标人不足3家的，不得评标。</w:t>
      </w:r>
    </w:p>
    <w:p w14:paraId="0C6CE0F4">
      <w:pPr>
        <w:autoSpaceDE w:val="0"/>
        <w:autoSpaceDN w:val="0"/>
        <w:spacing w:line="360" w:lineRule="auto"/>
        <w:ind w:firstLine="480" w:firstLineChars="200"/>
        <w:rPr>
          <w:rFonts w:hint="eastAsia" w:ascii="宋体" w:hAnsi="宋体" w:cs="宋体"/>
          <w:color w:val="auto"/>
          <w:sz w:val="24"/>
          <w:highlight w:val="none"/>
        </w:rPr>
      </w:pPr>
      <w:bookmarkStart w:id="105" w:name="_Toc497503516"/>
      <w:bookmarkStart w:id="106" w:name="_Toc497503249"/>
      <w:bookmarkStart w:id="107" w:name="_Toc497503315"/>
      <w:bookmarkStart w:id="108" w:name="_Toc30809"/>
      <w:bookmarkStart w:id="109" w:name="_Toc497503449"/>
      <w:r>
        <w:rPr>
          <w:rFonts w:hint="eastAsia" w:ascii="宋体" w:hAnsi="宋体" w:cs="宋体"/>
          <w:color w:val="auto"/>
          <w:kern w:val="0"/>
          <w:sz w:val="24"/>
          <w:highlight w:val="none"/>
        </w:rPr>
        <w:t>16.3 资格审查时，投标人存在下列情况之一的，按无效投标处理：</w:t>
      </w:r>
      <w:bookmarkEnd w:id="105"/>
      <w:bookmarkEnd w:id="106"/>
      <w:bookmarkEnd w:id="107"/>
      <w:bookmarkEnd w:id="108"/>
      <w:bookmarkEnd w:id="109"/>
    </w:p>
    <w:p w14:paraId="63528891">
      <w:pPr>
        <w:numPr>
          <w:ilvl w:val="0"/>
          <w:numId w:val="2"/>
        </w:numPr>
        <w:tabs>
          <w:tab w:val="left" w:pos="960"/>
        </w:tabs>
        <w:autoSpaceDE w:val="0"/>
        <w:autoSpaceDN w:val="0"/>
        <w:spacing w:line="360" w:lineRule="auto"/>
        <w:ind w:firstLine="480" w:firstLineChars="200"/>
        <w:rPr>
          <w:rFonts w:hint="eastAsia" w:ascii="宋体" w:hAnsi="宋体" w:cs="宋体"/>
          <w:color w:val="auto"/>
          <w:kern w:val="0"/>
          <w:sz w:val="24"/>
          <w:highlight w:val="none"/>
        </w:rPr>
      </w:pPr>
      <w:bookmarkStart w:id="110" w:name="OLE_LINK48"/>
      <w:r>
        <w:rPr>
          <w:rFonts w:hint="eastAsia" w:ascii="宋体" w:hAnsi="宋体" w:cs="宋体"/>
          <w:color w:val="auto"/>
          <w:sz w:val="24"/>
          <w:highlight w:val="none"/>
          <w:shd w:val="clear" w:color="auto" w:fill="FFFFFF"/>
        </w:rPr>
        <w:t>不具备第一部分“投标邀请”中申请人资格要求的；</w:t>
      </w:r>
    </w:p>
    <w:p w14:paraId="0C284383">
      <w:pPr>
        <w:numPr>
          <w:ilvl w:val="0"/>
          <w:numId w:val="2"/>
        </w:numPr>
        <w:tabs>
          <w:tab w:val="left" w:pos="960"/>
        </w:tabs>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未按招标文件要求交纳或未足额交纳投标保证金的</w:t>
      </w:r>
      <w:r>
        <w:rPr>
          <w:rFonts w:hint="eastAsia" w:ascii="宋体" w:hAnsi="宋体" w:cs="宋体"/>
          <w:color w:val="auto"/>
          <w:sz w:val="24"/>
          <w:highlight w:val="none"/>
          <w:shd w:val="clear" w:color="auto" w:fill="FFFFFF"/>
        </w:rPr>
        <w:t>；</w:t>
      </w:r>
    </w:p>
    <w:p w14:paraId="42C7C1E8">
      <w:pPr>
        <w:numPr>
          <w:ilvl w:val="0"/>
          <w:numId w:val="2"/>
        </w:numPr>
        <w:tabs>
          <w:tab w:val="left" w:pos="960"/>
        </w:tabs>
        <w:autoSpaceDE w:val="0"/>
        <w:autoSpaceDN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未按第11</w:t>
      </w: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要求提供相关资料的；</w:t>
      </w:r>
    </w:p>
    <w:p w14:paraId="6D3E6133">
      <w:pPr>
        <w:numPr>
          <w:ilvl w:val="0"/>
          <w:numId w:val="2"/>
        </w:numPr>
        <w:tabs>
          <w:tab w:val="left" w:pos="960"/>
        </w:tabs>
        <w:autoSpaceDE w:val="0"/>
        <w:autoSpaceDN w:val="0"/>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zh-CN"/>
        </w:rPr>
        <w:t>投标有效期不能满足招标文件要求的；</w:t>
      </w:r>
    </w:p>
    <w:p w14:paraId="02EA6D51">
      <w:pPr>
        <w:numPr>
          <w:ilvl w:val="0"/>
          <w:numId w:val="2"/>
        </w:numPr>
        <w:tabs>
          <w:tab w:val="left" w:pos="960"/>
        </w:tabs>
        <w:autoSpaceDE w:val="0"/>
        <w:autoSpaceDN w:val="0"/>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kern w:val="0"/>
          <w:sz w:val="24"/>
          <w:highlight w:val="none"/>
        </w:rPr>
        <w:t>资格性审查文件未按招标文件规定和要求签字、盖章的；</w:t>
      </w:r>
    </w:p>
    <w:bookmarkEnd w:id="110"/>
    <w:p w14:paraId="3E23D4F2">
      <w:pPr>
        <w:pStyle w:val="15"/>
        <w:spacing w:before="0" w:after="0" w:line="360" w:lineRule="auto"/>
        <w:rPr>
          <w:rFonts w:hint="eastAsia" w:ascii="宋体" w:hAnsi="宋体" w:cs="宋体"/>
          <w:color w:val="auto"/>
        </w:rPr>
      </w:pPr>
      <w:bookmarkStart w:id="111" w:name="_Toc24975"/>
      <w:bookmarkStart w:id="112" w:name="_Toc5224"/>
      <w:bookmarkStart w:id="113" w:name="_Toc88234634"/>
      <w:r>
        <w:rPr>
          <w:rFonts w:hint="eastAsia" w:ascii="宋体" w:hAnsi="宋体" w:cs="宋体"/>
          <w:color w:val="auto"/>
          <w:lang w:val="zh-CN"/>
        </w:rPr>
        <w:t>七、评审程序及方法</w:t>
      </w:r>
      <w:bookmarkEnd w:id="111"/>
      <w:bookmarkEnd w:id="112"/>
      <w:bookmarkEnd w:id="113"/>
    </w:p>
    <w:p w14:paraId="6588C8B4">
      <w:pPr>
        <w:pStyle w:val="15"/>
        <w:spacing w:before="0" w:after="0" w:line="360" w:lineRule="auto"/>
        <w:jc w:val="left"/>
        <w:rPr>
          <w:rFonts w:hint="eastAsia" w:ascii="宋体" w:hAnsi="宋体" w:cs="宋体"/>
          <w:color w:val="auto"/>
          <w:lang w:val="zh-CN"/>
        </w:rPr>
      </w:pPr>
      <w:bookmarkStart w:id="114" w:name="_Toc25584"/>
      <w:bookmarkStart w:id="115" w:name="_Toc88234635"/>
      <w:bookmarkStart w:id="116" w:name="_Toc29581"/>
      <w:r>
        <w:rPr>
          <w:rFonts w:hint="eastAsia" w:ascii="宋体" w:hAnsi="宋体" w:cs="宋体"/>
          <w:color w:val="auto"/>
          <w:sz w:val="28"/>
          <w:szCs w:val="28"/>
          <w:lang w:val="zh-CN"/>
        </w:rPr>
        <w:t>17.评标委员会</w:t>
      </w:r>
      <w:bookmarkEnd w:id="114"/>
      <w:bookmarkEnd w:id="115"/>
      <w:bookmarkEnd w:id="116"/>
    </w:p>
    <w:p w14:paraId="1DD1AC7D">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rPr>
        <w:t>17.1</w:t>
      </w:r>
      <w:r>
        <w:rPr>
          <w:rFonts w:hint="eastAsia" w:ascii="宋体" w:hAnsi="宋体" w:cs="宋体"/>
          <w:color w:val="auto"/>
          <w:kern w:val="0"/>
          <w:sz w:val="24"/>
          <w:lang w:val="zh-CN"/>
        </w:rPr>
        <w:t>采购代理机构负责组织评标工作，并履行下列职责：</w:t>
      </w:r>
    </w:p>
    <w:p w14:paraId="6D448F99">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w:t>
      </w:r>
      <w:r>
        <w:rPr>
          <w:rFonts w:hint="eastAsia" w:ascii="宋体" w:hAnsi="宋体" w:cs="宋体"/>
          <w:color w:val="auto"/>
          <w:kern w:val="0"/>
          <w:sz w:val="24"/>
          <w:lang w:val="zh-CN"/>
        </w:rPr>
        <w:t>）核对评审专家身份和采购人代表授权函，对评审专家在政府采购活动中的职责履行情况予以记录，并及时将有关违法违规行为向财政部门报告；</w:t>
      </w:r>
    </w:p>
    <w:p w14:paraId="2F6FA4C7">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2</w:t>
      </w:r>
      <w:r>
        <w:rPr>
          <w:rFonts w:hint="eastAsia" w:ascii="宋体" w:hAnsi="宋体" w:cs="宋体"/>
          <w:color w:val="auto"/>
          <w:kern w:val="0"/>
          <w:sz w:val="24"/>
          <w:lang w:val="zh-CN"/>
        </w:rPr>
        <w:t>）宣布评标纪律；</w:t>
      </w:r>
    </w:p>
    <w:p w14:paraId="38831ED4">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color w:val="auto"/>
          <w:kern w:val="0"/>
          <w:sz w:val="24"/>
          <w:lang w:val="zh-CN"/>
        </w:rPr>
        <w:t>）公布投标人名单，告知评审专家应当回避的情形；</w:t>
      </w:r>
    </w:p>
    <w:p w14:paraId="1E7D317B">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4</w:t>
      </w:r>
      <w:r>
        <w:rPr>
          <w:rFonts w:hint="eastAsia" w:ascii="宋体" w:hAnsi="宋体" w:cs="宋体"/>
          <w:color w:val="auto"/>
          <w:kern w:val="0"/>
          <w:sz w:val="24"/>
          <w:lang w:val="zh-CN"/>
        </w:rPr>
        <w:t>）组织评标委员会推选评标组长，采购人代表不得担任组长；</w:t>
      </w:r>
    </w:p>
    <w:p w14:paraId="1ED70C0F">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5</w:t>
      </w:r>
      <w:r>
        <w:rPr>
          <w:rFonts w:hint="eastAsia" w:ascii="宋体" w:hAnsi="宋体" w:cs="宋体"/>
          <w:color w:val="auto"/>
          <w:kern w:val="0"/>
          <w:sz w:val="24"/>
          <w:lang w:val="zh-CN"/>
        </w:rPr>
        <w:t>）在评标期间采取必要的通讯管理措施，保证评标活动不受外界干扰；</w:t>
      </w:r>
    </w:p>
    <w:p w14:paraId="637ABE93">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6</w:t>
      </w:r>
      <w:r>
        <w:rPr>
          <w:rFonts w:hint="eastAsia" w:ascii="宋体" w:hAnsi="宋体" w:cs="宋体"/>
          <w:color w:val="auto"/>
          <w:kern w:val="0"/>
          <w:sz w:val="24"/>
          <w:lang w:val="zh-CN"/>
        </w:rPr>
        <w:t>）根据评标委员会的要求介绍政府采购相关政策法规、招标文件；</w:t>
      </w:r>
    </w:p>
    <w:p w14:paraId="4C02821F">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7</w:t>
      </w:r>
      <w:r>
        <w:rPr>
          <w:rFonts w:hint="eastAsia" w:ascii="宋体" w:hAnsi="宋体" w:cs="宋体"/>
          <w:color w:val="auto"/>
          <w:kern w:val="0"/>
          <w:sz w:val="24"/>
          <w:lang w:val="zh-CN"/>
        </w:rPr>
        <w:t>）维护评标秩序，监督评标委员会依照招标文件规定的评标程序、方法和标准进行独立评审，及时制止和纠正采购人代表、评审专家的倾向性言论或者违法违规行为；</w:t>
      </w:r>
    </w:p>
    <w:p w14:paraId="32F043A3">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8</w:t>
      </w:r>
      <w:r>
        <w:rPr>
          <w:rFonts w:hint="eastAsia" w:ascii="宋体" w:hAnsi="宋体" w:cs="宋体"/>
          <w:color w:val="auto"/>
          <w:kern w:val="0"/>
          <w:sz w:val="24"/>
          <w:lang w:val="zh-CN"/>
        </w:rPr>
        <w:t>）核对评标结果，有</w:t>
      </w:r>
      <w:r>
        <w:rPr>
          <w:rFonts w:ascii="宋体" w:hAnsi="宋体" w:cs="宋体"/>
          <w:color w:val="auto"/>
          <w:kern w:val="0"/>
          <w:sz w:val="24"/>
        </w:rPr>
        <w:t>1</w:t>
      </w:r>
      <w:r>
        <w:rPr>
          <w:rFonts w:hint="eastAsia" w:ascii="宋体" w:hAnsi="宋体" w:cs="宋体"/>
          <w:color w:val="auto"/>
          <w:kern w:val="0"/>
          <w:sz w:val="24"/>
        </w:rPr>
        <w:t>9.4</w:t>
      </w:r>
      <w:r>
        <w:rPr>
          <w:rFonts w:hint="eastAsia" w:ascii="宋体" w:hAnsi="宋体" w:cs="宋体"/>
          <w:color w:val="auto"/>
          <w:kern w:val="0"/>
          <w:sz w:val="24"/>
          <w:lang w:val="zh-CN"/>
        </w:rPr>
        <w:t>规定情形的，要求评标委员会复核或者书面说明理由，评标委员会拒绝的，应予记录并向本级财政部门报告；</w:t>
      </w:r>
    </w:p>
    <w:p w14:paraId="3CED016A">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9</w:t>
      </w:r>
      <w:r>
        <w:rPr>
          <w:rFonts w:hint="eastAsia" w:ascii="宋体" w:hAnsi="宋体" w:cs="宋体"/>
          <w:color w:val="auto"/>
          <w:kern w:val="0"/>
          <w:sz w:val="24"/>
          <w:lang w:val="zh-CN"/>
        </w:rPr>
        <w:t>）评审工作完成后，按照规定由采购人向评审专家支付劳务报酬和异地评审差旅费，不得向评审专家以外的其他人员支付评审劳务报酬；</w:t>
      </w:r>
    </w:p>
    <w:p w14:paraId="1C4428F3">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10</w:t>
      </w:r>
      <w:r>
        <w:rPr>
          <w:rFonts w:hint="eastAsia" w:ascii="宋体" w:hAnsi="宋体" w:cs="宋体"/>
          <w:color w:val="auto"/>
          <w:kern w:val="0"/>
          <w:sz w:val="24"/>
          <w:lang w:val="zh-CN"/>
        </w:rPr>
        <w:t>）处理与评标有关的其他事项。</w:t>
      </w:r>
    </w:p>
    <w:p w14:paraId="15272989">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采购人可以在评标前说明项目背景和采购需求，说明内容不得含有歧视性、倾向性意见，不得超出招标文件所述范围。说明应当提交书面材料，并随采购文件一并存档。</w:t>
      </w:r>
    </w:p>
    <w:p w14:paraId="37DE7951">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17.2 评标委员会负责具体评标事务，并独立履行下列职责：</w:t>
      </w:r>
    </w:p>
    <w:p w14:paraId="24F0AF86">
      <w:pPr>
        <w:numPr>
          <w:ilvl w:val="0"/>
          <w:numId w:val="3"/>
        </w:num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严格遵守评审工作纪律,按照客观、公正、审慎的原则,根据采购文件规定的评审程序、评审方法和评审标准进行独立评审</w:t>
      </w:r>
      <w:r>
        <w:rPr>
          <w:rFonts w:hint="eastAsia" w:ascii="宋体" w:hAnsi="宋体" w:cs="宋体"/>
          <w:color w:val="auto"/>
          <w:kern w:val="0"/>
          <w:sz w:val="24"/>
          <w:lang w:val="zh-CN"/>
        </w:rPr>
        <w:t>；</w:t>
      </w:r>
    </w:p>
    <w:p w14:paraId="70932B8A">
      <w:pPr>
        <w:numPr>
          <w:ilvl w:val="0"/>
          <w:numId w:val="3"/>
        </w:num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现采购文件内容违反国家有关强制性规定或者采购文件存在歧义、重大缺陷导致评审工作无法进行时,应当停止评审并向采购人或者采购代理机构书面说明情况；</w:t>
      </w:r>
    </w:p>
    <w:p w14:paraId="4C270FD3">
      <w:pPr>
        <w:numPr>
          <w:ilvl w:val="0"/>
          <w:numId w:val="3"/>
        </w:num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审查、评价投标文件是否符合招标文件的商务、技术等实质性要求；</w:t>
      </w:r>
    </w:p>
    <w:p w14:paraId="7AFBEA68">
      <w:pPr>
        <w:numPr>
          <w:ilvl w:val="0"/>
          <w:numId w:val="3"/>
        </w:num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要求投标人对投标文件有关事项作出澄清或者说明；</w:t>
      </w:r>
    </w:p>
    <w:p w14:paraId="0DC5F271">
      <w:pPr>
        <w:numPr>
          <w:ilvl w:val="0"/>
          <w:numId w:val="3"/>
        </w:num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对投标文件进行比较和评价；</w:t>
      </w:r>
    </w:p>
    <w:p w14:paraId="49BC2994">
      <w:pPr>
        <w:numPr>
          <w:ilvl w:val="0"/>
          <w:numId w:val="3"/>
        </w:num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确定中标候选人名单，以及根据采购人委托直接确定中标人；</w:t>
      </w:r>
    </w:p>
    <w:p w14:paraId="631F5CC8">
      <w:pPr>
        <w:numPr>
          <w:ilvl w:val="0"/>
          <w:numId w:val="3"/>
        </w:num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配合答复供应商的询问、质疑和投诉等事项,不得泄露评审文件、评审情况和在评审过程中获悉的商业秘密；</w:t>
      </w:r>
    </w:p>
    <w:p w14:paraId="1010B243">
      <w:pPr>
        <w:numPr>
          <w:ilvl w:val="0"/>
          <w:numId w:val="3"/>
        </w:numPr>
        <w:autoSpaceDE w:val="0"/>
        <w:autoSpaceDN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向采购人、采购代理机构或者有关部门报告评标中发现的违法行为。</w:t>
      </w:r>
    </w:p>
    <w:p w14:paraId="5AB0774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17.3 评标委员会由采购人代表和评审专家组成，成员人数应当为5人以上单数，其中评审专家不得少于成员总数的三分之二。</w:t>
      </w:r>
    </w:p>
    <w:p w14:paraId="608CACB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采购项目符合下列情形之一的，评标委员会成员人数应当为7人以上单数：</w:t>
      </w:r>
    </w:p>
    <w:p w14:paraId="37B7F95D">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（1）采购预算金额在1000万元以上；</w:t>
      </w:r>
    </w:p>
    <w:p w14:paraId="643B2E75">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（2）技术复杂；</w:t>
      </w:r>
    </w:p>
    <w:p w14:paraId="45BF7FF0">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（3）社会影响较大。</w:t>
      </w:r>
    </w:p>
    <w:p w14:paraId="16F6EA0B">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评审专家对本单位的采购项目只能作为采购人代表参与评标。采购代理机构工作人员不得参加由本机构代理的政府采购项目的评标。</w:t>
      </w:r>
    </w:p>
    <w:p w14:paraId="50588AB9">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评标委员会成员名单在评标结果公告前应当保密。</w:t>
      </w:r>
    </w:p>
    <w:p w14:paraId="38D172F2">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sz w:val="24"/>
        </w:rPr>
        <w:t xml:space="preserve">17.4 </w:t>
      </w:r>
      <w:r>
        <w:rPr>
          <w:rFonts w:hint="eastAsia" w:ascii="宋体" w:hAnsi="宋体" w:cs="宋体"/>
          <w:color w:val="auto"/>
          <w:kern w:val="0"/>
          <w:sz w:val="24"/>
          <w:lang w:val="zh-CN"/>
        </w:rPr>
        <w:t>采购人或采购代理机构</w:t>
      </w:r>
      <w:r>
        <w:rPr>
          <w:rFonts w:hint="eastAsia" w:ascii="宋体" w:hAnsi="宋体" w:cs="宋体"/>
          <w:color w:val="auto"/>
          <w:kern w:val="0"/>
          <w:sz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2FE88769">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17.</w:t>
      </w:r>
      <w:r>
        <w:rPr>
          <w:rFonts w:hint="eastAsia" w:ascii="宋体" w:hAnsi="宋体" w:cs="宋体"/>
          <w:color w:val="auto"/>
          <w:kern w:val="0"/>
          <w:sz w:val="24"/>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229B11D1">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采购代理机构</w:t>
      </w:r>
      <w:r>
        <w:rPr>
          <w:rFonts w:hint="eastAsia" w:ascii="宋体" w:hAnsi="宋体" w:cs="宋体"/>
          <w:color w:val="auto"/>
          <w:kern w:val="0"/>
          <w:sz w:val="24"/>
        </w:rPr>
        <w:t>应当将变更、重新组建评标委员会的情况予以记录，并随采购文件一并存档。</w:t>
      </w:r>
    </w:p>
    <w:p w14:paraId="67F8CA4B">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17.</w:t>
      </w:r>
      <w:r>
        <w:rPr>
          <w:rFonts w:hint="eastAsia" w:ascii="宋体" w:hAnsi="宋体" w:cs="宋体"/>
          <w:color w:val="auto"/>
          <w:kern w:val="0"/>
          <w:sz w:val="24"/>
        </w:rPr>
        <w:t>6 采购人、采购代理机构应当采取必要措施，保证评标在严格保密的情况下进行。除采购人代表、评标现场组织人员外，采购人的其他工作人员以及与评标工作无关的人员不得进入评标现场。</w:t>
      </w:r>
    </w:p>
    <w:p w14:paraId="31E84180">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sz w:val="24"/>
        </w:rPr>
        <w:t>有关人员对评标情况以及在评标过程中获悉的国家秘密、商业秘密负有保密责任。</w:t>
      </w:r>
    </w:p>
    <w:p w14:paraId="3EF9BA73">
      <w:pPr>
        <w:pStyle w:val="15"/>
        <w:spacing w:before="0" w:after="0" w:line="360" w:lineRule="auto"/>
        <w:jc w:val="left"/>
        <w:rPr>
          <w:rFonts w:hint="eastAsia" w:ascii="宋体" w:hAnsi="宋体" w:cs="宋体"/>
          <w:color w:val="auto"/>
          <w:lang w:val="zh-CN"/>
        </w:rPr>
      </w:pPr>
      <w:bookmarkStart w:id="117" w:name="_Toc8009"/>
      <w:bookmarkStart w:id="118" w:name="_Toc88234636"/>
      <w:bookmarkStart w:id="119" w:name="_Toc2739"/>
      <w:r>
        <w:rPr>
          <w:rFonts w:hint="eastAsia" w:ascii="宋体" w:hAnsi="宋体" w:cs="宋体"/>
          <w:color w:val="auto"/>
          <w:sz w:val="28"/>
          <w:szCs w:val="28"/>
          <w:lang w:val="zh-CN"/>
        </w:rPr>
        <w:t>18.评审工作程序</w:t>
      </w:r>
      <w:bookmarkEnd w:id="117"/>
      <w:bookmarkEnd w:id="118"/>
      <w:bookmarkEnd w:id="119"/>
    </w:p>
    <w:p w14:paraId="4074BDBC">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bCs/>
          <w:color w:val="auto"/>
          <w:kern w:val="0"/>
          <w:sz w:val="24"/>
          <w:lang w:val="zh-CN"/>
        </w:rPr>
        <w:t>18.1</w:t>
      </w:r>
      <w:r>
        <w:rPr>
          <w:rFonts w:hint="eastAsia" w:ascii="宋体" w:hAnsi="宋体" w:cs="宋体"/>
          <w:color w:val="auto"/>
          <w:kern w:val="0"/>
          <w:sz w:val="24"/>
        </w:rPr>
        <w:t xml:space="preserve"> </w:t>
      </w:r>
      <w:r>
        <w:rPr>
          <w:rFonts w:hint="eastAsia" w:ascii="宋体" w:hAnsi="宋体" w:cs="宋体"/>
          <w:color w:val="auto"/>
          <w:kern w:val="0"/>
          <w:sz w:val="24"/>
          <w:lang w:val="zh-CN"/>
        </w:rPr>
        <w:t>评标委员会应当对符合资格的投标人的投标文件进行符合性审查，以确定其是否满足招标文件的实质性要求。</w:t>
      </w:r>
    </w:p>
    <w:p w14:paraId="20DEBEEA">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bCs/>
          <w:color w:val="auto"/>
          <w:kern w:val="0"/>
          <w:sz w:val="24"/>
        </w:rPr>
        <w:t>18.1.1</w:t>
      </w:r>
      <w:r>
        <w:rPr>
          <w:rFonts w:hint="eastAsia" w:ascii="宋体" w:hAnsi="宋体" w:cs="宋体"/>
          <w:color w:val="auto"/>
          <w:kern w:val="0"/>
          <w:sz w:val="24"/>
          <w:lang w:val="zh-CN"/>
        </w:rPr>
        <w:t xml:space="preserve"> </w:t>
      </w:r>
    </w:p>
    <w:p w14:paraId="7A01D00A">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（1）投标文件中含义不明确、同类问题表述不一致或者有明显文字和计算错误的内容，评标委员会应当以书面形式要求投标人作出必要的澄清、说明或者补正。</w:t>
      </w:r>
    </w:p>
    <w:p w14:paraId="13A6A316">
      <w:pPr>
        <w:autoSpaceDE w:val="0"/>
        <w:autoSpaceDN w:val="0"/>
        <w:spacing w:line="360" w:lineRule="auto"/>
        <w:ind w:firstLine="480" w:firstLineChars="200"/>
        <w:rPr>
          <w:rFonts w:hint="eastAsia" w:ascii="宋体" w:hAnsi="宋体" w:cs="宋体"/>
          <w:b/>
          <w:bCs/>
          <w:color w:val="auto"/>
          <w:kern w:val="0"/>
          <w:sz w:val="24"/>
        </w:rPr>
      </w:pPr>
      <w:r>
        <w:rPr>
          <w:rFonts w:hint="eastAsia" w:ascii="宋体" w:hAnsi="宋体" w:cs="宋体"/>
          <w:color w:val="auto"/>
          <w:kern w:val="0"/>
          <w:sz w:val="24"/>
          <w:lang w:val="zh-CN"/>
        </w:rPr>
        <w:t>（2）投标人的澄清、说明或者补正应当采用书面形式，并加盖公章，或者由法定代表人或其授权的代表签字。投标人的澄清、说明或者补正不得超出投标文件的范围或者改变投标文件的实质性内容。</w:t>
      </w:r>
    </w:p>
    <w:p w14:paraId="35C3A6D5">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18.</w:t>
      </w:r>
      <w:r>
        <w:rPr>
          <w:rFonts w:hint="eastAsia" w:ascii="宋体" w:hAnsi="宋体" w:cs="宋体"/>
          <w:color w:val="auto"/>
          <w:kern w:val="0"/>
          <w:sz w:val="24"/>
        </w:rPr>
        <w:t>1</w:t>
      </w:r>
      <w:r>
        <w:rPr>
          <w:rFonts w:hint="eastAsia" w:ascii="宋体" w:hAnsi="宋体" w:cs="宋体"/>
          <w:color w:val="auto"/>
          <w:kern w:val="0"/>
          <w:sz w:val="24"/>
          <w:lang w:val="zh-CN"/>
        </w:rPr>
        <w:t>.2 投标人存在下列情况之一的，投标无效:</w:t>
      </w:r>
    </w:p>
    <w:p w14:paraId="4CE1AEBB">
      <w:pPr>
        <w:numPr>
          <w:ilvl w:val="0"/>
          <w:numId w:val="4"/>
        </w:numPr>
        <w:autoSpaceDE w:val="0"/>
        <w:autoSpaceDN w:val="0"/>
        <w:spacing w:line="360" w:lineRule="auto"/>
        <w:rPr>
          <w:rFonts w:hint="eastAsia" w:ascii="宋体" w:hAnsi="宋体" w:cs="宋体"/>
          <w:color w:val="auto"/>
          <w:kern w:val="0"/>
          <w:sz w:val="24"/>
          <w:lang w:val="zh-CN"/>
        </w:rPr>
      </w:pPr>
      <w:bookmarkStart w:id="120" w:name="OLE_LINK50"/>
      <w:r>
        <w:rPr>
          <w:rFonts w:hint="eastAsia" w:ascii="宋体" w:hAnsi="宋体" w:cs="宋体"/>
          <w:color w:val="auto"/>
          <w:kern w:val="0"/>
          <w:sz w:val="24"/>
          <w:lang w:val="zh-CN"/>
        </w:rPr>
        <w:t>符合性审查文件未按招标文件要求签署、盖章的；</w:t>
      </w:r>
    </w:p>
    <w:p w14:paraId="78C26F66">
      <w:pPr>
        <w:numPr>
          <w:ilvl w:val="0"/>
          <w:numId w:val="4"/>
        </w:num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en-US" w:eastAsia="zh-CN"/>
        </w:rPr>
        <w:t>未</w:t>
      </w:r>
      <w:r>
        <w:rPr>
          <w:rFonts w:hint="eastAsia" w:ascii="宋体" w:hAnsi="宋体" w:cs="宋体"/>
          <w:color w:val="auto"/>
          <w:kern w:val="0"/>
          <w:sz w:val="24"/>
          <w:lang w:val="zh-CN"/>
        </w:rPr>
        <w:t>按第11.2（1</w:t>
      </w:r>
      <w:r>
        <w:rPr>
          <w:rFonts w:hint="eastAsia" w:ascii="宋体" w:hAnsi="宋体" w:cs="宋体"/>
          <w:color w:val="auto"/>
          <w:kern w:val="0"/>
          <w:sz w:val="24"/>
          <w:lang w:val="en-US" w:eastAsia="zh-CN"/>
        </w:rPr>
        <w:t>1</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18</w:t>
      </w:r>
      <w:r>
        <w:rPr>
          <w:rFonts w:hint="eastAsia" w:ascii="宋体" w:hAnsi="宋体" w:cs="宋体"/>
          <w:color w:val="auto"/>
          <w:kern w:val="0"/>
          <w:sz w:val="24"/>
          <w:lang w:val="zh-CN"/>
        </w:rPr>
        <w:t>）款要求提供相关资料的；</w:t>
      </w:r>
    </w:p>
    <w:p w14:paraId="45BFA453">
      <w:pPr>
        <w:numPr>
          <w:ilvl w:val="0"/>
          <w:numId w:val="4"/>
        </w:num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投标文件含有采购人不能接受的附加条件的；</w:t>
      </w:r>
    </w:p>
    <w:p w14:paraId="5F54124C">
      <w:pPr>
        <w:numPr>
          <w:ilvl w:val="0"/>
          <w:numId w:val="4"/>
        </w:numPr>
        <w:autoSpaceDE w:val="0"/>
        <w:autoSpaceDN w:val="0"/>
        <w:spacing w:line="360" w:lineRule="auto"/>
        <w:rPr>
          <w:rFonts w:hint="eastAsia" w:ascii="宋体" w:hAnsi="宋体" w:cs="宋体"/>
          <w:color w:val="auto"/>
          <w:kern w:val="0"/>
          <w:sz w:val="24"/>
          <w:lang w:val="zh-CN"/>
        </w:rPr>
      </w:pPr>
      <w:r>
        <w:rPr>
          <w:color w:val="auto"/>
          <w:kern w:val="0"/>
          <w:sz w:val="24"/>
          <w:lang w:val="zh-CN"/>
        </w:rPr>
        <w:t>交货</w:t>
      </w:r>
      <w:r>
        <w:rPr>
          <w:rFonts w:hint="eastAsia"/>
          <w:color w:val="auto"/>
          <w:kern w:val="0"/>
          <w:sz w:val="24"/>
        </w:rPr>
        <w:t>期、</w:t>
      </w:r>
      <w:r>
        <w:rPr>
          <w:rFonts w:hint="eastAsia"/>
          <w:color w:val="auto"/>
          <w:kern w:val="0"/>
          <w:sz w:val="24"/>
          <w:lang w:val="en-US" w:eastAsia="zh-CN"/>
        </w:rPr>
        <w:t>质保期</w:t>
      </w:r>
      <w:r>
        <w:rPr>
          <w:rFonts w:hint="eastAsia" w:ascii="宋体" w:hAnsi="宋体" w:cs="宋体"/>
          <w:color w:val="auto"/>
          <w:kern w:val="0"/>
          <w:sz w:val="24"/>
          <w:lang w:val="zh-CN"/>
        </w:rPr>
        <w:t>不能满足招标文件要求的；</w:t>
      </w:r>
    </w:p>
    <w:p w14:paraId="547F26A2">
      <w:pPr>
        <w:numPr>
          <w:ilvl w:val="0"/>
          <w:numId w:val="4"/>
        </w:numPr>
        <w:autoSpaceDE w:val="0"/>
        <w:autoSpaceDN w:val="0"/>
        <w:spacing w:line="360" w:lineRule="auto"/>
        <w:rPr>
          <w:rFonts w:hint="eastAsia" w:ascii="Times New Roman" w:hAnsi="Times New Roman" w:eastAsia="宋体" w:cs="Times New Roman"/>
          <w:color w:val="auto"/>
          <w:kern w:val="0"/>
          <w:sz w:val="24"/>
          <w:lang w:val="zh-CN"/>
        </w:rPr>
      </w:pPr>
      <w:r>
        <w:rPr>
          <w:rFonts w:hint="eastAsia" w:ascii="宋体" w:hAnsi="宋体" w:cs="宋体"/>
          <w:color w:val="auto"/>
          <w:kern w:val="0"/>
          <w:sz w:val="24"/>
          <w:lang w:val="zh-CN"/>
        </w:rPr>
        <w:t>投标总报价超过招标文件规定的采购预算额度或者最高限价的；</w:t>
      </w:r>
    </w:p>
    <w:p w14:paraId="345EC993">
      <w:pPr>
        <w:numPr>
          <w:ilvl w:val="0"/>
          <w:numId w:val="4"/>
        </w:numPr>
        <w:autoSpaceDE w:val="0"/>
        <w:autoSpaceDN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投标产品不满足招标文件确定的</w:t>
      </w:r>
      <w:r>
        <w:rPr>
          <w:rFonts w:hint="eastAsia" w:ascii="宋体" w:hAnsi="宋体" w:eastAsia="宋体" w:cs="宋体"/>
          <w:color w:val="auto"/>
          <w:kern w:val="0"/>
          <w:sz w:val="24"/>
          <w:lang w:val="en"/>
        </w:rPr>
        <w:t>“</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val="en"/>
        </w:rPr>
        <w:t>”标注的技术参数、指标</w:t>
      </w:r>
      <w:r>
        <w:rPr>
          <w:rFonts w:hint="eastAsia" w:ascii="宋体" w:hAnsi="宋体" w:eastAsia="宋体" w:cs="宋体"/>
          <w:color w:val="auto"/>
          <w:kern w:val="0"/>
          <w:sz w:val="24"/>
          <w:lang w:val="en" w:eastAsia="zh-CN"/>
        </w:rPr>
        <w:t>；</w:t>
      </w:r>
    </w:p>
    <w:p w14:paraId="2028E7A7">
      <w:pPr>
        <w:numPr>
          <w:ilvl w:val="0"/>
          <w:numId w:val="4"/>
        </w:num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存在串通投标行为；</w:t>
      </w:r>
    </w:p>
    <w:p w14:paraId="5376EC9B">
      <w:pPr>
        <w:numPr>
          <w:ilvl w:val="0"/>
          <w:numId w:val="4"/>
        </w:num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投标报价出现前后不一致，又不按1</w:t>
      </w:r>
      <w:r>
        <w:rPr>
          <w:rFonts w:hint="eastAsia" w:ascii="宋体" w:hAnsi="宋体" w:cs="宋体"/>
          <w:color w:val="auto"/>
          <w:kern w:val="0"/>
          <w:sz w:val="24"/>
        </w:rPr>
        <w:t>8</w:t>
      </w:r>
      <w:r>
        <w:rPr>
          <w:rFonts w:hint="eastAsia" w:ascii="宋体" w:hAnsi="宋体" w:cs="宋体"/>
          <w:color w:val="auto"/>
          <w:kern w:val="0"/>
          <w:sz w:val="24"/>
          <w:lang w:val="zh-CN"/>
        </w:rPr>
        <w:t>.1.</w:t>
      </w:r>
      <w:r>
        <w:rPr>
          <w:rFonts w:ascii="宋体" w:hAnsi="宋体" w:cs="宋体"/>
          <w:color w:val="auto"/>
          <w:kern w:val="0"/>
          <w:sz w:val="24"/>
          <w:lang w:val="zh-CN"/>
        </w:rPr>
        <w:t>3</w:t>
      </w:r>
      <w:r>
        <w:rPr>
          <w:rFonts w:hint="eastAsia" w:ascii="宋体" w:hAnsi="宋体" w:cs="宋体"/>
          <w:color w:val="auto"/>
          <w:kern w:val="0"/>
          <w:sz w:val="24"/>
          <w:lang w:val="zh-CN"/>
        </w:rPr>
        <w:t>进行确认的；</w:t>
      </w:r>
    </w:p>
    <w:p w14:paraId="5AE1E06D">
      <w:pPr>
        <w:numPr>
          <w:ilvl w:val="0"/>
          <w:numId w:val="4"/>
        </w:num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评标委员会认为应按无效投标处理的其他情况；</w:t>
      </w:r>
    </w:p>
    <w:p w14:paraId="26891BF1">
      <w:pPr>
        <w:numPr>
          <w:ilvl w:val="0"/>
          <w:numId w:val="4"/>
        </w:num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法律、法规和招标文件规定的其他无效情形。</w:t>
      </w:r>
    </w:p>
    <w:bookmarkEnd w:id="120"/>
    <w:p w14:paraId="0906C2FA">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sz w:val="24"/>
        </w:rPr>
        <w:t>对投标无效的投标人，采购人或采购代理机构应当告知其投标无效的原因。</w:t>
      </w:r>
    </w:p>
    <w:p w14:paraId="3A0C974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18.1.3 投标文件报价出现前后不一致的，按照下列规定修正：</w:t>
      </w:r>
    </w:p>
    <w:p w14:paraId="33FEF9D8">
      <w:pPr>
        <w:autoSpaceDE w:val="0"/>
        <w:autoSpaceDN w:val="0"/>
        <w:spacing w:line="360" w:lineRule="auto"/>
        <w:ind w:firstLine="480" w:firstLineChars="200"/>
        <w:rPr>
          <w:rFonts w:hint="eastAsia" w:ascii="宋体" w:hAnsi="宋体" w:cs="宋体"/>
          <w:color w:val="auto"/>
          <w:kern w:val="0"/>
          <w:sz w:val="24"/>
        </w:rPr>
      </w:pPr>
      <w:bookmarkStart w:id="121" w:name="OLE_LINK49"/>
      <w:r>
        <w:rPr>
          <w:rFonts w:hint="eastAsia" w:ascii="宋体" w:hAnsi="宋体" w:cs="宋体"/>
          <w:color w:val="auto"/>
          <w:kern w:val="0"/>
          <w:sz w:val="24"/>
        </w:rPr>
        <w:t>（1）大写金额和小写金额不一致的，以大写金额为准；</w:t>
      </w:r>
    </w:p>
    <w:p w14:paraId="56E93D66">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（2）单价金额小数点或者百分比有明显错位的，以开标一览表的总价为准，并修改单价；</w:t>
      </w:r>
    </w:p>
    <w:p w14:paraId="4D92EEE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（3）总价金额与按单价汇总金额不一致的，以单价金额计算结果为准。</w:t>
      </w:r>
    </w:p>
    <w:p w14:paraId="61DFD80E">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同时出现两种以上不一致的，按照前款规定的顺序修正。修正后的报价按18.1.1第二款的规定经投标人确认后产生约束力，投标人不确认的，其投标无效。</w:t>
      </w:r>
      <w:bookmarkEnd w:id="121"/>
    </w:p>
    <w:p w14:paraId="1D16C3FA">
      <w:pPr>
        <w:autoSpaceDE w:val="0"/>
        <w:autoSpaceDN w:val="0"/>
        <w:spacing w:line="360" w:lineRule="auto"/>
        <w:ind w:left="426"/>
        <w:rPr>
          <w:rFonts w:hint="eastAsia" w:ascii="宋体" w:hAnsi="宋体" w:cs="宋体"/>
          <w:color w:val="auto"/>
          <w:kern w:val="0"/>
          <w:sz w:val="24"/>
          <w:lang w:val="zh-CN"/>
        </w:rPr>
      </w:pPr>
      <w:r>
        <w:rPr>
          <w:rFonts w:hint="eastAsia" w:ascii="宋体" w:hAnsi="宋体" w:cs="宋体"/>
          <w:color w:val="auto"/>
          <w:kern w:val="0"/>
          <w:sz w:val="24"/>
        </w:rPr>
        <w:t>18.2</w:t>
      </w:r>
      <w:r>
        <w:rPr>
          <w:rFonts w:hint="eastAsia" w:ascii="宋体" w:hAnsi="宋体" w:cs="宋体"/>
          <w:color w:val="auto"/>
          <w:kern w:val="0"/>
          <w:sz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620F8054">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供应商为小型、微型企业，且提供本企业生产的货物或者提供其他小型、微型企业生产的货物，价格按相关规定给予10%-20%的价格折扣，用扣除后的价格参与评审。本项所称货物不包括使用大型企业注册商标的货物；</w:t>
      </w:r>
    </w:p>
    <w:p w14:paraId="4C065231">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监狱企业、残疾人福利性单位视同小型、微型企业，享受评审中价格扣除等促进中小企业发展的政府采购政策。</w:t>
      </w:r>
    </w:p>
    <w:p w14:paraId="0E0B85CE">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供应商同时符合小型、微型企业及监狱企业、残疾人福利性单位要求的，评审时只有一种类型享受价格评审优惠政策；</w:t>
      </w:r>
    </w:p>
    <w:p w14:paraId="4A3FA1D7">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rPr>
        <w:t>投标文件符合本章前款规定的，供应商应提供相关证明资料，且所提供资料必须真实可信。如有虚假，将依法承担相应责任。</w:t>
      </w:r>
    </w:p>
    <w:p w14:paraId="6896C4AD">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sz w:val="24"/>
        </w:rPr>
        <w:t>18</w:t>
      </w:r>
      <w:r>
        <w:rPr>
          <w:rFonts w:ascii="宋体" w:hAnsi="宋体" w:cs="宋体"/>
          <w:color w:val="auto"/>
          <w:kern w:val="0"/>
          <w:sz w:val="24"/>
        </w:rPr>
        <w:t>.</w:t>
      </w:r>
      <w:r>
        <w:rPr>
          <w:rFonts w:hint="eastAsia" w:ascii="宋体" w:hAnsi="宋体" w:cs="宋体"/>
          <w:color w:val="auto"/>
          <w:kern w:val="0"/>
          <w:sz w:val="24"/>
        </w:rPr>
        <w:t xml:space="preserve">3 </w:t>
      </w:r>
      <w:r>
        <w:rPr>
          <w:rFonts w:hint="eastAsia" w:ascii="宋体" w:hAnsi="宋体" w:cs="宋体"/>
          <w:color w:val="auto"/>
          <w:kern w:val="0"/>
          <w:sz w:val="24"/>
          <w:lang w:val="zh-CN"/>
        </w:rPr>
        <w:t>在评审过程中，</w:t>
      </w:r>
      <w:r>
        <w:rPr>
          <w:rFonts w:hint="eastAsia" w:ascii="宋体" w:hAnsi="宋体" w:cs="宋体"/>
          <w:color w:val="auto"/>
          <w:sz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00256501">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18.</w:t>
      </w:r>
      <w:r>
        <w:rPr>
          <w:rFonts w:hint="eastAsia" w:ascii="宋体" w:hAnsi="宋体" w:cs="宋体"/>
          <w:color w:val="auto"/>
          <w:kern w:val="0"/>
          <w:sz w:val="24"/>
        </w:rPr>
        <w:t>4</w:t>
      </w:r>
      <w:r>
        <w:rPr>
          <w:rFonts w:hint="eastAsia" w:ascii="宋体" w:hAnsi="宋体" w:cs="宋体"/>
          <w:color w:val="auto"/>
          <w:kern w:val="0"/>
          <w:sz w:val="24"/>
          <w:lang w:val="zh-CN"/>
        </w:rPr>
        <w:t xml:space="preserve"> </w:t>
      </w:r>
      <w:r>
        <w:rPr>
          <w:rFonts w:hint="eastAsia" w:ascii="宋体" w:hAnsi="宋体" w:cs="宋体"/>
          <w:color w:val="auto"/>
          <w:sz w:val="24"/>
          <w:shd w:val="clear" w:color="auto" w:fill="FFFFFF"/>
        </w:rPr>
        <w:t>评标委员会应当按照招标文件中规定的评标方法和标准，对符合性审查合格的投标文件进行商务和技术评估，综合比较与评价。</w:t>
      </w:r>
    </w:p>
    <w:p w14:paraId="7216402F">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kern w:val="0"/>
          <w:sz w:val="24"/>
          <w:lang w:val="zh-CN"/>
        </w:rPr>
        <w:t>18.</w:t>
      </w:r>
      <w:r>
        <w:rPr>
          <w:rFonts w:hint="eastAsia" w:ascii="宋体" w:hAnsi="宋体" w:cs="宋体"/>
          <w:color w:val="auto"/>
          <w:kern w:val="0"/>
          <w:sz w:val="24"/>
        </w:rPr>
        <w:t xml:space="preserve">5 </w:t>
      </w:r>
      <w:r>
        <w:rPr>
          <w:rFonts w:hint="eastAsia" w:ascii="宋体" w:hAnsi="宋体" w:cs="宋体"/>
          <w:color w:val="auto"/>
          <w:sz w:val="24"/>
          <w:shd w:val="clear" w:color="auto" w:fill="FFFFFF"/>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97F1DA3">
      <w:pPr>
        <w:autoSpaceDE w:val="0"/>
        <w:autoSpaceDN w:val="0"/>
        <w:spacing w:line="360" w:lineRule="auto"/>
        <w:ind w:left="426"/>
        <w:rPr>
          <w:color w:val="auto"/>
        </w:rPr>
      </w:pPr>
      <w:r>
        <w:rPr>
          <w:rFonts w:hint="eastAsia" w:ascii="宋体" w:hAnsi="宋体" w:cs="宋体"/>
          <w:color w:val="auto"/>
          <w:sz w:val="24"/>
          <w:shd w:val="clear" w:color="auto" w:fill="FFFFFF"/>
        </w:rPr>
        <w:t>18.6</w:t>
      </w:r>
      <w:r>
        <w:rPr>
          <w:color w:val="auto"/>
          <w:sz w:val="24"/>
          <w:shd w:val="clear" w:color="auto" w:fill="FFFFFF"/>
        </w:rPr>
        <w:t>使用综合评分法的采购项目，提供相同品牌产品且通过资格审查、符合性审查的不同投</w:t>
      </w:r>
      <w:r>
        <w:rPr>
          <w:color w:val="auto"/>
          <w:sz w:val="24"/>
          <w:highlight w:val="none"/>
          <w:shd w:val="clear" w:color="auto" w:fill="FFFFFF"/>
        </w:rPr>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w:t>
      </w:r>
      <w:r>
        <w:rPr>
          <w:color w:val="auto"/>
          <w:sz w:val="24"/>
          <w:shd w:val="clear" w:color="auto" w:fill="FFFFFF"/>
        </w:rPr>
        <w:t>并在招标文件中载明。多家投标人提供的核心产品品牌相同的，按前款规定处理。</w:t>
      </w:r>
    </w:p>
    <w:p w14:paraId="09CD08F7">
      <w:pPr>
        <w:pStyle w:val="15"/>
        <w:spacing w:before="0" w:after="0" w:line="360" w:lineRule="auto"/>
        <w:jc w:val="left"/>
        <w:rPr>
          <w:rFonts w:hint="eastAsia" w:ascii="宋体" w:hAnsi="宋体" w:cs="宋体"/>
          <w:color w:val="auto"/>
          <w:sz w:val="28"/>
          <w:szCs w:val="28"/>
          <w:lang w:val="zh-CN"/>
        </w:rPr>
      </w:pPr>
      <w:bookmarkStart w:id="122" w:name="_Toc88234637"/>
      <w:bookmarkStart w:id="123" w:name="_Toc4834"/>
      <w:bookmarkStart w:id="124" w:name="_Toc5315"/>
      <w:r>
        <w:rPr>
          <w:rFonts w:ascii="宋体" w:hAnsi="宋体" w:cs="宋体"/>
          <w:color w:val="auto"/>
          <w:sz w:val="28"/>
          <w:szCs w:val="28"/>
          <w:lang w:val="zh-CN"/>
        </w:rPr>
        <w:t>1</w:t>
      </w:r>
      <w:r>
        <w:rPr>
          <w:rFonts w:hint="eastAsia" w:ascii="宋体" w:hAnsi="宋体" w:cs="宋体"/>
          <w:color w:val="auto"/>
          <w:sz w:val="28"/>
          <w:szCs w:val="28"/>
          <w:lang w:val="zh-CN"/>
        </w:rPr>
        <w:t>9.评审方法和标准</w:t>
      </w:r>
      <w:bookmarkEnd w:id="122"/>
      <w:bookmarkEnd w:id="123"/>
      <w:bookmarkEnd w:id="124"/>
    </w:p>
    <w:p w14:paraId="512760F8">
      <w:pPr>
        <w:autoSpaceDE w:val="0"/>
        <w:autoSpaceDN w:val="0"/>
        <w:spacing w:line="360" w:lineRule="auto"/>
        <w:ind w:firstLine="480" w:firstLineChars="200"/>
        <w:rPr>
          <w:rFonts w:hint="eastAsia" w:ascii="宋体" w:hAnsi="宋体" w:cs="宋体"/>
          <w:color w:val="auto"/>
          <w:kern w:val="0"/>
          <w:sz w:val="24"/>
          <w:lang w:val="zh-CN"/>
        </w:rPr>
      </w:pPr>
      <w:r>
        <w:rPr>
          <w:rFonts w:ascii="宋体" w:hAnsi="宋体" w:cs="宋体"/>
          <w:color w:val="auto"/>
          <w:kern w:val="0"/>
          <w:sz w:val="24"/>
          <w:lang w:val="zh-CN"/>
        </w:rPr>
        <w:t>1</w:t>
      </w:r>
      <w:r>
        <w:rPr>
          <w:rFonts w:hint="eastAsia" w:ascii="宋体" w:hAnsi="宋体" w:cs="宋体"/>
          <w:color w:val="auto"/>
          <w:kern w:val="0"/>
          <w:sz w:val="24"/>
          <w:lang w:val="zh-CN"/>
        </w:rPr>
        <w:t>9.1</w:t>
      </w:r>
      <w:r>
        <w:rPr>
          <w:rFonts w:hint="eastAsia" w:ascii="宋体" w:hAnsi="宋体" w:cs="宋体"/>
          <w:color w:val="auto"/>
          <w:kern w:val="0"/>
          <w:sz w:val="24"/>
        </w:rPr>
        <w:t xml:space="preserve"> </w:t>
      </w:r>
      <w:r>
        <w:rPr>
          <w:rFonts w:hint="eastAsia" w:ascii="宋体" w:hAnsi="宋体" w:cs="宋体"/>
          <w:color w:val="auto"/>
          <w:kern w:val="0"/>
          <w:sz w:val="24"/>
          <w:lang w:val="zh-CN"/>
        </w:rPr>
        <w:t>依照《中华人民共和国政府采购法》、《中华人民共和国政府采购法实施条例》、《政府采购货物和服务招投标管理办法》等法律法规的规定，结合该项目的特点制定本评审办法。</w:t>
      </w:r>
    </w:p>
    <w:p w14:paraId="21E50474">
      <w:pPr>
        <w:autoSpaceDE w:val="0"/>
        <w:autoSpaceDN w:val="0"/>
        <w:spacing w:line="360" w:lineRule="auto"/>
        <w:ind w:firstLine="480" w:firstLineChars="200"/>
        <w:rPr>
          <w:rFonts w:hint="eastAsia" w:ascii="宋体" w:hAnsi="宋体" w:cs="宋体"/>
          <w:color w:val="auto"/>
          <w:kern w:val="0"/>
          <w:u w:val="dashDotHeavy"/>
        </w:rPr>
      </w:pPr>
      <w:r>
        <w:rPr>
          <w:rFonts w:ascii="宋体" w:hAnsi="宋体" w:cs="宋体"/>
          <w:color w:val="auto"/>
          <w:kern w:val="0"/>
          <w:sz w:val="24"/>
          <w:lang w:val="zh-CN"/>
        </w:rPr>
        <w:t>1</w:t>
      </w:r>
      <w:r>
        <w:rPr>
          <w:rFonts w:hint="eastAsia" w:ascii="宋体" w:hAnsi="宋体" w:cs="宋体"/>
          <w:color w:val="auto"/>
          <w:kern w:val="0"/>
          <w:sz w:val="24"/>
          <w:lang w:val="zh-CN"/>
        </w:rPr>
        <w:t>9</w:t>
      </w:r>
      <w:r>
        <w:rPr>
          <w:rFonts w:ascii="宋体" w:hAnsi="宋体" w:cs="宋体"/>
          <w:color w:val="auto"/>
          <w:kern w:val="0"/>
          <w:sz w:val="24"/>
          <w:lang w:val="zh-CN"/>
        </w:rPr>
        <w:t>.</w:t>
      </w:r>
      <w:r>
        <w:rPr>
          <w:rFonts w:hint="eastAsia" w:ascii="宋体" w:hAnsi="宋体" w:cs="宋体"/>
          <w:color w:val="auto"/>
          <w:kern w:val="0"/>
          <w:sz w:val="24"/>
          <w:lang w:val="zh-CN"/>
        </w:rPr>
        <w:t>2</w:t>
      </w:r>
      <w:r>
        <w:rPr>
          <w:rFonts w:hint="eastAsia" w:ascii="宋体" w:hAnsi="宋体" w:cs="宋体"/>
          <w:color w:val="auto"/>
          <w:kern w:val="0"/>
          <w:sz w:val="24"/>
        </w:rPr>
        <w:t xml:space="preserve"> </w:t>
      </w:r>
      <w:r>
        <w:rPr>
          <w:rFonts w:hint="eastAsia" w:ascii="宋体" w:hAnsi="宋体" w:cs="宋体"/>
          <w:color w:val="auto"/>
          <w:kern w:val="0"/>
          <w:sz w:val="24"/>
          <w:lang w:val="zh-CN"/>
        </w:rPr>
        <w:t>本次评审方法采用综合评分法</w:t>
      </w:r>
      <w:r>
        <w:rPr>
          <w:rFonts w:hint="eastAsia" w:ascii="宋体" w:hAnsi="宋体" w:cs="宋体"/>
          <w:color w:val="auto"/>
          <w:kern w:val="0"/>
          <w:sz w:val="24"/>
        </w:rPr>
        <w:t>。</w:t>
      </w:r>
    </w:p>
    <w:p w14:paraId="2196902F">
      <w:pPr>
        <w:autoSpaceDE w:val="0"/>
        <w:autoSpaceDN w:val="0"/>
        <w:spacing w:line="360" w:lineRule="auto"/>
        <w:ind w:firstLine="482" w:firstLineChars="200"/>
        <w:rPr>
          <w:rFonts w:hint="eastAsia" w:ascii="宋体" w:hAnsi="宋体" w:cs="宋体"/>
          <w:color w:val="auto"/>
          <w:kern w:val="0"/>
          <w:sz w:val="24"/>
          <w:lang w:val="zh-CN"/>
        </w:rPr>
      </w:pPr>
      <w:r>
        <w:rPr>
          <w:rFonts w:hint="eastAsia" w:ascii="宋体" w:hAnsi="宋体" w:cs="宋体"/>
          <w:b/>
          <w:bCs/>
          <w:color w:val="auto"/>
          <w:kern w:val="0"/>
          <w:sz w:val="24"/>
        </w:rPr>
        <w:t>评审方法：采用</w:t>
      </w:r>
      <w:r>
        <w:rPr>
          <w:rFonts w:hint="eastAsia" w:ascii="宋体" w:hAnsi="宋体" w:cs="宋体"/>
          <w:b/>
          <w:bCs/>
          <w:color w:val="auto"/>
          <w:kern w:val="0"/>
          <w:sz w:val="24"/>
          <w:lang w:val="zh-CN"/>
        </w:rPr>
        <w:t>综合评分法</w:t>
      </w:r>
    </w:p>
    <w:p w14:paraId="05B134A8">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综合评分法，</w:t>
      </w:r>
      <w:r>
        <w:rPr>
          <w:rFonts w:hint="eastAsia" w:ascii="宋体" w:hAnsi="宋体" w:cs="宋体"/>
          <w:color w:val="auto"/>
          <w:sz w:val="24"/>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auto"/>
          <w:kern w:val="0"/>
          <w:sz w:val="24"/>
          <w:lang w:val="zh-CN"/>
        </w:rPr>
        <w:t>。</w:t>
      </w:r>
    </w:p>
    <w:p w14:paraId="3C2277B6">
      <w:pPr>
        <w:pStyle w:val="11"/>
        <w:spacing w:line="360" w:lineRule="auto"/>
        <w:ind w:firstLine="480" w:firstLineChars="200"/>
        <w:jc w:val="left"/>
        <w:rPr>
          <w:rFonts w:hint="eastAsia" w:hAnsi="宋体" w:cs="宋体"/>
          <w:color w:val="auto"/>
          <w:shd w:val="clear" w:color="auto" w:fill="FFFFFF"/>
        </w:rPr>
      </w:pPr>
      <w:r>
        <w:rPr>
          <w:rFonts w:hint="eastAsia" w:hAnsi="宋体" w:cs="宋体"/>
          <w:color w:val="auto"/>
          <w:sz w:val="24"/>
          <w:shd w:val="clear" w:color="auto" w:fill="FFFFFF"/>
        </w:rPr>
        <w:t>评审因素的设定应当与投标人所提供服务的质量相关，包括投标报价、</w:t>
      </w:r>
      <w:r>
        <w:rPr>
          <w:rFonts w:hint="eastAsia" w:hAnsi="宋体" w:cs="宋体"/>
          <w:color w:val="auto"/>
          <w:sz w:val="24"/>
          <w:lang w:val="zh-CN"/>
        </w:rPr>
        <w:t>技术水平</w:t>
      </w:r>
      <w:r>
        <w:rPr>
          <w:rFonts w:hint="eastAsia" w:hAnsi="宋体" w:cs="宋体"/>
          <w:color w:val="auto"/>
          <w:sz w:val="24"/>
          <w:shd w:val="clear" w:color="auto" w:fill="FFFFFF"/>
        </w:rPr>
        <w:t>、</w:t>
      </w:r>
      <w:r>
        <w:rPr>
          <w:rFonts w:hint="eastAsia" w:ascii="宋体" w:cs="宋体"/>
          <w:color w:val="auto"/>
          <w:sz w:val="24"/>
          <w:highlight w:val="none"/>
          <w:lang w:val="zh-CN"/>
        </w:rPr>
        <w:t>商务评价</w:t>
      </w:r>
      <w:r>
        <w:rPr>
          <w:rFonts w:hint="eastAsia" w:hAnsi="宋体" w:cs="宋体"/>
          <w:color w:val="auto"/>
          <w:sz w:val="24"/>
          <w:lang w:val="zh-CN"/>
        </w:rPr>
        <w:t>、</w:t>
      </w:r>
      <w:r>
        <w:rPr>
          <w:rFonts w:hint="eastAsia" w:hAnsi="宋体" w:cs="宋体"/>
          <w:color w:val="auto"/>
          <w:sz w:val="24"/>
        </w:rPr>
        <w:t>售后服务等。</w:t>
      </w:r>
      <w:r>
        <w:rPr>
          <w:color w:val="auto"/>
          <w:sz w:val="24"/>
          <w:highlight w:val="none"/>
          <w:shd w:val="clear" w:color="auto" w:fill="FFFFFF"/>
        </w:rPr>
        <w:t>资格条件不得作为评审因素。</w:t>
      </w:r>
    </w:p>
    <w:p w14:paraId="4EEA83C9">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评审因素应当细化和量化，且与相应的商务条件和采购需求对应。商务条件和采购需求指标有区间规定的，评审因素应当量化到相应区间，并设置各区间对应的不同分值。</w:t>
      </w:r>
    </w:p>
    <w:p w14:paraId="7EADEF6F">
      <w:pPr>
        <w:spacing w:line="360" w:lineRule="auto"/>
        <w:rPr>
          <w:rFonts w:hint="default" w:eastAsia="宋体"/>
          <w:color w:val="auto"/>
          <w:sz w:val="24"/>
          <w:szCs w:val="28"/>
          <w:highlight w:val="yellow"/>
          <w:lang w:val="en-US" w:eastAsia="zh-CN"/>
        </w:rPr>
      </w:pPr>
      <w:r>
        <w:rPr>
          <w:rFonts w:hint="eastAsia" w:ascii="宋体" w:hAnsi="宋体" w:cs="宋体"/>
          <w:color w:val="auto"/>
          <w:sz w:val="24"/>
          <w:szCs w:val="28"/>
        </w:rPr>
        <w:t>具体项目及评分细则：</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567"/>
        <w:gridCol w:w="721"/>
        <w:gridCol w:w="5888"/>
      </w:tblGrid>
      <w:tr w14:paraId="5416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3" w:type="pct"/>
            <w:gridSpan w:val="2"/>
            <w:shd w:val="clear" w:color="000000" w:fill="FFFFFF"/>
            <w:noWrap w:val="0"/>
            <w:vAlign w:val="center"/>
          </w:tcPr>
          <w:p w14:paraId="5449E5B5">
            <w:pPr>
              <w:autoSpaceDE w:val="0"/>
              <w:autoSpaceDN w:val="0"/>
              <w:snapToGrid w:val="0"/>
              <w:spacing w:line="360" w:lineRule="auto"/>
              <w:jc w:val="center"/>
              <w:rPr>
                <w:rFonts w:ascii="宋体" w:hAnsi="宋体" w:cs="宋体"/>
                <w:color w:val="auto"/>
                <w:sz w:val="24"/>
                <w:lang w:val="zh-CN"/>
              </w:rPr>
            </w:pPr>
            <w:r>
              <w:rPr>
                <w:rFonts w:hint="eastAsia" w:ascii="宋体" w:hAnsi="宋体" w:cs="宋体"/>
                <w:color w:val="auto"/>
                <w:sz w:val="24"/>
              </w:rPr>
              <w:t>评审因素</w:t>
            </w:r>
          </w:p>
        </w:tc>
        <w:tc>
          <w:tcPr>
            <w:tcW w:w="390" w:type="pct"/>
            <w:shd w:val="clear" w:color="000000" w:fill="FFFFFF"/>
            <w:noWrap w:val="0"/>
            <w:vAlign w:val="center"/>
          </w:tcPr>
          <w:p w14:paraId="75A50DCB">
            <w:pPr>
              <w:autoSpaceDE w:val="0"/>
              <w:autoSpaceDN w:val="0"/>
              <w:snapToGrid w:val="0"/>
              <w:spacing w:line="360" w:lineRule="auto"/>
              <w:jc w:val="center"/>
              <w:rPr>
                <w:rFonts w:ascii="宋体" w:hAnsi="宋体" w:cs="宋体"/>
                <w:color w:val="auto"/>
                <w:sz w:val="24"/>
              </w:rPr>
            </w:pPr>
            <w:r>
              <w:rPr>
                <w:rFonts w:hint="eastAsia" w:ascii="宋体" w:hAnsi="宋体" w:cs="宋体"/>
                <w:color w:val="auto"/>
                <w:sz w:val="24"/>
              </w:rPr>
              <w:t>评审分数</w:t>
            </w:r>
          </w:p>
        </w:tc>
        <w:tc>
          <w:tcPr>
            <w:tcW w:w="3185" w:type="pct"/>
            <w:shd w:val="clear" w:color="000000" w:fill="FFFFFF"/>
            <w:noWrap w:val="0"/>
            <w:vAlign w:val="center"/>
          </w:tcPr>
          <w:p w14:paraId="6A70F2D6">
            <w:pPr>
              <w:autoSpaceDE w:val="0"/>
              <w:autoSpaceDN w:val="0"/>
              <w:snapToGrid w:val="0"/>
              <w:spacing w:line="360" w:lineRule="auto"/>
              <w:jc w:val="center"/>
              <w:rPr>
                <w:rFonts w:ascii="宋体" w:hAnsi="宋体" w:cs="宋体"/>
                <w:color w:val="auto"/>
                <w:sz w:val="24"/>
              </w:rPr>
            </w:pPr>
            <w:r>
              <w:rPr>
                <w:rFonts w:hint="eastAsia" w:ascii="宋体" w:hAnsi="宋体" w:cs="宋体"/>
                <w:color w:val="auto"/>
                <w:sz w:val="24"/>
              </w:rPr>
              <w:t>评审标准</w:t>
            </w:r>
          </w:p>
        </w:tc>
      </w:tr>
      <w:tr w14:paraId="56C4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75" w:type="pct"/>
            <w:shd w:val="clear" w:color="000000" w:fill="FFFFFF"/>
            <w:noWrap w:val="0"/>
            <w:vAlign w:val="center"/>
          </w:tcPr>
          <w:p w14:paraId="7A80D556">
            <w:pPr>
              <w:autoSpaceDE w:val="0"/>
              <w:autoSpaceDN w:val="0"/>
              <w:snapToGrid w:val="0"/>
              <w:spacing w:line="336" w:lineRule="auto"/>
              <w:jc w:val="center"/>
              <w:rPr>
                <w:rFonts w:ascii="宋体" w:hAnsi="宋体" w:cs="宋体"/>
                <w:color w:val="auto"/>
                <w:sz w:val="24"/>
              </w:rPr>
            </w:pPr>
            <w:r>
              <w:rPr>
                <w:rFonts w:hint="eastAsia" w:ascii="宋体" w:hAnsi="宋体" w:cs="宋体"/>
                <w:color w:val="auto"/>
                <w:sz w:val="24"/>
              </w:rPr>
              <w:t>投标报价</w:t>
            </w:r>
          </w:p>
        </w:tc>
        <w:tc>
          <w:tcPr>
            <w:tcW w:w="847" w:type="pct"/>
            <w:shd w:val="clear" w:color="000000" w:fill="FFFFFF"/>
            <w:noWrap w:val="0"/>
            <w:vAlign w:val="center"/>
          </w:tcPr>
          <w:p w14:paraId="6AF70836">
            <w:pPr>
              <w:autoSpaceDE w:val="0"/>
              <w:autoSpaceDN w:val="0"/>
              <w:snapToGrid w:val="0"/>
              <w:spacing w:line="336" w:lineRule="auto"/>
              <w:jc w:val="center"/>
              <w:rPr>
                <w:rFonts w:ascii="宋体" w:hAnsi="宋体" w:cs="宋体"/>
                <w:color w:val="auto"/>
                <w:sz w:val="24"/>
                <w:lang w:val="zh-CN"/>
              </w:rPr>
            </w:pPr>
            <w:r>
              <w:rPr>
                <w:rFonts w:hint="eastAsia" w:ascii="宋体" w:hAnsi="宋体" w:cs="宋体"/>
                <w:color w:val="auto"/>
                <w:sz w:val="24"/>
                <w:lang w:val="zh-CN"/>
              </w:rPr>
              <w:t>报价分</w:t>
            </w:r>
          </w:p>
        </w:tc>
        <w:tc>
          <w:tcPr>
            <w:tcW w:w="390" w:type="pct"/>
            <w:shd w:val="clear" w:color="000000" w:fill="FFFFFF"/>
            <w:noWrap w:val="0"/>
            <w:vAlign w:val="center"/>
          </w:tcPr>
          <w:p w14:paraId="40D76156">
            <w:pPr>
              <w:autoSpaceDE w:val="0"/>
              <w:autoSpaceDN w:val="0"/>
              <w:snapToGrid w:val="0"/>
              <w:spacing w:line="336" w:lineRule="auto"/>
              <w:jc w:val="center"/>
              <w:rPr>
                <w:rFonts w:ascii="宋体" w:hAnsi="宋体" w:cs="宋体"/>
                <w:color w:val="auto"/>
                <w:sz w:val="24"/>
              </w:rPr>
            </w:pPr>
            <w:r>
              <w:rPr>
                <w:rFonts w:hint="eastAsia" w:ascii="宋体" w:hAnsi="宋体" w:cs="宋体"/>
                <w:color w:val="auto"/>
                <w:sz w:val="24"/>
              </w:rPr>
              <w:t>30</w:t>
            </w:r>
          </w:p>
        </w:tc>
        <w:tc>
          <w:tcPr>
            <w:tcW w:w="3185" w:type="pct"/>
            <w:shd w:val="clear" w:color="000000" w:fill="FFFFFF"/>
            <w:noWrap w:val="0"/>
            <w:vAlign w:val="center"/>
          </w:tcPr>
          <w:p w14:paraId="0676C611">
            <w:pPr>
              <w:autoSpaceDE w:val="0"/>
              <w:autoSpaceDN w:val="0"/>
              <w:snapToGrid w:val="0"/>
              <w:spacing w:line="336" w:lineRule="auto"/>
              <w:rPr>
                <w:rFonts w:ascii="宋体" w:hAnsi="宋体" w:cs="宋体"/>
                <w:color w:val="auto"/>
                <w:sz w:val="24"/>
              </w:rPr>
            </w:pPr>
            <w:r>
              <w:rPr>
                <w:rFonts w:hint="eastAsia" w:ascii="宋体" w:hAnsi="宋体" w:cs="宋体"/>
                <w:color w:val="auto"/>
                <w:sz w:val="24"/>
              </w:rPr>
              <w:t>在所有的有效投标报价中，以最低投标报价为基准价，其价格分为满分。其他投标人的报价分统一按下列公式计算：投标报价得分=(评标基准价／投标报价)×价格权值（30%）×100（四舍五入后保留小数点后两位）。</w:t>
            </w:r>
          </w:p>
          <w:p w14:paraId="0841B474">
            <w:pPr>
              <w:autoSpaceDE w:val="0"/>
              <w:autoSpaceDN w:val="0"/>
              <w:snapToGrid w:val="0"/>
              <w:spacing w:line="360" w:lineRule="auto"/>
              <w:rPr>
                <w:rFonts w:ascii="宋体" w:cs="宋体"/>
                <w:color w:val="auto"/>
                <w:sz w:val="24"/>
              </w:rPr>
            </w:pPr>
            <w:r>
              <w:rPr>
                <w:rFonts w:hint="eastAsia" w:ascii="宋体" w:cs="宋体"/>
                <w:color w:val="auto"/>
                <w:sz w:val="24"/>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17C4129A">
            <w:pPr>
              <w:pStyle w:val="12"/>
              <w:spacing w:line="360" w:lineRule="auto"/>
              <w:rPr>
                <w:rFonts w:ascii="宋体" w:hAnsi="宋体"/>
                <w:color w:val="auto"/>
                <w:sz w:val="24"/>
                <w:szCs w:val="24"/>
              </w:rPr>
            </w:pPr>
            <w:r>
              <w:rPr>
                <w:rFonts w:hint="eastAsia" w:ascii="宋体" w:cs="宋体"/>
                <w:color w:val="auto"/>
                <w:sz w:val="24"/>
              </w:rPr>
              <w:t>2、监狱企业、残疾人福利性单位属于小型、微型企业的，不重复享受政策。</w:t>
            </w:r>
          </w:p>
        </w:tc>
      </w:tr>
      <w:tr w14:paraId="41CC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75" w:type="pct"/>
            <w:vMerge w:val="restart"/>
            <w:shd w:val="clear" w:color="000000" w:fill="FFFFFF"/>
            <w:noWrap w:val="0"/>
            <w:vAlign w:val="center"/>
          </w:tcPr>
          <w:p w14:paraId="29968760">
            <w:pPr>
              <w:autoSpaceDE w:val="0"/>
              <w:autoSpaceDN w:val="0"/>
              <w:snapToGrid w:val="0"/>
              <w:spacing w:line="336" w:lineRule="auto"/>
              <w:jc w:val="center"/>
              <w:rPr>
                <w:rFonts w:hint="eastAsia" w:ascii="宋体" w:hAnsi="宋体" w:cs="宋体"/>
                <w:color w:val="auto"/>
                <w:sz w:val="24"/>
                <w:lang w:val="zh-CN"/>
              </w:rPr>
            </w:pPr>
            <w:r>
              <w:rPr>
                <w:rFonts w:hint="eastAsia" w:ascii="宋体" w:hAnsi="宋体" w:cs="宋体"/>
                <w:color w:val="auto"/>
                <w:sz w:val="24"/>
                <w:lang w:val="zh-CN"/>
              </w:rPr>
              <w:t>技术</w:t>
            </w:r>
          </w:p>
          <w:p w14:paraId="0045C198">
            <w:pPr>
              <w:autoSpaceDE w:val="0"/>
              <w:autoSpaceDN w:val="0"/>
              <w:snapToGrid w:val="0"/>
              <w:spacing w:line="336" w:lineRule="auto"/>
              <w:jc w:val="center"/>
              <w:rPr>
                <w:rFonts w:ascii="宋体" w:hAnsi="宋体" w:cs="宋体"/>
                <w:color w:val="auto"/>
                <w:sz w:val="24"/>
                <w:lang w:val="zh-CN"/>
              </w:rPr>
            </w:pPr>
            <w:r>
              <w:rPr>
                <w:rFonts w:hint="eastAsia" w:ascii="宋体" w:hAnsi="宋体" w:cs="宋体"/>
                <w:color w:val="auto"/>
                <w:sz w:val="24"/>
                <w:lang w:val="zh-CN"/>
              </w:rPr>
              <w:t>水平</w:t>
            </w:r>
          </w:p>
        </w:tc>
        <w:tc>
          <w:tcPr>
            <w:tcW w:w="847" w:type="pct"/>
            <w:shd w:val="clear" w:color="000000" w:fill="FFFFFF"/>
            <w:noWrap w:val="0"/>
            <w:vAlign w:val="center"/>
          </w:tcPr>
          <w:p w14:paraId="4E8C0C82">
            <w:pPr>
              <w:autoSpaceDE w:val="0"/>
              <w:autoSpaceDN w:val="0"/>
              <w:snapToGrid w:val="0"/>
              <w:spacing w:line="336" w:lineRule="auto"/>
              <w:jc w:val="center"/>
              <w:rPr>
                <w:rFonts w:ascii="宋体" w:hAnsi="宋体" w:cs="宋体"/>
                <w:color w:val="auto"/>
                <w:sz w:val="24"/>
              </w:rPr>
            </w:pPr>
            <w:r>
              <w:rPr>
                <w:rFonts w:hint="eastAsia" w:ascii="宋体" w:hAnsi="宋体" w:cs="宋体"/>
                <w:color w:val="auto"/>
                <w:sz w:val="24"/>
              </w:rPr>
              <w:t>技术参数</w:t>
            </w:r>
          </w:p>
        </w:tc>
        <w:tc>
          <w:tcPr>
            <w:tcW w:w="390" w:type="pct"/>
            <w:shd w:val="clear" w:color="000000" w:fill="FFFFFF"/>
            <w:noWrap w:val="0"/>
            <w:vAlign w:val="center"/>
          </w:tcPr>
          <w:p w14:paraId="7D6421C1">
            <w:pPr>
              <w:autoSpaceDE w:val="0"/>
              <w:autoSpaceDN w:val="0"/>
              <w:snapToGrid w:val="0"/>
              <w:spacing w:line="336"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26</w:t>
            </w:r>
          </w:p>
        </w:tc>
        <w:tc>
          <w:tcPr>
            <w:tcW w:w="3185" w:type="pct"/>
            <w:shd w:val="clear" w:color="000000" w:fill="FFFFFF"/>
            <w:noWrap w:val="0"/>
            <w:vAlign w:val="center"/>
          </w:tcPr>
          <w:p w14:paraId="347F9372">
            <w:pPr>
              <w:autoSpaceDE w:val="0"/>
              <w:autoSpaceDN w:val="0"/>
              <w:snapToGrid w:val="0"/>
              <w:spacing w:line="360" w:lineRule="auto"/>
              <w:rPr>
                <w:rFonts w:ascii="宋体" w:cs="宋体"/>
                <w:color w:val="auto"/>
                <w:sz w:val="24"/>
              </w:rPr>
            </w:pPr>
            <w:r>
              <w:rPr>
                <w:rFonts w:hint="eastAsia" w:ascii="宋体" w:cs="宋体"/>
                <w:color w:val="auto"/>
                <w:sz w:val="24"/>
              </w:rPr>
              <w:t>投标产品技术参数和配置完全满足或高于招 标文件要求的，得</w:t>
            </w:r>
            <w:r>
              <w:rPr>
                <w:rFonts w:hint="eastAsia" w:ascii="宋体" w:cs="宋体"/>
                <w:color w:val="auto"/>
                <w:sz w:val="24"/>
                <w:lang w:val="en-US" w:eastAsia="zh-CN"/>
              </w:rPr>
              <w:t>26</w:t>
            </w:r>
            <w:r>
              <w:rPr>
                <w:rFonts w:hint="eastAsia" w:ascii="宋体" w:cs="宋体"/>
                <w:color w:val="auto"/>
                <w:sz w:val="24"/>
              </w:rPr>
              <w:t>分；</w:t>
            </w:r>
            <w:commentRangeStart w:id="4"/>
            <w:r>
              <w:rPr>
                <w:rFonts w:hint="eastAsia" w:ascii="宋体" w:cs="宋体"/>
                <w:color w:val="auto"/>
                <w:sz w:val="24"/>
              </w:rPr>
              <w:t xml:space="preserve">每有一项负偏离扣 </w:t>
            </w:r>
            <w:r>
              <w:rPr>
                <w:rFonts w:hint="eastAsia" w:ascii="宋体" w:cs="宋体"/>
                <w:color w:val="auto"/>
                <w:sz w:val="24"/>
                <w:lang w:val="en-US" w:eastAsia="zh-CN"/>
              </w:rPr>
              <w:t>2</w:t>
            </w:r>
            <w:r>
              <w:rPr>
                <w:rFonts w:hint="eastAsia" w:ascii="宋体" w:cs="宋体"/>
                <w:color w:val="auto"/>
                <w:sz w:val="24"/>
              </w:rPr>
              <w:t xml:space="preserve"> 分</w:t>
            </w:r>
            <w:commentRangeEnd w:id="4"/>
            <w:r>
              <w:commentReference w:id="4"/>
            </w:r>
            <w:r>
              <w:rPr>
                <w:rFonts w:hint="eastAsia" w:ascii="宋体" w:cs="宋体"/>
                <w:color w:val="auto"/>
                <w:sz w:val="24"/>
              </w:rPr>
              <w:t>，扣完该项 得分为止。（此项评分以生产厂商出具的投标产品的证明文 件或产品彩页和国家认可质检机构出具的投标产品的产品检 验报告(测试报告)等为准。）</w:t>
            </w:r>
          </w:p>
        </w:tc>
      </w:tr>
      <w:tr w14:paraId="0C95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575" w:type="pct"/>
            <w:vMerge w:val="continue"/>
            <w:shd w:val="clear" w:color="000000" w:fill="FFFFFF"/>
            <w:noWrap w:val="0"/>
            <w:vAlign w:val="center"/>
          </w:tcPr>
          <w:p w14:paraId="116C9574">
            <w:pPr>
              <w:autoSpaceDE w:val="0"/>
              <w:autoSpaceDN w:val="0"/>
              <w:snapToGrid w:val="0"/>
              <w:spacing w:line="336" w:lineRule="auto"/>
              <w:jc w:val="center"/>
              <w:rPr>
                <w:rFonts w:ascii="宋体" w:hAnsi="宋体" w:cs="宋体"/>
                <w:color w:val="auto"/>
                <w:sz w:val="24"/>
                <w:lang w:val="zh-CN"/>
              </w:rPr>
            </w:pPr>
          </w:p>
        </w:tc>
        <w:tc>
          <w:tcPr>
            <w:tcW w:w="847" w:type="pct"/>
            <w:shd w:val="clear" w:color="000000" w:fill="FFFFFF"/>
            <w:noWrap w:val="0"/>
            <w:vAlign w:val="center"/>
          </w:tcPr>
          <w:p w14:paraId="3C000EDF">
            <w:pPr>
              <w:autoSpaceDE w:val="0"/>
              <w:autoSpaceDN w:val="0"/>
              <w:snapToGrid w:val="0"/>
              <w:spacing w:line="336" w:lineRule="auto"/>
              <w:jc w:val="center"/>
              <w:rPr>
                <w:rFonts w:ascii="宋体" w:hAnsi="宋体" w:cs="宋体"/>
                <w:color w:val="auto"/>
                <w:sz w:val="24"/>
              </w:rPr>
            </w:pPr>
            <w:r>
              <w:rPr>
                <w:rFonts w:ascii="宋体" w:hAnsi="宋体" w:cs="宋体"/>
                <w:color w:val="auto"/>
                <w:sz w:val="24"/>
              </w:rPr>
              <w:t>环保和节能</w:t>
            </w:r>
          </w:p>
        </w:tc>
        <w:tc>
          <w:tcPr>
            <w:tcW w:w="390" w:type="pct"/>
            <w:shd w:val="clear" w:color="000000" w:fill="FFFFFF"/>
            <w:noWrap w:val="0"/>
            <w:vAlign w:val="center"/>
          </w:tcPr>
          <w:p w14:paraId="3A2B0BB5">
            <w:pPr>
              <w:autoSpaceDE w:val="0"/>
              <w:autoSpaceDN w:val="0"/>
              <w:snapToGrid w:val="0"/>
              <w:spacing w:line="336"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3185" w:type="pct"/>
            <w:shd w:val="clear" w:color="000000" w:fill="FFFFFF"/>
            <w:noWrap w:val="0"/>
            <w:vAlign w:val="center"/>
          </w:tcPr>
          <w:p w14:paraId="11A9FB74">
            <w:pPr>
              <w:autoSpaceDE w:val="0"/>
              <w:autoSpaceDN w:val="0"/>
              <w:snapToGrid w:val="0"/>
              <w:spacing w:line="360" w:lineRule="auto"/>
              <w:rPr>
                <w:rFonts w:ascii="宋体" w:cs="宋体"/>
                <w:color w:val="auto"/>
                <w:sz w:val="24"/>
              </w:rPr>
            </w:pPr>
            <w:r>
              <w:rPr>
                <w:rFonts w:hint="eastAsia" w:ascii="宋体" w:cs="宋体"/>
                <w:color w:val="auto"/>
                <w:sz w:val="24"/>
              </w:rPr>
              <w:t>所投产品为节能产品的，得</w:t>
            </w:r>
            <w:r>
              <w:rPr>
                <w:rFonts w:hint="eastAsia" w:ascii="宋体" w:cs="宋体"/>
                <w:color w:val="auto"/>
                <w:sz w:val="24"/>
                <w:lang w:val="en-US" w:eastAsia="zh-CN"/>
              </w:rPr>
              <w:t>1</w:t>
            </w:r>
            <w:r>
              <w:rPr>
                <w:rFonts w:hint="eastAsia" w:ascii="宋体" w:cs="宋体"/>
                <w:color w:val="auto"/>
                <w:sz w:val="24"/>
              </w:rPr>
              <w:t>分，该项得分的认定以《国家节能产品认证证书》的复印件；所投产品 为环保产品的，得</w:t>
            </w:r>
            <w:r>
              <w:rPr>
                <w:rFonts w:hint="eastAsia" w:ascii="宋体" w:cs="宋体"/>
                <w:color w:val="auto"/>
                <w:sz w:val="24"/>
                <w:lang w:val="en-US" w:eastAsia="zh-CN"/>
              </w:rPr>
              <w:t>1</w:t>
            </w:r>
            <w:r>
              <w:rPr>
                <w:rFonts w:hint="eastAsia" w:ascii="宋体" w:cs="宋体"/>
                <w:color w:val="auto"/>
                <w:sz w:val="24"/>
              </w:rPr>
              <w:t>分，该项得分的认定以《中国环境标志 产品认证证书》的复印件；未提供不得分。</w:t>
            </w:r>
          </w:p>
        </w:tc>
      </w:tr>
      <w:tr w14:paraId="4D90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75" w:type="pct"/>
            <w:vMerge w:val="continue"/>
            <w:shd w:val="clear" w:color="000000" w:fill="FFFFFF"/>
            <w:noWrap w:val="0"/>
            <w:vAlign w:val="center"/>
          </w:tcPr>
          <w:p w14:paraId="5BE48279">
            <w:pPr>
              <w:autoSpaceDE w:val="0"/>
              <w:autoSpaceDN w:val="0"/>
              <w:snapToGrid w:val="0"/>
              <w:spacing w:line="336" w:lineRule="auto"/>
              <w:jc w:val="center"/>
              <w:rPr>
                <w:rFonts w:ascii="宋体" w:hAnsi="宋体" w:cs="宋体"/>
                <w:color w:val="auto"/>
                <w:sz w:val="24"/>
                <w:lang w:val="zh-CN"/>
              </w:rPr>
            </w:pPr>
          </w:p>
        </w:tc>
        <w:tc>
          <w:tcPr>
            <w:tcW w:w="847" w:type="pct"/>
            <w:shd w:val="clear" w:color="000000" w:fill="FFFFFF"/>
            <w:noWrap w:val="0"/>
            <w:vAlign w:val="center"/>
          </w:tcPr>
          <w:p w14:paraId="14C0BE5B">
            <w:pPr>
              <w:spacing w:line="336" w:lineRule="auto"/>
              <w:jc w:val="center"/>
              <w:rPr>
                <w:rFonts w:ascii="宋体" w:hAnsi="宋体" w:cs="宋体"/>
                <w:color w:val="auto"/>
                <w:sz w:val="24"/>
              </w:rPr>
            </w:pPr>
            <w:r>
              <w:rPr>
                <w:rFonts w:hint="eastAsia" w:ascii="宋体" w:hAnsi="宋体" w:cs="宋体"/>
                <w:color w:val="auto"/>
                <w:sz w:val="24"/>
              </w:rPr>
              <w:t>项目管理及实施方案</w:t>
            </w:r>
          </w:p>
        </w:tc>
        <w:tc>
          <w:tcPr>
            <w:tcW w:w="390" w:type="pct"/>
            <w:shd w:val="clear" w:color="000000" w:fill="FFFFFF"/>
            <w:noWrap w:val="0"/>
            <w:vAlign w:val="center"/>
          </w:tcPr>
          <w:p w14:paraId="09234F56">
            <w:pPr>
              <w:spacing w:line="336"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24</w:t>
            </w:r>
          </w:p>
        </w:tc>
        <w:tc>
          <w:tcPr>
            <w:tcW w:w="3185" w:type="pct"/>
            <w:shd w:val="clear" w:color="000000" w:fill="FFFFFF"/>
            <w:noWrap w:val="0"/>
            <w:vAlign w:val="center"/>
          </w:tcPr>
          <w:p w14:paraId="69368C08">
            <w:pPr>
              <w:autoSpaceDE w:val="0"/>
              <w:autoSpaceDN w:val="0"/>
              <w:snapToGrid w:val="0"/>
              <w:spacing w:line="360" w:lineRule="auto"/>
              <w:rPr>
                <w:rFonts w:hint="eastAsia" w:ascii="宋体" w:cs="宋体"/>
                <w:color w:val="auto"/>
                <w:sz w:val="24"/>
                <w:lang w:val="zh-CN" w:eastAsia="zh-CN"/>
              </w:rPr>
            </w:pPr>
            <w:r>
              <w:rPr>
                <w:rFonts w:hint="eastAsia" w:ascii="宋体" w:cs="宋体"/>
                <w:color w:val="auto"/>
                <w:sz w:val="24"/>
                <w:lang w:val="en-US" w:eastAsia="zh-CN"/>
              </w:rPr>
              <w:t>1、</w:t>
            </w:r>
            <w:r>
              <w:rPr>
                <w:rFonts w:hint="eastAsia" w:ascii="宋体" w:cs="宋体"/>
                <w:color w:val="auto"/>
                <w:sz w:val="24"/>
              </w:rPr>
              <w:t>项目管理及实施方案：</w:t>
            </w:r>
            <w:r>
              <w:rPr>
                <w:rFonts w:hint="eastAsia" w:ascii="宋体" w:cs="宋体"/>
                <w:color w:val="auto"/>
                <w:sz w:val="24"/>
                <w:lang w:val="en-US" w:eastAsia="zh-CN"/>
              </w:rPr>
              <w:t>针对本项目制定切实可行的实施方案，内容包括但不限于：①项目管理机构的设置 ②服务团队③岗位责任制度 ④培训制度 以上因素每实质性响应一项得3分，</w:t>
            </w:r>
            <w:r>
              <w:rPr>
                <w:rFonts w:hint="eastAsia" w:ascii="宋体" w:cs="宋体"/>
                <w:color w:val="auto"/>
                <w:sz w:val="24"/>
                <w:lang w:val="zh-CN" w:eastAsia="zh-CN"/>
              </w:rPr>
              <w:t>每有一项内容存在缺陷、表述不清楚、针对性不强、逻辑不清晰的</w:t>
            </w:r>
            <w:r>
              <w:rPr>
                <w:rFonts w:hint="eastAsia" w:ascii="宋体" w:cs="宋体"/>
                <w:color w:val="auto"/>
                <w:sz w:val="24"/>
                <w:lang w:val="en-US" w:eastAsia="zh-CN"/>
              </w:rPr>
              <w:t>扣2分，满分12分；</w:t>
            </w:r>
            <w:r>
              <w:rPr>
                <w:rFonts w:hint="eastAsia" w:ascii="宋体" w:cs="宋体"/>
                <w:color w:val="auto"/>
                <w:sz w:val="24"/>
                <w:lang w:val="zh-CN" w:eastAsia="zh-CN"/>
              </w:rPr>
              <w:t>未提供不得分。</w:t>
            </w:r>
          </w:p>
          <w:p w14:paraId="0F66DEAD">
            <w:pPr>
              <w:autoSpaceDE w:val="0"/>
              <w:autoSpaceDN w:val="0"/>
              <w:snapToGrid w:val="0"/>
              <w:spacing w:line="360" w:lineRule="auto"/>
              <w:rPr>
                <w:rFonts w:ascii="宋体" w:cs="宋体"/>
                <w:color w:val="auto"/>
                <w:sz w:val="24"/>
              </w:rPr>
            </w:pPr>
            <w:r>
              <w:rPr>
                <w:rFonts w:hint="eastAsia" w:ascii="宋体" w:cs="宋体"/>
                <w:color w:val="auto"/>
                <w:sz w:val="24"/>
                <w:lang w:val="en-US" w:eastAsia="zh-CN"/>
              </w:rPr>
              <w:t>2、质量保证措施：</w:t>
            </w:r>
            <w:r>
              <w:rPr>
                <w:rFonts w:hint="eastAsia" w:ascii="宋体" w:cs="宋体"/>
                <w:color w:val="auto"/>
                <w:sz w:val="24"/>
                <w:lang w:val="en-US" w:eastAsia="zh-CN"/>
              </w:rPr>
              <w:t>质量标准符合招标文件要求，明确质量目标，项目整体实施有完整的质量保证体系内容包含但不限于 ①服务质量管理制度 ②进度质量保证措施 ③产品质量保证措施度④协调组织措施等。以上因素每实质性响应一项得3分，</w:t>
            </w:r>
            <w:r>
              <w:rPr>
                <w:rFonts w:hint="eastAsia" w:ascii="宋体" w:cs="宋体"/>
                <w:color w:val="auto"/>
                <w:sz w:val="24"/>
                <w:lang w:val="zh-CN" w:eastAsia="zh-CN"/>
              </w:rPr>
              <w:t>每有一项内容存在缺陷、表述不清楚、针对性不强、逻辑不清晰的</w:t>
            </w:r>
            <w:r>
              <w:rPr>
                <w:rFonts w:hint="eastAsia" w:ascii="宋体" w:cs="宋体"/>
                <w:color w:val="auto"/>
                <w:sz w:val="24"/>
                <w:lang w:val="en-US" w:eastAsia="zh-CN"/>
              </w:rPr>
              <w:t>扣2分，满分12分</w:t>
            </w:r>
            <w:r>
              <w:rPr>
                <w:rFonts w:hint="eastAsia" w:ascii="宋体" w:cs="宋体"/>
                <w:color w:val="auto"/>
                <w:sz w:val="24"/>
                <w:lang w:val="zh-CN" w:eastAsia="zh-CN"/>
              </w:rPr>
              <w:t>；未提供不得分。</w:t>
            </w:r>
          </w:p>
        </w:tc>
      </w:tr>
      <w:tr w14:paraId="387A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575" w:type="pct"/>
            <w:shd w:val="clear" w:color="000000" w:fill="FFFFFF"/>
            <w:noWrap w:val="0"/>
            <w:vAlign w:val="center"/>
          </w:tcPr>
          <w:p w14:paraId="14B340C5">
            <w:pPr>
              <w:autoSpaceDE w:val="0"/>
              <w:autoSpaceDN w:val="0"/>
              <w:snapToGrid w:val="0"/>
              <w:spacing w:line="336" w:lineRule="auto"/>
              <w:jc w:val="center"/>
              <w:rPr>
                <w:rFonts w:hint="eastAsia" w:ascii="宋体" w:hAnsi="宋体" w:cs="宋体"/>
                <w:color w:val="auto"/>
                <w:sz w:val="24"/>
                <w:lang w:val="zh-CN"/>
              </w:rPr>
            </w:pPr>
            <w:r>
              <w:rPr>
                <w:rFonts w:hint="eastAsia" w:ascii="宋体" w:hAnsi="宋体" w:cs="宋体"/>
                <w:color w:val="auto"/>
                <w:sz w:val="24"/>
                <w:lang w:val="zh-CN"/>
              </w:rPr>
              <w:t>履约</w:t>
            </w:r>
          </w:p>
          <w:p w14:paraId="07CA69D0">
            <w:pPr>
              <w:autoSpaceDE w:val="0"/>
              <w:autoSpaceDN w:val="0"/>
              <w:snapToGrid w:val="0"/>
              <w:spacing w:line="336" w:lineRule="auto"/>
              <w:jc w:val="center"/>
              <w:rPr>
                <w:rFonts w:ascii="宋体" w:hAnsi="宋体" w:cs="宋体"/>
                <w:color w:val="auto"/>
                <w:sz w:val="24"/>
              </w:rPr>
            </w:pPr>
            <w:r>
              <w:rPr>
                <w:rFonts w:hint="eastAsia" w:ascii="宋体" w:hAnsi="宋体" w:cs="宋体"/>
                <w:color w:val="auto"/>
                <w:sz w:val="24"/>
                <w:lang w:val="zh-CN"/>
              </w:rPr>
              <w:t>能力</w:t>
            </w:r>
          </w:p>
        </w:tc>
        <w:tc>
          <w:tcPr>
            <w:tcW w:w="847" w:type="pct"/>
            <w:shd w:val="clear" w:color="000000" w:fill="FFFFFF"/>
            <w:noWrap w:val="0"/>
            <w:vAlign w:val="center"/>
          </w:tcPr>
          <w:p w14:paraId="4589A409">
            <w:pPr>
              <w:autoSpaceDE w:val="0"/>
              <w:autoSpaceDN w:val="0"/>
              <w:snapToGrid w:val="0"/>
              <w:spacing w:line="336" w:lineRule="auto"/>
              <w:jc w:val="center"/>
              <w:rPr>
                <w:rFonts w:hint="eastAsia" w:ascii="宋体" w:hAnsi="宋体" w:cs="宋体"/>
                <w:color w:val="auto"/>
                <w:sz w:val="24"/>
              </w:rPr>
            </w:pPr>
            <w:r>
              <w:rPr>
                <w:rFonts w:hint="eastAsia" w:ascii="宋体" w:hAnsi="宋体" w:cs="宋体"/>
                <w:color w:val="auto"/>
                <w:sz w:val="24"/>
              </w:rPr>
              <w:t>类似业绩情况</w:t>
            </w:r>
          </w:p>
          <w:p w14:paraId="7BE4C384">
            <w:pPr>
              <w:autoSpaceDE w:val="0"/>
              <w:autoSpaceDN w:val="0"/>
              <w:snapToGrid w:val="0"/>
              <w:spacing w:line="336" w:lineRule="auto"/>
              <w:jc w:val="center"/>
              <w:rPr>
                <w:rFonts w:ascii="宋体" w:hAnsi="宋体" w:cs="宋体"/>
                <w:color w:val="auto"/>
                <w:sz w:val="24"/>
              </w:rPr>
            </w:pPr>
          </w:p>
        </w:tc>
        <w:tc>
          <w:tcPr>
            <w:tcW w:w="390" w:type="pct"/>
            <w:shd w:val="clear" w:color="000000" w:fill="FFFFFF"/>
            <w:noWrap w:val="0"/>
            <w:vAlign w:val="center"/>
          </w:tcPr>
          <w:p w14:paraId="05FC5A19">
            <w:pPr>
              <w:autoSpaceDE w:val="0"/>
              <w:autoSpaceDN w:val="0"/>
              <w:snapToGrid w:val="0"/>
              <w:spacing w:line="336" w:lineRule="auto"/>
              <w:jc w:val="center"/>
              <w:rPr>
                <w:rFonts w:hint="eastAsia" w:ascii="宋体" w:hAnsi="宋体" w:cs="宋体"/>
                <w:color w:val="auto"/>
                <w:sz w:val="24"/>
              </w:rPr>
            </w:pPr>
            <w:r>
              <w:rPr>
                <w:rFonts w:hint="eastAsia" w:ascii="宋体" w:hAnsi="宋体" w:cs="宋体"/>
                <w:color w:val="auto"/>
                <w:sz w:val="24"/>
              </w:rPr>
              <w:t>10</w:t>
            </w:r>
          </w:p>
          <w:p w14:paraId="3B01493A">
            <w:pPr>
              <w:autoSpaceDE w:val="0"/>
              <w:autoSpaceDN w:val="0"/>
              <w:snapToGrid w:val="0"/>
              <w:spacing w:line="336" w:lineRule="auto"/>
              <w:jc w:val="center"/>
              <w:rPr>
                <w:rFonts w:ascii="宋体" w:hAnsi="宋体" w:cs="宋体"/>
                <w:color w:val="auto"/>
                <w:sz w:val="24"/>
              </w:rPr>
            </w:pPr>
          </w:p>
        </w:tc>
        <w:tc>
          <w:tcPr>
            <w:tcW w:w="3185" w:type="pct"/>
            <w:shd w:val="clear" w:color="000000" w:fill="FFFFFF"/>
            <w:noWrap w:val="0"/>
            <w:vAlign w:val="center"/>
          </w:tcPr>
          <w:p w14:paraId="1A6837CB">
            <w:pPr>
              <w:autoSpaceDE w:val="0"/>
              <w:autoSpaceDN w:val="0"/>
              <w:snapToGrid w:val="0"/>
              <w:spacing w:line="360" w:lineRule="auto"/>
              <w:rPr>
                <w:rFonts w:ascii="宋体" w:cs="宋体"/>
                <w:color w:val="auto"/>
                <w:sz w:val="24"/>
              </w:rPr>
            </w:pPr>
            <w:bookmarkStart w:id="125" w:name="OLE_LINK52"/>
            <w:r>
              <w:rPr>
                <w:rFonts w:hint="eastAsia" w:ascii="宋体" w:cs="宋体"/>
                <w:color w:val="auto"/>
                <w:sz w:val="24"/>
              </w:rPr>
              <w:t>提供202</w:t>
            </w:r>
            <w:r>
              <w:rPr>
                <w:rFonts w:hint="eastAsia" w:ascii="宋体" w:cs="宋体"/>
                <w:color w:val="auto"/>
                <w:sz w:val="24"/>
                <w:lang w:val="en-US" w:eastAsia="zh-CN"/>
              </w:rPr>
              <w:t>2</w:t>
            </w:r>
            <w:r>
              <w:rPr>
                <w:rFonts w:hint="eastAsia" w:ascii="宋体" w:cs="宋体"/>
                <w:color w:val="auto"/>
                <w:sz w:val="24"/>
              </w:rPr>
              <w:t>年1月1日以来的投标人类似业绩证明材料，需提供中标通知书</w:t>
            </w:r>
            <w:r>
              <w:rPr>
                <w:rFonts w:hint="eastAsia" w:ascii="宋体" w:cs="宋体"/>
                <w:color w:val="auto"/>
                <w:sz w:val="24"/>
                <w:lang w:eastAsia="zh-CN"/>
              </w:rPr>
              <w:t>或</w:t>
            </w:r>
            <w:r>
              <w:rPr>
                <w:rFonts w:hint="eastAsia" w:ascii="宋体" w:cs="宋体"/>
                <w:color w:val="auto"/>
                <w:sz w:val="24"/>
              </w:rPr>
              <w:t>合同（包含合同首页、标的及金额所在页、交货合同签字盖章页的扫描（或复印）件）。每提供一项得2分，满分10分，不提供不得分。</w:t>
            </w:r>
            <w:bookmarkEnd w:id="125"/>
          </w:p>
        </w:tc>
      </w:tr>
      <w:tr w14:paraId="6457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575" w:type="pct"/>
            <w:shd w:val="clear" w:color="000000" w:fill="FFFFFF"/>
            <w:noWrap w:val="0"/>
            <w:vAlign w:val="center"/>
          </w:tcPr>
          <w:p w14:paraId="427867D5">
            <w:pPr>
              <w:autoSpaceDE w:val="0"/>
              <w:autoSpaceDN w:val="0"/>
              <w:snapToGrid w:val="0"/>
              <w:spacing w:line="336" w:lineRule="auto"/>
              <w:jc w:val="center"/>
              <w:rPr>
                <w:rFonts w:ascii="宋体" w:hAnsi="宋体" w:cs="宋体"/>
                <w:color w:val="auto"/>
                <w:sz w:val="24"/>
                <w:lang w:val="zh-CN"/>
              </w:rPr>
            </w:pPr>
            <w:r>
              <w:rPr>
                <w:rFonts w:hint="eastAsia" w:ascii="宋体" w:hAnsi="宋体" w:cs="宋体"/>
                <w:color w:val="auto"/>
                <w:sz w:val="24"/>
              </w:rPr>
              <w:t>售后服务</w:t>
            </w:r>
          </w:p>
        </w:tc>
        <w:tc>
          <w:tcPr>
            <w:tcW w:w="847" w:type="pct"/>
            <w:shd w:val="clear" w:color="000000" w:fill="FFFFFF"/>
            <w:noWrap w:val="0"/>
            <w:vAlign w:val="center"/>
          </w:tcPr>
          <w:p w14:paraId="36F74291">
            <w:pPr>
              <w:widowControl/>
              <w:kinsoku w:val="0"/>
              <w:autoSpaceDE w:val="0"/>
              <w:autoSpaceDN w:val="0"/>
              <w:adjustRightInd w:val="0"/>
              <w:snapToGrid w:val="0"/>
              <w:spacing w:before="78" w:line="237" w:lineRule="auto"/>
              <w:ind w:left="128" w:right="95" w:firstLine="9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应急预案及</w:t>
            </w:r>
            <w:r>
              <w:rPr>
                <w:rFonts w:ascii="宋体" w:hAnsi="宋体" w:eastAsia="宋体" w:cs="宋体"/>
                <w:snapToGrid w:val="0"/>
                <w:color w:val="000000"/>
                <w:spacing w:val="1"/>
                <w:kern w:val="0"/>
                <w:sz w:val="24"/>
                <w:szCs w:val="24"/>
                <w:lang w:eastAsia="en-US"/>
              </w:rPr>
              <w:t xml:space="preserve">  </w:t>
            </w:r>
            <w:r>
              <w:rPr>
                <w:rFonts w:ascii="宋体" w:hAnsi="宋体" w:eastAsia="宋体" w:cs="宋体"/>
                <w:snapToGrid w:val="0"/>
                <w:color w:val="000000"/>
                <w:spacing w:val="-9"/>
                <w:kern w:val="0"/>
                <w:sz w:val="24"/>
                <w:szCs w:val="24"/>
                <w:lang w:eastAsia="en-US"/>
              </w:rPr>
              <w:t>安全防护、保</w:t>
            </w:r>
          </w:p>
          <w:p w14:paraId="45A19766">
            <w:pPr>
              <w:autoSpaceDE w:val="0"/>
              <w:autoSpaceDN w:val="0"/>
              <w:snapToGrid w:val="0"/>
              <w:spacing w:line="336" w:lineRule="auto"/>
              <w:jc w:val="center"/>
              <w:rPr>
                <w:rFonts w:ascii="宋体" w:hAnsi="宋体" w:cs="宋体"/>
                <w:color w:val="auto"/>
                <w:sz w:val="24"/>
                <w:lang w:val="zh-CN"/>
              </w:rPr>
            </w:pPr>
            <w:r>
              <w:rPr>
                <w:rFonts w:ascii="宋体" w:hAnsi="宋体" w:eastAsia="宋体" w:cs="宋体"/>
                <w:snapToGrid w:val="0"/>
                <w:color w:val="000000"/>
                <w:spacing w:val="-10"/>
                <w:kern w:val="0"/>
                <w:sz w:val="24"/>
                <w:szCs w:val="24"/>
                <w:lang w:eastAsia="en-US"/>
              </w:rPr>
              <w:t>障措施</w:t>
            </w:r>
          </w:p>
        </w:tc>
        <w:tc>
          <w:tcPr>
            <w:tcW w:w="390" w:type="pct"/>
            <w:shd w:val="clear" w:color="000000" w:fill="FFFFFF"/>
            <w:noWrap w:val="0"/>
            <w:vAlign w:val="center"/>
          </w:tcPr>
          <w:p w14:paraId="6100C470">
            <w:pPr>
              <w:autoSpaceDE w:val="0"/>
              <w:autoSpaceDN w:val="0"/>
              <w:snapToGrid w:val="0"/>
              <w:spacing w:line="360" w:lineRule="auto"/>
              <w:rPr>
                <w:rFonts w:hint="default" w:ascii="宋体" w:cs="宋体"/>
                <w:color w:val="auto"/>
                <w:sz w:val="24"/>
                <w:lang w:val="en-US" w:eastAsia="zh-CN"/>
              </w:rPr>
            </w:pPr>
            <w:r>
              <w:rPr>
                <w:rFonts w:hint="eastAsia" w:ascii="宋体" w:cs="宋体"/>
                <w:color w:val="auto"/>
                <w:sz w:val="24"/>
                <w:lang w:val="en-US" w:eastAsia="zh-CN"/>
              </w:rPr>
              <w:t>8</w:t>
            </w:r>
          </w:p>
        </w:tc>
        <w:tc>
          <w:tcPr>
            <w:tcW w:w="3185" w:type="pct"/>
            <w:shd w:val="clear" w:color="000000" w:fill="FFFFFF"/>
            <w:noWrap w:val="0"/>
            <w:vAlign w:val="center"/>
          </w:tcPr>
          <w:p w14:paraId="7392565B">
            <w:pPr>
              <w:autoSpaceDE w:val="0"/>
              <w:autoSpaceDN w:val="0"/>
              <w:snapToGrid w:val="0"/>
              <w:spacing w:line="360" w:lineRule="auto"/>
              <w:rPr>
                <w:rFonts w:hint="eastAsia" w:ascii="宋体" w:cs="宋体"/>
                <w:color w:val="auto"/>
                <w:sz w:val="24"/>
                <w:lang w:val="en-US" w:eastAsia="zh-CN"/>
              </w:rPr>
            </w:pPr>
            <w:r>
              <w:rPr>
                <w:rFonts w:hint="eastAsia" w:ascii="宋体" w:cs="宋体"/>
                <w:color w:val="auto"/>
                <w:sz w:val="24"/>
                <w:lang w:val="en-US" w:eastAsia="zh-CN"/>
              </w:rPr>
              <w:t>供应商针对该项目须有完善的售后服务体系，具体内容包括：①售后服务方案及售后服务机构和人员②在质量保证期内，对于产品质量问题造成的损坏，免费提供咨询、部件更换、维修服务的措施③故障维修响应机制④定期维护、软硬件升级计划措施。以上因素每实质性响应一项得2分，满分</w:t>
            </w:r>
            <w:r>
              <w:rPr>
                <w:rFonts w:hint="eastAsia" w:ascii="宋体" w:cs="宋体"/>
                <w:color w:val="auto"/>
                <w:sz w:val="24"/>
                <w:lang w:val="en-US" w:eastAsia="zh-CN"/>
              </w:rPr>
              <w:t>8分，未实质性响应不得分，存在缺陷或不足的，每有一项扣1分，扣完为止。</w:t>
            </w:r>
          </w:p>
        </w:tc>
      </w:tr>
      <w:tr w14:paraId="50F6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00" w:type="pct"/>
            <w:gridSpan w:val="4"/>
            <w:shd w:val="clear" w:color="000000" w:fill="FFFFFF"/>
            <w:noWrap w:val="0"/>
            <w:vAlign w:val="center"/>
          </w:tcPr>
          <w:p w14:paraId="2C98E8E4">
            <w:pPr>
              <w:autoSpaceDE w:val="0"/>
              <w:autoSpaceDN w:val="0"/>
              <w:snapToGrid w:val="0"/>
              <w:spacing w:line="360" w:lineRule="auto"/>
              <w:rPr>
                <w:rFonts w:ascii="宋体" w:cs="宋体"/>
                <w:color w:val="auto"/>
                <w:sz w:val="24"/>
              </w:rPr>
            </w:pPr>
            <w:r>
              <w:rPr>
                <w:rFonts w:hint="eastAsia" w:ascii="宋体" w:cs="宋体"/>
                <w:color w:val="auto"/>
                <w:sz w:val="24"/>
              </w:rPr>
              <w:t>内容存在缺陷或不足是指：方案内容不切合行业实际、不符合行业政策；或存在项目名称错误、地点区域错误、内容与本项目需求无关、方案内容矛盾或表述前后不一致；或方案内容过于简单、不适用项目实际情况。</w:t>
            </w:r>
          </w:p>
        </w:tc>
      </w:tr>
    </w:tbl>
    <w:p w14:paraId="7054A7C0">
      <w:pPr>
        <w:autoSpaceDE w:val="0"/>
        <w:autoSpaceDN w:val="0"/>
        <w:spacing w:line="360" w:lineRule="auto"/>
        <w:rPr>
          <w:b/>
          <w:color w:val="auto"/>
          <w:sz w:val="24"/>
          <w:szCs w:val="28"/>
        </w:rPr>
      </w:pPr>
    </w:p>
    <w:p w14:paraId="43D62175">
      <w:pPr>
        <w:autoSpaceDE w:val="0"/>
        <w:autoSpaceDN w:val="0"/>
        <w:spacing w:line="360" w:lineRule="auto"/>
        <w:ind w:firstLine="480" w:firstLineChars="200"/>
        <w:rPr>
          <w:rFonts w:hint="eastAsia" w:ascii="宋体" w:hAnsi="宋体" w:cs="宋体"/>
          <w:color w:val="auto"/>
          <w:sz w:val="24"/>
          <w:shd w:val="clear" w:color="auto" w:fill="FFFFFF"/>
        </w:rPr>
      </w:pPr>
      <w:r>
        <w:rPr>
          <w:rFonts w:ascii="宋体" w:hAnsi="宋体" w:cs="宋体"/>
          <w:color w:val="auto"/>
          <w:sz w:val="24"/>
          <w:shd w:val="clear" w:color="auto" w:fill="FFFFFF"/>
        </w:rPr>
        <w:t>1</w:t>
      </w:r>
      <w:r>
        <w:rPr>
          <w:rFonts w:hint="eastAsia" w:ascii="宋体" w:hAnsi="宋体" w:cs="宋体"/>
          <w:color w:val="auto"/>
          <w:sz w:val="24"/>
          <w:shd w:val="clear" w:color="auto" w:fill="FFFFFF"/>
        </w:rPr>
        <w:t>9.3</w:t>
      </w:r>
      <w:r>
        <w:rPr>
          <w:rFonts w:hint="eastAsia" w:ascii="宋体" w:hAnsi="宋体" w:cs="宋体"/>
          <w:color w:val="auto"/>
          <w:shd w:val="clear" w:color="auto" w:fill="FFFFFF"/>
        </w:rPr>
        <w:t xml:space="preserve"> </w:t>
      </w:r>
      <w:r>
        <w:rPr>
          <w:rFonts w:hint="eastAsia" w:ascii="宋体" w:hAnsi="宋体" w:cs="宋体"/>
          <w:bCs/>
          <w:color w:val="auto"/>
          <w:kern w:val="0"/>
          <w:sz w:val="24"/>
        </w:rPr>
        <w:t>采用综合评分法的，</w:t>
      </w:r>
      <w:r>
        <w:rPr>
          <w:rFonts w:hint="eastAsia" w:ascii="宋体" w:hAnsi="宋体" w:cs="宋体"/>
          <w:color w:val="auto"/>
          <w:sz w:val="24"/>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8946C4">
      <w:pPr>
        <w:autoSpaceDE w:val="0"/>
        <w:autoSpaceDN w:val="0"/>
        <w:spacing w:line="360" w:lineRule="auto"/>
        <w:ind w:firstLine="480" w:firstLineChars="200"/>
        <w:rPr>
          <w:rFonts w:hint="eastAsia" w:ascii="宋体" w:hAnsi="宋体" w:cs="宋体"/>
          <w:color w:val="auto"/>
          <w:sz w:val="24"/>
          <w:shd w:val="clear" w:color="auto" w:fill="FFFFFF"/>
        </w:rPr>
      </w:pPr>
      <w:r>
        <w:rPr>
          <w:rFonts w:ascii="宋体" w:hAnsi="宋体" w:cs="宋体"/>
          <w:color w:val="auto"/>
          <w:sz w:val="24"/>
          <w:shd w:val="clear" w:color="auto" w:fill="FFFFFF"/>
        </w:rPr>
        <w:t>1</w:t>
      </w:r>
      <w:r>
        <w:rPr>
          <w:rFonts w:hint="eastAsia" w:ascii="宋体" w:hAnsi="宋体" w:cs="宋体"/>
          <w:color w:val="auto"/>
          <w:sz w:val="24"/>
          <w:shd w:val="clear" w:color="auto" w:fill="FFFFFF"/>
        </w:rPr>
        <w:t>9.4 评标结果汇总完成后，除下列情形外，任何人不得修改评标结果：</w:t>
      </w:r>
    </w:p>
    <w:p w14:paraId="3CAD65EB">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（1）分值汇总计算错误的；</w:t>
      </w:r>
    </w:p>
    <w:p w14:paraId="1763DF7F">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（2）分项评分超出评分标准范围的；</w:t>
      </w:r>
    </w:p>
    <w:p w14:paraId="411DFC6B">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（3）评标委员会成员对客观评审因素评分不一致的；</w:t>
      </w:r>
    </w:p>
    <w:p w14:paraId="7CE11844">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（4）经评标委员会认定评分畸高、畸低的。</w:t>
      </w:r>
    </w:p>
    <w:p w14:paraId="1E714DA3">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25E6CE0">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z w:val="24"/>
          <w:shd w:val="clear" w:color="auto" w:fill="FFFFFF"/>
        </w:rPr>
        <w:t>投标人对以上情形提出质疑的，采购人或者采购代理机构可以组织原评标委员会进行重新评审，重新评审改变评标结果的，应当书面报告本级财政部门。</w:t>
      </w:r>
    </w:p>
    <w:p w14:paraId="691A803F">
      <w:pPr>
        <w:pStyle w:val="15"/>
        <w:spacing w:before="0" w:after="0" w:line="360" w:lineRule="auto"/>
        <w:rPr>
          <w:rFonts w:hint="eastAsia" w:ascii="宋体" w:hAnsi="宋体" w:cs="宋体"/>
          <w:color w:val="auto"/>
          <w:lang w:val="zh-CN"/>
        </w:rPr>
      </w:pPr>
      <w:bookmarkStart w:id="126" w:name="_Toc54"/>
      <w:bookmarkStart w:id="127" w:name="_Toc16349"/>
      <w:bookmarkStart w:id="128" w:name="_Toc88234638"/>
      <w:r>
        <w:rPr>
          <w:rFonts w:hint="eastAsia" w:ascii="宋体" w:hAnsi="宋体" w:cs="宋体"/>
          <w:color w:val="auto"/>
        </w:rPr>
        <w:t>八</w:t>
      </w:r>
      <w:r>
        <w:rPr>
          <w:rFonts w:hint="eastAsia" w:ascii="宋体" w:hAnsi="宋体" w:cs="宋体"/>
          <w:color w:val="auto"/>
          <w:lang w:val="zh-CN"/>
        </w:rPr>
        <w:t>、中标</w:t>
      </w:r>
      <w:bookmarkEnd w:id="126"/>
      <w:bookmarkEnd w:id="127"/>
      <w:bookmarkEnd w:id="128"/>
    </w:p>
    <w:p w14:paraId="10512F56">
      <w:pPr>
        <w:pStyle w:val="15"/>
        <w:spacing w:before="0" w:after="0" w:line="360" w:lineRule="auto"/>
        <w:jc w:val="left"/>
        <w:rPr>
          <w:rFonts w:hint="eastAsia" w:ascii="宋体" w:hAnsi="宋体" w:cs="宋体"/>
          <w:color w:val="auto"/>
          <w:lang w:val="zh-CN"/>
        </w:rPr>
      </w:pPr>
      <w:bookmarkStart w:id="129" w:name="_Toc21218"/>
      <w:bookmarkStart w:id="130" w:name="_Toc7428"/>
      <w:bookmarkStart w:id="131" w:name="_Toc88234639"/>
      <w:r>
        <w:rPr>
          <w:rFonts w:hint="eastAsia" w:ascii="宋体" w:hAnsi="宋体" w:cs="宋体"/>
          <w:color w:val="auto"/>
          <w:sz w:val="28"/>
          <w:szCs w:val="28"/>
          <w:lang w:val="zh-CN"/>
        </w:rPr>
        <w:t>20.推荐并确定中标人</w:t>
      </w:r>
      <w:bookmarkEnd w:id="129"/>
      <w:bookmarkEnd w:id="130"/>
      <w:bookmarkEnd w:id="131"/>
    </w:p>
    <w:p w14:paraId="23BBAD49">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20.1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A69B335">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20.2 采购人自行组织招标的，应当在评标结束后5个工作日内确定中标人。</w:t>
      </w:r>
    </w:p>
    <w:p w14:paraId="4BC92F04">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20.3采购人在收到评标报告5个工作日内未按评标报告推荐的中标候选人顺序确定中标人，又不能说明合法理由的，视同按评标报告推荐的顺序确定排名第一的中标候选人为中标人。</w:t>
      </w:r>
    </w:p>
    <w:p w14:paraId="754BC5BE">
      <w:pPr>
        <w:pStyle w:val="15"/>
        <w:spacing w:before="0" w:after="0" w:line="360" w:lineRule="auto"/>
        <w:jc w:val="left"/>
        <w:rPr>
          <w:rFonts w:hint="eastAsia" w:ascii="宋体" w:hAnsi="宋体" w:cs="宋体"/>
          <w:color w:val="auto"/>
          <w:lang w:val="zh-CN"/>
        </w:rPr>
      </w:pPr>
      <w:bookmarkStart w:id="132" w:name="_Toc9976"/>
      <w:bookmarkStart w:id="133" w:name="_Toc17920"/>
      <w:bookmarkStart w:id="134" w:name="_Toc88234640"/>
      <w:r>
        <w:rPr>
          <w:rFonts w:hint="eastAsia" w:ascii="宋体" w:hAnsi="宋体" w:cs="宋体"/>
          <w:color w:val="auto"/>
          <w:sz w:val="28"/>
          <w:szCs w:val="28"/>
          <w:lang w:val="zh-CN"/>
        </w:rPr>
        <w:t>21.中标通知</w:t>
      </w:r>
      <w:bookmarkEnd w:id="132"/>
      <w:bookmarkEnd w:id="133"/>
      <w:bookmarkEnd w:id="134"/>
    </w:p>
    <w:p w14:paraId="6233411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21.1 采购人或者采购代理机构应当自中标人确定之日起2个工作日内，在省级以上财政部门指定的媒体上公告中标结果，招标文件应当随中标结果同时公告。</w:t>
      </w:r>
    </w:p>
    <w:p w14:paraId="30942531">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21.2 中标结果公告内容应当包括采购人及其委托的采购代理机构的名称、地址、联系方式，项目名称和项目编号，中标人名称、地址和中标金额，主要中标标的的名称、服务内容、数量、单价、服务要求，中标公告期限以及评审专家名单。</w:t>
      </w:r>
    </w:p>
    <w:p w14:paraId="0AB3AEEF">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21.3 中标公告期限为1个工作日。</w:t>
      </w:r>
    </w:p>
    <w:p w14:paraId="5C8A36E0">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21.4 在公告中标结果的同时，</w:t>
      </w:r>
      <w:r>
        <w:rPr>
          <w:rFonts w:hint="eastAsia" w:ascii="宋体" w:hAnsi="宋体" w:cs="宋体"/>
          <w:color w:val="auto"/>
          <w:sz w:val="24"/>
          <w:shd w:val="clear" w:color="auto" w:fill="FFFFFF"/>
        </w:rPr>
        <w:t>采购代理机构</w:t>
      </w:r>
      <w:r>
        <w:rPr>
          <w:rFonts w:hint="eastAsia" w:ascii="宋体" w:hAnsi="宋体" w:cs="宋体"/>
          <w:color w:val="auto"/>
          <w:kern w:val="0"/>
          <w:sz w:val="24"/>
        </w:rPr>
        <w:t>应当向中标人发出中标通知书；采用综合评分法评审的，还应当告知未中标人本人的评审得分与排序。</w:t>
      </w:r>
    </w:p>
    <w:p w14:paraId="35A08CBB">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sz w:val="24"/>
        </w:rPr>
        <w:t>2</w:t>
      </w:r>
      <w:r>
        <w:rPr>
          <w:rFonts w:ascii="宋体" w:hAnsi="宋体" w:cs="宋体"/>
          <w:color w:val="auto"/>
          <w:kern w:val="0"/>
          <w:sz w:val="24"/>
        </w:rPr>
        <w:t>0</w:t>
      </w:r>
      <w:r>
        <w:rPr>
          <w:rFonts w:hint="eastAsia" w:ascii="宋体" w:hAnsi="宋体" w:cs="宋体"/>
          <w:color w:val="auto"/>
          <w:kern w:val="0"/>
          <w:sz w:val="24"/>
        </w:rPr>
        <w:t>.5 中标通知书发出后，采购人不得违法改变中标结果，中标人无正当理由不得放弃中标。</w:t>
      </w:r>
    </w:p>
    <w:p w14:paraId="4D89DC52">
      <w:pPr>
        <w:pStyle w:val="15"/>
        <w:spacing w:before="0" w:after="0" w:line="360" w:lineRule="auto"/>
        <w:rPr>
          <w:rFonts w:hint="eastAsia" w:ascii="宋体" w:hAnsi="宋体" w:cs="宋体"/>
          <w:color w:val="auto"/>
          <w:lang w:val="zh-CN"/>
        </w:rPr>
      </w:pPr>
      <w:bookmarkStart w:id="135" w:name="_Toc27825"/>
      <w:bookmarkStart w:id="136" w:name="_Toc88234641"/>
      <w:bookmarkStart w:id="137" w:name="_Toc31697"/>
      <w:r>
        <w:rPr>
          <w:rFonts w:hint="eastAsia" w:ascii="宋体" w:hAnsi="宋体" w:cs="宋体"/>
          <w:color w:val="auto"/>
        </w:rPr>
        <w:t>九</w:t>
      </w:r>
      <w:r>
        <w:rPr>
          <w:rFonts w:hint="eastAsia" w:ascii="宋体" w:hAnsi="宋体" w:cs="宋体"/>
          <w:color w:val="auto"/>
          <w:lang w:val="zh-CN"/>
        </w:rPr>
        <w:t>、授予合同</w:t>
      </w:r>
      <w:bookmarkEnd w:id="135"/>
      <w:bookmarkEnd w:id="136"/>
      <w:bookmarkEnd w:id="137"/>
    </w:p>
    <w:p w14:paraId="755F4DBB">
      <w:pPr>
        <w:pStyle w:val="15"/>
        <w:spacing w:before="0" w:after="0" w:line="360" w:lineRule="auto"/>
        <w:jc w:val="left"/>
        <w:rPr>
          <w:rFonts w:hint="eastAsia" w:ascii="宋体" w:hAnsi="宋体" w:cs="宋体"/>
          <w:color w:val="auto"/>
          <w:kern w:val="0"/>
          <w:sz w:val="24"/>
        </w:rPr>
      </w:pPr>
      <w:bookmarkStart w:id="138" w:name="_Toc29743"/>
      <w:bookmarkStart w:id="139" w:name="_Toc24664"/>
      <w:bookmarkStart w:id="140" w:name="_Toc88234642"/>
      <w:r>
        <w:rPr>
          <w:rFonts w:hint="eastAsia" w:ascii="宋体" w:hAnsi="宋体" w:cs="宋体"/>
          <w:color w:val="auto"/>
          <w:sz w:val="28"/>
          <w:szCs w:val="28"/>
          <w:lang w:val="zh-CN"/>
        </w:rPr>
        <w:t>22.签订合同</w:t>
      </w:r>
      <w:bookmarkEnd w:id="138"/>
      <w:bookmarkEnd w:id="139"/>
      <w:bookmarkEnd w:id="140"/>
    </w:p>
    <w:p w14:paraId="4321013D">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22.1</w:t>
      </w:r>
      <w:r>
        <w:rPr>
          <w:rFonts w:hint="eastAsia" w:ascii="宋体" w:hAnsi="宋体" w:cs="宋体"/>
          <w:color w:val="auto"/>
          <w:kern w:val="0"/>
          <w:sz w:val="24"/>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12756DDF">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采购人不得向中标人提出任何不合理的要求作为签订合同的条件。</w:t>
      </w:r>
    </w:p>
    <w:p w14:paraId="061C0534">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22.</w:t>
      </w:r>
      <w:r>
        <w:rPr>
          <w:rFonts w:hint="eastAsia" w:ascii="宋体" w:hAnsi="宋体" w:cs="宋体"/>
          <w:color w:val="auto"/>
          <w:kern w:val="0"/>
          <w:sz w:val="24"/>
          <w:lang w:val="en-US" w:eastAsia="zh-CN"/>
        </w:rPr>
        <w:t>2</w:t>
      </w:r>
      <w:r>
        <w:rPr>
          <w:rFonts w:hint="eastAsia" w:ascii="宋体" w:hAnsi="宋体" w:cs="宋体"/>
          <w:color w:val="auto"/>
          <w:kern w:val="0"/>
          <w:sz w:val="24"/>
        </w:rPr>
        <w:t xml:space="preserve"> 中标人拒绝与采购人签订合同的</w:t>
      </w:r>
      <w:r>
        <w:rPr>
          <w:rFonts w:hint="eastAsia" w:ascii="宋体" w:hAnsi="宋体" w:cs="宋体"/>
          <w:color w:val="auto"/>
          <w:kern w:val="0"/>
          <w:sz w:val="24"/>
          <w:lang w:val="zh-CN"/>
        </w:rPr>
        <w:t>，采购人可以按照评标报告推荐的中标候选人名单排序，确定下一候选人为中标人，也可重新开展政府采购活动。</w:t>
      </w:r>
    </w:p>
    <w:p w14:paraId="0ED92CF8">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22.</w:t>
      </w:r>
      <w:r>
        <w:rPr>
          <w:rFonts w:hint="eastAsia" w:ascii="宋体" w:hAnsi="宋体" w:cs="宋体"/>
          <w:color w:val="auto"/>
          <w:kern w:val="0"/>
          <w:sz w:val="24"/>
          <w:lang w:val="en-US" w:eastAsia="zh-CN"/>
        </w:rPr>
        <w:t>3</w:t>
      </w:r>
      <w:r>
        <w:rPr>
          <w:rFonts w:hint="eastAsia" w:ascii="宋体" w:hAnsi="宋体" w:cs="宋体"/>
          <w:color w:val="auto"/>
          <w:kern w:val="0"/>
          <w:sz w:val="24"/>
          <w:lang w:bidi="ar"/>
        </w:rPr>
        <w:t xml:space="preserve"> </w:t>
      </w:r>
      <w:r>
        <w:rPr>
          <w:rFonts w:hint="eastAsia" w:ascii="宋体" w:hAnsi="宋体" w:cs="宋体"/>
          <w:color w:val="auto"/>
          <w:kern w:val="0"/>
          <w:sz w:val="24"/>
          <w:lang w:val="zh-CN"/>
        </w:rPr>
        <w:t>招标文件、中标人的投标文件、《中标通知书》及其澄清、说明文件、承诺等，均为签订采购合同的依据，作为采购合同的组成部分。</w:t>
      </w:r>
    </w:p>
    <w:p w14:paraId="7265D3CB">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22.</w:t>
      </w:r>
      <w:r>
        <w:rPr>
          <w:rFonts w:hint="eastAsia" w:ascii="宋体" w:hAnsi="宋体" w:cs="宋体"/>
          <w:color w:val="auto"/>
          <w:kern w:val="0"/>
          <w:sz w:val="24"/>
          <w:lang w:val="en-US" w:eastAsia="zh-CN"/>
        </w:rPr>
        <w:t>4</w:t>
      </w:r>
      <w:r>
        <w:rPr>
          <w:rFonts w:hint="eastAsia" w:ascii="宋体" w:hAnsi="宋体" w:cs="宋体"/>
          <w:color w:val="auto"/>
          <w:kern w:val="0"/>
          <w:sz w:val="24"/>
        </w:rPr>
        <w:t xml:space="preserve"> </w:t>
      </w:r>
      <w:r>
        <w:rPr>
          <w:rFonts w:hint="eastAsia" w:ascii="宋体" w:hAnsi="宋体" w:cs="宋体"/>
          <w:color w:val="auto"/>
          <w:kern w:val="0"/>
          <w:sz w:val="24"/>
          <w:lang w:val="zh-CN"/>
        </w:rPr>
        <w:t>采购合同签订之日起</w:t>
      </w:r>
      <w:r>
        <w:rPr>
          <w:rFonts w:hint="eastAsia" w:ascii="宋体" w:hAnsi="宋体" w:cs="宋体"/>
          <w:color w:val="auto"/>
          <w:kern w:val="0"/>
          <w:sz w:val="24"/>
        </w:rPr>
        <w:t>2</w:t>
      </w:r>
      <w:r>
        <w:rPr>
          <w:rFonts w:hint="eastAsia" w:ascii="宋体" w:hAnsi="宋体" w:cs="宋体"/>
          <w:color w:val="auto"/>
          <w:kern w:val="0"/>
          <w:sz w:val="24"/>
          <w:lang w:val="zh-CN"/>
        </w:rPr>
        <w:t>个工作日内，由采购人将采购合同在青海政府采购网上公告，但采购合同中涉及国家秘密、商业秘密的内容除外。</w:t>
      </w:r>
    </w:p>
    <w:p w14:paraId="30F67A46">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22.</w:t>
      </w:r>
      <w:r>
        <w:rPr>
          <w:rFonts w:hint="eastAsia" w:ascii="宋体" w:hAnsi="宋体" w:cs="宋体"/>
          <w:color w:val="auto"/>
          <w:kern w:val="0"/>
          <w:sz w:val="24"/>
          <w:lang w:val="en-US" w:eastAsia="zh-CN"/>
        </w:rPr>
        <w:t>5</w:t>
      </w:r>
      <w:r>
        <w:rPr>
          <w:rFonts w:hint="eastAsia" w:ascii="宋体" w:hAnsi="宋体" w:cs="宋体"/>
          <w:color w:val="auto"/>
          <w:kern w:val="0"/>
          <w:sz w:val="24"/>
        </w:rPr>
        <w:t xml:space="preserve"> 采购人与中标人应当根据合同的约定依法履行合同义务。政府采购合同的履行、违约责任和解决争议的方法等适用《中华人民共和国民法典》。</w:t>
      </w:r>
    </w:p>
    <w:p w14:paraId="107FBD97">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22.</w:t>
      </w:r>
      <w:r>
        <w:rPr>
          <w:rFonts w:hint="eastAsia" w:ascii="宋体" w:hAnsi="宋体" w:cs="宋体"/>
          <w:color w:val="auto"/>
          <w:kern w:val="0"/>
          <w:sz w:val="24"/>
          <w:lang w:val="en-US" w:eastAsia="zh-CN"/>
        </w:rPr>
        <w:t>6</w:t>
      </w:r>
      <w:r>
        <w:rPr>
          <w:rFonts w:hint="eastAsia" w:ascii="宋体" w:hAnsi="宋体" w:cs="宋体"/>
          <w:color w:val="auto"/>
          <w:kern w:val="0"/>
          <w:sz w:val="24"/>
        </w:rPr>
        <w:t xml:space="preserve"> 采购人应当及时对采购项目进行验收。采购人可以邀请参加本项目的其他投标人或者第三方机构参与验收。参与验收的投标人或者第三方机构的意见作为验收书的参考资料一并存档。</w:t>
      </w:r>
    </w:p>
    <w:p w14:paraId="41112F05">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22.</w:t>
      </w:r>
      <w:r>
        <w:rPr>
          <w:rFonts w:hint="eastAsia" w:ascii="宋体" w:hAnsi="宋体" w:cs="宋体"/>
          <w:color w:val="auto"/>
          <w:kern w:val="0"/>
          <w:sz w:val="24"/>
          <w:lang w:val="en-US" w:eastAsia="zh-CN"/>
        </w:rPr>
        <w:t>7</w:t>
      </w:r>
      <w:r>
        <w:rPr>
          <w:rFonts w:hint="eastAsia" w:ascii="宋体" w:hAnsi="宋体" w:cs="宋体"/>
          <w:color w:val="auto"/>
          <w:kern w:val="0"/>
          <w:sz w:val="24"/>
        </w:rPr>
        <w:t xml:space="preserve"> 采购人应当加强对中标人的履约管理，并按照采购合同约定，及时向中标人支付采购资金。对于中标人违反采购合同约定的行为，采购人应当及时处理，依法追究其违约责任。</w:t>
      </w:r>
    </w:p>
    <w:p w14:paraId="041B4382">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sz w:val="24"/>
        </w:rPr>
        <w:t>22.</w:t>
      </w:r>
      <w:r>
        <w:rPr>
          <w:rFonts w:hint="eastAsia" w:ascii="宋体" w:hAnsi="宋体" w:cs="宋体"/>
          <w:color w:val="auto"/>
          <w:kern w:val="0"/>
          <w:sz w:val="24"/>
          <w:lang w:val="en-US" w:eastAsia="zh-CN"/>
        </w:rPr>
        <w:t>8</w:t>
      </w:r>
      <w:r>
        <w:rPr>
          <w:rFonts w:hint="eastAsia" w:ascii="宋体" w:hAnsi="宋体" w:cs="宋体"/>
          <w:color w:val="auto"/>
          <w:kern w:val="0"/>
          <w:sz w:val="24"/>
        </w:rPr>
        <w:t xml:space="preserve"> 采购人、采购代理机构应当建立真实完整的招标采购档案，妥善保存每项采购活动的采购文件。</w:t>
      </w:r>
    </w:p>
    <w:p w14:paraId="52B375EA">
      <w:pPr>
        <w:pStyle w:val="15"/>
        <w:spacing w:before="0" w:after="0" w:line="360" w:lineRule="auto"/>
        <w:rPr>
          <w:rFonts w:hint="eastAsia" w:ascii="宋体" w:hAnsi="宋体" w:cs="宋体"/>
          <w:color w:val="auto"/>
          <w:lang w:val="zh-CN"/>
        </w:rPr>
      </w:pPr>
      <w:bookmarkStart w:id="141" w:name="_Toc6143"/>
      <w:bookmarkStart w:id="142" w:name="_Toc88234643"/>
      <w:bookmarkStart w:id="143" w:name="_Toc14330"/>
      <w:r>
        <w:rPr>
          <w:rFonts w:hint="eastAsia" w:ascii="宋体" w:hAnsi="宋体" w:cs="宋体"/>
          <w:color w:val="auto"/>
        </w:rPr>
        <w:t>十</w:t>
      </w:r>
      <w:r>
        <w:rPr>
          <w:rFonts w:hint="eastAsia" w:ascii="宋体" w:hAnsi="宋体" w:cs="宋体"/>
          <w:color w:val="auto"/>
          <w:lang w:val="zh-CN"/>
        </w:rPr>
        <w:t>、招标代理费</w:t>
      </w:r>
      <w:bookmarkEnd w:id="141"/>
      <w:bookmarkEnd w:id="142"/>
      <w:bookmarkEnd w:id="143"/>
    </w:p>
    <w:p w14:paraId="41E0AADE">
      <w:pPr>
        <w:autoSpaceDE w:val="0"/>
        <w:autoSpaceDN w:val="0"/>
        <w:spacing w:line="360" w:lineRule="auto"/>
        <w:ind w:firstLine="480" w:firstLineChars="200"/>
        <w:jc w:val="left"/>
        <w:rPr>
          <w:rFonts w:hint="eastAsia" w:ascii="宋体" w:hAnsi="宋体" w:cs="宋体"/>
          <w:color w:val="auto"/>
          <w:kern w:val="0"/>
          <w:sz w:val="24"/>
          <w:lang w:val="zh-CN"/>
        </w:rPr>
      </w:pPr>
      <w:bookmarkStart w:id="144" w:name="OLE_LINK9"/>
      <w:r>
        <w:rPr>
          <w:rFonts w:hint="eastAsia" w:ascii="宋体" w:hAnsi="宋体" w:cs="宋体"/>
          <w:color w:val="auto"/>
          <w:kern w:val="0"/>
          <w:sz w:val="24"/>
        </w:rPr>
        <w:t>1、</w:t>
      </w:r>
      <w:bookmarkEnd w:id="144"/>
      <w:bookmarkStart w:id="145" w:name="OLE_LINK8"/>
      <w:r>
        <w:rPr>
          <w:rFonts w:hint="eastAsia" w:ascii="宋体" w:hAnsi="宋体" w:cs="宋体"/>
          <w:color w:val="auto"/>
          <w:kern w:val="0"/>
          <w:sz w:val="24"/>
          <w:lang w:val="zh-CN"/>
        </w:rPr>
        <w:t>收取对象：</w:t>
      </w:r>
      <w:bookmarkEnd w:id="145"/>
      <w:r>
        <w:rPr>
          <w:rFonts w:hint="eastAsia" w:ascii="宋体" w:hAnsi="宋体" w:cs="宋体"/>
          <w:color w:val="auto"/>
          <w:kern w:val="0"/>
          <w:sz w:val="24"/>
          <w:lang w:val="en-US" w:eastAsia="zh-CN"/>
        </w:rPr>
        <w:t>/</w:t>
      </w:r>
    </w:p>
    <w:p w14:paraId="60342A26">
      <w:pPr>
        <w:autoSpaceDE w:val="0"/>
        <w:autoSpaceDN w:val="0"/>
        <w:spacing w:line="360" w:lineRule="auto"/>
        <w:ind w:firstLine="480" w:firstLineChars="200"/>
        <w:jc w:val="left"/>
        <w:rPr>
          <w:rFonts w:hint="eastAsia" w:ascii="宋体" w:hAnsi="宋体" w:eastAsia="宋体" w:cs="宋体"/>
          <w:color w:val="auto"/>
          <w:kern w:val="0"/>
          <w:sz w:val="24"/>
          <w:lang w:val="zh-CN" w:eastAsia="zh-CN"/>
        </w:rPr>
      </w:pP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cs="宋体"/>
          <w:color w:val="auto"/>
          <w:kern w:val="0"/>
          <w:sz w:val="24"/>
          <w:lang w:val="zh-CN"/>
        </w:rPr>
        <w:t>收费金额：</w:t>
      </w:r>
      <w:r>
        <w:rPr>
          <w:rFonts w:hint="eastAsia" w:ascii="宋体" w:hAnsi="宋体" w:cs="宋体"/>
          <w:color w:val="auto"/>
          <w:kern w:val="0"/>
          <w:sz w:val="24"/>
          <w:lang w:val="en-US" w:eastAsia="zh-CN"/>
        </w:rPr>
        <w:t>/</w:t>
      </w:r>
    </w:p>
    <w:p w14:paraId="0D4B9603">
      <w:pPr>
        <w:pStyle w:val="15"/>
        <w:spacing w:before="0" w:after="0" w:line="360" w:lineRule="auto"/>
        <w:rPr>
          <w:rFonts w:hint="eastAsia" w:ascii="宋体" w:hAnsi="宋体" w:cs="宋体"/>
          <w:color w:val="auto"/>
          <w:lang w:val="zh-CN"/>
        </w:rPr>
      </w:pPr>
      <w:bookmarkStart w:id="146" w:name="_Toc88234644"/>
      <w:bookmarkStart w:id="147" w:name="_Toc22018"/>
      <w:bookmarkStart w:id="148" w:name="_Toc14075"/>
      <w:r>
        <w:rPr>
          <w:rFonts w:hint="eastAsia" w:ascii="宋体" w:hAnsi="宋体" w:cs="宋体"/>
          <w:color w:val="auto"/>
          <w:lang w:val="zh-CN"/>
        </w:rPr>
        <w:t>十</w:t>
      </w:r>
      <w:r>
        <w:rPr>
          <w:rFonts w:hint="eastAsia" w:ascii="宋体" w:hAnsi="宋体" w:cs="宋体"/>
          <w:color w:val="auto"/>
        </w:rPr>
        <w:t>一</w:t>
      </w:r>
      <w:r>
        <w:rPr>
          <w:rFonts w:hint="eastAsia" w:ascii="宋体" w:hAnsi="宋体" w:cs="宋体"/>
          <w:color w:val="auto"/>
          <w:lang w:val="zh-CN"/>
        </w:rPr>
        <w:t>、其他</w:t>
      </w:r>
      <w:bookmarkEnd w:id="146"/>
      <w:bookmarkEnd w:id="147"/>
      <w:bookmarkEnd w:id="148"/>
    </w:p>
    <w:p w14:paraId="487F68A9">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1、投标人应当遵循公平竞争的原则，不得恶意串通，不得妨碍其他投标人的竞争行为，不得损害采购人或者其他投标人的合法权益。</w:t>
      </w:r>
    </w:p>
    <w:p w14:paraId="5C54080A">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在评标过程中发现投标人有上述情形的，评标委员会应当认定其投标无效，并书面报告本级财政部门。</w:t>
      </w:r>
    </w:p>
    <w:p w14:paraId="71708A06">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2、有下列情形之一的，视为投标人串通投标，其投标无效：</w:t>
      </w:r>
    </w:p>
    <w:p w14:paraId="01180A3A">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（1）不同投标人的投标文件由同一单位或者个人编制；</w:t>
      </w:r>
    </w:p>
    <w:p w14:paraId="58D31139">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（2）不同投标人委托同一单位或者个人办理投标事宜；</w:t>
      </w:r>
    </w:p>
    <w:p w14:paraId="5014106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（3）不同投标人的投标文件载明的项目管理成员或者联系人员为同一人；</w:t>
      </w:r>
    </w:p>
    <w:p w14:paraId="3B1247AD">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（4）不同投标人的投标文件异常一致或者投标报价呈规律性差异；</w:t>
      </w:r>
    </w:p>
    <w:p w14:paraId="1AE229B4">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（5）不同投标人的投标文件相互混装；</w:t>
      </w:r>
    </w:p>
    <w:p w14:paraId="4C1A204E">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3、公开招标数额标准以上的采购项目，投标截止后投标人不足3家或者通过资格审查或符合性审查的投标人不足3家的，除采购任务取消情形外，按照以下方式处理：</w:t>
      </w:r>
    </w:p>
    <w:p w14:paraId="61DAE77A">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（1）招标文件存在不合理条款或者招标程序不符合规定的，采购人、采购代理机构改正后依法重新招标；</w:t>
      </w:r>
    </w:p>
    <w:p w14:paraId="217A664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（2）招标文件没有不合理条款、招标程序符合规定，需要采用其他采购方式采购的，采购人应当依法报财政部门批准。</w:t>
      </w:r>
    </w:p>
    <w:p w14:paraId="7ADBFA54">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sz w:val="24"/>
        </w:rPr>
        <w:t>4、</w:t>
      </w:r>
      <w:r>
        <w:rPr>
          <w:rFonts w:hint="eastAsia" w:ascii="宋体" w:hAnsi="宋体" w:cs="宋体"/>
          <w:color w:val="auto"/>
          <w:kern w:val="0"/>
          <w:sz w:val="24"/>
          <w:lang w:val="zh-CN"/>
        </w:rPr>
        <w:t>在招标采购中，出现下列情形之一的，应予废标：</w:t>
      </w:r>
    </w:p>
    <w:p w14:paraId="7C42CB41">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（1）符合专业条件的投标人或者对招标文件作实质性响应的投标人不足三家的。</w:t>
      </w:r>
    </w:p>
    <w:p w14:paraId="428B57D6">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（2）出现影响采购公正的违法、违规行为的。</w:t>
      </w:r>
    </w:p>
    <w:p w14:paraId="2CD3B3C1">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（3）投标人的报价均超出采购预算，采购人不能支付的。</w:t>
      </w:r>
    </w:p>
    <w:p w14:paraId="4AA6DB16">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（4）因重大变故，采购任务取消的。</w:t>
      </w:r>
    </w:p>
    <w:p w14:paraId="63D28A9F">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rPr>
        <w:t>5、</w:t>
      </w:r>
      <w:r>
        <w:rPr>
          <w:rFonts w:hint="eastAsia" w:ascii="宋体" w:hAnsi="宋体" w:cs="宋体"/>
          <w:color w:val="auto"/>
          <w:kern w:val="0"/>
          <w:sz w:val="24"/>
          <w:lang w:val="zh-CN"/>
        </w:rPr>
        <w:t>废标后，由采购人或者采购代理机构发布废标公告。其他未尽事宜，按照《中华人民共和国政府采购法》《中华人民共和国政府采购法实施条例》、《中华人民共和国民法典》等法律法规的有关条款执行。</w:t>
      </w:r>
    </w:p>
    <w:p w14:paraId="7B803C4A">
      <w:pPr>
        <w:pStyle w:val="15"/>
        <w:spacing w:line="360" w:lineRule="auto"/>
        <w:rPr>
          <w:rFonts w:ascii="Times New Roman" w:hAnsi="Times New Roman"/>
          <w:b w:val="0"/>
          <w:color w:val="auto"/>
          <w:sz w:val="56"/>
          <w:szCs w:val="72"/>
        </w:rPr>
      </w:pPr>
      <w:r>
        <w:rPr>
          <w:rFonts w:ascii="Times New Roman" w:hAnsi="Times New Roman"/>
          <w:color w:val="auto"/>
          <w:sz w:val="24"/>
          <w:szCs w:val="28"/>
        </w:rPr>
        <w:br w:type="page"/>
      </w:r>
      <w:bookmarkStart w:id="149" w:name="_Toc28419"/>
      <w:r>
        <w:rPr>
          <w:rFonts w:ascii="Times New Roman" w:hAnsi="Times New Roman"/>
          <w:color w:val="auto"/>
          <w:lang w:val="zh-CN"/>
        </w:rPr>
        <w:t>第三部分  青海省政府采购合同文本样式</w:t>
      </w:r>
      <w:bookmarkEnd w:id="149"/>
    </w:p>
    <w:p w14:paraId="194AB9A7">
      <w:pPr>
        <w:spacing w:line="360" w:lineRule="auto"/>
        <w:jc w:val="center"/>
        <w:rPr>
          <w:b/>
          <w:color w:val="auto"/>
          <w:spacing w:val="120"/>
          <w:sz w:val="56"/>
          <w:szCs w:val="72"/>
        </w:rPr>
      </w:pPr>
    </w:p>
    <w:p w14:paraId="67A76DAD">
      <w:pPr>
        <w:spacing w:line="360" w:lineRule="auto"/>
        <w:jc w:val="center"/>
        <w:rPr>
          <w:b/>
          <w:color w:val="auto"/>
          <w:spacing w:val="120"/>
          <w:sz w:val="56"/>
          <w:szCs w:val="72"/>
        </w:rPr>
      </w:pPr>
    </w:p>
    <w:p w14:paraId="66BABB55">
      <w:pPr>
        <w:spacing w:line="360" w:lineRule="auto"/>
        <w:jc w:val="center"/>
        <w:rPr>
          <w:b/>
          <w:color w:val="auto"/>
          <w:spacing w:val="120"/>
          <w:sz w:val="56"/>
          <w:szCs w:val="72"/>
        </w:rPr>
      </w:pPr>
    </w:p>
    <w:p w14:paraId="724E5EA4">
      <w:pPr>
        <w:spacing w:line="360" w:lineRule="auto"/>
        <w:jc w:val="center"/>
        <w:rPr>
          <w:b/>
          <w:bCs/>
          <w:color w:val="auto"/>
          <w:sz w:val="40"/>
          <w:szCs w:val="32"/>
          <w:lang w:val="zh-CN"/>
        </w:rPr>
      </w:pPr>
      <w:r>
        <w:rPr>
          <w:b/>
          <w:bCs/>
          <w:color w:val="auto"/>
          <w:sz w:val="40"/>
          <w:szCs w:val="32"/>
          <w:lang w:val="zh-CN"/>
        </w:rPr>
        <w:t>青海省政府采购项目合同书</w:t>
      </w:r>
    </w:p>
    <w:p w14:paraId="0E46E235">
      <w:pPr>
        <w:spacing w:line="360" w:lineRule="auto"/>
        <w:rPr>
          <w:b/>
          <w:color w:val="auto"/>
          <w:sz w:val="56"/>
          <w:szCs w:val="72"/>
        </w:rPr>
      </w:pPr>
    </w:p>
    <w:p w14:paraId="4B5810B6">
      <w:pPr>
        <w:pStyle w:val="5"/>
        <w:rPr>
          <w:b/>
          <w:color w:val="auto"/>
          <w:sz w:val="56"/>
          <w:szCs w:val="72"/>
        </w:rPr>
      </w:pPr>
    </w:p>
    <w:p w14:paraId="5A305691">
      <w:pPr>
        <w:pStyle w:val="9"/>
        <w:rPr>
          <w:b/>
          <w:color w:val="auto"/>
          <w:sz w:val="56"/>
          <w:szCs w:val="72"/>
        </w:rPr>
      </w:pPr>
    </w:p>
    <w:p w14:paraId="5E577E2B">
      <w:pPr>
        <w:pStyle w:val="10"/>
      </w:pPr>
    </w:p>
    <w:p w14:paraId="53F17A10">
      <w:pPr>
        <w:autoSpaceDE w:val="0"/>
        <w:autoSpaceDN w:val="0"/>
        <w:adjustRightInd w:val="0"/>
        <w:spacing w:line="360" w:lineRule="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 xml:space="preserve">采购项目编号：  </w:t>
      </w:r>
    </w:p>
    <w:p w14:paraId="2831492A">
      <w:pPr>
        <w:autoSpaceDE w:val="0"/>
        <w:autoSpaceDN w:val="0"/>
        <w:adjustRightInd w:val="0"/>
        <w:spacing w:line="360" w:lineRule="auto"/>
        <w:ind w:left="2108" w:hanging="2108" w:hangingChars="700"/>
        <w:rPr>
          <w:rFonts w:hint="eastAsia" w:ascii="宋体" w:hAnsi="宋体" w:eastAsia="宋体" w:cs="宋体"/>
          <w:b/>
          <w:bCs/>
          <w:color w:val="auto"/>
          <w:kern w:val="0"/>
          <w:sz w:val="30"/>
          <w:szCs w:val="30"/>
          <w:highlight w:val="none"/>
          <w:lang w:val="zh-CN"/>
        </w:rPr>
      </w:pPr>
      <w:r>
        <w:rPr>
          <w:rFonts w:hint="eastAsia" w:ascii="宋体" w:hAnsi="宋体" w:eastAsia="宋体" w:cs="宋体"/>
          <w:b/>
          <w:bCs/>
          <w:color w:val="auto"/>
          <w:kern w:val="0"/>
          <w:sz w:val="30"/>
          <w:szCs w:val="30"/>
          <w:highlight w:val="none"/>
          <w:lang w:val="zh-CN"/>
        </w:rPr>
        <w:t>采购项目名称：</w:t>
      </w:r>
    </w:p>
    <w:p w14:paraId="3444CEE1">
      <w:pPr>
        <w:autoSpaceDE w:val="0"/>
        <w:autoSpaceDN w:val="0"/>
        <w:adjustRightInd w:val="0"/>
        <w:spacing w:line="360" w:lineRule="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采购合同编号：</w:t>
      </w:r>
    </w:p>
    <w:p w14:paraId="07B11D97">
      <w:pPr>
        <w:autoSpaceDE w:val="0"/>
        <w:autoSpaceDN w:val="0"/>
        <w:adjustRightInd w:val="0"/>
        <w:spacing w:line="360" w:lineRule="auto"/>
        <w:rPr>
          <w:rFonts w:hint="default" w:ascii="宋体" w:hAnsi="宋体" w:eastAsia="宋体" w:cs="宋体"/>
          <w:b/>
          <w:bCs/>
          <w:color w:val="auto"/>
          <w:kern w:val="0"/>
          <w:sz w:val="30"/>
          <w:szCs w:val="30"/>
          <w:u w:val="none"/>
          <w:lang w:val="en-US" w:eastAsia="zh-CN"/>
        </w:rPr>
      </w:pPr>
      <w:r>
        <w:rPr>
          <w:rFonts w:hint="eastAsia" w:ascii="宋体" w:hAnsi="宋体" w:eastAsia="宋体" w:cs="宋体"/>
          <w:b/>
          <w:bCs/>
          <w:color w:val="auto"/>
          <w:kern w:val="0"/>
          <w:sz w:val="30"/>
          <w:szCs w:val="30"/>
          <w:u w:val="none"/>
          <w:lang w:val="en-US" w:eastAsia="zh-CN"/>
        </w:rPr>
        <w:t>中 标 价：</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none"/>
          <w:lang w:val="en-US" w:eastAsia="zh-CN"/>
        </w:rPr>
        <w:t xml:space="preserve"> </w:t>
      </w:r>
    </w:p>
    <w:p w14:paraId="6C661B77">
      <w:pPr>
        <w:autoSpaceDE w:val="0"/>
        <w:autoSpaceDN w:val="0"/>
        <w:adjustRightInd w:val="0"/>
        <w:spacing w:line="360" w:lineRule="auto"/>
        <w:rPr>
          <w:rFonts w:hint="default" w:ascii="宋体" w:hAnsi="宋体" w:eastAsia="宋体" w:cs="宋体"/>
          <w:b/>
          <w:bCs/>
          <w:color w:val="auto"/>
          <w:kern w:val="0"/>
          <w:sz w:val="30"/>
          <w:szCs w:val="30"/>
          <w:u w:val="single"/>
          <w:lang w:val="en-US" w:eastAsia="zh-CN"/>
        </w:rPr>
      </w:pPr>
      <w:r>
        <w:rPr>
          <w:rFonts w:hint="eastAsia" w:ascii="宋体" w:hAnsi="宋体" w:eastAsia="宋体" w:cs="宋体"/>
          <w:b/>
          <w:bCs/>
          <w:color w:val="auto"/>
          <w:kern w:val="0"/>
          <w:sz w:val="30"/>
          <w:szCs w:val="30"/>
          <w:u w:val="none"/>
          <w:lang w:val="en-US" w:eastAsia="zh-CN"/>
        </w:rPr>
        <w:t>包    号：</w:t>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 xml:space="preserve">  /                 </w:t>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 xml:space="preserve">        </w:t>
      </w:r>
    </w:p>
    <w:p w14:paraId="64E66BE4">
      <w:pPr>
        <w:autoSpaceDE w:val="0"/>
        <w:autoSpaceDN w:val="0"/>
        <w:adjustRightInd w:val="0"/>
        <w:spacing w:line="360" w:lineRule="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14:paraId="681C2953">
      <w:pPr>
        <w:autoSpaceDE w:val="0"/>
        <w:autoSpaceDN w:val="0"/>
        <w:adjustRightInd w:val="0"/>
        <w:spacing w:line="360" w:lineRule="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中标人（乙方）：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14:paraId="4DB7764B">
      <w:pPr>
        <w:autoSpaceDE w:val="0"/>
        <w:autoSpaceDN w:val="0"/>
        <w:adjustRightInd w:val="0"/>
        <w:spacing w:line="360" w:lineRule="auto"/>
        <w:rPr>
          <w:rFonts w:hint="eastAsia" w:ascii="宋体" w:hAnsi="宋体" w:eastAsia="宋体" w:cs="宋体"/>
          <w:b/>
          <w:bCs/>
          <w:color w:val="auto"/>
          <w:kern w:val="0"/>
          <w:sz w:val="30"/>
          <w:szCs w:val="30"/>
          <w:u w:val="single"/>
          <w:lang w:val="zh-CN"/>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lang w:val="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 xml:space="preserve">  </w:t>
      </w:r>
    </w:p>
    <w:p w14:paraId="02CA8E0D">
      <w:pPr>
        <w:autoSpaceDE w:val="0"/>
        <w:autoSpaceDN w:val="0"/>
        <w:adjustRightInd w:val="0"/>
        <w:spacing w:line="360" w:lineRule="auto"/>
        <w:jc w:val="left"/>
        <w:rPr>
          <w:rFonts w:hint="eastAsia" w:ascii="宋体" w:hAnsi="宋体" w:eastAsia="宋体" w:cs="宋体"/>
          <w:color w:val="auto"/>
          <w:kern w:val="0"/>
        </w:rPr>
      </w:pPr>
    </w:p>
    <w:p w14:paraId="31BB019B">
      <w:pPr>
        <w:autoSpaceDE w:val="0"/>
        <w:autoSpaceDN w:val="0"/>
        <w:adjustRightInd w:val="0"/>
        <w:spacing w:line="360" w:lineRule="auto"/>
        <w:ind w:firstLine="422" w:firstLineChars="200"/>
        <w:jc w:val="left"/>
        <w:rPr>
          <w:rFonts w:hint="eastAsia" w:ascii="宋体" w:hAnsi="宋体" w:eastAsia="宋体" w:cs="宋体"/>
          <w:color w:val="auto"/>
          <w:kern w:val="0"/>
        </w:rPr>
      </w:pPr>
      <w:r>
        <w:rPr>
          <w:rFonts w:hint="eastAsia" w:ascii="宋体" w:hAnsi="宋体" w:eastAsia="宋体" w:cs="宋体"/>
          <w:b/>
          <w:bCs/>
          <w:color w:val="auto"/>
          <w:kern w:val="0"/>
        </w:rPr>
        <w:t>注：此为签订合同参考范本，合同签订双方可根据项目的具体要求进行补充修订，但合同标的、数量、金额、服务承诺等必须与招标文件和中标人的投标文件内容保持一致。</w:t>
      </w:r>
    </w:p>
    <w:p w14:paraId="4972A349">
      <w:pPr>
        <w:spacing w:line="300" w:lineRule="auto"/>
        <w:jc w:val="left"/>
        <w:rPr>
          <w:b/>
          <w:color w:val="auto"/>
          <w:sz w:val="24"/>
        </w:rPr>
      </w:pPr>
      <w:r>
        <w:rPr>
          <w:color w:val="auto"/>
          <w:sz w:val="28"/>
          <w:szCs w:val="28"/>
          <w:u w:val="single"/>
        </w:rPr>
        <w:br w:type="page"/>
      </w:r>
      <w:r>
        <w:rPr>
          <w:b/>
          <w:color w:val="auto"/>
          <w:sz w:val="24"/>
        </w:rPr>
        <w:t>采购人（以下简称甲方）：</w:t>
      </w:r>
    </w:p>
    <w:p w14:paraId="72C484C6">
      <w:pPr>
        <w:spacing w:line="300" w:lineRule="auto"/>
        <w:rPr>
          <w:b/>
          <w:color w:val="auto"/>
          <w:sz w:val="24"/>
        </w:rPr>
      </w:pPr>
      <w:r>
        <w:rPr>
          <w:b/>
          <w:color w:val="auto"/>
          <w:sz w:val="24"/>
        </w:rPr>
        <w:t>供应商（以下简称乙方）：</w:t>
      </w:r>
    </w:p>
    <w:p w14:paraId="0582BB94">
      <w:pPr>
        <w:spacing w:line="360" w:lineRule="auto"/>
        <w:ind w:firstLine="480" w:firstLineChars="200"/>
        <w:rPr>
          <w:color w:val="auto"/>
          <w:sz w:val="24"/>
        </w:rPr>
      </w:pPr>
      <w:r>
        <w:rPr>
          <w:color w:val="auto"/>
          <w:sz w:val="24"/>
        </w:rPr>
        <w:t>甲、乙双方根据</w:t>
      </w:r>
      <w:r>
        <w:rPr>
          <w:rFonts w:hint="eastAsia"/>
          <w:color w:val="auto"/>
          <w:sz w:val="24"/>
        </w:rPr>
        <w:t xml:space="preserve"> </w:t>
      </w:r>
      <w:r>
        <w:rPr>
          <w:rFonts w:hint="eastAsia"/>
          <w:color w:val="auto"/>
          <w:sz w:val="24"/>
          <w:u w:val="single"/>
        </w:rPr>
        <w:t xml:space="preserve">    </w:t>
      </w:r>
      <w:r>
        <w:rPr>
          <w:color w:val="auto"/>
          <w:sz w:val="24"/>
        </w:rPr>
        <w:t>年</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月</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日</w:t>
      </w:r>
      <w:r>
        <w:rPr>
          <w:color w:val="auto"/>
          <w:kern w:val="0"/>
          <w:sz w:val="24"/>
          <w:lang w:val="zh-CN"/>
        </w:rPr>
        <w:t xml:space="preserve"> </w:t>
      </w:r>
      <w:r>
        <w:rPr>
          <w:color w:val="auto"/>
          <w:kern w:val="0"/>
          <w:sz w:val="24"/>
          <w:u w:val="single"/>
          <w:lang w:val="zh-CN"/>
        </w:rPr>
        <w:t xml:space="preserve">             </w:t>
      </w:r>
      <w:r>
        <w:rPr>
          <w:color w:val="auto"/>
          <w:sz w:val="24"/>
        </w:rPr>
        <w:t>（</w:t>
      </w:r>
      <w:r>
        <w:rPr>
          <w:rFonts w:hint="eastAsia"/>
          <w:color w:val="auto"/>
          <w:sz w:val="24"/>
          <w:lang w:val="en-US" w:eastAsia="zh-CN"/>
        </w:rPr>
        <w:t>项目编号</w:t>
      </w:r>
      <w:r>
        <w:rPr>
          <w:color w:val="auto"/>
          <w:sz w:val="24"/>
        </w:rPr>
        <w:t>）的招标文件要求和采购代理机构出具的《中标通知书》，并经双方协商一致，签订本合同协议书。</w:t>
      </w:r>
    </w:p>
    <w:p w14:paraId="04DAA5C8">
      <w:pPr>
        <w:spacing w:line="360" w:lineRule="auto"/>
        <w:rPr>
          <w:b/>
          <w:color w:val="auto"/>
          <w:sz w:val="24"/>
        </w:rPr>
      </w:pPr>
      <w:r>
        <w:rPr>
          <w:b/>
          <w:color w:val="auto"/>
          <w:sz w:val="24"/>
        </w:rPr>
        <w:t>一、签订本政府采购合同的依据</w:t>
      </w:r>
    </w:p>
    <w:p w14:paraId="4550FAC1">
      <w:pPr>
        <w:spacing w:line="360" w:lineRule="auto"/>
        <w:ind w:firstLine="480" w:firstLineChars="200"/>
        <w:rPr>
          <w:color w:val="auto"/>
          <w:sz w:val="24"/>
        </w:rPr>
      </w:pPr>
      <w:r>
        <w:rPr>
          <w:color w:val="auto"/>
          <w:sz w:val="24"/>
        </w:rPr>
        <w:t>本政府采购合同所附下列文件是构成本政府采购合同不可分割的部分：</w:t>
      </w:r>
    </w:p>
    <w:p w14:paraId="470B6CED">
      <w:pPr>
        <w:spacing w:line="360" w:lineRule="auto"/>
        <w:rPr>
          <w:color w:val="auto"/>
          <w:sz w:val="24"/>
          <w:highlight w:val="none"/>
        </w:rPr>
      </w:pPr>
      <w:r>
        <w:rPr>
          <w:color w:val="auto"/>
          <w:sz w:val="24"/>
        </w:rPr>
        <w:t>1．招标</w:t>
      </w:r>
      <w:r>
        <w:rPr>
          <w:color w:val="auto"/>
          <w:sz w:val="24"/>
          <w:highlight w:val="none"/>
        </w:rPr>
        <w:t>文件；</w:t>
      </w:r>
    </w:p>
    <w:p w14:paraId="7FBC5E67">
      <w:pPr>
        <w:spacing w:line="360" w:lineRule="auto"/>
        <w:rPr>
          <w:color w:val="auto"/>
          <w:sz w:val="24"/>
          <w:highlight w:val="none"/>
        </w:rPr>
      </w:pPr>
      <w:r>
        <w:rPr>
          <w:color w:val="auto"/>
          <w:sz w:val="24"/>
          <w:highlight w:val="none"/>
        </w:rPr>
        <w:t>2．招标文件的更正、变更公告；</w:t>
      </w:r>
    </w:p>
    <w:p w14:paraId="5C949B71">
      <w:pPr>
        <w:spacing w:line="360" w:lineRule="auto"/>
        <w:rPr>
          <w:color w:val="auto"/>
          <w:sz w:val="24"/>
          <w:highlight w:val="none"/>
        </w:rPr>
      </w:pPr>
      <w:r>
        <w:rPr>
          <w:color w:val="auto"/>
          <w:sz w:val="24"/>
          <w:highlight w:val="none"/>
        </w:rPr>
        <w:t>3．中标供应商提交的投标文件；</w:t>
      </w:r>
    </w:p>
    <w:p w14:paraId="01331C1F">
      <w:pPr>
        <w:spacing w:line="360" w:lineRule="auto"/>
        <w:rPr>
          <w:color w:val="auto"/>
          <w:sz w:val="24"/>
          <w:highlight w:val="none"/>
        </w:rPr>
      </w:pPr>
      <w:r>
        <w:rPr>
          <w:color w:val="auto"/>
          <w:sz w:val="24"/>
          <w:highlight w:val="none"/>
        </w:rPr>
        <w:t>4．招标文件中规定的政府采购合同通用条款；</w:t>
      </w:r>
    </w:p>
    <w:p w14:paraId="323FC5FA">
      <w:pPr>
        <w:spacing w:line="360" w:lineRule="auto"/>
        <w:rPr>
          <w:rFonts w:hint="eastAsia"/>
          <w:color w:val="auto"/>
          <w:sz w:val="24"/>
          <w:highlight w:val="none"/>
        </w:rPr>
      </w:pPr>
      <w:r>
        <w:rPr>
          <w:color w:val="auto"/>
          <w:sz w:val="24"/>
          <w:highlight w:val="none"/>
        </w:rPr>
        <w:t>5</w:t>
      </w:r>
      <w:bookmarkStart w:id="150" w:name="OLE_LINK19"/>
      <w:r>
        <w:rPr>
          <w:color w:val="auto"/>
          <w:sz w:val="24"/>
          <w:highlight w:val="none"/>
        </w:rPr>
        <w:t>．</w:t>
      </w:r>
      <w:bookmarkEnd w:id="150"/>
      <w:r>
        <w:rPr>
          <w:color w:val="auto"/>
          <w:sz w:val="24"/>
          <w:highlight w:val="none"/>
        </w:rPr>
        <w:t>中标通知书</w:t>
      </w:r>
      <w:r>
        <w:rPr>
          <w:rFonts w:hint="eastAsia"/>
          <w:color w:val="auto"/>
          <w:sz w:val="24"/>
          <w:highlight w:val="none"/>
        </w:rPr>
        <w:t>；</w:t>
      </w:r>
    </w:p>
    <w:p w14:paraId="01F71B31">
      <w:pPr>
        <w:pStyle w:val="5"/>
        <w:rPr>
          <w:rFonts w:hint="default" w:eastAsia="宋体"/>
          <w:color w:val="auto"/>
          <w:lang w:val="en-US" w:eastAsia="zh-CN"/>
        </w:rPr>
      </w:pPr>
      <w:r>
        <w:rPr>
          <w:rFonts w:hint="eastAsia"/>
          <w:color w:val="auto"/>
          <w:sz w:val="24"/>
          <w:highlight w:val="none"/>
          <w:lang w:val="en-US" w:eastAsia="zh-CN"/>
        </w:rPr>
        <w:t>6</w:t>
      </w:r>
      <w:r>
        <w:rPr>
          <w:color w:val="auto"/>
          <w:sz w:val="24"/>
          <w:highlight w:val="none"/>
        </w:rPr>
        <w:t>．</w:t>
      </w:r>
      <w:r>
        <w:rPr>
          <w:rFonts w:hint="eastAsia" w:ascii="宋体" w:hAnsi="宋体"/>
          <w:color w:val="auto"/>
          <w:sz w:val="24"/>
        </w:rPr>
        <w:t>履约保证金缴纳凭证。</w:t>
      </w:r>
    </w:p>
    <w:p w14:paraId="333F17D5">
      <w:pPr>
        <w:spacing w:line="360" w:lineRule="auto"/>
        <w:rPr>
          <w:b/>
          <w:color w:val="auto"/>
          <w:sz w:val="24"/>
          <w:highlight w:val="none"/>
        </w:rPr>
      </w:pPr>
      <w:r>
        <w:rPr>
          <w:b/>
          <w:color w:val="auto"/>
          <w:sz w:val="24"/>
          <w:highlight w:val="none"/>
        </w:rPr>
        <w:t xml:space="preserve">二、合同标的及金额                                          </w:t>
      </w:r>
      <w:r>
        <w:rPr>
          <w:color w:val="auto"/>
          <w:sz w:val="24"/>
          <w:highlight w:val="none"/>
        </w:rPr>
        <w:t>单位：元</w:t>
      </w:r>
    </w:p>
    <w:tbl>
      <w:tblPr>
        <w:tblStyle w:val="16"/>
        <w:tblW w:w="0" w:type="auto"/>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14:paraId="2889CF80">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1BA4C6">
            <w:pPr>
              <w:spacing w:line="360" w:lineRule="auto"/>
              <w:jc w:val="center"/>
              <w:rPr>
                <w:color w:val="auto"/>
                <w:sz w:val="24"/>
                <w:highlight w:val="none"/>
              </w:rPr>
            </w:pPr>
            <w:r>
              <w:rPr>
                <w:color w:val="auto"/>
                <w:sz w:val="24"/>
                <w:highlight w:val="none"/>
              </w:rPr>
              <w:t>编号</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14:paraId="20144685">
            <w:pPr>
              <w:spacing w:line="360" w:lineRule="auto"/>
              <w:jc w:val="center"/>
              <w:rPr>
                <w:color w:val="auto"/>
                <w:sz w:val="24"/>
                <w:highlight w:val="none"/>
              </w:rPr>
            </w:pPr>
            <w:r>
              <w:rPr>
                <w:color w:val="auto"/>
                <w:sz w:val="24"/>
                <w:highlight w:val="none"/>
              </w:rPr>
              <w:t>标的名称</w:t>
            </w: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14:paraId="1560655C">
            <w:pPr>
              <w:spacing w:line="360" w:lineRule="auto"/>
              <w:jc w:val="center"/>
              <w:rPr>
                <w:color w:val="auto"/>
                <w:sz w:val="24"/>
                <w:highlight w:val="none"/>
              </w:rPr>
            </w:pPr>
            <w:r>
              <w:rPr>
                <w:color w:val="auto"/>
                <w:sz w:val="24"/>
                <w:highlight w:val="none"/>
              </w:rPr>
              <w:t>型号规格</w:t>
            </w: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14:paraId="74928869">
            <w:pPr>
              <w:spacing w:line="360" w:lineRule="auto"/>
              <w:jc w:val="center"/>
              <w:rPr>
                <w:color w:val="auto"/>
                <w:sz w:val="24"/>
                <w:highlight w:val="none"/>
              </w:rPr>
            </w:pPr>
            <w:r>
              <w:rPr>
                <w:color w:val="auto"/>
                <w:sz w:val="24"/>
                <w:highlight w:val="none"/>
              </w:rPr>
              <w:t>数量</w:t>
            </w: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14:paraId="0D8644E6">
            <w:pPr>
              <w:spacing w:line="360" w:lineRule="auto"/>
              <w:jc w:val="center"/>
              <w:rPr>
                <w:color w:val="auto"/>
                <w:sz w:val="24"/>
                <w:highlight w:val="none"/>
              </w:rPr>
            </w:pPr>
            <w:r>
              <w:rPr>
                <w:color w:val="auto"/>
                <w:sz w:val="24"/>
                <w:highlight w:val="none"/>
              </w:rPr>
              <w:t>单价</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14:paraId="5AD8DA3E">
            <w:pPr>
              <w:spacing w:line="360" w:lineRule="auto"/>
              <w:jc w:val="center"/>
              <w:rPr>
                <w:color w:val="auto"/>
                <w:sz w:val="24"/>
                <w:highlight w:val="none"/>
              </w:rPr>
            </w:pPr>
            <w:r>
              <w:rPr>
                <w:color w:val="auto"/>
                <w:sz w:val="24"/>
                <w:highlight w:val="none"/>
              </w:rPr>
              <w:t>总价</w:t>
            </w:r>
          </w:p>
        </w:tc>
        <w:tc>
          <w:tcPr>
            <w:tcW w:w="2126" w:type="dxa"/>
            <w:tcBorders>
              <w:top w:val="single" w:color="auto" w:sz="4" w:space="0"/>
              <w:left w:val="nil"/>
              <w:bottom w:val="single" w:color="auto" w:sz="4" w:space="0"/>
              <w:right w:val="single" w:color="auto" w:sz="4" w:space="0"/>
            </w:tcBorders>
            <w:shd w:val="clear" w:color="auto" w:fill="FFFFFF"/>
            <w:noWrap w:val="0"/>
            <w:vAlign w:val="center"/>
          </w:tcPr>
          <w:p w14:paraId="0A19832A">
            <w:pPr>
              <w:spacing w:line="360" w:lineRule="auto"/>
              <w:jc w:val="center"/>
              <w:rPr>
                <w:color w:val="auto"/>
                <w:sz w:val="24"/>
                <w:highlight w:val="none"/>
              </w:rPr>
            </w:pPr>
            <w:r>
              <w:rPr>
                <w:color w:val="auto"/>
                <w:sz w:val="24"/>
                <w:highlight w:val="none"/>
              </w:rPr>
              <w:t>备注</w:t>
            </w:r>
          </w:p>
        </w:tc>
      </w:tr>
      <w:tr w14:paraId="2F9D34BB">
        <w:tblPrEx>
          <w:tblCellMar>
            <w:top w:w="0" w:type="dxa"/>
            <w:left w:w="108" w:type="dxa"/>
            <w:bottom w:w="0" w:type="dxa"/>
            <w:right w:w="108" w:type="dxa"/>
          </w:tblCellMar>
        </w:tblPrEx>
        <w:trPr>
          <w:trHeight w:val="152"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14:paraId="0A403BEB">
            <w:pPr>
              <w:spacing w:line="360" w:lineRule="auto"/>
              <w:jc w:val="center"/>
              <w:rPr>
                <w:color w:val="auto"/>
                <w:sz w:val="24"/>
                <w:highlight w:val="none"/>
              </w:rPr>
            </w:pPr>
          </w:p>
        </w:tc>
        <w:tc>
          <w:tcPr>
            <w:tcW w:w="1260" w:type="dxa"/>
            <w:tcBorders>
              <w:top w:val="nil"/>
              <w:left w:val="nil"/>
              <w:bottom w:val="single" w:color="auto" w:sz="4" w:space="0"/>
              <w:right w:val="single" w:color="auto" w:sz="4" w:space="0"/>
            </w:tcBorders>
            <w:shd w:val="clear" w:color="auto" w:fill="FFFFFF"/>
            <w:noWrap w:val="0"/>
            <w:vAlign w:val="center"/>
          </w:tcPr>
          <w:p w14:paraId="5C99C3A9">
            <w:pPr>
              <w:spacing w:line="360" w:lineRule="auto"/>
              <w:jc w:val="center"/>
              <w:rPr>
                <w:color w:val="auto"/>
                <w:sz w:val="24"/>
                <w:highlight w:val="none"/>
              </w:rPr>
            </w:pPr>
          </w:p>
        </w:tc>
        <w:tc>
          <w:tcPr>
            <w:tcW w:w="1308" w:type="dxa"/>
            <w:tcBorders>
              <w:top w:val="nil"/>
              <w:left w:val="nil"/>
              <w:bottom w:val="single" w:color="auto" w:sz="4" w:space="0"/>
              <w:right w:val="single" w:color="auto" w:sz="4" w:space="0"/>
            </w:tcBorders>
            <w:shd w:val="clear" w:color="auto" w:fill="FFFFFF"/>
            <w:noWrap w:val="0"/>
            <w:vAlign w:val="center"/>
          </w:tcPr>
          <w:p w14:paraId="5E553AE8">
            <w:pPr>
              <w:spacing w:line="360" w:lineRule="auto"/>
              <w:jc w:val="center"/>
              <w:rPr>
                <w:color w:val="auto"/>
                <w:sz w:val="24"/>
                <w:highlight w:val="none"/>
              </w:rPr>
            </w:pPr>
          </w:p>
        </w:tc>
        <w:tc>
          <w:tcPr>
            <w:tcW w:w="708" w:type="dxa"/>
            <w:tcBorders>
              <w:top w:val="nil"/>
              <w:left w:val="nil"/>
              <w:bottom w:val="single" w:color="auto" w:sz="4" w:space="0"/>
              <w:right w:val="single" w:color="auto" w:sz="4" w:space="0"/>
            </w:tcBorders>
            <w:shd w:val="clear" w:color="auto" w:fill="FFFFFF"/>
            <w:noWrap w:val="0"/>
            <w:vAlign w:val="center"/>
          </w:tcPr>
          <w:p w14:paraId="0F0F1873">
            <w:pPr>
              <w:spacing w:line="360" w:lineRule="auto"/>
              <w:jc w:val="center"/>
              <w:rPr>
                <w:color w:val="auto"/>
                <w:sz w:val="24"/>
                <w:highlight w:val="none"/>
              </w:rPr>
            </w:pPr>
          </w:p>
        </w:tc>
        <w:tc>
          <w:tcPr>
            <w:tcW w:w="1560" w:type="dxa"/>
            <w:tcBorders>
              <w:top w:val="nil"/>
              <w:left w:val="nil"/>
              <w:bottom w:val="single" w:color="auto" w:sz="4" w:space="0"/>
              <w:right w:val="single" w:color="auto" w:sz="4" w:space="0"/>
            </w:tcBorders>
            <w:shd w:val="clear" w:color="auto" w:fill="FFFFFF"/>
            <w:noWrap w:val="0"/>
            <w:vAlign w:val="center"/>
          </w:tcPr>
          <w:p w14:paraId="707ABBE2">
            <w:pPr>
              <w:spacing w:line="360" w:lineRule="auto"/>
              <w:jc w:val="center"/>
              <w:rPr>
                <w:color w:val="auto"/>
                <w:sz w:val="24"/>
                <w:highlight w:val="none"/>
              </w:rPr>
            </w:pPr>
          </w:p>
        </w:tc>
        <w:tc>
          <w:tcPr>
            <w:tcW w:w="1417" w:type="dxa"/>
            <w:tcBorders>
              <w:top w:val="nil"/>
              <w:left w:val="nil"/>
              <w:bottom w:val="single" w:color="auto" w:sz="4" w:space="0"/>
              <w:right w:val="nil"/>
            </w:tcBorders>
            <w:shd w:val="clear" w:color="auto" w:fill="FFFFFF"/>
            <w:noWrap w:val="0"/>
            <w:vAlign w:val="center"/>
          </w:tcPr>
          <w:p w14:paraId="1084E7A2">
            <w:pPr>
              <w:spacing w:line="360" w:lineRule="auto"/>
              <w:jc w:val="center"/>
              <w:rPr>
                <w:color w:val="auto"/>
                <w:sz w:val="24"/>
                <w:highlight w:val="none"/>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14:paraId="6A68CB49">
            <w:pPr>
              <w:spacing w:line="360" w:lineRule="auto"/>
              <w:jc w:val="center"/>
              <w:rPr>
                <w:color w:val="auto"/>
                <w:sz w:val="24"/>
                <w:highlight w:val="none"/>
              </w:rPr>
            </w:pPr>
          </w:p>
        </w:tc>
      </w:tr>
      <w:tr w14:paraId="7DAA4A96">
        <w:tblPrEx>
          <w:tblCellMar>
            <w:top w:w="0" w:type="dxa"/>
            <w:left w:w="108" w:type="dxa"/>
            <w:bottom w:w="0" w:type="dxa"/>
            <w:right w:w="108" w:type="dxa"/>
          </w:tblCellMar>
        </w:tblPrEx>
        <w:trPr>
          <w:trHeight w:val="90"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14:paraId="1FDC9A5C">
            <w:pPr>
              <w:spacing w:line="360" w:lineRule="auto"/>
              <w:jc w:val="center"/>
              <w:rPr>
                <w:color w:val="auto"/>
                <w:sz w:val="24"/>
                <w:highlight w:val="none"/>
              </w:rPr>
            </w:pPr>
          </w:p>
        </w:tc>
        <w:tc>
          <w:tcPr>
            <w:tcW w:w="1260" w:type="dxa"/>
            <w:tcBorders>
              <w:top w:val="nil"/>
              <w:left w:val="nil"/>
              <w:bottom w:val="single" w:color="auto" w:sz="4" w:space="0"/>
              <w:right w:val="single" w:color="auto" w:sz="4" w:space="0"/>
            </w:tcBorders>
            <w:shd w:val="clear" w:color="auto" w:fill="FFFFFF"/>
            <w:noWrap w:val="0"/>
            <w:vAlign w:val="center"/>
          </w:tcPr>
          <w:p w14:paraId="79B24F76">
            <w:pPr>
              <w:spacing w:line="360" w:lineRule="auto"/>
              <w:jc w:val="center"/>
              <w:rPr>
                <w:color w:val="auto"/>
                <w:sz w:val="24"/>
                <w:highlight w:val="none"/>
              </w:rPr>
            </w:pPr>
          </w:p>
        </w:tc>
        <w:tc>
          <w:tcPr>
            <w:tcW w:w="1308" w:type="dxa"/>
            <w:tcBorders>
              <w:top w:val="nil"/>
              <w:left w:val="nil"/>
              <w:bottom w:val="single" w:color="auto" w:sz="4" w:space="0"/>
              <w:right w:val="single" w:color="auto" w:sz="4" w:space="0"/>
            </w:tcBorders>
            <w:shd w:val="clear" w:color="auto" w:fill="FFFFFF"/>
            <w:noWrap w:val="0"/>
            <w:vAlign w:val="center"/>
          </w:tcPr>
          <w:p w14:paraId="2A88F520">
            <w:pPr>
              <w:spacing w:line="360" w:lineRule="auto"/>
              <w:jc w:val="center"/>
              <w:rPr>
                <w:color w:val="auto"/>
                <w:sz w:val="24"/>
                <w:highlight w:val="none"/>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14:paraId="1578297C">
            <w:pPr>
              <w:spacing w:line="360" w:lineRule="auto"/>
              <w:jc w:val="center"/>
              <w:rPr>
                <w:color w:val="auto"/>
                <w:sz w:val="24"/>
                <w:highlight w:val="none"/>
              </w:rPr>
            </w:pPr>
          </w:p>
        </w:tc>
        <w:tc>
          <w:tcPr>
            <w:tcW w:w="1560" w:type="dxa"/>
            <w:tcBorders>
              <w:top w:val="nil"/>
              <w:left w:val="nil"/>
              <w:bottom w:val="single" w:color="auto" w:sz="4" w:space="0"/>
              <w:right w:val="single" w:color="auto" w:sz="4" w:space="0"/>
            </w:tcBorders>
            <w:shd w:val="clear" w:color="auto" w:fill="FFFFFF"/>
            <w:noWrap w:val="0"/>
            <w:vAlign w:val="center"/>
          </w:tcPr>
          <w:p w14:paraId="0B8F9C3A">
            <w:pPr>
              <w:spacing w:line="360" w:lineRule="auto"/>
              <w:jc w:val="center"/>
              <w:rPr>
                <w:color w:val="auto"/>
                <w:sz w:val="24"/>
                <w:highlight w:val="none"/>
              </w:rPr>
            </w:pPr>
          </w:p>
        </w:tc>
        <w:tc>
          <w:tcPr>
            <w:tcW w:w="1417" w:type="dxa"/>
            <w:tcBorders>
              <w:top w:val="nil"/>
              <w:left w:val="nil"/>
              <w:bottom w:val="single" w:color="auto" w:sz="4" w:space="0"/>
              <w:right w:val="nil"/>
            </w:tcBorders>
            <w:shd w:val="clear" w:color="auto" w:fill="FFFFFF"/>
            <w:noWrap w:val="0"/>
            <w:vAlign w:val="center"/>
          </w:tcPr>
          <w:p w14:paraId="0769BD30">
            <w:pPr>
              <w:spacing w:line="360" w:lineRule="auto"/>
              <w:jc w:val="center"/>
              <w:rPr>
                <w:color w:val="auto"/>
                <w:sz w:val="24"/>
                <w:highlight w:val="none"/>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14:paraId="34CE08E0">
            <w:pPr>
              <w:spacing w:line="360" w:lineRule="auto"/>
              <w:jc w:val="center"/>
              <w:rPr>
                <w:color w:val="auto"/>
                <w:sz w:val="24"/>
                <w:highlight w:val="none"/>
              </w:rPr>
            </w:pPr>
          </w:p>
        </w:tc>
      </w:tr>
      <w:tr w14:paraId="5BECC548">
        <w:tblPrEx>
          <w:tblCellMar>
            <w:top w:w="0" w:type="dxa"/>
            <w:left w:w="108" w:type="dxa"/>
            <w:bottom w:w="0" w:type="dxa"/>
            <w:right w:w="108" w:type="dxa"/>
          </w:tblCellMar>
        </w:tblPrEx>
        <w:trPr>
          <w:trHeight w:val="90"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3CFFCA">
            <w:pPr>
              <w:spacing w:line="360" w:lineRule="auto"/>
              <w:jc w:val="center"/>
              <w:rPr>
                <w:color w:val="auto"/>
                <w:sz w:val="24"/>
                <w:highlight w:val="none"/>
              </w:rPr>
            </w:pP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14:paraId="43621033">
            <w:pPr>
              <w:spacing w:line="360" w:lineRule="auto"/>
              <w:jc w:val="center"/>
              <w:rPr>
                <w:color w:val="auto"/>
                <w:sz w:val="24"/>
                <w:highlight w:val="none"/>
              </w:rPr>
            </w:pP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14:paraId="20B134B3">
            <w:pPr>
              <w:spacing w:line="360" w:lineRule="auto"/>
              <w:jc w:val="center"/>
              <w:rPr>
                <w:color w:val="auto"/>
                <w:sz w:val="24"/>
                <w:highlight w:val="none"/>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14:paraId="45E4F09F">
            <w:pPr>
              <w:spacing w:line="360" w:lineRule="auto"/>
              <w:jc w:val="center"/>
              <w:rPr>
                <w:color w:val="auto"/>
                <w:sz w:val="24"/>
                <w:highlight w:val="none"/>
              </w:rPr>
            </w:pP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14:paraId="0CEBFFBD">
            <w:pPr>
              <w:spacing w:line="360" w:lineRule="auto"/>
              <w:jc w:val="center"/>
              <w:rPr>
                <w:color w:val="auto"/>
                <w:sz w:val="24"/>
                <w:highlight w:val="none"/>
              </w:rPr>
            </w:pPr>
          </w:p>
        </w:tc>
        <w:tc>
          <w:tcPr>
            <w:tcW w:w="1417" w:type="dxa"/>
            <w:tcBorders>
              <w:top w:val="single" w:color="auto" w:sz="4" w:space="0"/>
              <w:left w:val="nil"/>
              <w:bottom w:val="single" w:color="auto" w:sz="4" w:space="0"/>
              <w:right w:val="nil"/>
            </w:tcBorders>
            <w:shd w:val="clear" w:color="auto" w:fill="FFFFFF"/>
            <w:noWrap w:val="0"/>
            <w:vAlign w:val="center"/>
          </w:tcPr>
          <w:p w14:paraId="67F65726">
            <w:pPr>
              <w:spacing w:line="360" w:lineRule="auto"/>
              <w:jc w:val="center"/>
              <w:rPr>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13BEC2">
            <w:pPr>
              <w:spacing w:line="360" w:lineRule="auto"/>
              <w:jc w:val="center"/>
              <w:rPr>
                <w:color w:val="auto"/>
                <w:sz w:val="24"/>
                <w:highlight w:val="none"/>
              </w:rPr>
            </w:pPr>
          </w:p>
        </w:tc>
      </w:tr>
    </w:tbl>
    <w:p w14:paraId="3EA96025">
      <w:pPr>
        <w:spacing w:line="360" w:lineRule="auto"/>
        <w:ind w:firstLine="480" w:firstLineChars="200"/>
        <w:rPr>
          <w:color w:val="auto"/>
          <w:sz w:val="24"/>
          <w:highlight w:val="none"/>
        </w:rPr>
      </w:pPr>
      <w:r>
        <w:rPr>
          <w:color w:val="auto"/>
          <w:sz w:val="24"/>
          <w:highlight w:val="none"/>
        </w:rPr>
        <w:t>根据上述政府采购合同文件要求，本政府采购合同的总金额为人民币</w:t>
      </w:r>
      <w:r>
        <w:rPr>
          <w:color w:val="auto"/>
          <w:sz w:val="24"/>
          <w:highlight w:val="none"/>
          <w:u w:val="single"/>
        </w:rPr>
        <w:t xml:space="preserve">      </w:t>
      </w:r>
      <w:r>
        <w:rPr>
          <w:color w:val="auto"/>
          <w:sz w:val="24"/>
          <w:highlight w:val="none"/>
        </w:rPr>
        <w:t>（大写）</w:t>
      </w:r>
      <w:r>
        <w:rPr>
          <w:color w:val="auto"/>
          <w:sz w:val="24"/>
          <w:highlight w:val="none"/>
          <w:u w:val="single"/>
        </w:rPr>
        <w:t xml:space="preserve">        </w:t>
      </w:r>
      <w:r>
        <w:rPr>
          <w:color w:val="auto"/>
          <w:sz w:val="24"/>
          <w:highlight w:val="none"/>
        </w:rPr>
        <w:t xml:space="preserve"> 元。</w:t>
      </w:r>
    </w:p>
    <w:p w14:paraId="75D8C6A3">
      <w:pPr>
        <w:spacing w:line="360" w:lineRule="auto"/>
        <w:ind w:firstLine="480" w:firstLineChars="200"/>
        <w:rPr>
          <w:color w:val="auto"/>
          <w:sz w:val="24"/>
          <w:highlight w:val="none"/>
        </w:rPr>
      </w:pPr>
      <w:r>
        <w:rPr>
          <w:color w:val="auto"/>
          <w:sz w:val="24"/>
          <w:highlight w:val="none"/>
        </w:rPr>
        <w:t>本合同以人民币进行结算，合同总价包括：</w:t>
      </w:r>
      <w:r>
        <w:rPr>
          <w:rFonts w:hint="eastAsia"/>
          <w:color w:val="auto"/>
          <w:sz w:val="24"/>
          <w:highlight w:val="none"/>
          <w:lang w:eastAsia="zh-CN"/>
        </w:rPr>
        <w:t>产品费、验收费、手续费、包装费、运输费、保险费、安装调试费、售前、售中、售后服务费、招标代理费、税金及不可预见费等全部费用</w:t>
      </w:r>
      <w:r>
        <w:rPr>
          <w:color w:val="auto"/>
          <w:sz w:val="24"/>
          <w:highlight w:val="none"/>
        </w:rPr>
        <w:t>。</w:t>
      </w:r>
    </w:p>
    <w:p w14:paraId="355637A9">
      <w:pPr>
        <w:spacing w:line="360" w:lineRule="auto"/>
        <w:rPr>
          <w:b/>
          <w:color w:val="auto"/>
          <w:sz w:val="24"/>
          <w:highlight w:val="none"/>
        </w:rPr>
      </w:pPr>
      <w:r>
        <w:rPr>
          <w:b/>
          <w:color w:val="auto"/>
          <w:sz w:val="24"/>
          <w:highlight w:val="none"/>
        </w:rPr>
        <w:t>三、交付期、地点和要求</w:t>
      </w:r>
    </w:p>
    <w:p w14:paraId="447554B6">
      <w:pPr>
        <w:autoSpaceDE w:val="0"/>
        <w:autoSpaceDN w:val="0"/>
        <w:spacing w:line="360" w:lineRule="auto"/>
        <w:ind w:left="425"/>
        <w:rPr>
          <w:rFonts w:hint="eastAsia"/>
          <w:color w:val="auto"/>
          <w:sz w:val="24"/>
          <w:lang w:eastAsia="zh-CN"/>
        </w:rPr>
      </w:pPr>
      <w:r>
        <w:rPr>
          <w:color w:val="auto"/>
          <w:sz w:val="24"/>
          <w:highlight w:val="none"/>
        </w:rPr>
        <w:t>1.</w:t>
      </w:r>
      <w:r>
        <w:rPr>
          <w:rFonts w:hint="eastAsia"/>
          <w:color w:val="auto"/>
          <w:sz w:val="24"/>
          <w:highlight w:val="none"/>
        </w:rPr>
        <w:t xml:space="preserve"> </w:t>
      </w:r>
      <w:bookmarkStart w:id="151" w:name="_Hlk497746416"/>
      <w:r>
        <w:rPr>
          <w:color w:val="auto"/>
          <w:sz w:val="24"/>
        </w:rPr>
        <w:t>交货时间：</w:t>
      </w:r>
      <w:r>
        <w:rPr>
          <w:rFonts w:hint="eastAsia"/>
          <w:color w:val="auto"/>
          <w:sz w:val="24"/>
          <w:lang w:eastAsia="zh-CN"/>
        </w:rPr>
        <w:t>签订合同后30个日历日；</w:t>
      </w:r>
    </w:p>
    <w:p w14:paraId="01B140FF">
      <w:pPr>
        <w:autoSpaceDE w:val="0"/>
        <w:autoSpaceDN w:val="0"/>
        <w:spacing w:line="360" w:lineRule="auto"/>
        <w:ind w:left="425" w:firstLine="240" w:firstLineChars="1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交货地点：</w:t>
      </w:r>
      <w:r>
        <w:rPr>
          <w:rFonts w:hint="eastAsia" w:ascii="Times New Roman" w:hAnsi="Times New Roman" w:eastAsia="宋体" w:cs="Times New Roman"/>
          <w:color w:val="auto"/>
          <w:sz w:val="24"/>
          <w:lang w:val="zh-CN" w:eastAsia="zh-CN"/>
        </w:rPr>
        <w:t>甲方指定地点</w:t>
      </w:r>
    </w:p>
    <w:p w14:paraId="265F654C">
      <w:pPr>
        <w:spacing w:line="360" w:lineRule="auto"/>
        <w:ind w:firstLine="720" w:firstLineChars="300"/>
        <w:rPr>
          <w:rFonts w:ascii="宋体" w:hAnsi="宋体"/>
          <w:color w:val="auto"/>
          <w:sz w:val="24"/>
        </w:rPr>
      </w:pPr>
      <w:r>
        <w:rPr>
          <w:rFonts w:hint="eastAsia" w:ascii="宋体" w:hAnsi="宋体"/>
          <w:color w:val="auto"/>
          <w:sz w:val="24"/>
        </w:rPr>
        <w:t>质保期</w:t>
      </w:r>
      <w:r>
        <w:rPr>
          <w:rFonts w:hint="eastAsia" w:ascii="宋体" w:hAnsi="宋体"/>
          <w:color w:val="auto"/>
          <w:sz w:val="24"/>
          <w:lang w:eastAsia="zh-CN"/>
        </w:rPr>
        <w:t>：</w:t>
      </w:r>
      <w:r>
        <w:rPr>
          <w:rFonts w:hint="eastAsia" w:ascii="宋体" w:hAnsi="宋体"/>
          <w:color w:val="auto"/>
          <w:sz w:val="24"/>
          <w:lang w:val="en-US" w:eastAsia="zh-CN"/>
        </w:rPr>
        <w:t>三年</w:t>
      </w:r>
      <w:r>
        <w:rPr>
          <w:rFonts w:hint="eastAsia"/>
          <w:color w:val="auto"/>
          <w:sz w:val="24"/>
        </w:rPr>
        <w:t>；</w:t>
      </w:r>
    </w:p>
    <w:bookmarkEnd w:id="151"/>
    <w:p w14:paraId="09F342A9">
      <w:pPr>
        <w:spacing w:line="360" w:lineRule="auto"/>
        <w:ind w:firstLine="480" w:firstLineChars="200"/>
        <w:rPr>
          <w:color w:val="auto"/>
          <w:sz w:val="24"/>
          <w:highlight w:val="none"/>
        </w:rPr>
      </w:pPr>
      <w:r>
        <w:rPr>
          <w:color w:val="auto"/>
          <w:sz w:val="24"/>
          <w:highlight w:val="none"/>
        </w:rPr>
        <w:t>2.乙方提供不符合招投标文件和本合同规定的产品，甲方有权拒绝接受。</w:t>
      </w:r>
    </w:p>
    <w:p w14:paraId="7AE58CD1">
      <w:pPr>
        <w:spacing w:line="360" w:lineRule="auto"/>
        <w:ind w:firstLine="480" w:firstLineChars="200"/>
        <w:rPr>
          <w:color w:val="auto"/>
          <w:sz w:val="24"/>
          <w:highlight w:val="none"/>
        </w:rPr>
      </w:pPr>
      <w:r>
        <w:rPr>
          <w:color w:val="auto"/>
          <w:sz w:val="24"/>
          <w:highlight w:val="none"/>
        </w:rPr>
        <w:t>3.甲方应当在到货</w:t>
      </w:r>
      <w:r>
        <w:rPr>
          <w:rFonts w:hint="eastAsia"/>
          <w:color w:val="auto"/>
          <w:sz w:val="24"/>
          <w:highlight w:val="none"/>
        </w:rPr>
        <w:t>后，</w:t>
      </w:r>
      <w:r>
        <w:rPr>
          <w:rFonts w:hint="eastAsia" w:ascii="宋体" w:hAnsi="宋体" w:cs="宋体"/>
          <w:color w:val="auto"/>
          <w:sz w:val="24"/>
          <w:highlight w:val="none"/>
        </w:rPr>
        <w:t>依据自身时间安排乙方安装调试</w:t>
      </w:r>
      <w:r>
        <w:rPr>
          <w:color w:val="auto"/>
          <w:sz w:val="24"/>
          <w:highlight w:val="none"/>
        </w:rPr>
        <w:t>，</w:t>
      </w:r>
      <w:r>
        <w:rPr>
          <w:rFonts w:hint="eastAsia" w:ascii="宋体" w:hAnsi="宋体" w:cs="宋体"/>
          <w:color w:val="auto"/>
          <w:sz w:val="24"/>
          <w:highlight w:val="none"/>
        </w:rPr>
        <w:t>安装调试</w:t>
      </w:r>
      <w:r>
        <w:rPr>
          <w:rFonts w:hint="eastAsia" w:ascii="宋体" w:hAnsi="宋体" w:cs="宋体"/>
          <w:color w:val="auto"/>
          <w:sz w:val="24"/>
          <w:highlight w:val="none"/>
          <w:lang w:val="en-US" w:eastAsia="zh-CN"/>
        </w:rPr>
        <w:t>培训</w:t>
      </w:r>
      <w:r>
        <w:rPr>
          <w:rFonts w:hint="eastAsia" w:ascii="宋体" w:hAnsi="宋体" w:cs="宋体"/>
          <w:color w:val="auto"/>
          <w:sz w:val="24"/>
          <w:highlight w:val="none"/>
        </w:rPr>
        <w:t>完</w:t>
      </w:r>
      <w:r>
        <w:rPr>
          <w:color w:val="auto"/>
          <w:sz w:val="24"/>
          <w:highlight w:val="none"/>
        </w:rPr>
        <w:t>后</w:t>
      </w:r>
      <w:r>
        <w:rPr>
          <w:rFonts w:hint="eastAsia"/>
          <w:color w:val="auto"/>
          <w:sz w:val="24"/>
          <w:highlight w:val="none"/>
          <w:u w:val="single"/>
          <w:lang w:val="en-US" w:eastAsia="zh-CN"/>
        </w:rPr>
        <w:t>7</w:t>
      </w:r>
      <w:r>
        <w:rPr>
          <w:color w:val="auto"/>
          <w:sz w:val="24"/>
          <w:highlight w:val="none"/>
        </w:rPr>
        <w:t>个工作日内进行验收，逾期不验收的，乙方可视为验收合格。验收合格后，由甲乙双方签署产品验收单并加盖采购人公章，甲乙双方各执一份。</w:t>
      </w:r>
    </w:p>
    <w:p w14:paraId="491F4CD4">
      <w:pPr>
        <w:spacing w:line="360" w:lineRule="auto"/>
        <w:ind w:firstLine="480" w:firstLineChars="200"/>
        <w:rPr>
          <w:color w:val="auto"/>
          <w:sz w:val="24"/>
          <w:highlight w:val="none"/>
        </w:rPr>
      </w:pPr>
      <w:r>
        <w:rPr>
          <w:color w:val="auto"/>
          <w:sz w:val="24"/>
          <w:highlight w:val="none"/>
        </w:rPr>
        <w:t>4.甲方应提供该项目验收报告交同级财政监管部门，由财政部门按规定程序抽验后办理资金拨付。</w:t>
      </w:r>
    </w:p>
    <w:p w14:paraId="7333F698">
      <w:pPr>
        <w:spacing w:line="360" w:lineRule="auto"/>
        <w:ind w:firstLine="480" w:firstLineChars="200"/>
        <w:rPr>
          <w:color w:val="auto"/>
          <w:sz w:val="24"/>
          <w:highlight w:val="none"/>
        </w:rPr>
      </w:pPr>
      <w:r>
        <w:rPr>
          <w:color w:val="auto"/>
          <w:sz w:val="24"/>
          <w:highlight w:val="none"/>
        </w:rPr>
        <w:t>5.甲方在验收过程中发现乙方有违约问题，可按招、投标文件的规定要求乙方及时予以解决。</w:t>
      </w:r>
    </w:p>
    <w:p w14:paraId="026DD718">
      <w:pPr>
        <w:spacing w:line="360" w:lineRule="auto"/>
        <w:ind w:firstLine="480" w:firstLineChars="200"/>
        <w:rPr>
          <w:rFonts w:hint="eastAsia"/>
          <w:color w:val="auto"/>
          <w:sz w:val="24"/>
          <w:highlight w:val="none"/>
        </w:rPr>
      </w:pPr>
      <w:r>
        <w:rPr>
          <w:rFonts w:hint="eastAsia"/>
          <w:color w:val="auto"/>
          <w:sz w:val="24"/>
          <w:highlight w:val="none"/>
        </w:rPr>
        <w:t>6.乙方向甲方提供产品相关完税销售发票。</w:t>
      </w:r>
    </w:p>
    <w:p w14:paraId="0C4B7534">
      <w:pPr>
        <w:spacing w:line="360" w:lineRule="auto"/>
        <w:ind w:firstLine="480" w:firstLineChars="200"/>
        <w:rPr>
          <w:color w:val="auto"/>
          <w:sz w:val="24"/>
          <w:highlight w:val="none"/>
        </w:rPr>
      </w:pPr>
      <w:r>
        <w:rPr>
          <w:rFonts w:hint="eastAsia"/>
          <w:color w:val="auto"/>
          <w:sz w:val="24"/>
          <w:highlight w:val="none"/>
        </w:rPr>
        <w:t>7.质保期间设备维修、零件更换、人工、差旅等一切费用由</w:t>
      </w:r>
      <w:r>
        <w:rPr>
          <w:rFonts w:hint="eastAsia"/>
          <w:color w:val="auto"/>
          <w:sz w:val="24"/>
          <w:highlight w:val="none"/>
          <w:lang w:val="en-US" w:eastAsia="zh-CN"/>
        </w:rPr>
        <w:t>乙</w:t>
      </w:r>
      <w:r>
        <w:rPr>
          <w:rFonts w:hint="eastAsia"/>
          <w:color w:val="auto"/>
          <w:sz w:val="24"/>
          <w:highlight w:val="none"/>
        </w:rPr>
        <w:t>方负担。</w:t>
      </w:r>
    </w:p>
    <w:p w14:paraId="12E4BAD0">
      <w:pPr>
        <w:spacing w:line="360" w:lineRule="auto"/>
        <w:rPr>
          <w:b/>
          <w:color w:val="auto"/>
          <w:sz w:val="24"/>
          <w:highlight w:val="none"/>
        </w:rPr>
      </w:pPr>
      <w:r>
        <w:rPr>
          <w:b/>
          <w:color w:val="auto"/>
          <w:sz w:val="24"/>
          <w:highlight w:val="none"/>
        </w:rPr>
        <w:t>四、合同价款及付款方式</w:t>
      </w:r>
    </w:p>
    <w:p w14:paraId="255E6798">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甲乙双方合同签订前，乙方向甲方交纳合同金额的5%作为履约保证金，即人民币(大写) </w:t>
      </w:r>
      <w:r>
        <w:rPr>
          <w:rFonts w:hint="eastAsia"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元;待验收合格后，由乙方提出书面申请，甲方以转账方式予以无息退还。合同签订后，甲方向乙方支付合同总价款的50%，即人民币(大写)</w:t>
      </w:r>
      <w:r>
        <w:rPr>
          <w:rFonts w:hint="eastAsia"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元</w:t>
      </w:r>
      <w:r>
        <w:rPr>
          <w:rFonts w:hint="eastAsia"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元:乙方所交付的产品由甲方验收，验收合格后由甲方按合同金额向乙方支付合同总价款的50%，即人民币(大写)</w:t>
      </w:r>
      <w:r>
        <w:rPr>
          <w:rFonts w:hint="eastAsia"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元，同时乙方向甲方交纳合同金额的3%，即人民币(大写)</w:t>
      </w:r>
      <w:r>
        <w:rPr>
          <w:rFonts w:hint="eastAsia"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元作为质量保证金，待质保期满3年，产品无质量问题后，由乙方提出书面申请，甲方以转账方式予以无息退还。</w:t>
      </w:r>
    </w:p>
    <w:p w14:paraId="50F615E1">
      <w:pPr>
        <w:spacing w:line="360" w:lineRule="auto"/>
        <w:rPr>
          <w:b/>
          <w:color w:val="auto"/>
          <w:sz w:val="24"/>
          <w:highlight w:val="none"/>
        </w:rPr>
      </w:pPr>
      <w:r>
        <w:rPr>
          <w:b/>
          <w:color w:val="auto"/>
          <w:sz w:val="24"/>
          <w:highlight w:val="none"/>
        </w:rPr>
        <w:t>五、合同的变更、终止与转让</w:t>
      </w:r>
    </w:p>
    <w:p w14:paraId="1EA68A25">
      <w:pPr>
        <w:spacing w:line="360" w:lineRule="auto"/>
        <w:rPr>
          <w:color w:val="auto"/>
          <w:sz w:val="24"/>
          <w:highlight w:val="none"/>
        </w:rPr>
      </w:pPr>
      <w:r>
        <w:rPr>
          <w:color w:val="auto"/>
          <w:sz w:val="24"/>
          <w:highlight w:val="none"/>
        </w:rPr>
        <w:t>1．除《中华人民共和国政府采购法》第50条规定的情形外，本合同一经签订，甲乙双方不得擅自变更、中止或终止；</w:t>
      </w:r>
    </w:p>
    <w:p w14:paraId="4CFE3097">
      <w:pPr>
        <w:spacing w:line="360" w:lineRule="auto"/>
        <w:rPr>
          <w:color w:val="auto"/>
          <w:sz w:val="24"/>
          <w:highlight w:val="none"/>
        </w:rPr>
      </w:pPr>
      <w:r>
        <w:rPr>
          <w:color w:val="auto"/>
          <w:sz w:val="24"/>
          <w:highlight w:val="none"/>
        </w:rPr>
        <w:t>2．乙方不得擅自转让其应履行的合同义务。</w:t>
      </w:r>
    </w:p>
    <w:p w14:paraId="0F1EA7EE">
      <w:pPr>
        <w:spacing w:line="360" w:lineRule="auto"/>
        <w:rPr>
          <w:b/>
          <w:color w:val="auto"/>
          <w:sz w:val="24"/>
          <w:highlight w:val="none"/>
        </w:rPr>
      </w:pPr>
      <w:r>
        <w:rPr>
          <w:b/>
          <w:color w:val="auto"/>
          <w:sz w:val="24"/>
          <w:highlight w:val="none"/>
        </w:rPr>
        <w:t>六、违约责任</w:t>
      </w:r>
    </w:p>
    <w:p w14:paraId="440B59A3">
      <w:pPr>
        <w:spacing w:line="360" w:lineRule="auto"/>
        <w:rPr>
          <w:color w:val="auto"/>
          <w:sz w:val="24"/>
          <w:highlight w:val="none"/>
        </w:rPr>
      </w:pPr>
      <w:r>
        <w:rPr>
          <w:color w:val="auto"/>
          <w:sz w:val="24"/>
          <w:highlight w:val="none"/>
        </w:rPr>
        <w:t>1．乙方所提供的产品规格、技术标准、材料等质量不合格的，应及时更换；更换不及时的，按逾期交货处罚；因质量问题甲方不同意接收的，质保金全额扣除，并由乙方赔偿由此引起的甲方的一切经济损失；</w:t>
      </w:r>
    </w:p>
    <w:p w14:paraId="13181D4C">
      <w:pPr>
        <w:spacing w:line="360" w:lineRule="auto"/>
        <w:rPr>
          <w:color w:val="auto"/>
          <w:sz w:val="24"/>
          <w:highlight w:val="none"/>
        </w:rPr>
      </w:pPr>
      <w:r>
        <w:rPr>
          <w:color w:val="auto"/>
          <w:sz w:val="24"/>
          <w:highlight w:val="none"/>
        </w:rPr>
        <w:t>2．乙方提供的货物如侵犯了第三方权益而引发纠纷或诉讼的，均由乙方负责交涉并承担全部责任；</w:t>
      </w:r>
    </w:p>
    <w:p w14:paraId="4E158712">
      <w:pPr>
        <w:spacing w:line="360" w:lineRule="auto"/>
        <w:rPr>
          <w:color w:val="auto"/>
          <w:sz w:val="24"/>
          <w:highlight w:val="none"/>
        </w:rPr>
      </w:pPr>
      <w:r>
        <w:rPr>
          <w:color w:val="auto"/>
          <w:sz w:val="24"/>
          <w:highlight w:val="none"/>
        </w:rPr>
        <w:t>3．因包装、运输引起的货物损坏，按质量不合格处罚；</w:t>
      </w:r>
    </w:p>
    <w:p w14:paraId="630E6070">
      <w:pPr>
        <w:spacing w:line="360" w:lineRule="auto"/>
        <w:rPr>
          <w:color w:val="auto"/>
          <w:sz w:val="24"/>
        </w:rPr>
      </w:pPr>
      <w:r>
        <w:rPr>
          <w:color w:val="auto"/>
          <w:sz w:val="24"/>
          <w:highlight w:val="none"/>
        </w:rPr>
        <w:t>4．甲方无故延期接受货物和乙方逾期交货的，每天应向对方偿付未交货物的货款3‰的违约金，但违约金累计不得超过违约货款</w:t>
      </w:r>
      <w:r>
        <w:rPr>
          <w:color w:val="auto"/>
          <w:sz w:val="24"/>
        </w:rPr>
        <w:t>的5%，超过</w:t>
      </w:r>
      <w:r>
        <w:rPr>
          <w:rFonts w:hint="eastAsia"/>
          <w:color w:val="auto"/>
          <w:sz w:val="24"/>
          <w:highlight w:val="none"/>
          <w:u w:val="single"/>
          <w:lang w:val="en-US" w:eastAsia="zh-CN"/>
        </w:rPr>
        <w:t>20</w:t>
      </w:r>
      <w:r>
        <w:rPr>
          <w:color w:val="auto"/>
          <w:sz w:val="24"/>
          <w:highlight w:val="none"/>
        </w:rPr>
        <w:t>天对</w:t>
      </w:r>
      <w:r>
        <w:rPr>
          <w:color w:val="auto"/>
          <w:sz w:val="24"/>
        </w:rPr>
        <w:t>方有权解除合同，违约方承担因此给对方造成的经济损失 。</w:t>
      </w:r>
    </w:p>
    <w:p w14:paraId="6EDA7728">
      <w:pPr>
        <w:spacing w:line="360" w:lineRule="auto"/>
        <w:rPr>
          <w:color w:val="auto"/>
          <w:sz w:val="24"/>
        </w:rPr>
      </w:pPr>
      <w:r>
        <w:rPr>
          <w:color w:val="auto"/>
          <w:sz w:val="24"/>
        </w:rPr>
        <w:t>5．乙方未按本合同和投标文件中规定的服务承诺提供售后服务的，乙方应按本合同合计金额的5%向甲方支付违约金；</w:t>
      </w:r>
    </w:p>
    <w:p w14:paraId="3AE11935">
      <w:pPr>
        <w:spacing w:line="360" w:lineRule="auto"/>
        <w:rPr>
          <w:color w:val="auto"/>
          <w:sz w:val="24"/>
        </w:rPr>
      </w:pPr>
      <w:r>
        <w:rPr>
          <w:color w:val="auto"/>
          <w:sz w:val="24"/>
        </w:rPr>
        <w:t>6．乙方提供的货物在质量保证期内，因设计、工艺或材料的缺陷和其它质量原因造成的问题，由乙方负责，费用从履约保证金中扣除，不足另补；</w:t>
      </w:r>
    </w:p>
    <w:p w14:paraId="09630977">
      <w:pPr>
        <w:spacing w:line="360" w:lineRule="auto"/>
        <w:rPr>
          <w:color w:val="auto"/>
          <w:sz w:val="24"/>
        </w:rPr>
      </w:pPr>
      <w:r>
        <w:rPr>
          <w:color w:val="auto"/>
          <w:sz w:val="24"/>
        </w:rPr>
        <w:t>7．其它违约行为按违约货款额5%收取违约金并赔偿经济损失。</w:t>
      </w:r>
    </w:p>
    <w:p w14:paraId="4D14460B">
      <w:pPr>
        <w:spacing w:line="360" w:lineRule="auto"/>
        <w:rPr>
          <w:b/>
          <w:color w:val="auto"/>
          <w:sz w:val="24"/>
        </w:rPr>
      </w:pPr>
      <w:r>
        <w:rPr>
          <w:b/>
          <w:color w:val="auto"/>
          <w:sz w:val="24"/>
        </w:rPr>
        <w:t>七、不可抗力</w:t>
      </w:r>
    </w:p>
    <w:p w14:paraId="4DF8B8A9">
      <w:pPr>
        <w:spacing w:line="360" w:lineRule="auto"/>
        <w:rPr>
          <w:color w:val="auto"/>
          <w:sz w:val="24"/>
        </w:rPr>
      </w:pPr>
      <w:r>
        <w:rPr>
          <w:color w:val="auto"/>
          <w:sz w:val="24"/>
        </w:rPr>
        <w:t>1．不可抗力使合同的某些内容有变更必要的，双方应通过协商</w:t>
      </w:r>
      <w:r>
        <w:rPr>
          <w:color w:val="auto"/>
          <w:sz w:val="24"/>
          <w:highlight w:val="none"/>
        </w:rPr>
        <w:t>在</w:t>
      </w:r>
      <w:r>
        <w:rPr>
          <w:rFonts w:hint="eastAsia"/>
          <w:color w:val="auto"/>
          <w:sz w:val="24"/>
          <w:highlight w:val="none"/>
          <w:u w:val="single"/>
          <w:lang w:val="en-US" w:eastAsia="zh-CN"/>
        </w:rPr>
        <w:t>15</w:t>
      </w:r>
      <w:r>
        <w:rPr>
          <w:color w:val="auto"/>
          <w:sz w:val="24"/>
          <w:highlight w:val="none"/>
        </w:rPr>
        <w:t>天内</w:t>
      </w:r>
      <w:r>
        <w:rPr>
          <w:color w:val="auto"/>
          <w:sz w:val="24"/>
        </w:rPr>
        <w:t>达成进一步履行合同的协议，因不可抗力致使合同不能履行的，合同终止；</w:t>
      </w:r>
    </w:p>
    <w:p w14:paraId="0F3C108C">
      <w:pPr>
        <w:spacing w:line="360" w:lineRule="auto"/>
        <w:rPr>
          <w:b/>
          <w:color w:val="auto"/>
          <w:sz w:val="24"/>
        </w:rPr>
      </w:pPr>
      <w:r>
        <w:rPr>
          <w:b/>
          <w:color w:val="auto"/>
          <w:sz w:val="24"/>
        </w:rPr>
        <w:t>八、知识产权：</w:t>
      </w:r>
    </w:p>
    <w:p w14:paraId="17679C8C">
      <w:pPr>
        <w:spacing w:line="360" w:lineRule="auto"/>
        <w:rPr>
          <w:color w:val="auto"/>
          <w:sz w:val="24"/>
        </w:rPr>
      </w:pPr>
      <w:r>
        <w:rPr>
          <w:b/>
          <w:color w:val="auto"/>
          <w:sz w:val="24"/>
        </w:rPr>
        <w:t>九、其他约定：</w:t>
      </w:r>
    </w:p>
    <w:p w14:paraId="46E562DA">
      <w:pPr>
        <w:spacing w:line="360" w:lineRule="auto"/>
        <w:rPr>
          <w:b/>
          <w:color w:val="auto"/>
          <w:sz w:val="24"/>
        </w:rPr>
      </w:pPr>
      <w:r>
        <w:rPr>
          <w:b/>
          <w:color w:val="auto"/>
          <w:sz w:val="24"/>
        </w:rPr>
        <w:t>十、合同争议解决</w:t>
      </w:r>
    </w:p>
    <w:p w14:paraId="1864613F">
      <w:pPr>
        <w:spacing w:line="360" w:lineRule="auto"/>
        <w:rPr>
          <w:color w:val="auto"/>
          <w:sz w:val="24"/>
        </w:rPr>
      </w:pPr>
      <w:r>
        <w:rPr>
          <w:color w:val="auto"/>
          <w:sz w:val="24"/>
        </w:rPr>
        <w:t>1．因产品质量问题发生争议的，应邀请国家认可的质量检测机构进行鉴定。产品符合标准的，鉴定费由甲方承担；产品不符合标准的，鉴定费由乙方承担；</w:t>
      </w:r>
    </w:p>
    <w:p w14:paraId="139CAFF2">
      <w:pPr>
        <w:spacing w:line="360" w:lineRule="auto"/>
        <w:rPr>
          <w:color w:val="auto"/>
          <w:sz w:val="24"/>
        </w:rPr>
      </w:pPr>
      <w:r>
        <w:rPr>
          <w:color w:val="auto"/>
          <w:sz w:val="24"/>
        </w:rPr>
        <w:t>2．因履行本合同引起的或与本合同有关的争议，甲乙双方应首先通过友好协商解决，如果协商不能解决，可向甲方所在地仲裁委员会申请仲裁或向甲方所在地人民法院提起诉讼；</w:t>
      </w:r>
    </w:p>
    <w:p w14:paraId="45D06E99">
      <w:pPr>
        <w:spacing w:line="360" w:lineRule="auto"/>
        <w:rPr>
          <w:color w:val="auto"/>
          <w:sz w:val="24"/>
        </w:rPr>
      </w:pPr>
      <w:r>
        <w:rPr>
          <w:color w:val="auto"/>
          <w:sz w:val="24"/>
        </w:rPr>
        <w:t>3．诉讼期间，本合同继续履行。</w:t>
      </w:r>
    </w:p>
    <w:p w14:paraId="62154F2D">
      <w:pPr>
        <w:spacing w:line="360" w:lineRule="auto"/>
        <w:rPr>
          <w:b/>
          <w:color w:val="auto"/>
          <w:sz w:val="24"/>
        </w:rPr>
      </w:pPr>
      <w:r>
        <w:rPr>
          <w:b/>
          <w:color w:val="auto"/>
          <w:sz w:val="24"/>
        </w:rPr>
        <w:t>十一、合同生效及其它：</w:t>
      </w:r>
    </w:p>
    <w:p w14:paraId="0285B124">
      <w:pPr>
        <w:spacing w:line="360" w:lineRule="auto"/>
        <w:rPr>
          <w:color w:val="auto"/>
          <w:sz w:val="24"/>
        </w:rPr>
      </w:pPr>
      <w:r>
        <w:rPr>
          <w:color w:val="auto"/>
          <w:sz w:val="24"/>
        </w:rPr>
        <w:t>1．本合同一式八份，经双方签字，并加盖公章即为生效；</w:t>
      </w:r>
    </w:p>
    <w:p w14:paraId="2449D71A">
      <w:pPr>
        <w:spacing w:line="360" w:lineRule="auto"/>
        <w:rPr>
          <w:color w:val="auto"/>
          <w:sz w:val="24"/>
        </w:rPr>
      </w:pPr>
      <w:r>
        <w:rPr>
          <w:color w:val="auto"/>
          <w:sz w:val="24"/>
        </w:rPr>
        <w:t>2．本合同未尽事宜，按经济合同法有关规定处理；</w:t>
      </w:r>
    </w:p>
    <w:p w14:paraId="28137177">
      <w:pPr>
        <w:spacing w:line="360" w:lineRule="auto"/>
        <w:rPr>
          <w:color w:val="auto"/>
          <w:sz w:val="24"/>
        </w:rPr>
      </w:pPr>
      <w:r>
        <w:rPr>
          <w:color w:val="auto"/>
          <w:sz w:val="24"/>
        </w:rPr>
        <w:t>3．本合同的组成包含《合同通用条款》。</w:t>
      </w:r>
    </w:p>
    <w:p w14:paraId="0F15FFD5">
      <w:pPr>
        <w:spacing w:line="360" w:lineRule="auto"/>
        <w:rPr>
          <w:color w:val="auto"/>
          <w:sz w:val="24"/>
        </w:rPr>
      </w:pPr>
      <w:r>
        <w:rPr>
          <w:color w:val="auto"/>
          <w:sz w:val="24"/>
        </w:rPr>
        <w:t>甲方（盖章）：                         乙方（盖章）：</w:t>
      </w:r>
    </w:p>
    <w:p w14:paraId="774D8A7C">
      <w:pPr>
        <w:spacing w:line="360" w:lineRule="auto"/>
        <w:rPr>
          <w:color w:val="auto"/>
          <w:sz w:val="24"/>
        </w:rPr>
      </w:pPr>
      <w:r>
        <w:rPr>
          <w:color w:val="auto"/>
          <w:sz w:val="24"/>
        </w:rPr>
        <w:t>法定代表人或委托代理人：               法定代表人或委托代理人：</w:t>
      </w:r>
    </w:p>
    <w:p w14:paraId="5888370C">
      <w:pPr>
        <w:spacing w:line="360" w:lineRule="auto"/>
        <w:ind w:firstLine="240" w:firstLineChars="100"/>
        <w:rPr>
          <w:color w:val="auto"/>
          <w:sz w:val="24"/>
        </w:rPr>
      </w:pPr>
      <w:r>
        <w:rPr>
          <w:color w:val="auto"/>
          <w:sz w:val="24"/>
        </w:rPr>
        <w:t xml:space="preserve">                                      开户银行：</w:t>
      </w:r>
    </w:p>
    <w:p w14:paraId="7C1406DC">
      <w:pPr>
        <w:spacing w:line="360" w:lineRule="auto"/>
        <w:rPr>
          <w:color w:val="auto"/>
          <w:sz w:val="24"/>
        </w:rPr>
      </w:pPr>
      <w:r>
        <w:rPr>
          <w:color w:val="auto"/>
          <w:sz w:val="24"/>
        </w:rPr>
        <w:t>联系电话：                             账号：</w:t>
      </w:r>
    </w:p>
    <w:p w14:paraId="664531CE">
      <w:pPr>
        <w:spacing w:line="360" w:lineRule="auto"/>
        <w:rPr>
          <w:color w:val="auto"/>
          <w:sz w:val="24"/>
        </w:rPr>
      </w:pPr>
      <w:r>
        <w:rPr>
          <w:color w:val="auto"/>
          <w:sz w:val="24"/>
        </w:rPr>
        <w:t xml:space="preserve">                                       联系电话：</w:t>
      </w:r>
    </w:p>
    <w:p w14:paraId="3BB4B304">
      <w:pPr>
        <w:spacing w:line="360" w:lineRule="auto"/>
        <w:ind w:firstLine="480" w:firstLineChars="200"/>
        <w:rPr>
          <w:color w:val="auto"/>
          <w:sz w:val="24"/>
        </w:rPr>
      </w:pPr>
      <w:r>
        <w:rPr>
          <w:color w:val="auto"/>
          <w:sz w:val="24"/>
        </w:rPr>
        <w:t>签约时间：    年    月    日</w:t>
      </w:r>
    </w:p>
    <w:p w14:paraId="30BA121B">
      <w:pPr>
        <w:spacing w:line="360" w:lineRule="auto"/>
        <w:rPr>
          <w:color w:val="auto"/>
          <w:sz w:val="24"/>
        </w:rPr>
      </w:pPr>
    </w:p>
    <w:p w14:paraId="5B3B5202">
      <w:pPr>
        <w:spacing w:line="360" w:lineRule="auto"/>
        <w:rPr>
          <w:rFonts w:hint="eastAsia" w:eastAsia="宋体"/>
          <w:color w:val="auto"/>
          <w:sz w:val="24"/>
          <w:lang w:eastAsia="zh-CN"/>
        </w:rPr>
      </w:pPr>
      <w:r>
        <w:rPr>
          <w:color w:val="auto"/>
          <w:sz w:val="24"/>
        </w:rPr>
        <w:t>采购代理机构：</w:t>
      </w:r>
    </w:p>
    <w:p w14:paraId="3D34765D">
      <w:pPr>
        <w:spacing w:line="360" w:lineRule="auto"/>
        <w:rPr>
          <w:color w:val="auto"/>
          <w:sz w:val="24"/>
        </w:rPr>
      </w:pPr>
      <w:r>
        <w:rPr>
          <w:color w:val="auto"/>
          <w:sz w:val="24"/>
        </w:rPr>
        <w:t>负责人或经办人：</w:t>
      </w:r>
    </w:p>
    <w:p w14:paraId="6DA8EDFF">
      <w:pPr>
        <w:spacing w:line="360" w:lineRule="auto"/>
        <w:rPr>
          <w:b/>
          <w:color w:val="auto"/>
          <w:sz w:val="28"/>
          <w:szCs w:val="28"/>
        </w:rPr>
      </w:pPr>
      <w:r>
        <w:rPr>
          <w:color w:val="auto"/>
          <w:sz w:val="24"/>
        </w:rPr>
        <w:t>时间：    年    月    日</w:t>
      </w:r>
    </w:p>
    <w:p w14:paraId="38E472CA">
      <w:pPr>
        <w:jc w:val="center"/>
        <w:rPr>
          <w:b/>
          <w:bCs/>
          <w:color w:val="auto"/>
          <w:kern w:val="0"/>
          <w:sz w:val="28"/>
          <w:szCs w:val="28"/>
          <w:lang w:val="zh-CN"/>
        </w:rPr>
      </w:pPr>
      <w:r>
        <w:rPr>
          <w:b/>
          <w:color w:val="auto"/>
          <w:sz w:val="28"/>
          <w:szCs w:val="28"/>
        </w:rPr>
        <w:br w:type="page"/>
      </w:r>
      <w:r>
        <w:rPr>
          <w:b/>
          <w:color w:val="auto"/>
          <w:sz w:val="28"/>
          <w:szCs w:val="28"/>
        </w:rPr>
        <w:t>合同通用条款</w:t>
      </w:r>
    </w:p>
    <w:p w14:paraId="1DB778B6">
      <w:pPr>
        <w:autoSpaceDE w:val="0"/>
        <w:autoSpaceDN w:val="0"/>
        <w:spacing w:line="360" w:lineRule="auto"/>
        <w:ind w:firstLine="480" w:firstLineChars="200"/>
        <w:rPr>
          <w:color w:val="auto"/>
          <w:kern w:val="0"/>
          <w:sz w:val="24"/>
        </w:rPr>
      </w:pPr>
      <w:r>
        <w:rPr>
          <w:color w:val="auto"/>
          <w:kern w:val="0"/>
          <w:sz w:val="24"/>
          <w:lang w:val="zh-CN"/>
        </w:rPr>
        <w:t>根据《中华人民共和国</w:t>
      </w:r>
      <w:r>
        <w:rPr>
          <w:rFonts w:hint="eastAsia"/>
          <w:color w:val="auto"/>
          <w:kern w:val="0"/>
          <w:sz w:val="24"/>
          <w:lang w:val="zh-CN"/>
        </w:rPr>
        <w:t>民法典</w:t>
      </w:r>
      <w:r>
        <w:rPr>
          <w:color w:val="auto"/>
          <w:kern w:val="0"/>
          <w:sz w:val="24"/>
          <w:lang w:val="zh-CN"/>
        </w:rPr>
        <w:t>》、《中华人民共和国政府采购法》的规定，合同双方经协商达成一致，自愿订立本合同，遵循公平原则明确双方的权利、义务，确保双方诚实守信地履行合同。</w:t>
      </w:r>
    </w:p>
    <w:p w14:paraId="0A5306F9">
      <w:pPr>
        <w:numPr>
          <w:ilvl w:val="0"/>
          <w:numId w:val="5"/>
        </w:numPr>
        <w:autoSpaceDE w:val="0"/>
        <w:autoSpaceDN w:val="0"/>
        <w:spacing w:line="360" w:lineRule="auto"/>
        <w:rPr>
          <w:b/>
          <w:bCs/>
          <w:color w:val="auto"/>
          <w:kern w:val="0"/>
          <w:sz w:val="24"/>
        </w:rPr>
      </w:pPr>
      <w:r>
        <w:rPr>
          <w:b/>
          <w:bCs/>
          <w:color w:val="auto"/>
          <w:kern w:val="0"/>
          <w:sz w:val="24"/>
          <w:lang w:val="zh-CN"/>
        </w:rPr>
        <w:t>定义</w:t>
      </w:r>
    </w:p>
    <w:p w14:paraId="14C024C9">
      <w:pPr>
        <w:autoSpaceDE w:val="0"/>
        <w:autoSpaceDN w:val="0"/>
        <w:spacing w:line="360" w:lineRule="auto"/>
        <w:ind w:firstLine="480" w:firstLineChars="200"/>
        <w:rPr>
          <w:color w:val="auto"/>
          <w:kern w:val="0"/>
          <w:sz w:val="24"/>
        </w:rPr>
      </w:pPr>
      <w:r>
        <w:rPr>
          <w:color w:val="auto"/>
          <w:kern w:val="0"/>
          <w:sz w:val="24"/>
          <w:lang w:val="zh-CN"/>
        </w:rPr>
        <w:t>本合同中的下列术语应解释为：</w:t>
      </w:r>
    </w:p>
    <w:p w14:paraId="387CC583">
      <w:pPr>
        <w:numPr>
          <w:ilvl w:val="1"/>
          <w:numId w:val="5"/>
        </w:numPr>
        <w:autoSpaceDE w:val="0"/>
        <w:autoSpaceDN w:val="0"/>
        <w:spacing w:line="360" w:lineRule="auto"/>
        <w:rPr>
          <w:color w:val="auto"/>
          <w:kern w:val="0"/>
          <w:sz w:val="24"/>
        </w:rPr>
      </w:pPr>
      <w:r>
        <w:rPr>
          <w:color w:val="auto"/>
          <w:kern w:val="0"/>
          <w:sz w:val="24"/>
          <w:lang w:val="zh-CN"/>
        </w:rPr>
        <w:t>“合同”指甲乙双方签署的、载明的甲乙双方权利义务的协议，包括所有的附件、附录和上述文件所提到的构成合同的所有文件。</w:t>
      </w:r>
    </w:p>
    <w:p w14:paraId="46680C57">
      <w:pPr>
        <w:numPr>
          <w:ilvl w:val="1"/>
          <w:numId w:val="5"/>
        </w:numPr>
        <w:autoSpaceDE w:val="0"/>
        <w:autoSpaceDN w:val="0"/>
        <w:spacing w:line="360" w:lineRule="auto"/>
        <w:rPr>
          <w:color w:val="auto"/>
          <w:kern w:val="0"/>
          <w:sz w:val="24"/>
        </w:rPr>
      </w:pPr>
      <w:r>
        <w:rPr>
          <w:color w:val="auto"/>
          <w:kern w:val="0"/>
          <w:sz w:val="24"/>
          <w:lang w:val="zh-CN"/>
        </w:rPr>
        <w:t>“合同金额”指根据合同规定，乙方在正确地完全履行合同义务后甲方应付给乙方的价款。</w:t>
      </w:r>
    </w:p>
    <w:p w14:paraId="4E266A99">
      <w:pPr>
        <w:numPr>
          <w:ilvl w:val="1"/>
          <w:numId w:val="5"/>
        </w:numPr>
        <w:autoSpaceDE w:val="0"/>
        <w:autoSpaceDN w:val="0"/>
        <w:spacing w:line="360" w:lineRule="auto"/>
        <w:rPr>
          <w:color w:val="auto"/>
          <w:kern w:val="0"/>
          <w:sz w:val="24"/>
        </w:rPr>
      </w:pPr>
      <w:r>
        <w:rPr>
          <w:color w:val="auto"/>
          <w:kern w:val="0"/>
          <w:sz w:val="24"/>
          <w:lang w:val="zh-CN"/>
        </w:rPr>
        <w:t>“合同条款”指本合同条款。</w:t>
      </w:r>
    </w:p>
    <w:p w14:paraId="123A3F42">
      <w:pPr>
        <w:numPr>
          <w:ilvl w:val="1"/>
          <w:numId w:val="5"/>
        </w:numPr>
        <w:autoSpaceDE w:val="0"/>
        <w:autoSpaceDN w:val="0"/>
        <w:spacing w:line="360" w:lineRule="auto"/>
        <w:rPr>
          <w:color w:val="auto"/>
          <w:kern w:val="0"/>
          <w:sz w:val="24"/>
        </w:rPr>
      </w:pPr>
      <w:r>
        <w:rPr>
          <w:color w:val="auto"/>
          <w:kern w:val="0"/>
          <w:sz w:val="24"/>
          <w:lang w:val="zh-CN"/>
        </w:rPr>
        <w:t>“货物”指乙方根据合同约定须向甲方提供的一切产品、设备、机械、仪表、备件等，包括辅助工具、使用手册等相关资料。</w:t>
      </w:r>
    </w:p>
    <w:p w14:paraId="741AF905">
      <w:pPr>
        <w:numPr>
          <w:ilvl w:val="1"/>
          <w:numId w:val="5"/>
        </w:numPr>
        <w:autoSpaceDE w:val="0"/>
        <w:autoSpaceDN w:val="0"/>
        <w:spacing w:line="360" w:lineRule="auto"/>
        <w:rPr>
          <w:color w:val="auto"/>
          <w:kern w:val="0"/>
          <w:sz w:val="24"/>
        </w:rPr>
      </w:pPr>
      <w:r>
        <w:rPr>
          <w:color w:val="auto"/>
          <w:kern w:val="0"/>
          <w:sz w:val="24"/>
          <w:lang w:val="zh-CN"/>
        </w:rPr>
        <w:t>“服务”指根据本合同规定乙方承担与交货有关的辅助服务，如运输、保险及安装、调试、提供技术援助、培训和合同中规定乙方应承担的其它义务。</w:t>
      </w:r>
    </w:p>
    <w:p w14:paraId="47B214F6">
      <w:pPr>
        <w:numPr>
          <w:ilvl w:val="1"/>
          <w:numId w:val="5"/>
        </w:numPr>
        <w:autoSpaceDE w:val="0"/>
        <w:autoSpaceDN w:val="0"/>
        <w:spacing w:line="360" w:lineRule="auto"/>
        <w:rPr>
          <w:color w:val="auto"/>
          <w:kern w:val="0"/>
          <w:sz w:val="24"/>
        </w:rPr>
      </w:pPr>
      <w:r>
        <w:rPr>
          <w:color w:val="auto"/>
          <w:kern w:val="0"/>
          <w:sz w:val="24"/>
          <w:lang w:val="zh-CN"/>
        </w:rPr>
        <w:t>“甲方”指购买货物和服务的单位。</w:t>
      </w:r>
    </w:p>
    <w:p w14:paraId="3844151C">
      <w:pPr>
        <w:numPr>
          <w:ilvl w:val="1"/>
          <w:numId w:val="5"/>
        </w:numPr>
        <w:autoSpaceDE w:val="0"/>
        <w:autoSpaceDN w:val="0"/>
        <w:spacing w:line="360" w:lineRule="auto"/>
        <w:rPr>
          <w:color w:val="auto"/>
          <w:kern w:val="0"/>
          <w:sz w:val="24"/>
        </w:rPr>
      </w:pPr>
      <w:r>
        <w:rPr>
          <w:color w:val="auto"/>
          <w:kern w:val="0"/>
          <w:sz w:val="24"/>
          <w:lang w:val="zh-CN"/>
        </w:rPr>
        <w:t>“乙方”指提供本合同条款下货物和服务的公司或其他实体。</w:t>
      </w:r>
    </w:p>
    <w:p w14:paraId="5423DC2E">
      <w:pPr>
        <w:numPr>
          <w:ilvl w:val="1"/>
          <w:numId w:val="5"/>
        </w:numPr>
        <w:autoSpaceDE w:val="0"/>
        <w:autoSpaceDN w:val="0"/>
        <w:spacing w:line="360" w:lineRule="auto"/>
        <w:rPr>
          <w:color w:val="auto"/>
          <w:kern w:val="0"/>
          <w:sz w:val="24"/>
        </w:rPr>
      </w:pPr>
      <w:r>
        <w:rPr>
          <w:color w:val="auto"/>
          <w:kern w:val="0"/>
          <w:sz w:val="24"/>
          <w:lang w:val="zh-CN"/>
        </w:rPr>
        <w:t>“现场”指合同规定货物将要运至和安装的地点。</w:t>
      </w:r>
    </w:p>
    <w:p w14:paraId="25D280EC">
      <w:pPr>
        <w:numPr>
          <w:ilvl w:val="1"/>
          <w:numId w:val="5"/>
        </w:numPr>
        <w:autoSpaceDE w:val="0"/>
        <w:autoSpaceDN w:val="0"/>
        <w:spacing w:line="360" w:lineRule="auto"/>
        <w:rPr>
          <w:color w:val="auto"/>
          <w:kern w:val="0"/>
          <w:sz w:val="24"/>
        </w:rPr>
      </w:pPr>
      <w:r>
        <w:rPr>
          <w:color w:val="auto"/>
          <w:kern w:val="0"/>
          <w:sz w:val="24"/>
          <w:lang w:val="zh-CN"/>
        </w:rPr>
        <w:t>“验收”指合同双方依据强制性的国家技术质量规范和合同约定，确认合同条款下的货物符合合同规定的活动。</w:t>
      </w:r>
    </w:p>
    <w:p w14:paraId="4180C204">
      <w:pPr>
        <w:numPr>
          <w:ilvl w:val="1"/>
          <w:numId w:val="5"/>
        </w:numPr>
        <w:autoSpaceDE w:val="0"/>
        <w:autoSpaceDN w:val="0"/>
        <w:spacing w:line="360" w:lineRule="auto"/>
        <w:rPr>
          <w:color w:val="auto"/>
          <w:kern w:val="0"/>
          <w:sz w:val="24"/>
        </w:rPr>
      </w:pPr>
      <w:r>
        <w:rPr>
          <w:color w:val="auto"/>
          <w:kern w:val="0"/>
          <w:sz w:val="24"/>
          <w:lang w:val="zh-CN"/>
        </w:rPr>
        <w:t>原厂商：产品制造商或其在中国境内设立的办事或技术服务机构。除另有说明外，本合同文件所述的制造商、产品制造商、制造厂家、产品制造厂家均为原厂商。</w:t>
      </w:r>
    </w:p>
    <w:p w14:paraId="2A04566E">
      <w:pPr>
        <w:numPr>
          <w:ilvl w:val="1"/>
          <w:numId w:val="5"/>
        </w:numPr>
        <w:autoSpaceDE w:val="0"/>
        <w:autoSpaceDN w:val="0"/>
        <w:spacing w:line="360" w:lineRule="auto"/>
        <w:rPr>
          <w:color w:val="auto"/>
          <w:kern w:val="0"/>
          <w:sz w:val="24"/>
        </w:rPr>
      </w:pPr>
      <w:r>
        <w:rPr>
          <w:color w:val="auto"/>
          <w:kern w:val="0"/>
          <w:sz w:val="24"/>
          <w:lang w:val="zh-CN"/>
        </w:rPr>
        <w:t>原产地：指产品的生产地，或提供服务的来源地。</w:t>
      </w:r>
    </w:p>
    <w:p w14:paraId="18FB9D25">
      <w:pPr>
        <w:numPr>
          <w:ilvl w:val="1"/>
          <w:numId w:val="5"/>
        </w:numPr>
        <w:autoSpaceDE w:val="0"/>
        <w:autoSpaceDN w:val="0"/>
        <w:spacing w:line="360" w:lineRule="auto"/>
        <w:rPr>
          <w:color w:val="auto"/>
          <w:kern w:val="0"/>
          <w:sz w:val="24"/>
        </w:rPr>
      </w:pPr>
      <w:r>
        <w:rPr>
          <w:color w:val="auto"/>
          <w:kern w:val="0"/>
          <w:sz w:val="24"/>
          <w:lang w:val="zh-CN"/>
        </w:rPr>
        <w:t>“工作日”指国家法定工作日，“天”指日历天数。</w:t>
      </w:r>
    </w:p>
    <w:p w14:paraId="3A7C7AA3">
      <w:pPr>
        <w:numPr>
          <w:ilvl w:val="0"/>
          <w:numId w:val="5"/>
        </w:numPr>
        <w:autoSpaceDE w:val="0"/>
        <w:autoSpaceDN w:val="0"/>
        <w:spacing w:line="360" w:lineRule="auto"/>
        <w:rPr>
          <w:color w:val="auto"/>
          <w:kern w:val="0"/>
          <w:sz w:val="24"/>
        </w:rPr>
      </w:pPr>
      <w:r>
        <w:rPr>
          <w:b/>
          <w:bCs/>
          <w:color w:val="auto"/>
          <w:kern w:val="0"/>
          <w:sz w:val="24"/>
          <w:lang w:val="zh-CN"/>
        </w:rPr>
        <w:t>技术规格要求</w:t>
      </w:r>
    </w:p>
    <w:p w14:paraId="1DFAC4AD">
      <w:pPr>
        <w:numPr>
          <w:ilvl w:val="1"/>
          <w:numId w:val="5"/>
        </w:numPr>
        <w:autoSpaceDE w:val="0"/>
        <w:autoSpaceDN w:val="0"/>
        <w:spacing w:line="360" w:lineRule="auto"/>
        <w:rPr>
          <w:color w:val="auto"/>
          <w:kern w:val="0"/>
          <w:sz w:val="24"/>
        </w:rPr>
      </w:pPr>
      <w:r>
        <w:rPr>
          <w:color w:val="auto"/>
          <w:kern w:val="0"/>
          <w:sz w:val="24"/>
          <w:lang w:val="zh-CN"/>
        </w:rPr>
        <w:t>本合同条款下提交货物的技术规格要求应等于或优于招投标文件技术规格要求。若技术规格要求中无相应规定，则应符合相应的国家有关部门最新颁布的相应正式标准。</w:t>
      </w:r>
    </w:p>
    <w:p w14:paraId="47307CFB">
      <w:pPr>
        <w:numPr>
          <w:ilvl w:val="1"/>
          <w:numId w:val="5"/>
        </w:numPr>
        <w:autoSpaceDE w:val="0"/>
        <w:autoSpaceDN w:val="0"/>
        <w:spacing w:line="360" w:lineRule="auto"/>
        <w:rPr>
          <w:color w:val="auto"/>
          <w:kern w:val="0"/>
          <w:sz w:val="24"/>
        </w:rPr>
      </w:pPr>
      <w:r>
        <w:rPr>
          <w:color w:val="auto"/>
          <w:kern w:val="0"/>
          <w:sz w:val="24"/>
          <w:lang w:val="zh-CN"/>
        </w:rPr>
        <w:t>乙方应向甲方提交货物及服务有关的标准的中文文本。</w:t>
      </w:r>
    </w:p>
    <w:p w14:paraId="662E4AE0">
      <w:pPr>
        <w:numPr>
          <w:ilvl w:val="1"/>
          <w:numId w:val="5"/>
        </w:numPr>
        <w:autoSpaceDE w:val="0"/>
        <w:autoSpaceDN w:val="0"/>
        <w:spacing w:line="360" w:lineRule="auto"/>
        <w:rPr>
          <w:color w:val="auto"/>
          <w:kern w:val="0"/>
          <w:sz w:val="24"/>
        </w:rPr>
      </w:pPr>
      <w:r>
        <w:rPr>
          <w:color w:val="auto"/>
          <w:kern w:val="0"/>
          <w:sz w:val="24"/>
          <w:lang w:val="zh-CN"/>
        </w:rPr>
        <w:t>除非技术规范中另有规定，计量单位均采用中华人民共和国法定计量单位。</w:t>
      </w:r>
    </w:p>
    <w:p w14:paraId="4067C165">
      <w:pPr>
        <w:numPr>
          <w:ilvl w:val="0"/>
          <w:numId w:val="5"/>
        </w:numPr>
        <w:autoSpaceDE w:val="0"/>
        <w:autoSpaceDN w:val="0"/>
        <w:spacing w:line="360" w:lineRule="auto"/>
        <w:rPr>
          <w:color w:val="auto"/>
          <w:kern w:val="0"/>
          <w:sz w:val="24"/>
        </w:rPr>
      </w:pPr>
      <w:r>
        <w:rPr>
          <w:b/>
          <w:bCs/>
          <w:color w:val="auto"/>
          <w:kern w:val="0"/>
          <w:sz w:val="24"/>
          <w:lang w:val="zh-CN"/>
        </w:rPr>
        <w:t>合同范围</w:t>
      </w:r>
    </w:p>
    <w:p w14:paraId="3EF21C52">
      <w:pPr>
        <w:numPr>
          <w:ilvl w:val="1"/>
          <w:numId w:val="5"/>
        </w:numPr>
        <w:autoSpaceDE w:val="0"/>
        <w:autoSpaceDN w:val="0"/>
        <w:spacing w:line="360" w:lineRule="auto"/>
        <w:rPr>
          <w:color w:val="auto"/>
          <w:kern w:val="0"/>
          <w:sz w:val="24"/>
        </w:rPr>
      </w:pPr>
      <w:r>
        <w:rPr>
          <w:color w:val="auto"/>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9225FCB">
      <w:pPr>
        <w:numPr>
          <w:ilvl w:val="1"/>
          <w:numId w:val="5"/>
        </w:numPr>
        <w:autoSpaceDE w:val="0"/>
        <w:autoSpaceDN w:val="0"/>
        <w:spacing w:line="360" w:lineRule="auto"/>
        <w:rPr>
          <w:color w:val="auto"/>
          <w:kern w:val="0"/>
          <w:sz w:val="24"/>
        </w:rPr>
      </w:pPr>
      <w:r>
        <w:rPr>
          <w:color w:val="auto"/>
          <w:kern w:val="0"/>
          <w:sz w:val="24"/>
          <w:lang w:val="zh-CN"/>
        </w:rPr>
        <w:t>乙方应负责培训甲方的技术人员。</w:t>
      </w:r>
    </w:p>
    <w:p w14:paraId="419A08FF">
      <w:pPr>
        <w:numPr>
          <w:ilvl w:val="1"/>
          <w:numId w:val="5"/>
        </w:numPr>
        <w:autoSpaceDE w:val="0"/>
        <w:autoSpaceDN w:val="0"/>
        <w:spacing w:line="360" w:lineRule="auto"/>
        <w:rPr>
          <w:color w:val="auto"/>
          <w:kern w:val="0"/>
          <w:sz w:val="24"/>
        </w:rPr>
      </w:pPr>
      <w:r>
        <w:rPr>
          <w:color w:val="auto"/>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345CAB0E">
      <w:pPr>
        <w:numPr>
          <w:ilvl w:val="0"/>
          <w:numId w:val="5"/>
        </w:numPr>
        <w:autoSpaceDE w:val="0"/>
        <w:autoSpaceDN w:val="0"/>
        <w:spacing w:line="360" w:lineRule="auto"/>
        <w:rPr>
          <w:color w:val="auto"/>
          <w:kern w:val="0"/>
          <w:sz w:val="24"/>
        </w:rPr>
      </w:pPr>
      <w:r>
        <w:rPr>
          <w:b/>
          <w:bCs/>
          <w:color w:val="auto"/>
          <w:kern w:val="0"/>
          <w:sz w:val="24"/>
          <w:lang w:val="zh-CN"/>
        </w:rPr>
        <w:t>合同文件和资料</w:t>
      </w:r>
    </w:p>
    <w:p w14:paraId="7829EA43">
      <w:pPr>
        <w:numPr>
          <w:ilvl w:val="1"/>
          <w:numId w:val="5"/>
        </w:numPr>
        <w:autoSpaceDE w:val="0"/>
        <w:autoSpaceDN w:val="0"/>
        <w:spacing w:line="360" w:lineRule="auto"/>
        <w:rPr>
          <w:color w:val="auto"/>
          <w:kern w:val="0"/>
          <w:sz w:val="24"/>
        </w:rPr>
      </w:pPr>
      <w:r>
        <w:rPr>
          <w:color w:val="auto"/>
          <w:kern w:val="0"/>
          <w:sz w:val="24"/>
          <w:lang w:val="zh-CN"/>
        </w:rPr>
        <w:t>乙方在提供仪器设备时应同时提供中文版相关的技术资料，如目录索引、图纸、操作手册、使用指南、维修指南、服务手册等。</w:t>
      </w:r>
    </w:p>
    <w:p w14:paraId="4DE9C719">
      <w:pPr>
        <w:numPr>
          <w:ilvl w:val="1"/>
          <w:numId w:val="5"/>
        </w:numPr>
        <w:autoSpaceDE w:val="0"/>
        <w:autoSpaceDN w:val="0"/>
        <w:spacing w:line="360" w:lineRule="auto"/>
        <w:rPr>
          <w:color w:val="auto"/>
          <w:kern w:val="0"/>
          <w:sz w:val="24"/>
        </w:rPr>
      </w:pPr>
      <w:r>
        <w:rPr>
          <w:color w:val="auto"/>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EA463A4">
      <w:pPr>
        <w:numPr>
          <w:ilvl w:val="0"/>
          <w:numId w:val="5"/>
        </w:numPr>
        <w:autoSpaceDE w:val="0"/>
        <w:autoSpaceDN w:val="0"/>
        <w:spacing w:line="360" w:lineRule="auto"/>
        <w:rPr>
          <w:color w:val="auto"/>
          <w:kern w:val="0"/>
          <w:sz w:val="24"/>
        </w:rPr>
      </w:pPr>
      <w:r>
        <w:rPr>
          <w:b/>
          <w:bCs/>
          <w:color w:val="auto"/>
          <w:kern w:val="0"/>
          <w:sz w:val="24"/>
          <w:lang w:val="zh-CN"/>
        </w:rPr>
        <w:t>知识产权</w:t>
      </w:r>
    </w:p>
    <w:p w14:paraId="662685FD">
      <w:pPr>
        <w:numPr>
          <w:ilvl w:val="1"/>
          <w:numId w:val="5"/>
        </w:numPr>
        <w:autoSpaceDE w:val="0"/>
        <w:autoSpaceDN w:val="0"/>
        <w:spacing w:line="360" w:lineRule="auto"/>
        <w:rPr>
          <w:color w:val="auto"/>
          <w:kern w:val="0"/>
          <w:sz w:val="24"/>
        </w:rPr>
      </w:pPr>
      <w:r>
        <w:rPr>
          <w:color w:val="auto"/>
          <w:kern w:val="0"/>
          <w:sz w:val="24"/>
          <w:lang w:val="zh-CN"/>
        </w:rPr>
        <w:t>乙方应保证甲方在使用该货物或其任何一部分时不受第三方提出的侵犯专利权、著作权、商标权和工业设计权等的起诉。</w:t>
      </w:r>
    </w:p>
    <w:p w14:paraId="01DB0598">
      <w:pPr>
        <w:numPr>
          <w:ilvl w:val="1"/>
          <w:numId w:val="5"/>
        </w:numPr>
        <w:autoSpaceDE w:val="0"/>
        <w:autoSpaceDN w:val="0"/>
        <w:spacing w:line="360" w:lineRule="auto"/>
        <w:rPr>
          <w:color w:val="auto"/>
          <w:kern w:val="0"/>
          <w:sz w:val="24"/>
        </w:rPr>
      </w:pPr>
      <w:r>
        <w:rPr>
          <w:color w:val="auto"/>
          <w:kern w:val="0"/>
          <w:sz w:val="24"/>
          <w:lang w:val="zh-CN"/>
        </w:rPr>
        <w:t>任何第三方提出侵权指控，乙方须与第三方交涉并承担由此产生的一切责任、费用和经济赔偿。</w:t>
      </w:r>
    </w:p>
    <w:p w14:paraId="5FF3E5A4">
      <w:pPr>
        <w:numPr>
          <w:ilvl w:val="1"/>
          <w:numId w:val="5"/>
        </w:numPr>
        <w:autoSpaceDE w:val="0"/>
        <w:autoSpaceDN w:val="0"/>
        <w:spacing w:line="360" w:lineRule="auto"/>
        <w:rPr>
          <w:color w:val="auto"/>
          <w:kern w:val="0"/>
          <w:sz w:val="24"/>
        </w:rPr>
      </w:pPr>
      <w:r>
        <w:rPr>
          <w:color w:val="auto"/>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73040EE">
      <w:pPr>
        <w:numPr>
          <w:ilvl w:val="1"/>
          <w:numId w:val="5"/>
        </w:numPr>
        <w:autoSpaceDE w:val="0"/>
        <w:autoSpaceDN w:val="0"/>
        <w:spacing w:line="360" w:lineRule="auto"/>
        <w:rPr>
          <w:color w:val="auto"/>
          <w:kern w:val="0"/>
          <w:sz w:val="24"/>
        </w:rPr>
      </w:pPr>
      <w:r>
        <w:rPr>
          <w:color w:val="auto"/>
          <w:kern w:val="0"/>
          <w:sz w:val="24"/>
          <w:lang w:val="zh-CN"/>
        </w:rPr>
        <w:t>在本合同生效时已经存在并为各方合法拥有或使用的所有技术、资料和信息的知识产权，仍应属于其各自的原权利人所有或享有，另有约定的除外。</w:t>
      </w:r>
    </w:p>
    <w:p w14:paraId="677940F0">
      <w:pPr>
        <w:numPr>
          <w:ilvl w:val="1"/>
          <w:numId w:val="5"/>
        </w:numPr>
        <w:autoSpaceDE w:val="0"/>
        <w:autoSpaceDN w:val="0"/>
        <w:spacing w:line="360" w:lineRule="auto"/>
        <w:rPr>
          <w:color w:val="auto"/>
          <w:kern w:val="0"/>
          <w:sz w:val="24"/>
        </w:rPr>
      </w:pPr>
      <w:r>
        <w:rPr>
          <w:color w:val="auto"/>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10E1918">
      <w:pPr>
        <w:numPr>
          <w:ilvl w:val="0"/>
          <w:numId w:val="5"/>
        </w:numPr>
        <w:autoSpaceDE w:val="0"/>
        <w:autoSpaceDN w:val="0"/>
        <w:spacing w:line="360" w:lineRule="auto"/>
        <w:rPr>
          <w:color w:val="auto"/>
          <w:kern w:val="0"/>
          <w:sz w:val="24"/>
        </w:rPr>
      </w:pPr>
      <w:r>
        <w:rPr>
          <w:b/>
          <w:bCs/>
          <w:color w:val="auto"/>
          <w:kern w:val="0"/>
          <w:sz w:val="24"/>
          <w:lang w:val="zh-CN"/>
        </w:rPr>
        <w:t>保密</w:t>
      </w:r>
    </w:p>
    <w:p w14:paraId="288B73CE">
      <w:pPr>
        <w:numPr>
          <w:ilvl w:val="1"/>
          <w:numId w:val="5"/>
        </w:numPr>
        <w:autoSpaceDE w:val="0"/>
        <w:autoSpaceDN w:val="0"/>
        <w:spacing w:line="360" w:lineRule="auto"/>
        <w:rPr>
          <w:color w:val="auto"/>
          <w:kern w:val="0"/>
          <w:sz w:val="24"/>
        </w:rPr>
      </w:pPr>
      <w:r>
        <w:rPr>
          <w:color w:val="auto"/>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AEA4246">
      <w:pPr>
        <w:numPr>
          <w:ilvl w:val="1"/>
          <w:numId w:val="5"/>
        </w:numPr>
        <w:autoSpaceDE w:val="0"/>
        <w:autoSpaceDN w:val="0"/>
        <w:spacing w:line="360" w:lineRule="auto"/>
        <w:rPr>
          <w:color w:val="auto"/>
          <w:kern w:val="0"/>
          <w:sz w:val="24"/>
        </w:rPr>
      </w:pPr>
      <w:r>
        <w:rPr>
          <w:color w:val="auto"/>
          <w:kern w:val="0"/>
          <w:sz w:val="24"/>
          <w:lang w:val="zh-CN"/>
        </w:rPr>
        <w:t>保密信息指任何一方因履行本合同所知悉的任何以口头、书面、图表或电子形式存在的对方信息，具体包括：</w:t>
      </w:r>
    </w:p>
    <w:p w14:paraId="1415AA9D">
      <w:pPr>
        <w:numPr>
          <w:ilvl w:val="2"/>
          <w:numId w:val="5"/>
        </w:numPr>
        <w:autoSpaceDE w:val="0"/>
        <w:autoSpaceDN w:val="0"/>
        <w:spacing w:line="360" w:lineRule="auto"/>
        <w:rPr>
          <w:color w:val="auto"/>
          <w:kern w:val="0"/>
          <w:sz w:val="24"/>
        </w:rPr>
      </w:pPr>
      <w:r>
        <w:rPr>
          <w:color w:val="auto"/>
          <w:kern w:val="0"/>
          <w:sz w:val="24"/>
          <w:lang w:val="zh-CN"/>
        </w:rPr>
        <w:t>任何涉及对方过去、现在或将来的商业计划、规章制度、操作规程、处理手段、财务信息；</w:t>
      </w:r>
    </w:p>
    <w:p w14:paraId="21F102C8">
      <w:pPr>
        <w:numPr>
          <w:ilvl w:val="2"/>
          <w:numId w:val="5"/>
        </w:numPr>
        <w:autoSpaceDE w:val="0"/>
        <w:autoSpaceDN w:val="0"/>
        <w:spacing w:line="360" w:lineRule="auto"/>
        <w:rPr>
          <w:color w:val="auto"/>
          <w:kern w:val="0"/>
          <w:sz w:val="24"/>
        </w:rPr>
      </w:pPr>
      <w:r>
        <w:rPr>
          <w:color w:val="auto"/>
          <w:kern w:val="0"/>
          <w:sz w:val="24"/>
          <w:lang w:val="zh-CN"/>
        </w:rPr>
        <w:t>任何对方的技术措施、技术方案、软件应用及开发，硬件设备的品种、质量、数量、品牌等；</w:t>
      </w:r>
    </w:p>
    <w:p w14:paraId="2D7BAD3B">
      <w:pPr>
        <w:numPr>
          <w:ilvl w:val="2"/>
          <w:numId w:val="5"/>
        </w:numPr>
        <w:autoSpaceDE w:val="0"/>
        <w:autoSpaceDN w:val="0"/>
        <w:spacing w:line="360" w:lineRule="auto"/>
        <w:rPr>
          <w:color w:val="auto"/>
          <w:kern w:val="0"/>
          <w:sz w:val="24"/>
        </w:rPr>
      </w:pPr>
      <w:r>
        <w:rPr>
          <w:color w:val="auto"/>
          <w:kern w:val="0"/>
          <w:sz w:val="24"/>
          <w:lang w:val="zh-CN"/>
        </w:rPr>
        <w:t>任何对方的技术秘密或专有知识、文件</w:t>
      </w:r>
      <w:r>
        <w:rPr>
          <w:color w:val="auto"/>
          <w:kern w:val="0"/>
          <w:sz w:val="24"/>
        </w:rPr>
        <w:t xml:space="preserve"> </w:t>
      </w:r>
      <w:r>
        <w:rPr>
          <w:color w:val="auto"/>
          <w:kern w:val="0"/>
          <w:sz w:val="24"/>
          <w:lang w:val="zh-CN"/>
        </w:rPr>
        <w:t>、报告、数据、客户软件、流程图、数据库、发明、知识、贸易秘密。</w:t>
      </w:r>
    </w:p>
    <w:p w14:paraId="117FD9C8">
      <w:pPr>
        <w:numPr>
          <w:ilvl w:val="1"/>
          <w:numId w:val="5"/>
        </w:numPr>
        <w:autoSpaceDE w:val="0"/>
        <w:autoSpaceDN w:val="0"/>
        <w:spacing w:line="360" w:lineRule="auto"/>
        <w:rPr>
          <w:color w:val="auto"/>
          <w:kern w:val="0"/>
          <w:sz w:val="24"/>
          <w:lang w:val="zh-CN"/>
        </w:rPr>
      </w:pPr>
      <w:r>
        <w:rPr>
          <w:color w:val="auto"/>
          <w:kern w:val="0"/>
          <w:sz w:val="24"/>
          <w:lang w:val="zh-CN"/>
        </w:rPr>
        <w:t>乙方应根据甲方的要求签署相应的保密协议，保密协议与本条款存在不一致的，以保密协议为准。</w:t>
      </w:r>
    </w:p>
    <w:p w14:paraId="1463025B">
      <w:pPr>
        <w:numPr>
          <w:ilvl w:val="0"/>
          <w:numId w:val="5"/>
        </w:numPr>
        <w:autoSpaceDE w:val="0"/>
        <w:autoSpaceDN w:val="0"/>
        <w:spacing w:line="360" w:lineRule="auto"/>
        <w:rPr>
          <w:color w:val="auto"/>
          <w:kern w:val="0"/>
          <w:sz w:val="24"/>
        </w:rPr>
      </w:pPr>
      <w:r>
        <w:rPr>
          <w:b/>
          <w:bCs/>
          <w:color w:val="auto"/>
          <w:kern w:val="0"/>
          <w:sz w:val="24"/>
          <w:lang w:val="zh-CN"/>
        </w:rPr>
        <w:t>质量保证</w:t>
      </w:r>
    </w:p>
    <w:p w14:paraId="216AEB91">
      <w:pPr>
        <w:numPr>
          <w:ilvl w:val="1"/>
          <w:numId w:val="5"/>
        </w:numPr>
        <w:autoSpaceDE w:val="0"/>
        <w:autoSpaceDN w:val="0"/>
        <w:spacing w:line="360" w:lineRule="auto"/>
        <w:rPr>
          <w:color w:val="auto"/>
          <w:kern w:val="0"/>
          <w:sz w:val="24"/>
        </w:rPr>
      </w:pPr>
      <w:r>
        <w:rPr>
          <w:color w:val="auto"/>
          <w:kern w:val="0"/>
          <w:sz w:val="24"/>
          <w:lang w:val="zh-CN"/>
        </w:rPr>
        <w:t>货物质量保证</w:t>
      </w:r>
    </w:p>
    <w:p w14:paraId="487C8C97">
      <w:pPr>
        <w:numPr>
          <w:ilvl w:val="2"/>
          <w:numId w:val="5"/>
        </w:numPr>
        <w:autoSpaceDE w:val="0"/>
        <w:autoSpaceDN w:val="0"/>
        <w:spacing w:line="360" w:lineRule="auto"/>
        <w:rPr>
          <w:color w:val="auto"/>
          <w:kern w:val="0"/>
          <w:sz w:val="24"/>
        </w:rPr>
      </w:pPr>
      <w:r>
        <w:rPr>
          <w:color w:val="auto"/>
          <w:kern w:val="0"/>
          <w:sz w:val="24"/>
          <w:lang w:val="zh-CN"/>
        </w:rPr>
        <w:t>乙方必须保证货物是全新、未使用过的，并完全符合强制性的国家技术质量规范和合同规定的质量、规格、性能和技术规范等的要求。</w:t>
      </w:r>
    </w:p>
    <w:p w14:paraId="1E3A6AC3">
      <w:pPr>
        <w:numPr>
          <w:ilvl w:val="2"/>
          <w:numId w:val="5"/>
        </w:numPr>
        <w:autoSpaceDE w:val="0"/>
        <w:autoSpaceDN w:val="0"/>
        <w:spacing w:line="360" w:lineRule="auto"/>
        <w:rPr>
          <w:color w:val="auto"/>
          <w:kern w:val="0"/>
          <w:sz w:val="24"/>
        </w:rPr>
      </w:pPr>
      <w:r>
        <w:rPr>
          <w:color w:val="auto"/>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723EE640">
      <w:pPr>
        <w:numPr>
          <w:ilvl w:val="2"/>
          <w:numId w:val="5"/>
        </w:numPr>
        <w:autoSpaceDE w:val="0"/>
        <w:autoSpaceDN w:val="0"/>
        <w:spacing w:line="360" w:lineRule="auto"/>
        <w:rPr>
          <w:color w:val="auto"/>
          <w:kern w:val="0"/>
          <w:sz w:val="24"/>
        </w:rPr>
      </w:pPr>
      <w:r>
        <w:rPr>
          <w:color w:val="auto"/>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AA67394">
      <w:pPr>
        <w:numPr>
          <w:ilvl w:val="2"/>
          <w:numId w:val="5"/>
        </w:numPr>
        <w:autoSpaceDE w:val="0"/>
        <w:autoSpaceDN w:val="0"/>
        <w:spacing w:line="360" w:lineRule="auto"/>
        <w:rPr>
          <w:color w:val="auto"/>
          <w:kern w:val="0"/>
          <w:sz w:val="24"/>
        </w:rPr>
      </w:pPr>
      <w:r>
        <w:rPr>
          <w:color w:val="auto"/>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30A5A7C">
      <w:pPr>
        <w:numPr>
          <w:ilvl w:val="2"/>
          <w:numId w:val="5"/>
        </w:numPr>
        <w:autoSpaceDE w:val="0"/>
        <w:autoSpaceDN w:val="0"/>
        <w:spacing w:line="360" w:lineRule="auto"/>
        <w:rPr>
          <w:color w:val="auto"/>
          <w:kern w:val="0"/>
          <w:sz w:val="24"/>
        </w:rPr>
      </w:pPr>
      <w:r>
        <w:rPr>
          <w:color w:val="auto"/>
          <w:kern w:val="0"/>
          <w:sz w:val="24"/>
          <w:lang w:val="zh-CN"/>
        </w:rPr>
        <w:t>合同条款下货物的免费质保期自货物通过最终验收起算，合同另行规定除外。</w:t>
      </w:r>
    </w:p>
    <w:p w14:paraId="5935D01F">
      <w:pPr>
        <w:numPr>
          <w:ilvl w:val="1"/>
          <w:numId w:val="5"/>
        </w:numPr>
        <w:autoSpaceDE w:val="0"/>
        <w:autoSpaceDN w:val="0"/>
        <w:spacing w:line="360" w:lineRule="auto"/>
        <w:rPr>
          <w:color w:val="auto"/>
          <w:kern w:val="0"/>
          <w:sz w:val="24"/>
          <w:lang w:val="zh-CN"/>
        </w:rPr>
      </w:pPr>
      <w:r>
        <w:rPr>
          <w:color w:val="auto"/>
          <w:kern w:val="0"/>
          <w:sz w:val="24"/>
          <w:lang w:val="zh-CN"/>
        </w:rPr>
        <w:t>辅助服务质量保证</w:t>
      </w:r>
    </w:p>
    <w:p w14:paraId="09182663">
      <w:pPr>
        <w:numPr>
          <w:ilvl w:val="2"/>
          <w:numId w:val="5"/>
        </w:numPr>
        <w:autoSpaceDE w:val="0"/>
        <w:autoSpaceDN w:val="0"/>
        <w:spacing w:line="360" w:lineRule="auto"/>
        <w:rPr>
          <w:color w:val="auto"/>
          <w:kern w:val="0"/>
          <w:sz w:val="24"/>
        </w:rPr>
      </w:pPr>
      <w:r>
        <w:rPr>
          <w:color w:val="auto"/>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6EA2814">
      <w:pPr>
        <w:numPr>
          <w:ilvl w:val="2"/>
          <w:numId w:val="5"/>
        </w:numPr>
        <w:autoSpaceDE w:val="0"/>
        <w:autoSpaceDN w:val="0"/>
        <w:spacing w:line="360" w:lineRule="auto"/>
        <w:rPr>
          <w:color w:val="auto"/>
          <w:kern w:val="0"/>
          <w:sz w:val="24"/>
        </w:rPr>
      </w:pPr>
      <w:r>
        <w:rPr>
          <w:color w:val="auto"/>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2F74F702">
      <w:pPr>
        <w:numPr>
          <w:ilvl w:val="0"/>
          <w:numId w:val="5"/>
        </w:numPr>
        <w:autoSpaceDE w:val="0"/>
        <w:autoSpaceDN w:val="0"/>
        <w:spacing w:line="360" w:lineRule="auto"/>
        <w:rPr>
          <w:b/>
          <w:bCs/>
          <w:color w:val="auto"/>
          <w:kern w:val="0"/>
          <w:sz w:val="24"/>
          <w:lang w:val="zh-CN"/>
        </w:rPr>
      </w:pPr>
      <w:r>
        <w:rPr>
          <w:b/>
          <w:bCs/>
          <w:color w:val="auto"/>
          <w:kern w:val="0"/>
          <w:sz w:val="24"/>
          <w:lang w:val="zh-CN"/>
        </w:rPr>
        <w:t>包装要求</w:t>
      </w:r>
    </w:p>
    <w:p w14:paraId="67012385">
      <w:pPr>
        <w:numPr>
          <w:ilvl w:val="1"/>
          <w:numId w:val="5"/>
        </w:numPr>
        <w:autoSpaceDE w:val="0"/>
        <w:autoSpaceDN w:val="0"/>
        <w:spacing w:line="360" w:lineRule="auto"/>
        <w:rPr>
          <w:color w:val="auto"/>
          <w:kern w:val="0"/>
          <w:sz w:val="24"/>
        </w:rPr>
      </w:pPr>
      <w:r>
        <w:rPr>
          <w:color w:val="auto"/>
          <w:kern w:val="0"/>
          <w:sz w:val="24"/>
          <w:lang w:val="zh-CN"/>
        </w:rPr>
        <w:t>除合同另有约定外</w:t>
      </w:r>
      <w:r>
        <w:rPr>
          <w:color w:val="auto"/>
          <w:kern w:val="0"/>
          <w:sz w:val="24"/>
        </w:rPr>
        <w:t>,</w:t>
      </w:r>
      <w:r>
        <w:rPr>
          <w:color w:val="auto"/>
          <w:kern w:val="0"/>
          <w:sz w:val="24"/>
          <w:lang w:val="zh-CN"/>
        </w:rPr>
        <w:t>乙方提供的全部货物</w:t>
      </w:r>
      <w:r>
        <w:rPr>
          <w:color w:val="auto"/>
          <w:kern w:val="0"/>
          <w:sz w:val="24"/>
        </w:rPr>
        <w:t>,</w:t>
      </w:r>
      <w:r>
        <w:rPr>
          <w:color w:val="auto"/>
          <w:kern w:val="0"/>
          <w:sz w:val="24"/>
          <w:lang w:val="zh-CN"/>
        </w:rPr>
        <w:t>均应采用本行业通用的方式进行包装，且该包装应符合国家有关包装的法律、法规的规定。</w:t>
      </w:r>
    </w:p>
    <w:p w14:paraId="79E83FA8">
      <w:pPr>
        <w:numPr>
          <w:ilvl w:val="1"/>
          <w:numId w:val="5"/>
        </w:numPr>
        <w:autoSpaceDE w:val="0"/>
        <w:autoSpaceDN w:val="0"/>
        <w:spacing w:line="360" w:lineRule="auto"/>
        <w:rPr>
          <w:color w:val="auto"/>
          <w:kern w:val="0"/>
          <w:sz w:val="24"/>
        </w:rPr>
      </w:pPr>
      <w:r>
        <w:rPr>
          <w:color w:val="auto"/>
          <w:kern w:val="0"/>
          <w:sz w:val="24"/>
          <w:lang w:val="zh-CN"/>
        </w:rPr>
        <w:t>包装应适应于远距离运输，并有良好的防潮、防震、防锈和防粗暴装卸等保护措施，以确保货物安全运抵现场。由于包装不善所引起的货物锈蚀、损坏和损失均由乙方承担。</w:t>
      </w:r>
    </w:p>
    <w:p w14:paraId="13C21FE1">
      <w:pPr>
        <w:autoSpaceDE w:val="0"/>
        <w:autoSpaceDN w:val="0"/>
        <w:spacing w:line="360" w:lineRule="auto"/>
        <w:ind w:left="480"/>
        <w:rPr>
          <w:color w:val="auto"/>
          <w:kern w:val="0"/>
          <w:sz w:val="24"/>
        </w:rPr>
      </w:pPr>
      <w:r>
        <w:rPr>
          <w:color w:val="auto"/>
          <w:kern w:val="0"/>
          <w:sz w:val="24"/>
          <w:lang w:val="zh-CN"/>
        </w:rPr>
        <w:t>乙方应提交货物运至合同规定的最终目的地所需要的包装，以防止货物在转运中损坏或变质。</w:t>
      </w:r>
    </w:p>
    <w:p w14:paraId="6BDA004A">
      <w:pPr>
        <w:numPr>
          <w:ilvl w:val="1"/>
          <w:numId w:val="5"/>
        </w:numPr>
        <w:autoSpaceDE w:val="0"/>
        <w:autoSpaceDN w:val="0"/>
        <w:spacing w:line="360" w:lineRule="auto"/>
        <w:rPr>
          <w:color w:val="auto"/>
          <w:kern w:val="0"/>
          <w:sz w:val="24"/>
        </w:rPr>
      </w:pPr>
      <w:r>
        <w:rPr>
          <w:color w:val="auto"/>
          <w:kern w:val="0"/>
          <w:sz w:val="24"/>
          <w:lang w:val="zh-CN"/>
        </w:rPr>
        <w:t>乙方所提供的货物包装均为出厂时原包装。</w:t>
      </w:r>
    </w:p>
    <w:p w14:paraId="3CD4AAE8">
      <w:pPr>
        <w:numPr>
          <w:ilvl w:val="1"/>
          <w:numId w:val="5"/>
        </w:numPr>
        <w:autoSpaceDE w:val="0"/>
        <w:autoSpaceDN w:val="0"/>
        <w:spacing w:line="360" w:lineRule="auto"/>
        <w:rPr>
          <w:color w:val="auto"/>
          <w:kern w:val="0"/>
          <w:sz w:val="24"/>
        </w:rPr>
      </w:pPr>
      <w:r>
        <w:rPr>
          <w:color w:val="auto"/>
          <w:kern w:val="0"/>
          <w:sz w:val="24"/>
          <w:lang w:val="zh-CN"/>
        </w:rPr>
        <w:t>乙方所提交货物必须附有质量合格证，装箱清单，主机、附件、各种零部件和消耗品，有清楚的与装箱单相对应的名称和编号。</w:t>
      </w:r>
    </w:p>
    <w:p w14:paraId="79A7AC71">
      <w:pPr>
        <w:numPr>
          <w:ilvl w:val="1"/>
          <w:numId w:val="5"/>
        </w:numPr>
        <w:autoSpaceDE w:val="0"/>
        <w:autoSpaceDN w:val="0"/>
        <w:spacing w:line="360" w:lineRule="auto"/>
        <w:rPr>
          <w:color w:val="auto"/>
          <w:kern w:val="0"/>
          <w:sz w:val="24"/>
        </w:rPr>
      </w:pPr>
      <w:r>
        <w:rPr>
          <w:color w:val="auto"/>
          <w:kern w:val="0"/>
          <w:sz w:val="24"/>
          <w:lang w:val="zh-CN"/>
        </w:rPr>
        <w:t>货物运输中的运输费用和保险费用均由乙方承担。运输过程中的一切损失、损坏均由乙方负责。</w:t>
      </w:r>
    </w:p>
    <w:p w14:paraId="3D67CF74">
      <w:pPr>
        <w:numPr>
          <w:ilvl w:val="0"/>
          <w:numId w:val="5"/>
        </w:numPr>
        <w:autoSpaceDE w:val="0"/>
        <w:autoSpaceDN w:val="0"/>
        <w:spacing w:line="360" w:lineRule="auto"/>
        <w:rPr>
          <w:b/>
          <w:bCs/>
          <w:color w:val="auto"/>
          <w:kern w:val="0"/>
          <w:sz w:val="24"/>
          <w:lang w:val="zh-CN"/>
        </w:rPr>
      </w:pPr>
      <w:r>
        <w:rPr>
          <w:b/>
          <w:bCs/>
          <w:color w:val="auto"/>
          <w:kern w:val="0"/>
          <w:sz w:val="24"/>
          <w:lang w:val="zh-CN"/>
        </w:rPr>
        <w:t>价格</w:t>
      </w:r>
    </w:p>
    <w:p w14:paraId="2193F574">
      <w:pPr>
        <w:numPr>
          <w:ilvl w:val="1"/>
          <w:numId w:val="5"/>
        </w:numPr>
        <w:autoSpaceDE w:val="0"/>
        <w:autoSpaceDN w:val="0"/>
        <w:spacing w:line="360" w:lineRule="auto"/>
        <w:rPr>
          <w:color w:val="auto"/>
          <w:kern w:val="0"/>
          <w:sz w:val="24"/>
        </w:rPr>
      </w:pPr>
      <w:r>
        <w:rPr>
          <w:color w:val="auto"/>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0489D27C">
      <w:pPr>
        <w:numPr>
          <w:ilvl w:val="1"/>
          <w:numId w:val="5"/>
        </w:numPr>
        <w:autoSpaceDE w:val="0"/>
        <w:autoSpaceDN w:val="0"/>
        <w:spacing w:line="360" w:lineRule="auto"/>
        <w:rPr>
          <w:color w:val="auto"/>
          <w:kern w:val="0"/>
          <w:sz w:val="24"/>
        </w:rPr>
      </w:pPr>
      <w:r>
        <w:rPr>
          <w:color w:val="auto"/>
          <w:kern w:val="0"/>
          <w:sz w:val="24"/>
          <w:lang w:val="zh-CN"/>
        </w:rPr>
        <w:t>本合同价格为固定价格，包括了乙方履行合同全过程产生的所有成本和费用以及乙方应承担的一切税费。</w:t>
      </w:r>
    </w:p>
    <w:p w14:paraId="344D465E">
      <w:pPr>
        <w:numPr>
          <w:ilvl w:val="1"/>
          <w:numId w:val="5"/>
        </w:numPr>
        <w:autoSpaceDE w:val="0"/>
        <w:autoSpaceDN w:val="0"/>
        <w:spacing w:line="360" w:lineRule="auto"/>
        <w:rPr>
          <w:color w:val="auto"/>
          <w:kern w:val="0"/>
          <w:sz w:val="24"/>
        </w:rPr>
      </w:pPr>
      <w:r>
        <w:rPr>
          <w:color w:val="auto"/>
          <w:kern w:val="0"/>
          <w:sz w:val="24"/>
          <w:lang w:val="zh-CN"/>
        </w:rPr>
        <w:t>检验费用</w:t>
      </w:r>
    </w:p>
    <w:p w14:paraId="5D32B185">
      <w:pPr>
        <w:numPr>
          <w:ilvl w:val="2"/>
          <w:numId w:val="5"/>
        </w:numPr>
        <w:autoSpaceDE w:val="0"/>
        <w:autoSpaceDN w:val="0"/>
        <w:spacing w:line="360" w:lineRule="auto"/>
        <w:rPr>
          <w:color w:val="auto"/>
          <w:kern w:val="0"/>
          <w:sz w:val="24"/>
        </w:rPr>
      </w:pPr>
      <w:r>
        <w:rPr>
          <w:color w:val="auto"/>
          <w:kern w:val="0"/>
          <w:sz w:val="24"/>
          <w:lang w:val="zh-CN"/>
        </w:rPr>
        <w:t>乙方必须负担本条款下属于乙方负责的检验、测试、调试、试运行和验收的所有费用，并负责乙方派往买方组织的检验、测试和验收人员的所有费用。</w:t>
      </w:r>
    </w:p>
    <w:p w14:paraId="72838D37">
      <w:pPr>
        <w:numPr>
          <w:ilvl w:val="2"/>
          <w:numId w:val="5"/>
        </w:numPr>
        <w:autoSpaceDE w:val="0"/>
        <w:autoSpaceDN w:val="0"/>
        <w:spacing w:line="360" w:lineRule="auto"/>
        <w:rPr>
          <w:color w:val="auto"/>
          <w:kern w:val="0"/>
          <w:sz w:val="24"/>
        </w:rPr>
      </w:pPr>
      <w:r>
        <w:rPr>
          <w:color w:val="auto"/>
          <w:kern w:val="0"/>
          <w:sz w:val="24"/>
          <w:lang w:val="zh-CN"/>
        </w:rPr>
        <w:t>甲方按合同计划参加在乙方工厂所在地检验、测试和验收的费用全部由乙方负责并已包含在合同总价中。</w:t>
      </w:r>
    </w:p>
    <w:p w14:paraId="75831423">
      <w:pPr>
        <w:numPr>
          <w:ilvl w:val="2"/>
          <w:numId w:val="5"/>
        </w:numPr>
        <w:autoSpaceDE w:val="0"/>
        <w:autoSpaceDN w:val="0"/>
        <w:spacing w:line="360" w:lineRule="auto"/>
        <w:rPr>
          <w:color w:val="auto"/>
          <w:kern w:val="0"/>
          <w:sz w:val="24"/>
        </w:rPr>
      </w:pPr>
      <w:r>
        <w:rPr>
          <w:color w:val="auto"/>
          <w:kern w:val="0"/>
          <w:sz w:val="24"/>
          <w:lang w:val="zh-CN"/>
        </w:rPr>
        <w:t>甲方检验人员已到卖方所在地，测试无法依照合同进行，而引起甲方人员延长逗留时间，所有由此产生的包括甲方人员在内的直接费用及成本由乙方承担。</w:t>
      </w:r>
    </w:p>
    <w:p w14:paraId="4070B378">
      <w:pPr>
        <w:numPr>
          <w:ilvl w:val="0"/>
          <w:numId w:val="5"/>
        </w:numPr>
        <w:autoSpaceDE w:val="0"/>
        <w:autoSpaceDN w:val="0"/>
        <w:spacing w:line="360" w:lineRule="auto"/>
        <w:rPr>
          <w:b/>
          <w:bCs/>
          <w:color w:val="auto"/>
          <w:kern w:val="0"/>
          <w:sz w:val="24"/>
        </w:rPr>
      </w:pPr>
      <w:r>
        <w:rPr>
          <w:b/>
          <w:bCs/>
          <w:color w:val="auto"/>
          <w:kern w:val="0"/>
          <w:sz w:val="24"/>
          <w:lang w:val="zh-CN"/>
        </w:rPr>
        <w:t>交货方式及交货时间</w:t>
      </w:r>
    </w:p>
    <w:p w14:paraId="2EC42CE0">
      <w:pPr>
        <w:autoSpaceDE w:val="0"/>
        <w:autoSpaceDN w:val="0"/>
        <w:spacing w:line="360" w:lineRule="auto"/>
        <w:ind w:firstLine="480" w:firstLineChars="200"/>
        <w:rPr>
          <w:color w:val="auto"/>
          <w:kern w:val="0"/>
          <w:sz w:val="24"/>
          <w:lang w:val="zh-CN"/>
        </w:rPr>
      </w:pPr>
      <w:r>
        <w:rPr>
          <w:color w:val="auto"/>
          <w:kern w:val="0"/>
          <w:sz w:val="24"/>
          <w:lang w:val="zh-CN"/>
        </w:rPr>
        <w:t>交货方式：现场交货，乙方负责办理运输和保险，将货物运抵现场。</w:t>
      </w:r>
    </w:p>
    <w:p w14:paraId="6D5E4148">
      <w:pPr>
        <w:autoSpaceDE w:val="0"/>
        <w:autoSpaceDN w:val="0"/>
        <w:spacing w:line="360" w:lineRule="auto"/>
        <w:ind w:firstLine="480" w:firstLineChars="200"/>
        <w:rPr>
          <w:color w:val="auto"/>
          <w:kern w:val="0"/>
          <w:sz w:val="24"/>
          <w:lang w:val="zh-CN"/>
        </w:rPr>
      </w:pPr>
      <w:r>
        <w:rPr>
          <w:color w:val="auto"/>
          <w:kern w:val="0"/>
          <w:sz w:val="24"/>
          <w:lang w:val="zh-CN"/>
        </w:rPr>
        <w:t>交货期应根据产品的特点实事求是填写，进口产品90个工作日内，国产产品60个工作日内。特殊产品交货期需说明。</w:t>
      </w:r>
    </w:p>
    <w:p w14:paraId="66AD4FD3">
      <w:pPr>
        <w:autoSpaceDE w:val="0"/>
        <w:autoSpaceDN w:val="0"/>
        <w:spacing w:line="360" w:lineRule="auto"/>
        <w:ind w:firstLine="480" w:firstLineChars="200"/>
        <w:rPr>
          <w:color w:val="auto"/>
          <w:kern w:val="0"/>
          <w:sz w:val="24"/>
          <w:lang w:val="zh-CN"/>
        </w:rPr>
      </w:pPr>
      <w:r>
        <w:rPr>
          <w:color w:val="auto"/>
          <w:kern w:val="0"/>
          <w:sz w:val="24"/>
          <w:lang w:val="zh-CN"/>
        </w:rPr>
        <w:t>交货时间：所有货物运抵现场并经双方开箱验收合格之日。</w:t>
      </w:r>
    </w:p>
    <w:p w14:paraId="252C6E20">
      <w:pPr>
        <w:numPr>
          <w:ilvl w:val="0"/>
          <w:numId w:val="5"/>
        </w:numPr>
        <w:autoSpaceDE w:val="0"/>
        <w:autoSpaceDN w:val="0"/>
        <w:spacing w:line="360" w:lineRule="auto"/>
        <w:rPr>
          <w:b/>
          <w:bCs/>
          <w:color w:val="auto"/>
          <w:kern w:val="0"/>
          <w:sz w:val="24"/>
          <w:lang w:val="zh-CN"/>
        </w:rPr>
      </w:pPr>
      <w:r>
        <w:rPr>
          <w:b/>
          <w:bCs/>
          <w:color w:val="auto"/>
          <w:kern w:val="0"/>
          <w:sz w:val="24"/>
          <w:lang w:val="zh-CN"/>
        </w:rPr>
        <w:t>检验和验收</w:t>
      </w:r>
    </w:p>
    <w:p w14:paraId="4E9BE799">
      <w:pPr>
        <w:numPr>
          <w:ilvl w:val="1"/>
          <w:numId w:val="5"/>
        </w:numPr>
        <w:autoSpaceDE w:val="0"/>
        <w:autoSpaceDN w:val="0"/>
        <w:spacing w:line="360" w:lineRule="auto"/>
        <w:rPr>
          <w:color w:val="auto"/>
          <w:kern w:val="0"/>
          <w:sz w:val="24"/>
        </w:rPr>
      </w:pPr>
      <w:r>
        <w:rPr>
          <w:color w:val="auto"/>
          <w:kern w:val="0"/>
          <w:sz w:val="24"/>
          <w:lang w:val="zh-CN"/>
        </w:rPr>
        <w:t>开箱验收</w:t>
      </w:r>
    </w:p>
    <w:p w14:paraId="46224EED">
      <w:pPr>
        <w:numPr>
          <w:ilvl w:val="2"/>
          <w:numId w:val="5"/>
        </w:numPr>
        <w:autoSpaceDE w:val="0"/>
        <w:autoSpaceDN w:val="0"/>
        <w:spacing w:line="360" w:lineRule="auto"/>
        <w:rPr>
          <w:color w:val="auto"/>
          <w:kern w:val="0"/>
          <w:sz w:val="24"/>
        </w:rPr>
      </w:pPr>
      <w:r>
        <w:rPr>
          <w:color w:val="auto"/>
          <w:kern w:val="0"/>
          <w:sz w:val="24"/>
          <w:lang w:val="zh-CN"/>
        </w:rPr>
        <w:t>货物运抵现场后，双方应及时开箱验收，并制作验收记录，以确认与本合同约定的数量、型号等是否一致。</w:t>
      </w:r>
    </w:p>
    <w:p w14:paraId="78CE9559">
      <w:pPr>
        <w:numPr>
          <w:ilvl w:val="2"/>
          <w:numId w:val="5"/>
        </w:numPr>
        <w:autoSpaceDE w:val="0"/>
        <w:autoSpaceDN w:val="0"/>
        <w:spacing w:line="360" w:lineRule="auto"/>
        <w:rPr>
          <w:color w:val="auto"/>
          <w:kern w:val="0"/>
          <w:sz w:val="24"/>
        </w:rPr>
      </w:pPr>
      <w:r>
        <w:rPr>
          <w:color w:val="auto"/>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64671AF">
      <w:pPr>
        <w:numPr>
          <w:ilvl w:val="2"/>
          <w:numId w:val="5"/>
        </w:numPr>
        <w:autoSpaceDE w:val="0"/>
        <w:autoSpaceDN w:val="0"/>
        <w:spacing w:line="360" w:lineRule="auto"/>
        <w:rPr>
          <w:color w:val="auto"/>
          <w:kern w:val="0"/>
          <w:sz w:val="24"/>
        </w:rPr>
      </w:pPr>
      <w:r>
        <w:rPr>
          <w:color w:val="auto"/>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5E0584EC">
      <w:pPr>
        <w:numPr>
          <w:ilvl w:val="1"/>
          <w:numId w:val="5"/>
        </w:numPr>
        <w:autoSpaceDE w:val="0"/>
        <w:autoSpaceDN w:val="0"/>
        <w:spacing w:line="360" w:lineRule="auto"/>
        <w:rPr>
          <w:color w:val="auto"/>
          <w:kern w:val="0"/>
          <w:sz w:val="24"/>
        </w:rPr>
      </w:pPr>
      <w:r>
        <w:rPr>
          <w:color w:val="auto"/>
          <w:kern w:val="0"/>
          <w:sz w:val="24"/>
          <w:lang w:val="zh-CN"/>
        </w:rPr>
        <w:t>检验验收</w:t>
      </w:r>
    </w:p>
    <w:p w14:paraId="2BBCF090">
      <w:pPr>
        <w:numPr>
          <w:ilvl w:val="2"/>
          <w:numId w:val="5"/>
        </w:numPr>
        <w:autoSpaceDE w:val="0"/>
        <w:autoSpaceDN w:val="0"/>
        <w:spacing w:line="360" w:lineRule="auto"/>
        <w:rPr>
          <w:color w:val="auto"/>
          <w:kern w:val="0"/>
          <w:sz w:val="24"/>
        </w:rPr>
      </w:pPr>
      <w:r>
        <w:rPr>
          <w:color w:val="auto"/>
          <w:kern w:val="0"/>
          <w:sz w:val="24"/>
          <w:lang w:val="zh-CN"/>
        </w:rPr>
        <w:t>交货完成后，乙方应及时组装、调试、试运行，按照合同专用条款规定的试运行完成后，双方及时组织对货物检验验收。合同双方均须派人参加合同要求双方参加的试验、检验。</w:t>
      </w:r>
    </w:p>
    <w:p w14:paraId="27B6E4CC">
      <w:pPr>
        <w:numPr>
          <w:ilvl w:val="2"/>
          <w:numId w:val="5"/>
        </w:numPr>
        <w:autoSpaceDE w:val="0"/>
        <w:autoSpaceDN w:val="0"/>
        <w:spacing w:line="360" w:lineRule="auto"/>
        <w:rPr>
          <w:color w:val="auto"/>
          <w:kern w:val="0"/>
          <w:sz w:val="24"/>
        </w:rPr>
      </w:pPr>
      <w:r>
        <w:rPr>
          <w:color w:val="auto"/>
          <w:kern w:val="0"/>
          <w:sz w:val="24"/>
          <w:lang w:val="zh-CN"/>
        </w:rPr>
        <w:t>在具体实施合同规定的检验验收之前，乙方需提前提交相应的测试计划（包括测试程序、测试内容和检验标准、试验时间安排等）供甲方确认。</w:t>
      </w:r>
    </w:p>
    <w:p w14:paraId="62F2C2F4">
      <w:pPr>
        <w:numPr>
          <w:ilvl w:val="2"/>
          <w:numId w:val="5"/>
        </w:numPr>
        <w:autoSpaceDE w:val="0"/>
        <w:autoSpaceDN w:val="0"/>
        <w:spacing w:line="360" w:lineRule="auto"/>
        <w:rPr>
          <w:color w:val="auto"/>
          <w:kern w:val="0"/>
          <w:sz w:val="24"/>
        </w:rPr>
      </w:pPr>
      <w:r>
        <w:rPr>
          <w:color w:val="auto"/>
          <w:kern w:val="0"/>
          <w:sz w:val="24"/>
          <w:lang w:val="zh-CN"/>
        </w:rPr>
        <w:t>除需甲方确认的试验验收外，乙方还应对所有检验验收测试的结果、步骤、原始数据等作妥善记录。如甲方要求，乙方应提供这些记录给买方。</w:t>
      </w:r>
    </w:p>
    <w:p w14:paraId="697C54DF">
      <w:pPr>
        <w:numPr>
          <w:ilvl w:val="2"/>
          <w:numId w:val="5"/>
        </w:numPr>
        <w:autoSpaceDE w:val="0"/>
        <w:autoSpaceDN w:val="0"/>
        <w:spacing w:line="360" w:lineRule="auto"/>
        <w:rPr>
          <w:color w:val="auto"/>
          <w:kern w:val="0"/>
          <w:sz w:val="24"/>
        </w:rPr>
      </w:pPr>
      <w:r>
        <w:rPr>
          <w:color w:val="auto"/>
          <w:kern w:val="0"/>
          <w:sz w:val="24"/>
          <w:lang w:val="zh-CN"/>
        </w:rPr>
        <w:t>检验测试出现全部或部分未达到本合同所约定的技术指标，甲方有权选择下列任一处理方式：</w:t>
      </w:r>
    </w:p>
    <w:p w14:paraId="7E341757">
      <w:pPr>
        <w:numPr>
          <w:ilvl w:val="0"/>
          <w:numId w:val="6"/>
        </w:numPr>
        <w:autoSpaceDE w:val="0"/>
        <w:autoSpaceDN w:val="0"/>
        <w:spacing w:line="360" w:lineRule="auto"/>
        <w:rPr>
          <w:color w:val="auto"/>
          <w:kern w:val="0"/>
          <w:sz w:val="24"/>
        </w:rPr>
      </w:pPr>
      <w:r>
        <w:rPr>
          <w:color w:val="auto"/>
          <w:kern w:val="0"/>
          <w:sz w:val="24"/>
          <w:lang w:val="zh-CN"/>
        </w:rPr>
        <w:t>重新测试直至合格为止；</w:t>
      </w:r>
    </w:p>
    <w:p w14:paraId="255A0646">
      <w:pPr>
        <w:numPr>
          <w:ilvl w:val="0"/>
          <w:numId w:val="6"/>
        </w:numPr>
        <w:autoSpaceDE w:val="0"/>
        <w:autoSpaceDN w:val="0"/>
        <w:spacing w:line="360" w:lineRule="auto"/>
        <w:rPr>
          <w:color w:val="auto"/>
          <w:kern w:val="0"/>
          <w:sz w:val="24"/>
        </w:rPr>
      </w:pPr>
      <w:r>
        <w:rPr>
          <w:color w:val="auto"/>
          <w:kern w:val="0"/>
          <w:sz w:val="24"/>
          <w:lang w:val="zh-CN"/>
        </w:rPr>
        <w:t>要求乙方对货物进行免费更换，然后重新测试直至合格为止；</w:t>
      </w:r>
    </w:p>
    <w:p w14:paraId="129E2A34">
      <w:pPr>
        <w:autoSpaceDE w:val="0"/>
        <w:autoSpaceDN w:val="0"/>
        <w:spacing w:line="360" w:lineRule="auto"/>
        <w:rPr>
          <w:color w:val="auto"/>
          <w:kern w:val="0"/>
          <w:sz w:val="24"/>
        </w:rPr>
      </w:pPr>
      <w:r>
        <w:rPr>
          <w:color w:val="auto"/>
          <w:kern w:val="0"/>
          <w:sz w:val="24"/>
          <w:lang w:val="zh-CN"/>
        </w:rPr>
        <w:t>无论选择何种方式，甲方因此而发生的因卖方原因引起的所有费用均由乙方负担。</w:t>
      </w:r>
    </w:p>
    <w:p w14:paraId="1FD39822">
      <w:pPr>
        <w:numPr>
          <w:ilvl w:val="1"/>
          <w:numId w:val="5"/>
        </w:numPr>
        <w:autoSpaceDE w:val="0"/>
        <w:autoSpaceDN w:val="0"/>
        <w:spacing w:line="360" w:lineRule="auto"/>
        <w:rPr>
          <w:color w:val="auto"/>
          <w:kern w:val="0"/>
          <w:sz w:val="24"/>
        </w:rPr>
      </w:pPr>
      <w:r>
        <w:rPr>
          <w:color w:val="auto"/>
          <w:kern w:val="0"/>
          <w:sz w:val="24"/>
          <w:lang w:val="zh-CN"/>
        </w:rPr>
        <w:t>使用过程检验</w:t>
      </w:r>
    </w:p>
    <w:p w14:paraId="40E5B1B5">
      <w:pPr>
        <w:numPr>
          <w:ilvl w:val="2"/>
          <w:numId w:val="5"/>
        </w:numPr>
        <w:autoSpaceDE w:val="0"/>
        <w:autoSpaceDN w:val="0"/>
        <w:spacing w:line="360" w:lineRule="auto"/>
        <w:rPr>
          <w:color w:val="auto"/>
          <w:kern w:val="0"/>
          <w:sz w:val="24"/>
        </w:rPr>
      </w:pPr>
      <w:r>
        <w:rPr>
          <w:color w:val="auto"/>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0B305BB">
      <w:pPr>
        <w:numPr>
          <w:ilvl w:val="2"/>
          <w:numId w:val="5"/>
        </w:numPr>
        <w:autoSpaceDE w:val="0"/>
        <w:autoSpaceDN w:val="0"/>
        <w:spacing w:line="360" w:lineRule="auto"/>
        <w:rPr>
          <w:color w:val="auto"/>
          <w:kern w:val="0"/>
          <w:sz w:val="24"/>
        </w:rPr>
      </w:pPr>
      <w:r>
        <w:rPr>
          <w:color w:val="auto"/>
          <w:kern w:val="0"/>
          <w:sz w:val="24"/>
          <w:lang w:val="zh-CN"/>
        </w:rPr>
        <w:t>如果合同双方对乙方提供的上述试验结果报告的解释有分歧，双方须于出现分歧后</w:t>
      </w:r>
      <w:r>
        <w:rPr>
          <w:color w:val="auto"/>
          <w:kern w:val="0"/>
          <w:sz w:val="24"/>
        </w:rPr>
        <w:t>10</w:t>
      </w:r>
      <w:r>
        <w:rPr>
          <w:color w:val="auto"/>
          <w:kern w:val="0"/>
          <w:sz w:val="24"/>
          <w:lang w:val="zh-CN"/>
        </w:rPr>
        <w:t>天内给对方声明，以陈述己方的观点。声明须附有关证据。分歧应通过协商解决。</w:t>
      </w:r>
    </w:p>
    <w:p w14:paraId="2C054798">
      <w:pPr>
        <w:numPr>
          <w:ilvl w:val="0"/>
          <w:numId w:val="5"/>
        </w:numPr>
        <w:autoSpaceDE w:val="0"/>
        <w:autoSpaceDN w:val="0"/>
        <w:spacing w:line="360" w:lineRule="auto"/>
        <w:rPr>
          <w:b/>
          <w:bCs/>
          <w:color w:val="auto"/>
          <w:kern w:val="0"/>
          <w:sz w:val="24"/>
        </w:rPr>
      </w:pPr>
      <w:r>
        <w:rPr>
          <w:b/>
          <w:bCs/>
          <w:color w:val="auto"/>
          <w:kern w:val="0"/>
          <w:sz w:val="24"/>
          <w:lang w:val="zh-CN"/>
        </w:rPr>
        <w:t>付款条件</w:t>
      </w:r>
    </w:p>
    <w:p w14:paraId="2742A554">
      <w:pPr>
        <w:autoSpaceDE w:val="0"/>
        <w:autoSpaceDN w:val="0"/>
        <w:spacing w:line="360" w:lineRule="auto"/>
        <w:ind w:firstLine="480" w:firstLineChars="200"/>
        <w:rPr>
          <w:color w:val="auto"/>
          <w:kern w:val="0"/>
          <w:sz w:val="24"/>
        </w:rPr>
      </w:pPr>
      <w:r>
        <w:rPr>
          <w:color w:val="auto"/>
          <w:kern w:val="0"/>
          <w:sz w:val="24"/>
          <w:lang w:val="zh-CN"/>
        </w:rPr>
        <w:t>本合同条款下的付款方法和条件在“青海省政府采购合同书”中具体规定。</w:t>
      </w:r>
    </w:p>
    <w:p w14:paraId="60D1946F">
      <w:pPr>
        <w:numPr>
          <w:ilvl w:val="0"/>
          <w:numId w:val="5"/>
        </w:numPr>
        <w:autoSpaceDE w:val="0"/>
        <w:autoSpaceDN w:val="0"/>
        <w:spacing w:line="360" w:lineRule="auto"/>
        <w:rPr>
          <w:b/>
          <w:bCs/>
          <w:color w:val="auto"/>
          <w:kern w:val="0"/>
          <w:sz w:val="24"/>
          <w:lang w:val="zh-CN"/>
        </w:rPr>
      </w:pPr>
      <w:r>
        <w:rPr>
          <w:b/>
          <w:bCs/>
          <w:color w:val="auto"/>
          <w:kern w:val="0"/>
          <w:sz w:val="24"/>
          <w:lang w:val="zh-CN"/>
        </w:rPr>
        <w:t>履约保证金</w:t>
      </w:r>
    </w:p>
    <w:p w14:paraId="28A1A073">
      <w:pPr>
        <w:numPr>
          <w:ilvl w:val="1"/>
          <w:numId w:val="5"/>
        </w:numPr>
        <w:autoSpaceDE w:val="0"/>
        <w:autoSpaceDN w:val="0"/>
        <w:spacing w:line="360" w:lineRule="auto"/>
        <w:rPr>
          <w:color w:val="auto"/>
          <w:kern w:val="0"/>
          <w:sz w:val="24"/>
          <w:lang w:val="zh-CN"/>
        </w:rPr>
      </w:pPr>
      <w:r>
        <w:rPr>
          <w:color w:val="auto"/>
          <w:kern w:val="0"/>
          <w:sz w:val="24"/>
          <w:lang w:val="zh-CN"/>
        </w:rPr>
        <w:t>乙方应在合同签订前，按招标文件第二部分“八 授予合同”中第22.2项的约定提交履约保证金。</w:t>
      </w:r>
    </w:p>
    <w:p w14:paraId="731F2DB2">
      <w:pPr>
        <w:numPr>
          <w:ilvl w:val="1"/>
          <w:numId w:val="5"/>
        </w:numPr>
        <w:autoSpaceDE w:val="0"/>
        <w:autoSpaceDN w:val="0"/>
        <w:spacing w:line="360" w:lineRule="auto"/>
        <w:rPr>
          <w:color w:val="auto"/>
          <w:kern w:val="0"/>
          <w:sz w:val="24"/>
          <w:lang w:val="zh-CN"/>
        </w:rPr>
      </w:pPr>
      <w:r>
        <w:rPr>
          <w:color w:val="auto"/>
          <w:kern w:val="0"/>
          <w:sz w:val="24"/>
          <w:lang w:val="zh-CN"/>
        </w:rPr>
        <w:t>乙方应在合同签订前，按招标文件中的约定提交履约保证金。</w:t>
      </w:r>
    </w:p>
    <w:p w14:paraId="58A1B6D0">
      <w:pPr>
        <w:numPr>
          <w:ilvl w:val="1"/>
          <w:numId w:val="5"/>
        </w:numPr>
        <w:autoSpaceDE w:val="0"/>
        <w:autoSpaceDN w:val="0"/>
        <w:spacing w:line="360" w:lineRule="auto"/>
        <w:rPr>
          <w:color w:val="auto"/>
          <w:kern w:val="0"/>
          <w:sz w:val="24"/>
        </w:rPr>
      </w:pPr>
      <w:r>
        <w:rPr>
          <w:color w:val="auto"/>
          <w:kern w:val="0"/>
          <w:sz w:val="24"/>
          <w:lang w:val="zh-CN"/>
        </w:rPr>
        <w:t>履约保证金用于补偿甲方因乙方不能履行其合同义务而蒙受的损失。</w:t>
      </w:r>
    </w:p>
    <w:p w14:paraId="32349015">
      <w:pPr>
        <w:numPr>
          <w:ilvl w:val="1"/>
          <w:numId w:val="5"/>
        </w:numPr>
        <w:autoSpaceDE w:val="0"/>
        <w:autoSpaceDN w:val="0"/>
        <w:spacing w:line="360" w:lineRule="auto"/>
        <w:rPr>
          <w:color w:val="auto"/>
          <w:kern w:val="0"/>
          <w:sz w:val="24"/>
        </w:rPr>
      </w:pPr>
      <w:r>
        <w:rPr>
          <w:color w:val="auto"/>
          <w:kern w:val="0"/>
          <w:sz w:val="24"/>
          <w:lang w:val="zh-CN"/>
        </w:rPr>
        <w:t>履约保证金应使用本合同货币，按下述方式之一提交（招标文件中另有约定的除外）：</w:t>
      </w:r>
    </w:p>
    <w:p w14:paraId="2EA47CAF">
      <w:pPr>
        <w:numPr>
          <w:ilvl w:val="1"/>
          <w:numId w:val="5"/>
        </w:numPr>
        <w:autoSpaceDE w:val="0"/>
        <w:autoSpaceDN w:val="0"/>
        <w:spacing w:line="360" w:lineRule="auto"/>
        <w:rPr>
          <w:color w:val="auto"/>
          <w:kern w:val="0"/>
          <w:sz w:val="24"/>
        </w:rPr>
      </w:pPr>
      <w:r>
        <w:rPr>
          <w:color w:val="auto"/>
          <w:kern w:val="0"/>
          <w:sz w:val="24"/>
          <w:lang w:val="zh-CN"/>
        </w:rPr>
        <w:t>甲方可接受的在中华人民共和国注册和营业的银行出具的履约保函；</w:t>
      </w:r>
    </w:p>
    <w:p w14:paraId="01B2EEF8">
      <w:pPr>
        <w:numPr>
          <w:ilvl w:val="1"/>
          <w:numId w:val="5"/>
        </w:numPr>
        <w:autoSpaceDE w:val="0"/>
        <w:autoSpaceDN w:val="0"/>
        <w:spacing w:line="360" w:lineRule="auto"/>
        <w:rPr>
          <w:color w:val="auto"/>
          <w:kern w:val="0"/>
          <w:sz w:val="24"/>
        </w:rPr>
      </w:pPr>
      <w:r>
        <w:rPr>
          <w:color w:val="auto"/>
          <w:kern w:val="0"/>
          <w:sz w:val="24"/>
          <w:lang w:val="zh-CN"/>
        </w:rPr>
        <w:t>支票或汇票。</w:t>
      </w:r>
    </w:p>
    <w:p w14:paraId="7F7836E5">
      <w:pPr>
        <w:numPr>
          <w:ilvl w:val="1"/>
          <w:numId w:val="5"/>
        </w:numPr>
        <w:autoSpaceDE w:val="0"/>
        <w:autoSpaceDN w:val="0"/>
        <w:spacing w:line="360" w:lineRule="auto"/>
        <w:rPr>
          <w:color w:val="auto"/>
          <w:kern w:val="0"/>
          <w:sz w:val="24"/>
        </w:rPr>
      </w:pPr>
      <w:r>
        <w:rPr>
          <w:color w:val="auto"/>
          <w:kern w:val="0"/>
          <w:sz w:val="24"/>
          <w:lang w:val="zh-CN"/>
        </w:rPr>
        <w:t>乙方未能按合同规定履行其义务，甲方有权从履约保证金中取得补偿。货物验收合格后，甲方将履约保证金退还乙方或转为质量保证金。</w:t>
      </w:r>
    </w:p>
    <w:p w14:paraId="4C5F450E">
      <w:pPr>
        <w:numPr>
          <w:ilvl w:val="0"/>
          <w:numId w:val="5"/>
        </w:numPr>
        <w:autoSpaceDE w:val="0"/>
        <w:autoSpaceDN w:val="0"/>
        <w:spacing w:line="360" w:lineRule="auto"/>
        <w:rPr>
          <w:b/>
          <w:bCs/>
          <w:color w:val="auto"/>
          <w:kern w:val="0"/>
          <w:sz w:val="24"/>
          <w:lang w:val="zh-CN"/>
        </w:rPr>
      </w:pPr>
      <w:r>
        <w:rPr>
          <w:b/>
          <w:bCs/>
          <w:color w:val="auto"/>
          <w:kern w:val="0"/>
          <w:sz w:val="24"/>
          <w:lang w:val="zh-CN"/>
        </w:rPr>
        <w:t>索赔</w:t>
      </w:r>
    </w:p>
    <w:p w14:paraId="6E04CB19">
      <w:pPr>
        <w:numPr>
          <w:ilvl w:val="1"/>
          <w:numId w:val="5"/>
        </w:numPr>
        <w:autoSpaceDE w:val="0"/>
        <w:autoSpaceDN w:val="0"/>
        <w:spacing w:line="360" w:lineRule="auto"/>
        <w:rPr>
          <w:color w:val="auto"/>
          <w:kern w:val="0"/>
          <w:sz w:val="24"/>
        </w:rPr>
      </w:pPr>
      <w:r>
        <w:rPr>
          <w:color w:val="auto"/>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6AC1F796">
      <w:pPr>
        <w:numPr>
          <w:ilvl w:val="1"/>
          <w:numId w:val="5"/>
        </w:numPr>
        <w:autoSpaceDE w:val="0"/>
        <w:autoSpaceDN w:val="0"/>
        <w:spacing w:line="360" w:lineRule="auto"/>
        <w:rPr>
          <w:color w:val="auto"/>
          <w:kern w:val="0"/>
          <w:sz w:val="24"/>
        </w:rPr>
      </w:pPr>
      <w:r>
        <w:rPr>
          <w:color w:val="auto"/>
          <w:kern w:val="0"/>
          <w:sz w:val="24"/>
          <w:lang w:val="zh-CN"/>
        </w:rPr>
        <w:t>在履约保证期和检验期内，乙方对甲方提出的索赔负有责任，乙方应按照甲方同意的下列一种或多种方式解决索赔事宜：</w:t>
      </w:r>
    </w:p>
    <w:p w14:paraId="66C6495A">
      <w:pPr>
        <w:numPr>
          <w:ilvl w:val="2"/>
          <w:numId w:val="5"/>
        </w:numPr>
        <w:autoSpaceDE w:val="0"/>
        <w:autoSpaceDN w:val="0"/>
        <w:spacing w:line="360" w:lineRule="auto"/>
        <w:rPr>
          <w:color w:val="auto"/>
          <w:kern w:val="0"/>
          <w:sz w:val="24"/>
        </w:rPr>
      </w:pPr>
      <w:r>
        <w:rPr>
          <w:color w:val="auto"/>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0DC9F16">
      <w:pPr>
        <w:numPr>
          <w:ilvl w:val="2"/>
          <w:numId w:val="5"/>
        </w:numPr>
        <w:autoSpaceDE w:val="0"/>
        <w:autoSpaceDN w:val="0"/>
        <w:spacing w:line="360" w:lineRule="auto"/>
        <w:rPr>
          <w:color w:val="auto"/>
          <w:kern w:val="0"/>
          <w:sz w:val="24"/>
        </w:rPr>
      </w:pPr>
      <w:r>
        <w:rPr>
          <w:color w:val="auto"/>
          <w:kern w:val="0"/>
          <w:sz w:val="24"/>
          <w:lang w:val="zh-CN"/>
        </w:rPr>
        <w:t>根据货物低劣程度、损坏程度以及甲方所遭受损失的数额，经甲乙双方商定降低货物的价格，或由有资质的中介机构评估，以降低后的价格或评估价格为准。</w:t>
      </w:r>
    </w:p>
    <w:p w14:paraId="2A2F469D">
      <w:pPr>
        <w:numPr>
          <w:ilvl w:val="2"/>
          <w:numId w:val="5"/>
        </w:numPr>
        <w:autoSpaceDE w:val="0"/>
        <w:autoSpaceDN w:val="0"/>
        <w:spacing w:line="360" w:lineRule="auto"/>
        <w:rPr>
          <w:color w:val="auto"/>
          <w:kern w:val="0"/>
          <w:sz w:val="24"/>
        </w:rPr>
      </w:pPr>
      <w:r>
        <w:rPr>
          <w:color w:val="auto"/>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139F063">
      <w:pPr>
        <w:numPr>
          <w:ilvl w:val="1"/>
          <w:numId w:val="5"/>
        </w:numPr>
        <w:autoSpaceDE w:val="0"/>
        <w:autoSpaceDN w:val="0"/>
        <w:spacing w:line="360" w:lineRule="auto"/>
        <w:rPr>
          <w:color w:val="auto"/>
          <w:kern w:val="0"/>
          <w:sz w:val="24"/>
          <w:lang w:val="zh-CN"/>
        </w:rPr>
      </w:pPr>
      <w:r>
        <w:rPr>
          <w:color w:val="auto"/>
          <w:kern w:val="0"/>
          <w:sz w:val="24"/>
          <w:lang w:val="zh-CN"/>
        </w:rPr>
        <w:t>乙方收到甲方发出的索赔通知之日起</w:t>
      </w:r>
      <w:r>
        <w:rPr>
          <w:color w:val="auto"/>
          <w:kern w:val="0"/>
          <w:sz w:val="24"/>
        </w:rPr>
        <w:t>5</w:t>
      </w:r>
      <w:r>
        <w:rPr>
          <w:color w:val="auto"/>
          <w:kern w:val="0"/>
          <w:sz w:val="24"/>
          <w:lang w:val="zh-CN"/>
        </w:rPr>
        <w:t>个工作日内未作答复的，甲方可从合同款或履约保证金中扣回索赔金额，如金额不足以补偿索赔金额，乙方应补足差额部分。</w:t>
      </w:r>
    </w:p>
    <w:p w14:paraId="62D4AEF8">
      <w:pPr>
        <w:numPr>
          <w:ilvl w:val="0"/>
          <w:numId w:val="5"/>
        </w:numPr>
        <w:autoSpaceDE w:val="0"/>
        <w:autoSpaceDN w:val="0"/>
        <w:spacing w:line="360" w:lineRule="auto"/>
        <w:rPr>
          <w:b/>
          <w:bCs/>
          <w:color w:val="auto"/>
          <w:kern w:val="0"/>
          <w:sz w:val="24"/>
          <w:lang w:val="zh-CN"/>
        </w:rPr>
      </w:pPr>
      <w:r>
        <w:rPr>
          <w:b/>
          <w:bCs/>
          <w:color w:val="auto"/>
          <w:kern w:val="0"/>
          <w:sz w:val="24"/>
          <w:lang w:val="zh-CN"/>
        </w:rPr>
        <w:t>迟延交货</w:t>
      </w:r>
    </w:p>
    <w:p w14:paraId="7B441E45">
      <w:pPr>
        <w:numPr>
          <w:ilvl w:val="1"/>
          <w:numId w:val="5"/>
        </w:numPr>
        <w:autoSpaceDE w:val="0"/>
        <w:autoSpaceDN w:val="0"/>
        <w:spacing w:line="360" w:lineRule="auto"/>
        <w:rPr>
          <w:color w:val="auto"/>
          <w:kern w:val="0"/>
          <w:sz w:val="24"/>
        </w:rPr>
      </w:pPr>
      <w:r>
        <w:rPr>
          <w:color w:val="auto"/>
          <w:kern w:val="0"/>
          <w:sz w:val="24"/>
          <w:lang w:val="zh-CN"/>
        </w:rPr>
        <w:t>乙方应按照合同约定的时间交货和提供服务。</w:t>
      </w:r>
    </w:p>
    <w:p w14:paraId="3C8A472D">
      <w:pPr>
        <w:numPr>
          <w:ilvl w:val="1"/>
          <w:numId w:val="5"/>
        </w:numPr>
        <w:autoSpaceDE w:val="0"/>
        <w:autoSpaceDN w:val="0"/>
        <w:spacing w:line="360" w:lineRule="auto"/>
        <w:rPr>
          <w:color w:val="auto"/>
          <w:kern w:val="0"/>
          <w:sz w:val="24"/>
        </w:rPr>
      </w:pPr>
      <w:r>
        <w:rPr>
          <w:color w:val="auto"/>
          <w:kern w:val="0"/>
          <w:sz w:val="24"/>
          <w:lang w:val="zh-CN"/>
        </w:rPr>
        <w:t>除不可抗力因素外，乙方迟延交货，甲方有权提出违约损失赔偿或解除合同。</w:t>
      </w:r>
    </w:p>
    <w:p w14:paraId="7AC6744C">
      <w:pPr>
        <w:numPr>
          <w:ilvl w:val="1"/>
          <w:numId w:val="5"/>
        </w:numPr>
        <w:autoSpaceDE w:val="0"/>
        <w:autoSpaceDN w:val="0"/>
        <w:spacing w:line="360" w:lineRule="auto"/>
        <w:rPr>
          <w:color w:val="auto"/>
          <w:kern w:val="0"/>
          <w:sz w:val="24"/>
        </w:rPr>
      </w:pPr>
      <w:r>
        <w:rPr>
          <w:color w:val="auto"/>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F1BD923">
      <w:pPr>
        <w:numPr>
          <w:ilvl w:val="0"/>
          <w:numId w:val="5"/>
        </w:numPr>
        <w:autoSpaceDE w:val="0"/>
        <w:autoSpaceDN w:val="0"/>
        <w:spacing w:line="360" w:lineRule="auto"/>
        <w:rPr>
          <w:b/>
          <w:bCs/>
          <w:color w:val="auto"/>
          <w:kern w:val="0"/>
          <w:sz w:val="24"/>
        </w:rPr>
      </w:pPr>
      <w:r>
        <w:rPr>
          <w:b/>
          <w:bCs/>
          <w:color w:val="auto"/>
          <w:kern w:val="0"/>
          <w:sz w:val="24"/>
          <w:lang w:val="zh-CN"/>
        </w:rPr>
        <w:t>违约赔偿</w:t>
      </w:r>
    </w:p>
    <w:p w14:paraId="6C2FAC2B">
      <w:pPr>
        <w:autoSpaceDE w:val="0"/>
        <w:autoSpaceDN w:val="0"/>
        <w:spacing w:line="360" w:lineRule="auto"/>
        <w:ind w:firstLine="480" w:firstLineChars="200"/>
        <w:rPr>
          <w:color w:val="auto"/>
          <w:kern w:val="0"/>
          <w:sz w:val="24"/>
        </w:rPr>
      </w:pPr>
      <w:r>
        <w:rPr>
          <w:color w:val="auto"/>
          <w:kern w:val="0"/>
          <w:sz w:val="24"/>
          <w:lang w:val="zh-CN"/>
        </w:rPr>
        <w:t>除不可抗力因素外，乙方没有按照合同规定的时间交货和提供服务，甲方可要求乙方支付违约金。违约金每日按合同总价款的千分之五计收。</w:t>
      </w:r>
    </w:p>
    <w:p w14:paraId="5A0C4EEE">
      <w:pPr>
        <w:numPr>
          <w:ilvl w:val="0"/>
          <w:numId w:val="5"/>
        </w:numPr>
        <w:autoSpaceDE w:val="0"/>
        <w:autoSpaceDN w:val="0"/>
        <w:spacing w:line="360" w:lineRule="auto"/>
        <w:rPr>
          <w:b/>
          <w:bCs/>
          <w:color w:val="auto"/>
          <w:kern w:val="0"/>
          <w:sz w:val="24"/>
          <w:lang w:val="zh-CN"/>
        </w:rPr>
      </w:pPr>
      <w:r>
        <w:rPr>
          <w:b/>
          <w:bCs/>
          <w:color w:val="auto"/>
          <w:kern w:val="0"/>
          <w:sz w:val="24"/>
          <w:lang w:val="zh-CN"/>
        </w:rPr>
        <w:t>不可抗力</w:t>
      </w:r>
    </w:p>
    <w:p w14:paraId="4DF5622C">
      <w:pPr>
        <w:numPr>
          <w:ilvl w:val="1"/>
          <w:numId w:val="5"/>
        </w:numPr>
        <w:autoSpaceDE w:val="0"/>
        <w:autoSpaceDN w:val="0"/>
        <w:spacing w:line="360" w:lineRule="auto"/>
        <w:rPr>
          <w:color w:val="auto"/>
          <w:kern w:val="0"/>
          <w:sz w:val="24"/>
        </w:rPr>
      </w:pPr>
      <w:r>
        <w:rPr>
          <w:color w:val="auto"/>
          <w:kern w:val="0"/>
          <w:sz w:val="24"/>
          <w:lang w:val="zh-CN"/>
        </w:rPr>
        <w:t>双方中任何一方遭遇法律规定的不可抗力，致使合同履行受阻时，履行合同的期限应予延长，延长的期限应相当于不可抗力所影响的时间。</w:t>
      </w:r>
    </w:p>
    <w:p w14:paraId="3C60AD84">
      <w:pPr>
        <w:numPr>
          <w:ilvl w:val="1"/>
          <w:numId w:val="5"/>
        </w:numPr>
        <w:autoSpaceDE w:val="0"/>
        <w:autoSpaceDN w:val="0"/>
        <w:spacing w:line="360" w:lineRule="auto"/>
        <w:rPr>
          <w:color w:val="auto"/>
          <w:kern w:val="0"/>
          <w:sz w:val="24"/>
        </w:rPr>
      </w:pPr>
      <w:r>
        <w:rPr>
          <w:color w:val="auto"/>
          <w:kern w:val="0"/>
          <w:sz w:val="24"/>
          <w:lang w:val="zh-CN"/>
        </w:rPr>
        <w:t>受事故影响的一方应在不可抗力的事故发生后以书面形式通知另一方。</w:t>
      </w:r>
    </w:p>
    <w:p w14:paraId="16689F82">
      <w:pPr>
        <w:numPr>
          <w:ilvl w:val="1"/>
          <w:numId w:val="5"/>
        </w:numPr>
        <w:autoSpaceDE w:val="0"/>
        <w:autoSpaceDN w:val="0"/>
        <w:spacing w:line="360" w:lineRule="auto"/>
        <w:rPr>
          <w:color w:val="auto"/>
          <w:kern w:val="0"/>
          <w:sz w:val="24"/>
        </w:rPr>
      </w:pPr>
      <w:r>
        <w:rPr>
          <w:color w:val="auto"/>
          <w:kern w:val="0"/>
          <w:sz w:val="24"/>
          <w:lang w:val="zh-CN"/>
        </w:rPr>
        <w:t>不可抗力使合同的某些内容有变更必要的，双方应通过协商达成进一步履行合同的协议，因不可抗力致使合同不能履行的，合同终止。</w:t>
      </w:r>
    </w:p>
    <w:p w14:paraId="33726AB2">
      <w:pPr>
        <w:numPr>
          <w:ilvl w:val="0"/>
          <w:numId w:val="5"/>
        </w:numPr>
        <w:autoSpaceDE w:val="0"/>
        <w:autoSpaceDN w:val="0"/>
        <w:spacing w:line="360" w:lineRule="auto"/>
        <w:rPr>
          <w:b/>
          <w:bCs/>
          <w:color w:val="auto"/>
          <w:kern w:val="0"/>
          <w:sz w:val="24"/>
        </w:rPr>
      </w:pPr>
      <w:r>
        <w:rPr>
          <w:b/>
          <w:bCs/>
          <w:color w:val="auto"/>
          <w:kern w:val="0"/>
          <w:sz w:val="24"/>
          <w:lang w:val="zh-CN"/>
        </w:rPr>
        <w:t>税费</w:t>
      </w:r>
    </w:p>
    <w:p w14:paraId="3BEB888F">
      <w:pPr>
        <w:autoSpaceDE w:val="0"/>
        <w:autoSpaceDN w:val="0"/>
        <w:spacing w:line="360" w:lineRule="auto"/>
        <w:ind w:firstLine="480" w:firstLineChars="200"/>
        <w:rPr>
          <w:color w:val="auto"/>
          <w:kern w:val="0"/>
          <w:sz w:val="24"/>
        </w:rPr>
      </w:pPr>
      <w:r>
        <w:rPr>
          <w:color w:val="auto"/>
          <w:kern w:val="0"/>
          <w:sz w:val="24"/>
          <w:lang w:val="zh-CN"/>
        </w:rPr>
        <w:t>与本合同有关的一切税费均由乙方承担。</w:t>
      </w:r>
    </w:p>
    <w:p w14:paraId="5564DE14">
      <w:pPr>
        <w:numPr>
          <w:ilvl w:val="0"/>
          <w:numId w:val="5"/>
        </w:numPr>
        <w:autoSpaceDE w:val="0"/>
        <w:autoSpaceDN w:val="0"/>
        <w:spacing w:line="360" w:lineRule="auto"/>
        <w:rPr>
          <w:b/>
          <w:bCs/>
          <w:color w:val="auto"/>
          <w:kern w:val="0"/>
          <w:sz w:val="24"/>
          <w:lang w:val="zh-CN"/>
        </w:rPr>
      </w:pPr>
      <w:r>
        <w:rPr>
          <w:b/>
          <w:bCs/>
          <w:color w:val="auto"/>
          <w:kern w:val="0"/>
          <w:sz w:val="24"/>
          <w:lang w:val="zh-CN"/>
        </w:rPr>
        <w:t>合同争议的解决</w:t>
      </w:r>
    </w:p>
    <w:p w14:paraId="5A180064">
      <w:pPr>
        <w:numPr>
          <w:ilvl w:val="1"/>
          <w:numId w:val="5"/>
        </w:numPr>
        <w:autoSpaceDE w:val="0"/>
        <w:autoSpaceDN w:val="0"/>
        <w:spacing w:line="360" w:lineRule="auto"/>
        <w:rPr>
          <w:color w:val="auto"/>
          <w:kern w:val="0"/>
          <w:sz w:val="24"/>
        </w:rPr>
      </w:pPr>
      <w:r>
        <w:rPr>
          <w:color w:val="auto"/>
          <w:kern w:val="0"/>
          <w:sz w:val="24"/>
          <w:lang w:val="zh-CN"/>
        </w:rPr>
        <w:t>甲方和乙方由于本合同的履行而发生任何争议时，双方可先通过协商解决。</w:t>
      </w:r>
    </w:p>
    <w:p w14:paraId="6A42926E">
      <w:pPr>
        <w:numPr>
          <w:ilvl w:val="1"/>
          <w:numId w:val="5"/>
        </w:numPr>
        <w:autoSpaceDE w:val="0"/>
        <w:autoSpaceDN w:val="0"/>
        <w:spacing w:line="360" w:lineRule="auto"/>
        <w:rPr>
          <w:color w:val="auto"/>
          <w:kern w:val="0"/>
          <w:sz w:val="24"/>
        </w:rPr>
      </w:pPr>
      <w:r>
        <w:rPr>
          <w:color w:val="auto"/>
          <w:kern w:val="0"/>
          <w:sz w:val="24"/>
          <w:lang w:val="zh-CN"/>
        </w:rPr>
        <w:t>任何一方不愿通过协商或通过协商仍不能解决争议，则双方中任何一方均应向甲方所在地人民法院起诉。</w:t>
      </w:r>
    </w:p>
    <w:p w14:paraId="00CBEA23">
      <w:pPr>
        <w:numPr>
          <w:ilvl w:val="0"/>
          <w:numId w:val="5"/>
        </w:numPr>
        <w:autoSpaceDE w:val="0"/>
        <w:autoSpaceDN w:val="0"/>
        <w:spacing w:line="360" w:lineRule="auto"/>
        <w:rPr>
          <w:b/>
          <w:bCs/>
          <w:color w:val="auto"/>
          <w:kern w:val="0"/>
          <w:sz w:val="24"/>
          <w:lang w:val="zh-CN"/>
        </w:rPr>
      </w:pPr>
      <w:r>
        <w:rPr>
          <w:b/>
          <w:bCs/>
          <w:color w:val="auto"/>
          <w:kern w:val="0"/>
          <w:sz w:val="24"/>
          <w:lang w:val="zh-CN"/>
        </w:rPr>
        <w:t>违约解除合同</w:t>
      </w:r>
    </w:p>
    <w:p w14:paraId="4DDDB44E">
      <w:pPr>
        <w:numPr>
          <w:ilvl w:val="1"/>
          <w:numId w:val="5"/>
        </w:numPr>
        <w:autoSpaceDE w:val="0"/>
        <w:autoSpaceDN w:val="0"/>
        <w:spacing w:line="360" w:lineRule="auto"/>
        <w:rPr>
          <w:color w:val="auto"/>
          <w:kern w:val="0"/>
          <w:sz w:val="24"/>
        </w:rPr>
      </w:pPr>
      <w:r>
        <w:rPr>
          <w:color w:val="auto"/>
          <w:kern w:val="0"/>
          <w:sz w:val="24"/>
          <w:lang w:val="zh-CN"/>
        </w:rPr>
        <w:t>出现下列情形之一的，视为乙方违约。甲方可向乙方发出书面通知，部分或全部终止合同，同时保留向乙方索赔的权利。</w:t>
      </w:r>
    </w:p>
    <w:p w14:paraId="6594424E">
      <w:pPr>
        <w:numPr>
          <w:ilvl w:val="2"/>
          <w:numId w:val="5"/>
        </w:numPr>
        <w:autoSpaceDE w:val="0"/>
        <w:autoSpaceDN w:val="0"/>
        <w:spacing w:line="360" w:lineRule="auto"/>
        <w:rPr>
          <w:color w:val="auto"/>
          <w:kern w:val="0"/>
          <w:sz w:val="24"/>
        </w:rPr>
      </w:pPr>
      <w:r>
        <w:rPr>
          <w:color w:val="auto"/>
          <w:kern w:val="0"/>
          <w:sz w:val="24"/>
          <w:lang w:val="zh-CN"/>
        </w:rPr>
        <w:t>乙方未能在合同规定的限期或甲方同意延长的限期内，提供全部或部分货物的；</w:t>
      </w:r>
    </w:p>
    <w:p w14:paraId="52252E60">
      <w:pPr>
        <w:numPr>
          <w:ilvl w:val="2"/>
          <w:numId w:val="5"/>
        </w:numPr>
        <w:autoSpaceDE w:val="0"/>
        <w:autoSpaceDN w:val="0"/>
        <w:spacing w:line="360" w:lineRule="auto"/>
        <w:rPr>
          <w:color w:val="auto"/>
          <w:kern w:val="0"/>
          <w:sz w:val="24"/>
        </w:rPr>
      </w:pPr>
      <w:r>
        <w:rPr>
          <w:color w:val="auto"/>
          <w:kern w:val="0"/>
          <w:sz w:val="24"/>
          <w:lang w:val="zh-CN"/>
        </w:rPr>
        <w:t>乙方未能履行合同规定的其它主要义务的；</w:t>
      </w:r>
    </w:p>
    <w:p w14:paraId="19FFF192">
      <w:pPr>
        <w:numPr>
          <w:ilvl w:val="2"/>
          <w:numId w:val="5"/>
        </w:numPr>
        <w:autoSpaceDE w:val="0"/>
        <w:autoSpaceDN w:val="0"/>
        <w:spacing w:line="360" w:lineRule="auto"/>
        <w:rPr>
          <w:color w:val="auto"/>
          <w:kern w:val="0"/>
          <w:sz w:val="24"/>
        </w:rPr>
      </w:pPr>
      <w:r>
        <w:rPr>
          <w:color w:val="auto"/>
          <w:kern w:val="0"/>
          <w:sz w:val="24"/>
          <w:lang w:val="zh-CN"/>
        </w:rPr>
        <w:t>乙方在本合同履行过程中有欺诈行为的。</w:t>
      </w:r>
    </w:p>
    <w:p w14:paraId="1CBC4CEF">
      <w:pPr>
        <w:numPr>
          <w:ilvl w:val="1"/>
          <w:numId w:val="5"/>
        </w:numPr>
        <w:autoSpaceDE w:val="0"/>
        <w:autoSpaceDN w:val="0"/>
        <w:spacing w:line="360" w:lineRule="auto"/>
        <w:rPr>
          <w:color w:val="auto"/>
          <w:kern w:val="0"/>
          <w:sz w:val="24"/>
          <w:lang w:val="zh-CN"/>
        </w:rPr>
      </w:pPr>
      <w:r>
        <w:rPr>
          <w:color w:val="auto"/>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77B1DE8">
      <w:pPr>
        <w:numPr>
          <w:ilvl w:val="0"/>
          <w:numId w:val="5"/>
        </w:numPr>
        <w:autoSpaceDE w:val="0"/>
        <w:autoSpaceDN w:val="0"/>
        <w:spacing w:line="360" w:lineRule="auto"/>
        <w:rPr>
          <w:b/>
          <w:bCs/>
          <w:color w:val="auto"/>
          <w:kern w:val="0"/>
          <w:sz w:val="24"/>
        </w:rPr>
      </w:pPr>
      <w:r>
        <w:rPr>
          <w:b/>
          <w:bCs/>
          <w:color w:val="auto"/>
          <w:kern w:val="0"/>
          <w:sz w:val="24"/>
          <w:lang w:val="zh-CN"/>
        </w:rPr>
        <w:t>破产终止合同</w:t>
      </w:r>
    </w:p>
    <w:p w14:paraId="59A75CC6">
      <w:pPr>
        <w:autoSpaceDE w:val="0"/>
        <w:autoSpaceDN w:val="0"/>
        <w:spacing w:line="360" w:lineRule="auto"/>
        <w:ind w:firstLine="480" w:firstLineChars="200"/>
        <w:rPr>
          <w:color w:val="auto"/>
          <w:kern w:val="0"/>
          <w:sz w:val="24"/>
        </w:rPr>
      </w:pPr>
      <w:r>
        <w:rPr>
          <w:color w:val="auto"/>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47B17EB">
      <w:pPr>
        <w:numPr>
          <w:ilvl w:val="0"/>
          <w:numId w:val="5"/>
        </w:numPr>
        <w:autoSpaceDE w:val="0"/>
        <w:autoSpaceDN w:val="0"/>
        <w:spacing w:line="360" w:lineRule="auto"/>
        <w:rPr>
          <w:b/>
          <w:bCs/>
          <w:color w:val="auto"/>
          <w:kern w:val="0"/>
          <w:sz w:val="24"/>
          <w:lang w:val="zh-CN"/>
        </w:rPr>
      </w:pPr>
      <w:r>
        <w:rPr>
          <w:b/>
          <w:bCs/>
          <w:color w:val="auto"/>
          <w:kern w:val="0"/>
          <w:sz w:val="24"/>
          <w:lang w:val="zh-CN"/>
        </w:rPr>
        <w:t>转让和分包</w:t>
      </w:r>
    </w:p>
    <w:p w14:paraId="2AA5F098">
      <w:pPr>
        <w:numPr>
          <w:ilvl w:val="1"/>
          <w:numId w:val="5"/>
        </w:numPr>
        <w:autoSpaceDE w:val="0"/>
        <w:autoSpaceDN w:val="0"/>
        <w:spacing w:line="360" w:lineRule="auto"/>
        <w:rPr>
          <w:color w:val="auto"/>
          <w:kern w:val="0"/>
          <w:sz w:val="24"/>
        </w:rPr>
      </w:pPr>
      <w:r>
        <w:rPr>
          <w:color w:val="auto"/>
          <w:kern w:val="0"/>
          <w:sz w:val="24"/>
          <w:lang w:val="zh-CN"/>
        </w:rPr>
        <w:t>政府采购合同不能转让。</w:t>
      </w:r>
    </w:p>
    <w:p w14:paraId="3960CC2C">
      <w:pPr>
        <w:numPr>
          <w:ilvl w:val="1"/>
          <w:numId w:val="5"/>
        </w:numPr>
        <w:autoSpaceDE w:val="0"/>
        <w:autoSpaceDN w:val="0"/>
        <w:spacing w:line="360" w:lineRule="auto"/>
        <w:rPr>
          <w:color w:val="auto"/>
          <w:kern w:val="0"/>
          <w:sz w:val="24"/>
        </w:rPr>
      </w:pPr>
      <w:r>
        <w:rPr>
          <w:color w:val="auto"/>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3D237C3">
      <w:pPr>
        <w:numPr>
          <w:ilvl w:val="0"/>
          <w:numId w:val="5"/>
        </w:numPr>
        <w:autoSpaceDE w:val="0"/>
        <w:autoSpaceDN w:val="0"/>
        <w:spacing w:line="360" w:lineRule="auto"/>
        <w:rPr>
          <w:b/>
          <w:bCs/>
          <w:color w:val="auto"/>
          <w:kern w:val="0"/>
          <w:sz w:val="24"/>
        </w:rPr>
      </w:pPr>
      <w:r>
        <w:rPr>
          <w:b/>
          <w:bCs/>
          <w:color w:val="auto"/>
          <w:kern w:val="0"/>
          <w:sz w:val="24"/>
          <w:lang w:val="zh-CN"/>
        </w:rPr>
        <w:t>合同修改</w:t>
      </w:r>
    </w:p>
    <w:p w14:paraId="6B3105A3">
      <w:pPr>
        <w:autoSpaceDE w:val="0"/>
        <w:autoSpaceDN w:val="0"/>
        <w:spacing w:line="360" w:lineRule="auto"/>
        <w:ind w:firstLine="480" w:firstLineChars="200"/>
        <w:rPr>
          <w:color w:val="auto"/>
          <w:kern w:val="0"/>
          <w:sz w:val="24"/>
        </w:rPr>
      </w:pPr>
      <w:r>
        <w:rPr>
          <w:color w:val="auto"/>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0A9AE45D">
      <w:pPr>
        <w:numPr>
          <w:ilvl w:val="0"/>
          <w:numId w:val="5"/>
        </w:numPr>
        <w:autoSpaceDE w:val="0"/>
        <w:autoSpaceDN w:val="0"/>
        <w:spacing w:line="360" w:lineRule="auto"/>
        <w:rPr>
          <w:b/>
          <w:bCs/>
          <w:color w:val="auto"/>
          <w:kern w:val="0"/>
          <w:sz w:val="24"/>
        </w:rPr>
      </w:pPr>
      <w:r>
        <w:rPr>
          <w:b/>
          <w:bCs/>
          <w:color w:val="auto"/>
          <w:kern w:val="0"/>
          <w:sz w:val="24"/>
          <w:lang w:val="zh-CN"/>
        </w:rPr>
        <w:t>通知</w:t>
      </w:r>
    </w:p>
    <w:p w14:paraId="097FF8BB">
      <w:pPr>
        <w:autoSpaceDE w:val="0"/>
        <w:autoSpaceDN w:val="0"/>
        <w:spacing w:line="360" w:lineRule="auto"/>
        <w:ind w:firstLine="480" w:firstLineChars="200"/>
        <w:rPr>
          <w:color w:val="auto"/>
          <w:kern w:val="0"/>
          <w:sz w:val="24"/>
        </w:rPr>
      </w:pPr>
      <w:r>
        <w:rPr>
          <w:color w:val="auto"/>
          <w:kern w:val="0"/>
          <w:sz w:val="24"/>
          <w:lang w:val="zh-CN"/>
        </w:rPr>
        <w:t>本合同任何一方给另一方的通知，都应以书面形式发送，而另一方也应以书面形式确认并发送到对方明确的地址。</w:t>
      </w:r>
    </w:p>
    <w:p w14:paraId="7275AC4B">
      <w:pPr>
        <w:numPr>
          <w:ilvl w:val="0"/>
          <w:numId w:val="5"/>
        </w:numPr>
        <w:autoSpaceDE w:val="0"/>
        <w:autoSpaceDN w:val="0"/>
        <w:spacing w:line="360" w:lineRule="auto"/>
        <w:rPr>
          <w:b/>
          <w:bCs/>
          <w:color w:val="auto"/>
          <w:kern w:val="0"/>
          <w:sz w:val="24"/>
        </w:rPr>
      </w:pPr>
      <w:r>
        <w:rPr>
          <w:b/>
          <w:bCs/>
          <w:color w:val="auto"/>
          <w:kern w:val="0"/>
          <w:sz w:val="24"/>
          <w:lang w:val="zh-CN"/>
        </w:rPr>
        <w:t>计量单位</w:t>
      </w:r>
    </w:p>
    <w:p w14:paraId="57F44BCC">
      <w:pPr>
        <w:autoSpaceDE w:val="0"/>
        <w:autoSpaceDN w:val="0"/>
        <w:spacing w:line="360" w:lineRule="auto"/>
        <w:ind w:firstLine="480" w:firstLineChars="200"/>
        <w:rPr>
          <w:color w:val="auto"/>
          <w:kern w:val="0"/>
          <w:sz w:val="24"/>
        </w:rPr>
      </w:pPr>
      <w:r>
        <w:rPr>
          <w:color w:val="auto"/>
          <w:kern w:val="0"/>
          <w:sz w:val="24"/>
          <w:lang w:val="zh-CN"/>
        </w:rPr>
        <w:t>除技术规范中另有规定外</w:t>
      </w:r>
      <w:r>
        <w:rPr>
          <w:color w:val="auto"/>
          <w:kern w:val="0"/>
          <w:sz w:val="24"/>
        </w:rPr>
        <w:t>,</w:t>
      </w:r>
      <w:r>
        <w:rPr>
          <w:color w:val="auto"/>
          <w:kern w:val="0"/>
          <w:sz w:val="24"/>
          <w:lang w:val="zh-CN"/>
        </w:rPr>
        <w:t>计量单位均使用国家法定计量单位。</w:t>
      </w:r>
    </w:p>
    <w:p w14:paraId="4562A39E">
      <w:pPr>
        <w:numPr>
          <w:ilvl w:val="0"/>
          <w:numId w:val="5"/>
        </w:numPr>
        <w:autoSpaceDE w:val="0"/>
        <w:autoSpaceDN w:val="0"/>
        <w:spacing w:line="360" w:lineRule="auto"/>
        <w:rPr>
          <w:color w:val="auto"/>
          <w:kern w:val="0"/>
          <w:sz w:val="24"/>
          <w:lang w:val="zh-CN"/>
        </w:rPr>
      </w:pPr>
      <w:r>
        <w:rPr>
          <w:b/>
          <w:bCs/>
          <w:color w:val="auto"/>
          <w:kern w:val="0"/>
          <w:sz w:val="24"/>
          <w:lang w:val="zh-CN"/>
        </w:rPr>
        <w:t>适用法律</w:t>
      </w:r>
      <w:r>
        <w:rPr>
          <w:b/>
          <w:bCs/>
          <w:color w:val="auto"/>
          <w:kern w:val="0"/>
          <w:sz w:val="24"/>
        </w:rPr>
        <w:t>：</w:t>
      </w:r>
      <w:r>
        <w:rPr>
          <w:color w:val="auto"/>
          <w:kern w:val="0"/>
          <w:sz w:val="24"/>
          <w:lang w:val="zh-CN"/>
        </w:rPr>
        <w:t>本合同按照中华人民共和国的相关法律进行解释。</w:t>
      </w:r>
    </w:p>
    <w:p w14:paraId="6539A070">
      <w:pPr>
        <w:autoSpaceDE w:val="0"/>
        <w:autoSpaceDN w:val="0"/>
        <w:spacing w:line="360" w:lineRule="auto"/>
        <w:ind w:left="360"/>
        <w:rPr>
          <w:b/>
          <w:bCs/>
          <w:color w:val="auto"/>
          <w:kern w:val="0"/>
          <w:sz w:val="24"/>
        </w:rPr>
      </w:pPr>
      <w:r>
        <w:rPr>
          <w:color w:val="auto"/>
          <w:kern w:val="0"/>
          <w:sz w:val="24"/>
          <w:lang w:val="zh-CN"/>
        </w:rPr>
        <w:br w:type="page"/>
      </w:r>
    </w:p>
    <w:p w14:paraId="0D6DF020">
      <w:pPr>
        <w:pStyle w:val="15"/>
        <w:spacing w:line="360" w:lineRule="auto"/>
        <w:rPr>
          <w:rFonts w:ascii="Times New Roman" w:hAnsi="Times New Roman"/>
          <w:color w:val="auto"/>
          <w:lang w:val="zh-CN"/>
        </w:rPr>
      </w:pPr>
      <w:bookmarkStart w:id="152" w:name="_Toc25878"/>
      <w:r>
        <w:rPr>
          <w:rFonts w:ascii="Times New Roman" w:hAnsi="Times New Roman"/>
          <w:color w:val="auto"/>
          <w:lang w:val="zh-CN"/>
        </w:rPr>
        <w:t>第四部分  投标文件格式</w:t>
      </w:r>
      <w:bookmarkEnd w:id="152"/>
    </w:p>
    <w:p w14:paraId="0FCECF22">
      <w:pPr>
        <w:pStyle w:val="14"/>
        <w:jc w:val="left"/>
        <w:rPr>
          <w:rFonts w:ascii="Times New Roman" w:hAnsi="Times New Roman"/>
          <w:color w:val="auto"/>
        </w:rPr>
      </w:pPr>
      <w:bookmarkStart w:id="153" w:name="_Toc11851"/>
      <w:bookmarkStart w:id="154" w:name="_Toc19114"/>
      <w:bookmarkStart w:id="155" w:name="_Toc20747"/>
      <w:r>
        <w:rPr>
          <w:rFonts w:ascii="Times New Roman" w:hAnsi="Times New Roman"/>
          <w:color w:val="auto"/>
        </w:rPr>
        <w:t>投标文件封面</w:t>
      </w:r>
      <w:bookmarkEnd w:id="153"/>
      <w:r>
        <w:rPr>
          <w:rFonts w:ascii="Times New Roman" w:hAnsi="Times New Roman"/>
          <w:color w:val="auto"/>
        </w:rPr>
        <w:t>（上册）</w:t>
      </w:r>
      <w:bookmarkEnd w:id="154"/>
      <w:bookmarkEnd w:id="155"/>
    </w:p>
    <w:p w14:paraId="0A628CCC">
      <w:pPr>
        <w:jc w:val="right"/>
        <w:rPr>
          <w:color w:val="auto"/>
          <w:lang w:val="zh-CN"/>
        </w:rPr>
      </w:pPr>
      <w:r>
        <w:rPr>
          <w:color w:val="auto"/>
          <w:lang w:val="zh-CN"/>
        </w:rPr>
        <w:t xml:space="preserve">                                             </w:t>
      </w:r>
    </w:p>
    <w:p w14:paraId="7AC8AD19">
      <w:pPr>
        <w:pStyle w:val="12"/>
        <w:rPr>
          <w:color w:val="auto"/>
        </w:rPr>
      </w:pPr>
    </w:p>
    <w:p w14:paraId="5762A33D">
      <w:pPr>
        <w:spacing w:line="360" w:lineRule="auto"/>
        <w:jc w:val="center"/>
        <w:rPr>
          <w:b/>
          <w:color w:val="auto"/>
          <w:sz w:val="96"/>
        </w:rPr>
      </w:pPr>
      <w:r>
        <w:rPr>
          <w:b/>
          <w:color w:val="auto"/>
          <w:sz w:val="72"/>
        </w:rPr>
        <w:t>青海省政府采购项目</w:t>
      </w:r>
    </w:p>
    <w:p w14:paraId="11286102">
      <w:pPr>
        <w:spacing w:line="360" w:lineRule="auto"/>
        <w:jc w:val="center"/>
        <w:rPr>
          <w:rFonts w:hint="eastAsia"/>
          <w:b/>
          <w:color w:val="auto"/>
          <w:sz w:val="52"/>
        </w:rPr>
      </w:pPr>
      <w:r>
        <w:rPr>
          <w:rFonts w:hint="eastAsia" w:ascii="宋体" w:hAnsi="宋体" w:cs="宋体"/>
          <w:b/>
          <w:color w:val="auto"/>
          <w:sz w:val="48"/>
        </w:rPr>
        <w:t>（上册）</w:t>
      </w:r>
    </w:p>
    <w:p w14:paraId="3AF54B65">
      <w:pPr>
        <w:spacing w:line="360" w:lineRule="auto"/>
        <w:jc w:val="center"/>
        <w:rPr>
          <w:b/>
          <w:color w:val="auto"/>
          <w:sz w:val="52"/>
        </w:rPr>
      </w:pPr>
    </w:p>
    <w:p w14:paraId="4B832BF1">
      <w:pPr>
        <w:spacing w:line="360" w:lineRule="auto"/>
        <w:jc w:val="center"/>
        <w:rPr>
          <w:rFonts w:hint="eastAsia"/>
          <w:b/>
          <w:color w:val="auto"/>
          <w:sz w:val="52"/>
        </w:rPr>
      </w:pPr>
      <w:r>
        <w:rPr>
          <w:b/>
          <w:color w:val="auto"/>
          <w:sz w:val="52"/>
        </w:rPr>
        <w:t>投 标 文 件</w:t>
      </w:r>
    </w:p>
    <w:p w14:paraId="28CDFE2E">
      <w:pPr>
        <w:spacing w:line="360" w:lineRule="auto"/>
        <w:rPr>
          <w:b/>
          <w:bCs/>
          <w:color w:val="auto"/>
          <w:sz w:val="32"/>
        </w:rPr>
      </w:pPr>
    </w:p>
    <w:p w14:paraId="40236E52">
      <w:pPr>
        <w:adjustRightInd w:val="0"/>
        <w:spacing w:line="360" w:lineRule="auto"/>
        <w:textAlignment w:val="baseline"/>
        <w:rPr>
          <w:b/>
          <w:bCs/>
          <w:color w:val="auto"/>
          <w:sz w:val="32"/>
        </w:rPr>
      </w:pPr>
    </w:p>
    <w:p w14:paraId="237415C0">
      <w:pPr>
        <w:adjustRightInd w:val="0"/>
        <w:spacing w:line="360" w:lineRule="auto"/>
        <w:ind w:firstLine="643" w:firstLineChars="200"/>
        <w:textAlignment w:val="baseline"/>
        <w:rPr>
          <w:rFonts w:hint="eastAsia"/>
          <w:b/>
          <w:bCs/>
          <w:color w:val="auto"/>
          <w:sz w:val="32"/>
          <w:szCs w:val="32"/>
          <w:u w:val="single"/>
        </w:rPr>
      </w:pPr>
      <w:r>
        <w:rPr>
          <w:b/>
          <w:bCs/>
          <w:color w:val="auto"/>
          <w:sz w:val="32"/>
          <w:szCs w:val="32"/>
        </w:rPr>
        <w:t>采购项目编号:</w:t>
      </w:r>
      <w:r>
        <w:rPr>
          <w:b/>
          <w:bCs/>
          <w:color w:val="auto"/>
          <w:sz w:val="32"/>
          <w:szCs w:val="32"/>
          <w:u w:val="single"/>
        </w:rPr>
        <w:t xml:space="preserve">                              </w:t>
      </w:r>
    </w:p>
    <w:p w14:paraId="015F9E4E">
      <w:pPr>
        <w:adjustRightInd w:val="0"/>
        <w:spacing w:line="360" w:lineRule="auto"/>
        <w:ind w:left="2886" w:leftChars="311" w:hanging="2233" w:hangingChars="695"/>
        <w:textAlignment w:val="baseline"/>
        <w:rPr>
          <w:b/>
          <w:bCs/>
          <w:color w:val="auto"/>
          <w:sz w:val="32"/>
          <w:szCs w:val="32"/>
          <w:u w:val="single"/>
        </w:rPr>
      </w:pPr>
      <w:r>
        <w:rPr>
          <w:b/>
          <w:bCs/>
          <w:color w:val="auto"/>
          <w:sz w:val="32"/>
          <w:szCs w:val="32"/>
        </w:rPr>
        <w:t>采购项目名称</w:t>
      </w:r>
      <w:r>
        <w:rPr>
          <w:rFonts w:hint="eastAsia"/>
          <w:b/>
          <w:bCs/>
          <w:color w:val="auto"/>
          <w:sz w:val="32"/>
          <w:szCs w:val="32"/>
          <w:lang w:eastAsia="zh-CN"/>
        </w:rPr>
        <w:t>：</w:t>
      </w:r>
      <w:r>
        <w:rPr>
          <w:b/>
          <w:bCs/>
          <w:color w:val="auto"/>
          <w:sz w:val="32"/>
          <w:szCs w:val="32"/>
          <w:u w:val="single"/>
        </w:rPr>
        <w:t xml:space="preserve">                             </w:t>
      </w:r>
    </w:p>
    <w:p w14:paraId="2FAF2B37">
      <w:pPr>
        <w:adjustRightInd w:val="0"/>
        <w:spacing w:line="360" w:lineRule="auto"/>
        <w:ind w:left="2886" w:leftChars="311" w:hanging="2233" w:hangingChars="695"/>
        <w:textAlignment w:val="baseline"/>
        <w:rPr>
          <w:rFonts w:hint="eastAsia"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lang w:val="en-US" w:eastAsia="zh-CN"/>
        </w:rPr>
        <w:t>包        号：</w:t>
      </w:r>
      <w:r>
        <w:rPr>
          <w:b/>
          <w:bCs/>
          <w:color w:val="auto"/>
          <w:sz w:val="32"/>
          <w:szCs w:val="32"/>
          <w:u w:val="single"/>
        </w:rPr>
        <w:t xml:space="preserve">                             </w:t>
      </w:r>
    </w:p>
    <w:p w14:paraId="502ABE0A">
      <w:pPr>
        <w:adjustRightInd w:val="0"/>
        <w:spacing w:line="360" w:lineRule="auto"/>
        <w:ind w:firstLine="643" w:firstLineChars="200"/>
        <w:textAlignment w:val="baseline"/>
        <w:rPr>
          <w:b/>
          <w:bCs/>
          <w:color w:val="auto"/>
          <w:sz w:val="32"/>
          <w:szCs w:val="32"/>
          <w:u w:val="single"/>
        </w:rPr>
      </w:pPr>
      <w:r>
        <w:rPr>
          <w:b/>
          <w:bCs/>
          <w:color w:val="auto"/>
          <w:sz w:val="32"/>
          <w:szCs w:val="32"/>
        </w:rPr>
        <w:t>投   标   人</w:t>
      </w:r>
      <w:r>
        <w:rPr>
          <w:b/>
          <w:color w:val="auto"/>
          <w:sz w:val="32"/>
          <w:szCs w:val="32"/>
        </w:rPr>
        <w:t>：</w:t>
      </w:r>
      <w:r>
        <w:rPr>
          <w:b/>
          <w:color w:val="auto"/>
          <w:sz w:val="32"/>
          <w:szCs w:val="32"/>
          <w:u w:val="single"/>
        </w:rPr>
        <w:t xml:space="preserve">                     （公章）</w:t>
      </w:r>
    </w:p>
    <w:p w14:paraId="31260506">
      <w:pPr>
        <w:adjustRightInd w:val="0"/>
        <w:spacing w:line="360" w:lineRule="auto"/>
        <w:ind w:firstLine="643" w:firstLineChars="200"/>
        <w:textAlignment w:val="baseline"/>
        <w:rPr>
          <w:b/>
          <w:color w:val="auto"/>
          <w:sz w:val="32"/>
          <w:u w:val="single"/>
        </w:rPr>
      </w:pPr>
      <w:r>
        <w:rPr>
          <w:b/>
          <w:color w:val="auto"/>
          <w:sz w:val="32"/>
        </w:rPr>
        <w:t>法定代表人</w:t>
      </w:r>
      <w:r>
        <w:rPr>
          <w:b/>
          <w:bCs/>
          <w:color w:val="auto"/>
          <w:sz w:val="32"/>
          <w:szCs w:val="32"/>
        </w:rPr>
        <w:t>：</w:t>
      </w:r>
      <w:r>
        <w:rPr>
          <w:b/>
          <w:bCs/>
          <w:color w:val="auto"/>
          <w:sz w:val="32"/>
          <w:szCs w:val="32"/>
          <w:u w:val="single"/>
        </w:rPr>
        <w:t xml:space="preserve">           （签字</w:t>
      </w:r>
      <w:r>
        <w:rPr>
          <w:rFonts w:hint="eastAsia"/>
          <w:b/>
          <w:bCs/>
          <w:color w:val="auto"/>
          <w:sz w:val="32"/>
          <w:szCs w:val="32"/>
          <w:u w:val="single"/>
        </w:rPr>
        <w:t>或</w:t>
      </w:r>
      <w:r>
        <w:rPr>
          <w:b/>
          <w:bCs/>
          <w:color w:val="auto"/>
          <w:sz w:val="32"/>
          <w:szCs w:val="32"/>
          <w:u w:val="single"/>
        </w:rPr>
        <w:t>加盖法人章）</w:t>
      </w:r>
    </w:p>
    <w:p w14:paraId="218EA82E">
      <w:pPr>
        <w:adjustRightInd w:val="0"/>
        <w:spacing w:line="360" w:lineRule="auto"/>
        <w:ind w:firstLine="643" w:firstLineChars="200"/>
        <w:textAlignment w:val="baseline"/>
        <w:rPr>
          <w:b/>
          <w:color w:val="auto"/>
          <w:sz w:val="32"/>
          <w:u w:val="single"/>
        </w:rPr>
      </w:pPr>
    </w:p>
    <w:p w14:paraId="11FACEF3">
      <w:pPr>
        <w:jc w:val="center"/>
        <w:rPr>
          <w:color w:val="auto"/>
          <w:kern w:val="0"/>
          <w:sz w:val="36"/>
          <w:szCs w:val="36"/>
          <w:lang w:val="zh-CN"/>
        </w:rPr>
      </w:pPr>
      <w:r>
        <w:rPr>
          <w:color w:val="auto"/>
          <w:sz w:val="36"/>
          <w:szCs w:val="36"/>
        </w:rPr>
        <w:t>年   月  日</w:t>
      </w:r>
      <w:bookmarkStart w:id="156" w:name="_Toc444715735"/>
    </w:p>
    <w:p w14:paraId="30B140EC">
      <w:pPr>
        <w:pStyle w:val="14"/>
        <w:jc w:val="left"/>
        <w:rPr>
          <w:rFonts w:ascii="Times New Roman" w:hAnsi="Times New Roman"/>
          <w:color w:val="auto"/>
        </w:rPr>
      </w:pPr>
      <w:r>
        <w:rPr>
          <w:rFonts w:ascii="Times New Roman" w:hAnsi="Times New Roman"/>
          <w:color w:val="auto"/>
          <w:kern w:val="0"/>
          <w:sz w:val="36"/>
          <w:szCs w:val="36"/>
        </w:rPr>
        <w:br w:type="page"/>
      </w:r>
      <w:bookmarkEnd w:id="156"/>
      <w:bookmarkStart w:id="157" w:name="_Toc20569"/>
      <w:bookmarkStart w:id="158" w:name="_Toc11856"/>
      <w:r>
        <w:rPr>
          <w:rFonts w:ascii="Times New Roman" w:hAnsi="Times New Roman"/>
          <w:color w:val="auto"/>
        </w:rPr>
        <w:t>投标文件目录（上册）</w:t>
      </w:r>
      <w:bookmarkEnd w:id="157"/>
      <w:bookmarkEnd w:id="158"/>
    </w:p>
    <w:p w14:paraId="2A089C29">
      <w:pPr>
        <w:autoSpaceDE w:val="0"/>
        <w:autoSpaceDN w:val="0"/>
        <w:spacing w:line="360" w:lineRule="auto"/>
        <w:ind w:firstLine="240" w:firstLineChars="100"/>
        <w:jc w:val="center"/>
        <w:rPr>
          <w:color w:val="auto"/>
          <w:kern w:val="0"/>
          <w:sz w:val="24"/>
          <w:lang w:val="zh-CN"/>
        </w:rPr>
      </w:pPr>
      <w:r>
        <w:rPr>
          <w:color w:val="auto"/>
          <w:kern w:val="0"/>
          <w:sz w:val="24"/>
          <w:lang w:val="zh-CN"/>
        </w:rPr>
        <w:t>（</w:t>
      </w:r>
      <w:r>
        <w:rPr>
          <w:color w:val="auto"/>
          <w:kern w:val="0"/>
          <w:sz w:val="24"/>
        </w:rPr>
        <w:t>1</w:t>
      </w:r>
      <w:r>
        <w:rPr>
          <w:color w:val="auto"/>
          <w:kern w:val="0"/>
          <w:sz w:val="24"/>
          <w:lang w:val="zh-CN"/>
        </w:rPr>
        <w:t>）</w:t>
      </w:r>
      <w:r>
        <w:rPr>
          <w:color w:val="auto"/>
          <w:kern w:val="0"/>
          <w:sz w:val="24"/>
        </w:rPr>
        <w:t xml:space="preserve"> </w:t>
      </w:r>
      <w:r>
        <w:rPr>
          <w:color w:val="auto"/>
          <w:kern w:val="0"/>
          <w:sz w:val="24"/>
          <w:lang w:val="zh-CN"/>
        </w:rPr>
        <w:t>投标函……………………………………………………………所在页码</w:t>
      </w:r>
    </w:p>
    <w:p w14:paraId="17CF454C">
      <w:pPr>
        <w:autoSpaceDE w:val="0"/>
        <w:autoSpaceDN w:val="0"/>
        <w:spacing w:line="360" w:lineRule="auto"/>
        <w:ind w:firstLine="240" w:firstLineChars="100"/>
        <w:jc w:val="center"/>
        <w:rPr>
          <w:color w:val="auto"/>
          <w:kern w:val="0"/>
          <w:sz w:val="24"/>
          <w:lang w:val="zh-CN"/>
        </w:rPr>
      </w:pPr>
      <w:r>
        <w:rPr>
          <w:color w:val="auto"/>
          <w:kern w:val="0"/>
          <w:sz w:val="24"/>
          <w:lang w:val="zh-CN"/>
        </w:rPr>
        <w:t>（</w:t>
      </w:r>
      <w:r>
        <w:rPr>
          <w:color w:val="auto"/>
          <w:kern w:val="0"/>
          <w:sz w:val="24"/>
        </w:rPr>
        <w:t>2</w:t>
      </w:r>
      <w:r>
        <w:rPr>
          <w:color w:val="auto"/>
          <w:kern w:val="0"/>
          <w:sz w:val="24"/>
          <w:lang w:val="zh-CN"/>
        </w:rPr>
        <w:t>）</w:t>
      </w:r>
      <w:r>
        <w:rPr>
          <w:color w:val="auto"/>
          <w:kern w:val="0"/>
          <w:sz w:val="24"/>
        </w:rPr>
        <w:t xml:space="preserve"> </w:t>
      </w:r>
      <w:r>
        <w:rPr>
          <w:color w:val="auto"/>
          <w:kern w:val="0"/>
          <w:sz w:val="24"/>
          <w:lang w:val="zh-CN"/>
        </w:rPr>
        <w:t>法定代表人证明书………………………………………………所在页码</w:t>
      </w:r>
    </w:p>
    <w:p w14:paraId="431A5F1A">
      <w:pPr>
        <w:autoSpaceDE w:val="0"/>
        <w:autoSpaceDN w:val="0"/>
        <w:spacing w:line="360" w:lineRule="auto"/>
        <w:ind w:firstLine="240" w:firstLineChars="100"/>
        <w:jc w:val="center"/>
        <w:rPr>
          <w:color w:val="auto"/>
          <w:kern w:val="0"/>
          <w:sz w:val="24"/>
          <w:lang w:val="zh-CN"/>
        </w:rPr>
      </w:pPr>
      <w:r>
        <w:rPr>
          <w:color w:val="auto"/>
          <w:kern w:val="0"/>
          <w:sz w:val="24"/>
          <w:lang w:val="zh-CN"/>
        </w:rPr>
        <w:t>（</w:t>
      </w:r>
      <w:r>
        <w:rPr>
          <w:color w:val="auto"/>
          <w:kern w:val="0"/>
          <w:sz w:val="24"/>
        </w:rPr>
        <w:t>3</w:t>
      </w:r>
      <w:r>
        <w:rPr>
          <w:color w:val="auto"/>
          <w:kern w:val="0"/>
          <w:sz w:val="24"/>
          <w:lang w:val="zh-CN"/>
        </w:rPr>
        <w:t>）</w:t>
      </w:r>
      <w:r>
        <w:rPr>
          <w:color w:val="auto"/>
          <w:kern w:val="0"/>
          <w:sz w:val="24"/>
        </w:rPr>
        <w:t xml:space="preserve"> </w:t>
      </w:r>
      <w:r>
        <w:rPr>
          <w:color w:val="auto"/>
          <w:kern w:val="0"/>
          <w:sz w:val="24"/>
          <w:lang w:val="zh-CN"/>
        </w:rPr>
        <w:t>法定代表人授权书………………………………………………所在页码</w:t>
      </w:r>
    </w:p>
    <w:p w14:paraId="5F1A49B3">
      <w:pPr>
        <w:autoSpaceDE w:val="0"/>
        <w:autoSpaceDN w:val="0"/>
        <w:spacing w:line="360" w:lineRule="auto"/>
        <w:ind w:firstLine="240" w:firstLineChars="100"/>
        <w:jc w:val="center"/>
        <w:rPr>
          <w:color w:val="auto"/>
          <w:kern w:val="0"/>
          <w:sz w:val="24"/>
          <w:lang w:val="zh-CN"/>
        </w:rPr>
      </w:pPr>
      <w:r>
        <w:rPr>
          <w:color w:val="auto"/>
          <w:kern w:val="0"/>
          <w:sz w:val="24"/>
          <w:lang w:val="zh-CN"/>
        </w:rPr>
        <w:t>（</w:t>
      </w:r>
      <w:r>
        <w:rPr>
          <w:color w:val="auto"/>
          <w:kern w:val="0"/>
          <w:sz w:val="24"/>
        </w:rPr>
        <w:t>4</w:t>
      </w:r>
      <w:r>
        <w:rPr>
          <w:color w:val="auto"/>
          <w:kern w:val="0"/>
          <w:sz w:val="24"/>
          <w:lang w:val="zh-CN"/>
        </w:rPr>
        <w:t xml:space="preserve">） </w:t>
      </w:r>
      <w:r>
        <w:rPr>
          <w:rFonts w:hint="eastAsia"/>
          <w:color w:val="auto"/>
          <w:kern w:val="0"/>
          <w:sz w:val="24"/>
          <w:lang w:val="zh-CN"/>
        </w:rPr>
        <w:t>投标人</w:t>
      </w:r>
      <w:r>
        <w:rPr>
          <w:color w:val="auto"/>
          <w:kern w:val="0"/>
          <w:sz w:val="24"/>
          <w:lang w:val="zh-CN"/>
        </w:rPr>
        <w:t>承诺书</w:t>
      </w:r>
      <w:bookmarkStart w:id="159" w:name="OLE_LINK10"/>
      <w:r>
        <w:rPr>
          <w:color w:val="auto"/>
          <w:kern w:val="0"/>
          <w:sz w:val="24"/>
          <w:lang w:val="zh-CN"/>
        </w:rPr>
        <w:t>…</w:t>
      </w:r>
      <w:bookmarkEnd w:id="159"/>
      <w:r>
        <w:rPr>
          <w:color w:val="auto"/>
          <w:kern w:val="0"/>
          <w:sz w:val="24"/>
          <w:lang w:val="zh-CN"/>
        </w:rPr>
        <w:t>…………………………………………………所在页码</w:t>
      </w:r>
    </w:p>
    <w:p w14:paraId="4F950813">
      <w:pPr>
        <w:autoSpaceDE w:val="0"/>
        <w:autoSpaceDN w:val="0"/>
        <w:spacing w:line="360" w:lineRule="auto"/>
        <w:ind w:firstLine="240" w:firstLineChars="100"/>
        <w:jc w:val="center"/>
        <w:rPr>
          <w:color w:val="auto"/>
          <w:kern w:val="0"/>
          <w:sz w:val="24"/>
          <w:lang w:val="zh-CN"/>
        </w:rPr>
      </w:pPr>
      <w:r>
        <w:rPr>
          <w:color w:val="auto"/>
          <w:kern w:val="0"/>
          <w:sz w:val="24"/>
          <w:lang w:val="zh-CN"/>
        </w:rPr>
        <w:t>（5）供应商诚信承诺书………………………………………………所在页码</w:t>
      </w:r>
    </w:p>
    <w:p w14:paraId="6D9A6D0A">
      <w:pPr>
        <w:autoSpaceDE w:val="0"/>
        <w:autoSpaceDN w:val="0"/>
        <w:spacing w:line="360" w:lineRule="auto"/>
        <w:ind w:firstLine="240" w:firstLineChars="100"/>
        <w:jc w:val="center"/>
        <w:rPr>
          <w:color w:val="auto"/>
          <w:kern w:val="0"/>
          <w:sz w:val="24"/>
          <w:lang w:val="zh-CN"/>
        </w:rPr>
      </w:pPr>
      <w:r>
        <w:rPr>
          <w:color w:val="auto"/>
          <w:kern w:val="0"/>
          <w:sz w:val="24"/>
          <w:lang w:val="zh-CN"/>
        </w:rPr>
        <w:t>（6）资格证明材料……………………………………………………所在页码</w:t>
      </w:r>
    </w:p>
    <w:p w14:paraId="3E750839">
      <w:pPr>
        <w:autoSpaceDE w:val="0"/>
        <w:autoSpaceDN w:val="0"/>
        <w:spacing w:line="360" w:lineRule="auto"/>
        <w:ind w:firstLine="240" w:firstLineChars="100"/>
        <w:jc w:val="center"/>
        <w:rPr>
          <w:color w:val="auto"/>
          <w:kern w:val="0"/>
          <w:sz w:val="24"/>
          <w:lang w:val="zh-CN"/>
        </w:rPr>
      </w:pPr>
      <w:r>
        <w:rPr>
          <w:color w:val="auto"/>
          <w:kern w:val="0"/>
          <w:sz w:val="24"/>
          <w:lang w:val="zh-CN"/>
        </w:rPr>
        <w:t>（7）财务状况、缴纳税收和社会保障资金证明……………………所在页码</w:t>
      </w:r>
    </w:p>
    <w:p w14:paraId="00570D07">
      <w:pPr>
        <w:autoSpaceDE w:val="0"/>
        <w:autoSpaceDN w:val="0"/>
        <w:spacing w:line="360" w:lineRule="auto"/>
        <w:ind w:firstLine="240" w:firstLineChars="100"/>
        <w:jc w:val="center"/>
        <w:rPr>
          <w:color w:val="auto"/>
          <w:kern w:val="0"/>
          <w:sz w:val="24"/>
          <w:lang w:val="zh-CN"/>
        </w:rPr>
      </w:pPr>
      <w:r>
        <w:rPr>
          <w:color w:val="auto"/>
          <w:kern w:val="0"/>
          <w:sz w:val="24"/>
          <w:lang w:val="zh-CN"/>
        </w:rPr>
        <w:t>（8）具备履行合同所必需的设备和专业技术能力的证明…………所在页码</w:t>
      </w:r>
    </w:p>
    <w:p w14:paraId="4A950977">
      <w:pPr>
        <w:autoSpaceDE w:val="0"/>
        <w:autoSpaceDN w:val="0"/>
        <w:spacing w:line="360" w:lineRule="auto"/>
        <w:ind w:firstLine="240" w:firstLineChars="100"/>
        <w:jc w:val="center"/>
        <w:rPr>
          <w:rFonts w:hint="eastAsia"/>
          <w:color w:val="auto"/>
          <w:kern w:val="0"/>
          <w:sz w:val="24"/>
          <w:lang w:val="zh-CN"/>
        </w:rPr>
      </w:pPr>
      <w:r>
        <w:rPr>
          <w:color w:val="auto"/>
          <w:kern w:val="0"/>
          <w:sz w:val="24"/>
          <w:lang w:val="zh-CN"/>
        </w:rPr>
        <w:t>（9）无重大违法记录声明……………………………………………所在页码</w:t>
      </w:r>
    </w:p>
    <w:p w14:paraId="1885E2AF">
      <w:pPr>
        <w:autoSpaceDE w:val="0"/>
        <w:autoSpaceDN w:val="0"/>
        <w:spacing w:line="360" w:lineRule="auto"/>
        <w:ind w:firstLine="240" w:firstLineChars="100"/>
        <w:jc w:val="center"/>
        <w:rPr>
          <w:color w:val="auto"/>
          <w:kern w:val="0"/>
          <w:sz w:val="24"/>
          <w:lang w:val="zh-CN"/>
        </w:rPr>
      </w:pPr>
      <w:r>
        <w:rPr>
          <w:rFonts w:hint="eastAsia"/>
          <w:color w:val="auto"/>
          <w:kern w:val="0"/>
          <w:sz w:val="24"/>
          <w:lang w:val="zh-CN"/>
        </w:rPr>
        <w:t>（10）</w:t>
      </w:r>
      <w:r>
        <w:rPr>
          <w:rFonts w:hint="eastAsia" w:ascii="宋体" w:hAnsi="宋体" w:cs="宋体"/>
          <w:color w:val="auto"/>
          <w:sz w:val="24"/>
        </w:rPr>
        <w:t>投标保证金证明</w:t>
      </w:r>
      <w:r>
        <w:rPr>
          <w:color w:val="auto"/>
          <w:kern w:val="0"/>
          <w:sz w:val="24"/>
          <w:lang w:val="zh-CN"/>
        </w:rPr>
        <w:t>…………………………………………………</w:t>
      </w:r>
      <w:r>
        <w:rPr>
          <w:rFonts w:hint="eastAsia" w:ascii="宋体" w:hAnsi="宋体" w:cs="宋体"/>
          <w:color w:val="auto"/>
          <w:kern w:val="0"/>
          <w:sz w:val="24"/>
          <w:lang w:val="zh-CN"/>
        </w:rPr>
        <w:t>所在页码</w:t>
      </w:r>
    </w:p>
    <w:p w14:paraId="7DB62BEF">
      <w:pPr>
        <w:autoSpaceDE w:val="0"/>
        <w:autoSpaceDN w:val="0"/>
        <w:spacing w:line="360" w:lineRule="auto"/>
        <w:ind w:firstLine="240" w:firstLineChars="100"/>
        <w:jc w:val="center"/>
        <w:rPr>
          <w:color w:val="auto"/>
          <w:kern w:val="0"/>
          <w:sz w:val="24"/>
          <w:lang w:val="zh-CN"/>
        </w:rPr>
      </w:pPr>
    </w:p>
    <w:p w14:paraId="2912C913">
      <w:pPr>
        <w:pStyle w:val="14"/>
        <w:spacing w:line="360" w:lineRule="auto"/>
        <w:jc w:val="left"/>
        <w:rPr>
          <w:rFonts w:ascii="Times New Roman" w:hAnsi="Times New Roman"/>
          <w:color w:val="auto"/>
        </w:rPr>
      </w:pPr>
      <w:r>
        <w:rPr>
          <w:rFonts w:ascii="Times New Roman" w:hAnsi="Times New Roman"/>
          <w:b w:val="0"/>
          <w:bCs w:val="0"/>
          <w:color w:val="auto"/>
        </w:rPr>
        <w:br w:type="page"/>
      </w:r>
      <w:bookmarkStart w:id="160" w:name="_Toc20490"/>
      <w:r>
        <w:rPr>
          <w:rFonts w:ascii="Times New Roman" w:hAnsi="Times New Roman"/>
          <w:color w:val="auto"/>
          <w:lang w:val="zh-CN"/>
        </w:rPr>
        <w:t>格式</w:t>
      </w:r>
      <w:r>
        <w:rPr>
          <w:rFonts w:hint="eastAsia" w:ascii="Times New Roman" w:hAnsi="Times New Roman"/>
          <w:color w:val="auto"/>
          <w:lang w:val="zh-CN"/>
        </w:rPr>
        <w:t>1</w:t>
      </w:r>
      <w:r>
        <w:rPr>
          <w:rFonts w:ascii="Times New Roman" w:hAnsi="Times New Roman"/>
          <w:color w:val="auto"/>
          <w:lang w:val="zh-CN"/>
        </w:rPr>
        <w:t>：投标函</w:t>
      </w:r>
      <w:bookmarkEnd w:id="160"/>
    </w:p>
    <w:p w14:paraId="2FA6C85D">
      <w:pPr>
        <w:adjustRightInd w:val="0"/>
        <w:spacing w:line="360" w:lineRule="auto"/>
        <w:jc w:val="center"/>
        <w:textAlignment w:val="baseline"/>
        <w:rPr>
          <w:b/>
          <w:color w:val="auto"/>
          <w:sz w:val="30"/>
          <w:szCs w:val="30"/>
        </w:rPr>
      </w:pPr>
      <w:r>
        <w:rPr>
          <w:b/>
          <w:color w:val="auto"/>
          <w:sz w:val="30"/>
          <w:szCs w:val="30"/>
        </w:rPr>
        <w:t>投 标 函</w:t>
      </w:r>
    </w:p>
    <w:p w14:paraId="53B07DB2">
      <w:pPr>
        <w:adjustRightInd w:val="0"/>
        <w:spacing w:line="360" w:lineRule="auto"/>
        <w:ind w:left="482" w:hanging="482" w:hangingChars="200"/>
        <w:textAlignment w:val="baseline"/>
        <w:rPr>
          <w:b/>
          <w:color w:val="auto"/>
          <w:sz w:val="24"/>
        </w:rPr>
      </w:pPr>
      <w:r>
        <w:rPr>
          <w:b/>
          <w:color w:val="auto"/>
          <w:sz w:val="24"/>
        </w:rPr>
        <w:t>致：</w:t>
      </w:r>
      <w:r>
        <w:rPr>
          <w:b/>
          <w:color w:val="auto"/>
          <w:sz w:val="24"/>
          <w:u w:val="single"/>
        </w:rPr>
        <w:t xml:space="preserve">  </w:t>
      </w:r>
      <w:r>
        <w:rPr>
          <w:rFonts w:hint="eastAsia"/>
          <w:b/>
          <w:color w:val="auto"/>
          <w:sz w:val="24"/>
          <w:u w:val="single"/>
          <w:lang w:val="en-US" w:eastAsia="zh-CN"/>
        </w:rPr>
        <w:t xml:space="preserve">采购人/代理机构人             </w:t>
      </w:r>
      <w:r>
        <w:rPr>
          <w:b/>
          <w:color w:val="auto"/>
          <w:sz w:val="24"/>
          <w:u w:val="single"/>
        </w:rPr>
        <w:t xml:space="preserve">    </w:t>
      </w:r>
      <w:r>
        <w:rPr>
          <w:b/>
          <w:color w:val="auto"/>
          <w:sz w:val="24"/>
        </w:rPr>
        <w:t xml:space="preserve"> </w:t>
      </w:r>
    </w:p>
    <w:p w14:paraId="1702D476">
      <w:pPr>
        <w:adjustRightInd w:val="0"/>
        <w:spacing w:line="360" w:lineRule="auto"/>
        <w:ind w:firstLine="480" w:firstLineChars="200"/>
        <w:textAlignment w:val="baseline"/>
        <w:rPr>
          <w:color w:val="auto"/>
          <w:sz w:val="24"/>
        </w:rPr>
      </w:pPr>
      <w:r>
        <w:rPr>
          <w:color w:val="auto"/>
          <w:sz w:val="24"/>
        </w:rPr>
        <w:t>我们收到</w:t>
      </w:r>
      <w:r>
        <w:rPr>
          <w:color w:val="auto"/>
          <w:sz w:val="24"/>
          <w:u w:val="single"/>
        </w:rPr>
        <w:t xml:space="preserve"> （采购项目名称）</w:t>
      </w:r>
      <w:r>
        <w:rPr>
          <w:color w:val="auto"/>
          <w:sz w:val="24"/>
        </w:rPr>
        <w:t>采购项目</w:t>
      </w:r>
      <w:r>
        <w:rPr>
          <w:color w:val="auto"/>
          <w:kern w:val="0"/>
          <w:sz w:val="24"/>
          <w:lang w:val="zh-CN"/>
        </w:rPr>
        <w:t xml:space="preserve"> </w:t>
      </w:r>
      <w:r>
        <w:rPr>
          <w:color w:val="auto"/>
          <w:sz w:val="24"/>
          <w:u w:val="single"/>
        </w:rPr>
        <w:t>（采购项目编号）</w:t>
      </w:r>
      <w:r>
        <w:rPr>
          <w:color w:val="auto"/>
          <w:sz w:val="24"/>
        </w:rPr>
        <w:t>招标文件，经研究，法定代表人</w:t>
      </w:r>
      <w:r>
        <w:rPr>
          <w:color w:val="auto"/>
          <w:sz w:val="24"/>
          <w:u w:val="single"/>
        </w:rPr>
        <w:t>（姓名、职务）</w:t>
      </w:r>
      <w:r>
        <w:rPr>
          <w:color w:val="auto"/>
          <w:sz w:val="24"/>
        </w:rPr>
        <w:t>正式授权</w:t>
      </w:r>
      <w:r>
        <w:rPr>
          <w:color w:val="auto"/>
          <w:sz w:val="24"/>
          <w:u w:val="single"/>
        </w:rPr>
        <w:t>（委托代理人姓名、职务）</w:t>
      </w:r>
      <w:r>
        <w:rPr>
          <w:color w:val="auto"/>
          <w:sz w:val="24"/>
        </w:rPr>
        <w:t>代表</w:t>
      </w:r>
      <w:r>
        <w:rPr>
          <w:rFonts w:hint="eastAsia"/>
          <w:color w:val="auto"/>
          <w:sz w:val="24"/>
          <w:lang w:eastAsia="zh-CN"/>
        </w:rPr>
        <w:t>投标人</w:t>
      </w:r>
      <w:r>
        <w:rPr>
          <w:color w:val="auto"/>
          <w:sz w:val="24"/>
          <w:u w:val="single"/>
        </w:rPr>
        <w:t>（</w:t>
      </w:r>
      <w:r>
        <w:rPr>
          <w:rFonts w:hint="eastAsia"/>
          <w:color w:val="auto"/>
          <w:sz w:val="24"/>
          <w:u w:val="single"/>
          <w:lang w:eastAsia="zh-CN"/>
        </w:rPr>
        <w:t>投标人</w:t>
      </w:r>
      <w:r>
        <w:rPr>
          <w:color w:val="auto"/>
          <w:sz w:val="24"/>
          <w:u w:val="single"/>
        </w:rPr>
        <w:t>名称、地址）</w:t>
      </w:r>
      <w:r>
        <w:rPr>
          <w:color w:val="auto"/>
          <w:sz w:val="24"/>
        </w:rPr>
        <w:t>提交投标文件。</w:t>
      </w:r>
    </w:p>
    <w:p w14:paraId="42E0C12D">
      <w:pPr>
        <w:adjustRightInd w:val="0"/>
        <w:spacing w:line="360" w:lineRule="auto"/>
        <w:ind w:firstLine="480" w:firstLineChars="200"/>
        <w:textAlignment w:val="baseline"/>
        <w:rPr>
          <w:color w:val="auto"/>
          <w:sz w:val="24"/>
        </w:rPr>
      </w:pPr>
      <w:r>
        <w:rPr>
          <w:color w:val="auto"/>
          <w:sz w:val="24"/>
        </w:rPr>
        <w:t>据此函，签字代表宣布同意如下：</w:t>
      </w:r>
    </w:p>
    <w:p w14:paraId="28CDA455">
      <w:pPr>
        <w:adjustRightInd w:val="0"/>
        <w:spacing w:line="360" w:lineRule="auto"/>
        <w:ind w:firstLine="480" w:firstLineChars="200"/>
        <w:textAlignment w:val="baseline"/>
        <w:rPr>
          <w:color w:val="auto"/>
          <w:sz w:val="24"/>
        </w:rPr>
      </w:pPr>
      <w:r>
        <w:rPr>
          <w:color w:val="auto"/>
          <w:sz w:val="24"/>
        </w:rPr>
        <w:t>1.我方已详阅招标文件的全部内容，包括澄清、修改条款等有关附件，承诺对其完全理解并接受。</w:t>
      </w:r>
    </w:p>
    <w:p w14:paraId="64DE5532">
      <w:pPr>
        <w:adjustRightInd w:val="0"/>
        <w:spacing w:line="360" w:lineRule="auto"/>
        <w:ind w:firstLine="480" w:firstLineChars="200"/>
        <w:textAlignment w:val="baseline"/>
        <w:rPr>
          <w:rFonts w:ascii="宋体" w:hAnsi="宋体"/>
          <w:color w:val="auto"/>
          <w:sz w:val="24"/>
        </w:rPr>
      </w:pPr>
      <w:r>
        <w:rPr>
          <w:color w:val="auto"/>
          <w:sz w:val="24"/>
        </w:rPr>
        <w:t>2.投标有效期自开标之日起</w:t>
      </w:r>
      <w:r>
        <w:rPr>
          <w:color w:val="auto"/>
          <w:sz w:val="24"/>
          <w:u w:val="single"/>
        </w:rPr>
        <w:t xml:space="preserve">    </w:t>
      </w:r>
      <w:r>
        <w:rPr>
          <w:rFonts w:hint="eastAsia"/>
          <w:color w:val="auto"/>
          <w:sz w:val="24"/>
          <w:u w:val="single"/>
        </w:rPr>
        <w:t xml:space="preserve">      </w:t>
      </w:r>
      <w:r>
        <w:rPr>
          <w:color w:val="auto"/>
          <w:sz w:val="24"/>
        </w:rPr>
        <w:t>内有效。</w:t>
      </w:r>
      <w:r>
        <w:rPr>
          <w:rFonts w:hint="eastAsia" w:ascii="宋体" w:hAnsi="宋体"/>
          <w:color w:val="auto"/>
          <w:sz w:val="24"/>
        </w:rPr>
        <w:t>如果在规定的开标时间后，我方在投标有效期内撤回投标或入围后不签约的，投标保证金将被贵方没收。</w:t>
      </w:r>
    </w:p>
    <w:p w14:paraId="103693FE">
      <w:pPr>
        <w:adjustRightInd w:val="0"/>
        <w:spacing w:line="360" w:lineRule="auto"/>
        <w:ind w:firstLine="480" w:firstLineChars="200"/>
        <w:textAlignment w:val="baseline"/>
        <w:rPr>
          <w:color w:val="auto"/>
          <w:sz w:val="24"/>
        </w:rPr>
      </w:pPr>
      <w:r>
        <w:rPr>
          <w:color w:val="auto"/>
          <w:sz w:val="24"/>
        </w:rPr>
        <w:t>3.我方同意按照贵方要求提供与投标有关的一切数据或资料，理解并接受贵方制定的评标办法。</w:t>
      </w:r>
    </w:p>
    <w:p w14:paraId="23464B14">
      <w:pPr>
        <w:adjustRightInd w:val="0"/>
        <w:spacing w:line="360" w:lineRule="auto"/>
        <w:ind w:firstLine="480" w:firstLineChars="200"/>
        <w:textAlignment w:val="baseline"/>
        <w:rPr>
          <w:color w:val="auto"/>
          <w:sz w:val="24"/>
        </w:rPr>
      </w:pPr>
      <w:r>
        <w:rPr>
          <w:color w:val="auto"/>
          <w:sz w:val="24"/>
        </w:rPr>
        <w:t>4.与本投标有关的一切正式往来通讯请寄：</w:t>
      </w:r>
    </w:p>
    <w:p w14:paraId="7D2C8623">
      <w:pPr>
        <w:adjustRightInd w:val="0"/>
        <w:spacing w:line="360" w:lineRule="auto"/>
        <w:ind w:firstLine="480" w:firstLineChars="200"/>
        <w:textAlignment w:val="baseline"/>
        <w:rPr>
          <w:color w:val="auto"/>
          <w:sz w:val="24"/>
        </w:rPr>
      </w:pPr>
    </w:p>
    <w:p w14:paraId="5BD26A46">
      <w:pPr>
        <w:adjustRightInd w:val="0"/>
        <w:spacing w:line="360" w:lineRule="auto"/>
        <w:textAlignment w:val="baseline"/>
        <w:rPr>
          <w:color w:val="auto"/>
          <w:sz w:val="24"/>
        </w:rPr>
      </w:pPr>
      <w:r>
        <w:rPr>
          <w:color w:val="auto"/>
          <w:sz w:val="24"/>
        </w:rPr>
        <w:t>地址：</w:t>
      </w:r>
      <w:r>
        <w:rPr>
          <w:color w:val="auto"/>
          <w:sz w:val="24"/>
          <w:u w:val="single"/>
        </w:rPr>
        <w:t xml:space="preserve">                     </w:t>
      </w:r>
      <w:r>
        <w:rPr>
          <w:color w:val="auto"/>
          <w:sz w:val="24"/>
        </w:rPr>
        <w:t>邮编：</w:t>
      </w:r>
      <w:r>
        <w:rPr>
          <w:color w:val="auto"/>
          <w:sz w:val="24"/>
          <w:u w:val="single"/>
        </w:rPr>
        <w:t xml:space="preserve">                     </w:t>
      </w:r>
    </w:p>
    <w:p w14:paraId="271A5B47">
      <w:pPr>
        <w:adjustRightInd w:val="0"/>
        <w:spacing w:line="360" w:lineRule="auto"/>
        <w:textAlignment w:val="baseline"/>
        <w:rPr>
          <w:color w:val="auto"/>
          <w:sz w:val="24"/>
        </w:rPr>
      </w:pPr>
    </w:p>
    <w:p w14:paraId="0FB18EEB">
      <w:pPr>
        <w:adjustRightInd w:val="0"/>
        <w:spacing w:line="360" w:lineRule="auto"/>
        <w:textAlignment w:val="baseline"/>
        <w:rPr>
          <w:color w:val="auto"/>
          <w:sz w:val="24"/>
        </w:rPr>
      </w:pPr>
      <w:r>
        <w:rPr>
          <w:color w:val="auto"/>
          <w:sz w:val="24"/>
        </w:rPr>
        <w:t>电话：</w:t>
      </w:r>
      <w:r>
        <w:rPr>
          <w:color w:val="auto"/>
          <w:sz w:val="24"/>
          <w:u w:val="single"/>
        </w:rPr>
        <w:t xml:space="preserve">                     </w:t>
      </w:r>
      <w:r>
        <w:rPr>
          <w:color w:val="auto"/>
          <w:sz w:val="24"/>
        </w:rPr>
        <w:t>传真：</w:t>
      </w:r>
      <w:r>
        <w:rPr>
          <w:color w:val="auto"/>
          <w:sz w:val="24"/>
          <w:u w:val="single"/>
        </w:rPr>
        <w:t xml:space="preserve">                     </w:t>
      </w:r>
    </w:p>
    <w:p w14:paraId="190304C1">
      <w:pPr>
        <w:adjustRightInd w:val="0"/>
        <w:spacing w:line="360" w:lineRule="auto"/>
        <w:textAlignment w:val="baseline"/>
        <w:rPr>
          <w:color w:val="auto"/>
          <w:sz w:val="24"/>
        </w:rPr>
      </w:pPr>
    </w:p>
    <w:p w14:paraId="7FC96716">
      <w:pPr>
        <w:adjustRightInd w:val="0"/>
        <w:spacing w:line="360" w:lineRule="auto"/>
        <w:textAlignment w:val="baseline"/>
        <w:rPr>
          <w:color w:val="auto"/>
          <w:sz w:val="24"/>
        </w:rPr>
      </w:pPr>
      <w:r>
        <w:rPr>
          <w:color w:val="auto"/>
          <w:sz w:val="24"/>
        </w:rPr>
        <w:t>法定代表人姓名：</w:t>
      </w:r>
      <w:r>
        <w:rPr>
          <w:color w:val="auto"/>
          <w:sz w:val="24"/>
          <w:u w:val="single"/>
        </w:rPr>
        <w:t xml:space="preserve">           </w:t>
      </w:r>
      <w:r>
        <w:rPr>
          <w:color w:val="auto"/>
          <w:sz w:val="24"/>
        </w:rPr>
        <w:t>职务：</w:t>
      </w:r>
      <w:r>
        <w:rPr>
          <w:color w:val="auto"/>
          <w:sz w:val="24"/>
          <w:u w:val="single"/>
        </w:rPr>
        <w:t xml:space="preserve">                     </w:t>
      </w:r>
    </w:p>
    <w:p w14:paraId="73B85D27">
      <w:pPr>
        <w:tabs>
          <w:tab w:val="left" w:pos="168"/>
        </w:tabs>
        <w:adjustRightInd w:val="0"/>
        <w:spacing w:line="360" w:lineRule="auto"/>
        <w:jc w:val="right"/>
        <w:textAlignment w:val="baseline"/>
        <w:rPr>
          <w:bCs/>
          <w:color w:val="auto"/>
          <w:sz w:val="24"/>
          <w:szCs w:val="28"/>
        </w:rPr>
      </w:pPr>
      <w:bookmarkStart w:id="161" w:name="_Toc444715736"/>
    </w:p>
    <w:p w14:paraId="76B9B92F">
      <w:pPr>
        <w:tabs>
          <w:tab w:val="left" w:pos="168"/>
        </w:tabs>
        <w:adjustRightInd w:val="0"/>
        <w:spacing w:line="360" w:lineRule="auto"/>
        <w:jc w:val="right"/>
        <w:textAlignment w:val="baseline"/>
        <w:rPr>
          <w:bCs/>
          <w:color w:val="auto"/>
          <w:sz w:val="24"/>
          <w:szCs w:val="28"/>
        </w:rPr>
      </w:pPr>
    </w:p>
    <w:p w14:paraId="7127E4EB">
      <w:pPr>
        <w:tabs>
          <w:tab w:val="left" w:pos="168"/>
        </w:tabs>
        <w:adjustRightInd w:val="0"/>
        <w:spacing w:line="360" w:lineRule="auto"/>
        <w:jc w:val="right"/>
        <w:textAlignment w:val="baseline"/>
        <w:rPr>
          <w:bCs/>
          <w:color w:val="auto"/>
          <w:sz w:val="24"/>
          <w:szCs w:val="28"/>
        </w:rPr>
      </w:pPr>
    </w:p>
    <w:p w14:paraId="749926C8">
      <w:pPr>
        <w:tabs>
          <w:tab w:val="left" w:pos="168"/>
        </w:tabs>
        <w:adjustRightInd w:val="0"/>
        <w:spacing w:line="360" w:lineRule="auto"/>
        <w:jc w:val="right"/>
        <w:textAlignment w:val="baseline"/>
        <w:rPr>
          <w:bCs/>
          <w:color w:val="auto"/>
          <w:sz w:val="24"/>
          <w:szCs w:val="28"/>
        </w:rPr>
      </w:pPr>
    </w:p>
    <w:p w14:paraId="729F48EF">
      <w:pPr>
        <w:tabs>
          <w:tab w:val="left" w:pos="168"/>
        </w:tabs>
        <w:adjustRightInd w:val="0"/>
        <w:spacing w:line="360" w:lineRule="auto"/>
        <w:jc w:val="right"/>
        <w:textAlignment w:val="baseline"/>
        <w:rPr>
          <w:bCs/>
          <w:color w:val="auto"/>
          <w:sz w:val="24"/>
          <w:szCs w:val="28"/>
        </w:rPr>
      </w:pPr>
    </w:p>
    <w:p w14:paraId="25F36231">
      <w:pPr>
        <w:spacing w:line="360" w:lineRule="auto"/>
        <w:jc w:val="right"/>
        <w:rPr>
          <w:b/>
          <w:color w:val="auto"/>
          <w:sz w:val="24"/>
        </w:rPr>
      </w:pPr>
      <w:r>
        <w:rPr>
          <w:b/>
          <w:color w:val="auto"/>
          <w:sz w:val="24"/>
        </w:rPr>
        <w:t>投标人：                        （公章）</w:t>
      </w:r>
    </w:p>
    <w:p w14:paraId="44AD1807">
      <w:pPr>
        <w:spacing w:line="360" w:lineRule="auto"/>
        <w:jc w:val="right"/>
        <w:rPr>
          <w:b/>
          <w:color w:val="auto"/>
          <w:sz w:val="24"/>
        </w:rPr>
      </w:pPr>
      <w:r>
        <w:rPr>
          <w:b/>
          <w:color w:val="auto"/>
          <w:sz w:val="24"/>
        </w:rPr>
        <w:t>法定代表人或委托代理人：        （</w:t>
      </w:r>
      <w:r>
        <w:rPr>
          <w:rFonts w:hint="eastAsia" w:ascii="Times New Roman" w:hAnsi="Times New Roman" w:eastAsia="宋体" w:cs="Times New Roman"/>
          <w:b/>
          <w:color w:val="auto"/>
          <w:sz w:val="24"/>
          <w:lang w:val="zh-CN"/>
        </w:rPr>
        <w:t>签字或盖章</w:t>
      </w:r>
      <w:r>
        <w:rPr>
          <w:b/>
          <w:color w:val="auto"/>
          <w:sz w:val="24"/>
        </w:rPr>
        <w:t>）</w:t>
      </w:r>
    </w:p>
    <w:p w14:paraId="32356E28">
      <w:pPr>
        <w:tabs>
          <w:tab w:val="left" w:pos="168"/>
        </w:tabs>
        <w:wordWrap w:val="0"/>
        <w:adjustRightInd w:val="0"/>
        <w:spacing w:line="360" w:lineRule="auto"/>
        <w:jc w:val="right"/>
        <w:textAlignment w:val="baseline"/>
        <w:rPr>
          <w:bCs/>
          <w:color w:val="auto"/>
          <w:sz w:val="24"/>
          <w:szCs w:val="28"/>
        </w:rPr>
      </w:pPr>
      <w:r>
        <w:rPr>
          <w:color w:val="auto"/>
          <w:sz w:val="24"/>
        </w:rPr>
        <w:t xml:space="preserve">      </w:t>
      </w:r>
      <w:r>
        <w:rPr>
          <w:b/>
          <w:color w:val="auto"/>
          <w:sz w:val="24"/>
        </w:rPr>
        <w:t>日期：                  年   月   日</w:t>
      </w:r>
      <w:r>
        <w:rPr>
          <w:b/>
          <w:color w:val="auto"/>
          <w:kern w:val="0"/>
          <w:sz w:val="24"/>
          <w:lang w:val="zh-CN"/>
        </w:rPr>
        <w:t xml:space="preserve"> </w:t>
      </w:r>
      <w:r>
        <w:rPr>
          <w:bCs/>
          <w:color w:val="auto"/>
          <w:sz w:val="24"/>
          <w:szCs w:val="28"/>
        </w:rPr>
        <w:t xml:space="preserve">   </w:t>
      </w:r>
      <w:bookmarkEnd w:id="161"/>
      <w:bookmarkStart w:id="162" w:name="_Toc444715737"/>
      <w:bookmarkStart w:id="163" w:name="_Toc25583"/>
    </w:p>
    <w:bookmarkEnd w:id="162"/>
    <w:bookmarkEnd w:id="163"/>
    <w:p w14:paraId="26FF7AD4">
      <w:pPr>
        <w:tabs>
          <w:tab w:val="left" w:pos="168"/>
        </w:tabs>
        <w:adjustRightInd w:val="0"/>
        <w:spacing w:line="360" w:lineRule="auto"/>
        <w:ind w:right="480" w:firstLine="5040" w:firstLineChars="2100"/>
        <w:textAlignment w:val="baseline"/>
        <w:rPr>
          <w:bCs/>
          <w:color w:val="auto"/>
          <w:sz w:val="24"/>
          <w:szCs w:val="28"/>
        </w:rPr>
      </w:pPr>
    </w:p>
    <w:p w14:paraId="2937389C">
      <w:pPr>
        <w:pStyle w:val="14"/>
        <w:spacing w:line="360" w:lineRule="auto"/>
        <w:jc w:val="left"/>
        <w:rPr>
          <w:rFonts w:ascii="Times New Roman" w:hAnsi="Times New Roman"/>
          <w:color w:val="auto"/>
          <w:lang w:val="zh-CN"/>
        </w:rPr>
      </w:pPr>
      <w:bookmarkStart w:id="164" w:name="_Toc10098"/>
      <w:r>
        <w:rPr>
          <w:rFonts w:ascii="Times New Roman" w:hAnsi="Times New Roman"/>
          <w:color w:val="auto"/>
          <w:lang w:val="zh-CN"/>
        </w:rPr>
        <w:t>格式</w:t>
      </w:r>
      <w:r>
        <w:rPr>
          <w:rFonts w:hint="eastAsia" w:ascii="Times New Roman" w:hAnsi="Times New Roman"/>
          <w:color w:val="auto"/>
          <w:lang w:val="zh-CN"/>
        </w:rPr>
        <w:t>2</w:t>
      </w:r>
      <w:r>
        <w:rPr>
          <w:rFonts w:ascii="Times New Roman" w:hAnsi="Times New Roman"/>
          <w:color w:val="auto"/>
          <w:lang w:val="zh-CN"/>
        </w:rPr>
        <w:t>：法定代表人证明书</w:t>
      </w:r>
      <w:bookmarkEnd w:id="164"/>
    </w:p>
    <w:p w14:paraId="4F5E8F45">
      <w:pPr>
        <w:spacing w:line="360" w:lineRule="auto"/>
        <w:rPr>
          <w:color w:val="auto"/>
          <w:lang w:val="zh-CN"/>
        </w:rPr>
      </w:pPr>
    </w:p>
    <w:p w14:paraId="02B632CD">
      <w:pPr>
        <w:autoSpaceDE w:val="0"/>
        <w:autoSpaceDN w:val="0"/>
        <w:adjustRightInd w:val="0"/>
        <w:spacing w:line="360" w:lineRule="auto"/>
        <w:jc w:val="center"/>
        <w:rPr>
          <w:b/>
          <w:bCs/>
          <w:color w:val="auto"/>
          <w:kern w:val="0"/>
          <w:sz w:val="36"/>
          <w:szCs w:val="36"/>
          <w:lang w:val="zh-CN"/>
        </w:rPr>
      </w:pPr>
      <w:r>
        <w:rPr>
          <w:b/>
          <w:bCs/>
          <w:color w:val="auto"/>
          <w:kern w:val="0"/>
          <w:sz w:val="30"/>
          <w:szCs w:val="30"/>
          <w:lang w:val="zh-CN"/>
        </w:rPr>
        <w:t>法定代表人证明书</w:t>
      </w:r>
    </w:p>
    <w:p w14:paraId="41BD5F0B">
      <w:pPr>
        <w:autoSpaceDE w:val="0"/>
        <w:autoSpaceDN w:val="0"/>
        <w:adjustRightInd w:val="0"/>
        <w:spacing w:line="360" w:lineRule="auto"/>
        <w:rPr>
          <w:b/>
          <w:bCs/>
          <w:color w:val="auto"/>
          <w:kern w:val="0"/>
          <w:sz w:val="24"/>
          <w:lang w:val="zh-CN"/>
        </w:rPr>
      </w:pPr>
      <w:r>
        <w:rPr>
          <w:b/>
          <w:bCs/>
          <w:color w:val="auto"/>
          <w:kern w:val="0"/>
          <w:sz w:val="24"/>
          <w:lang w:val="zh-CN"/>
        </w:rPr>
        <w:t>致：</w:t>
      </w:r>
      <w:r>
        <w:rPr>
          <w:b/>
          <w:color w:val="auto"/>
          <w:sz w:val="24"/>
          <w:u w:val="single"/>
        </w:rPr>
        <w:t xml:space="preserve">   </w:t>
      </w:r>
      <w:r>
        <w:rPr>
          <w:rFonts w:hint="eastAsia"/>
          <w:b/>
          <w:color w:val="auto"/>
          <w:sz w:val="24"/>
          <w:u w:val="single"/>
          <w:lang w:val="en-US" w:eastAsia="zh-CN"/>
        </w:rPr>
        <w:t xml:space="preserve">采购人/代理机构      </w:t>
      </w:r>
      <w:r>
        <w:rPr>
          <w:b/>
          <w:color w:val="auto"/>
          <w:sz w:val="24"/>
          <w:u w:val="single"/>
        </w:rPr>
        <w:t xml:space="preserve"> </w:t>
      </w:r>
      <w:r>
        <w:rPr>
          <w:b/>
          <w:color w:val="auto"/>
          <w:sz w:val="24"/>
        </w:rPr>
        <w:t xml:space="preserve"> </w:t>
      </w:r>
    </w:p>
    <w:p w14:paraId="4D76FC79">
      <w:pPr>
        <w:autoSpaceDE w:val="0"/>
        <w:autoSpaceDN w:val="0"/>
        <w:adjustRightInd w:val="0"/>
        <w:spacing w:line="360" w:lineRule="auto"/>
        <w:rPr>
          <w:color w:val="auto"/>
          <w:kern w:val="0"/>
          <w:sz w:val="24"/>
          <w:lang w:val="zh-CN"/>
        </w:rPr>
      </w:pPr>
      <w:r>
        <w:rPr>
          <w:color w:val="auto"/>
          <w:kern w:val="0"/>
          <w:sz w:val="24"/>
          <w:lang w:val="zh-CN"/>
        </w:rPr>
        <w:t xml:space="preserve"> </w:t>
      </w:r>
    </w:p>
    <w:p w14:paraId="496AEA5F">
      <w:pPr>
        <w:autoSpaceDE w:val="0"/>
        <w:autoSpaceDN w:val="0"/>
        <w:adjustRightInd w:val="0"/>
        <w:spacing w:line="360" w:lineRule="auto"/>
        <w:rPr>
          <w:color w:val="auto"/>
          <w:kern w:val="0"/>
          <w:sz w:val="24"/>
          <w:lang w:val="zh-CN"/>
        </w:rPr>
      </w:pPr>
      <w:r>
        <w:rPr>
          <w:color w:val="auto"/>
          <w:kern w:val="0"/>
          <w:sz w:val="24"/>
          <w:lang w:val="zh-CN"/>
        </w:rPr>
        <w:t xml:space="preserve">    </w:t>
      </w:r>
      <w:r>
        <w:rPr>
          <w:color w:val="auto"/>
          <w:kern w:val="0"/>
          <w:sz w:val="24"/>
          <w:u w:val="single"/>
          <w:lang w:val="zh-CN"/>
        </w:rPr>
        <w:t xml:space="preserve">（法定代表人姓名）  </w:t>
      </w:r>
      <w:r>
        <w:rPr>
          <w:color w:val="auto"/>
          <w:kern w:val="0"/>
          <w:sz w:val="24"/>
          <w:lang w:val="zh-CN"/>
        </w:rPr>
        <w:t>现任我单位</w:t>
      </w:r>
      <w:r>
        <w:rPr>
          <w:color w:val="auto"/>
          <w:kern w:val="0"/>
          <w:sz w:val="24"/>
          <w:u w:val="single"/>
          <w:lang w:val="zh-CN"/>
        </w:rPr>
        <w:t xml:space="preserve">              </w:t>
      </w:r>
      <w:r>
        <w:rPr>
          <w:color w:val="auto"/>
          <w:kern w:val="0"/>
          <w:sz w:val="24"/>
          <w:lang w:val="zh-CN"/>
        </w:rPr>
        <w:t>职务，为法定代表人，特此证明。</w:t>
      </w:r>
    </w:p>
    <w:p w14:paraId="37131B90">
      <w:pPr>
        <w:autoSpaceDE w:val="0"/>
        <w:autoSpaceDN w:val="0"/>
        <w:adjustRightInd w:val="0"/>
        <w:spacing w:line="360" w:lineRule="auto"/>
        <w:rPr>
          <w:color w:val="auto"/>
          <w:kern w:val="0"/>
          <w:sz w:val="24"/>
          <w:lang w:val="zh-CN"/>
        </w:rPr>
      </w:pPr>
    </w:p>
    <w:p w14:paraId="1EC6C98F">
      <w:pPr>
        <w:autoSpaceDE w:val="0"/>
        <w:autoSpaceDN w:val="0"/>
        <w:adjustRightInd w:val="0"/>
        <w:spacing w:line="360" w:lineRule="auto"/>
        <w:rPr>
          <w:color w:val="auto"/>
          <w:kern w:val="0"/>
          <w:sz w:val="24"/>
          <w:lang w:val="zh-CN"/>
        </w:rPr>
      </w:pPr>
      <w:r>
        <w:rPr>
          <w:color w:val="auto"/>
          <w:kern w:val="0"/>
          <w:sz w:val="24"/>
          <w:lang w:val="zh-CN"/>
        </w:rPr>
        <w:t>法定代表人基本情况：</w:t>
      </w:r>
    </w:p>
    <w:p w14:paraId="44FC547E">
      <w:pPr>
        <w:autoSpaceDE w:val="0"/>
        <w:autoSpaceDN w:val="0"/>
        <w:adjustRightInd w:val="0"/>
        <w:spacing w:line="360" w:lineRule="auto"/>
        <w:rPr>
          <w:color w:val="auto"/>
          <w:kern w:val="0"/>
          <w:sz w:val="24"/>
          <w:lang w:val="zh-CN"/>
        </w:rPr>
      </w:pPr>
    </w:p>
    <w:p w14:paraId="4402CB8B">
      <w:pPr>
        <w:autoSpaceDE w:val="0"/>
        <w:autoSpaceDN w:val="0"/>
        <w:adjustRightInd w:val="0"/>
        <w:spacing w:line="360" w:lineRule="auto"/>
        <w:rPr>
          <w:color w:val="auto"/>
          <w:kern w:val="0"/>
          <w:sz w:val="24"/>
          <w:u w:val="single"/>
          <w:lang w:val="zh-CN"/>
        </w:rPr>
      </w:pPr>
      <w:r>
        <w:rPr>
          <w:color w:val="auto"/>
          <w:kern w:val="0"/>
          <w:sz w:val="24"/>
          <w:lang w:val="zh-CN"/>
        </w:rPr>
        <w:t>性别：</w:t>
      </w:r>
      <w:r>
        <w:rPr>
          <w:color w:val="auto"/>
          <w:kern w:val="0"/>
          <w:sz w:val="24"/>
          <w:u w:val="single"/>
          <w:lang w:val="zh-CN"/>
        </w:rPr>
        <w:t xml:space="preserve">           </w:t>
      </w:r>
      <w:r>
        <w:rPr>
          <w:color w:val="auto"/>
          <w:kern w:val="0"/>
          <w:sz w:val="24"/>
          <w:lang w:val="zh-CN"/>
        </w:rPr>
        <w:t>年龄：</w:t>
      </w:r>
      <w:r>
        <w:rPr>
          <w:color w:val="auto"/>
          <w:kern w:val="0"/>
          <w:sz w:val="24"/>
          <w:u w:val="single"/>
          <w:lang w:val="zh-CN"/>
        </w:rPr>
        <w:t xml:space="preserve">           </w:t>
      </w:r>
      <w:r>
        <w:rPr>
          <w:color w:val="auto"/>
          <w:kern w:val="0"/>
          <w:sz w:val="24"/>
          <w:lang w:val="zh-CN"/>
        </w:rPr>
        <w:t xml:space="preserve"> 民族：</w:t>
      </w:r>
      <w:r>
        <w:rPr>
          <w:color w:val="auto"/>
          <w:kern w:val="0"/>
          <w:sz w:val="24"/>
          <w:u w:val="single"/>
          <w:lang w:val="zh-CN"/>
        </w:rPr>
        <w:t xml:space="preserve">         </w:t>
      </w:r>
    </w:p>
    <w:p w14:paraId="0ED38CCE">
      <w:pPr>
        <w:autoSpaceDE w:val="0"/>
        <w:autoSpaceDN w:val="0"/>
        <w:adjustRightInd w:val="0"/>
        <w:spacing w:line="360" w:lineRule="auto"/>
        <w:rPr>
          <w:color w:val="auto"/>
          <w:kern w:val="0"/>
          <w:sz w:val="24"/>
          <w:lang w:val="zh-CN"/>
        </w:rPr>
      </w:pPr>
    </w:p>
    <w:p w14:paraId="2D411CB0">
      <w:pPr>
        <w:autoSpaceDE w:val="0"/>
        <w:autoSpaceDN w:val="0"/>
        <w:adjustRightInd w:val="0"/>
        <w:spacing w:line="360" w:lineRule="auto"/>
        <w:rPr>
          <w:color w:val="auto"/>
          <w:kern w:val="0"/>
          <w:sz w:val="24"/>
          <w:u w:val="single"/>
          <w:lang w:val="zh-CN"/>
        </w:rPr>
      </w:pPr>
      <w:r>
        <w:rPr>
          <w:color w:val="auto"/>
          <w:kern w:val="0"/>
          <w:sz w:val="24"/>
          <w:lang w:val="zh-CN"/>
        </w:rPr>
        <w:t>地址：</w:t>
      </w:r>
      <w:r>
        <w:rPr>
          <w:color w:val="auto"/>
          <w:kern w:val="0"/>
          <w:sz w:val="24"/>
          <w:u w:val="single"/>
          <w:lang w:val="zh-CN"/>
        </w:rPr>
        <w:t xml:space="preserve">                                            </w:t>
      </w:r>
    </w:p>
    <w:p w14:paraId="6BA56EB5">
      <w:pPr>
        <w:autoSpaceDE w:val="0"/>
        <w:autoSpaceDN w:val="0"/>
        <w:adjustRightInd w:val="0"/>
        <w:spacing w:line="360" w:lineRule="auto"/>
        <w:rPr>
          <w:color w:val="auto"/>
          <w:kern w:val="0"/>
          <w:sz w:val="24"/>
          <w:lang w:val="zh-CN"/>
        </w:rPr>
      </w:pPr>
    </w:p>
    <w:p w14:paraId="751F5B42">
      <w:pPr>
        <w:autoSpaceDE w:val="0"/>
        <w:autoSpaceDN w:val="0"/>
        <w:adjustRightInd w:val="0"/>
        <w:spacing w:line="360" w:lineRule="auto"/>
        <w:rPr>
          <w:color w:val="auto"/>
          <w:kern w:val="0"/>
          <w:sz w:val="24"/>
          <w:lang w:val="zh-CN"/>
        </w:rPr>
      </w:pPr>
      <w:r>
        <w:rPr>
          <w:color w:val="auto"/>
          <w:kern w:val="0"/>
          <w:sz w:val="24"/>
          <w:lang w:val="zh-CN"/>
        </w:rPr>
        <w:t>身份证号码：</w:t>
      </w:r>
      <w:r>
        <w:rPr>
          <w:color w:val="auto"/>
          <w:kern w:val="0"/>
          <w:sz w:val="24"/>
          <w:u w:val="single"/>
          <w:lang w:val="zh-CN"/>
        </w:rPr>
        <w:t xml:space="preserve">                                      </w:t>
      </w:r>
    </w:p>
    <w:p w14:paraId="1CFE708F">
      <w:pPr>
        <w:autoSpaceDE w:val="0"/>
        <w:autoSpaceDN w:val="0"/>
        <w:adjustRightInd w:val="0"/>
        <w:spacing w:line="360" w:lineRule="auto"/>
        <w:rPr>
          <w:color w:val="auto"/>
          <w:kern w:val="0"/>
          <w:sz w:val="24"/>
          <w:lang w:val="zh-CN"/>
        </w:rPr>
      </w:pPr>
    </w:p>
    <w:p w14:paraId="5D71BF70">
      <w:pPr>
        <w:autoSpaceDE w:val="0"/>
        <w:autoSpaceDN w:val="0"/>
        <w:adjustRightInd w:val="0"/>
        <w:spacing w:line="360" w:lineRule="auto"/>
        <w:rPr>
          <w:rFonts w:hint="eastAsia" w:ascii="宋体" w:hAnsi="宋体" w:cs="宋体"/>
          <w:color w:val="auto"/>
          <w:kern w:val="0"/>
          <w:sz w:val="24"/>
          <w:lang w:val="zh-CN"/>
        </w:rPr>
      </w:pPr>
      <w:r>
        <w:rPr>
          <w:color w:val="auto"/>
          <w:kern w:val="0"/>
          <w:sz w:val="24"/>
          <w:lang w:val="zh-CN"/>
        </w:rPr>
        <w:t>附：法定代表人第二代身份证双面扫描（或复印）件</w:t>
      </w:r>
    </w:p>
    <w:p w14:paraId="233B56DC">
      <w:pPr>
        <w:autoSpaceDE w:val="0"/>
        <w:autoSpaceDN w:val="0"/>
        <w:adjustRightInd w:val="0"/>
        <w:spacing w:line="360" w:lineRule="auto"/>
        <w:rPr>
          <w:rFonts w:hint="eastAsia" w:ascii="宋体" w:hAnsi="宋体" w:cs="宋体"/>
          <w:color w:val="auto"/>
          <w:kern w:val="0"/>
          <w:sz w:val="24"/>
          <w:lang w:val="zh-CN"/>
        </w:rPr>
      </w:pPr>
    </w:p>
    <w:p w14:paraId="332EDE3B">
      <w:pPr>
        <w:autoSpaceDE w:val="0"/>
        <w:autoSpaceDN w:val="0"/>
        <w:adjustRightInd w:val="0"/>
        <w:spacing w:line="360" w:lineRule="auto"/>
        <w:rPr>
          <w:rFonts w:hint="eastAsia" w:ascii="宋体" w:hAnsi="宋体" w:cs="宋体"/>
          <w:color w:val="auto"/>
          <w:kern w:val="0"/>
          <w:sz w:val="24"/>
          <w:lang w:val="zh-CN"/>
        </w:rPr>
      </w:pPr>
    </w:p>
    <w:p w14:paraId="090557F6">
      <w:pPr>
        <w:autoSpaceDE w:val="0"/>
        <w:autoSpaceDN w:val="0"/>
        <w:adjustRightInd w:val="0"/>
        <w:spacing w:line="360" w:lineRule="auto"/>
        <w:rPr>
          <w:rFonts w:hint="eastAsia" w:ascii="宋体" w:hAnsi="宋体" w:cs="宋体"/>
          <w:color w:val="auto"/>
          <w:kern w:val="0"/>
          <w:sz w:val="24"/>
          <w:lang w:val="zh-CN"/>
        </w:rPr>
      </w:pPr>
    </w:p>
    <w:p w14:paraId="15077637">
      <w:pPr>
        <w:autoSpaceDE w:val="0"/>
        <w:autoSpaceDN w:val="0"/>
        <w:adjustRightInd w:val="0"/>
        <w:spacing w:line="360" w:lineRule="auto"/>
        <w:rPr>
          <w:color w:val="auto"/>
          <w:kern w:val="0"/>
          <w:sz w:val="24"/>
          <w:lang w:val="zh-CN"/>
        </w:rPr>
      </w:pPr>
    </w:p>
    <w:p w14:paraId="635AB7AF">
      <w:pPr>
        <w:autoSpaceDE w:val="0"/>
        <w:autoSpaceDN w:val="0"/>
        <w:adjustRightInd w:val="0"/>
        <w:spacing w:line="360" w:lineRule="auto"/>
        <w:rPr>
          <w:color w:val="auto"/>
          <w:kern w:val="0"/>
          <w:sz w:val="24"/>
          <w:lang w:val="zh-CN"/>
        </w:rPr>
      </w:pPr>
    </w:p>
    <w:p w14:paraId="40542AF5">
      <w:pPr>
        <w:autoSpaceDE w:val="0"/>
        <w:autoSpaceDN w:val="0"/>
        <w:adjustRightInd w:val="0"/>
        <w:spacing w:line="360" w:lineRule="auto"/>
        <w:rPr>
          <w:color w:val="auto"/>
          <w:kern w:val="0"/>
          <w:sz w:val="24"/>
          <w:lang w:val="zh-CN"/>
        </w:rPr>
      </w:pPr>
    </w:p>
    <w:p w14:paraId="06B4867F">
      <w:pPr>
        <w:autoSpaceDE w:val="0"/>
        <w:autoSpaceDN w:val="0"/>
        <w:adjustRightInd w:val="0"/>
        <w:spacing w:line="360" w:lineRule="auto"/>
        <w:rPr>
          <w:color w:val="auto"/>
          <w:kern w:val="0"/>
          <w:sz w:val="24"/>
          <w:lang w:val="zh-CN"/>
        </w:rPr>
      </w:pPr>
    </w:p>
    <w:p w14:paraId="6ADBEAF6">
      <w:pPr>
        <w:autoSpaceDE w:val="0"/>
        <w:autoSpaceDN w:val="0"/>
        <w:adjustRightInd w:val="0"/>
        <w:spacing w:line="360" w:lineRule="auto"/>
        <w:rPr>
          <w:color w:val="auto"/>
          <w:kern w:val="0"/>
          <w:sz w:val="24"/>
          <w:lang w:val="zh-CN"/>
        </w:rPr>
      </w:pPr>
    </w:p>
    <w:p w14:paraId="293A5993">
      <w:pPr>
        <w:autoSpaceDE w:val="0"/>
        <w:autoSpaceDN w:val="0"/>
        <w:adjustRightInd w:val="0"/>
        <w:spacing w:line="360" w:lineRule="auto"/>
        <w:rPr>
          <w:color w:val="auto"/>
          <w:kern w:val="0"/>
          <w:sz w:val="24"/>
          <w:lang w:val="zh-CN"/>
        </w:rPr>
      </w:pPr>
    </w:p>
    <w:p w14:paraId="630EAC5F">
      <w:pPr>
        <w:tabs>
          <w:tab w:val="left" w:pos="168"/>
        </w:tabs>
        <w:adjustRightInd w:val="0"/>
        <w:spacing w:line="360" w:lineRule="auto"/>
        <w:textAlignment w:val="baseline"/>
        <w:rPr>
          <w:bCs/>
          <w:color w:val="auto"/>
          <w:sz w:val="28"/>
          <w:szCs w:val="28"/>
        </w:rPr>
      </w:pPr>
      <w:bookmarkStart w:id="165" w:name="_Toc444715738"/>
      <w:bookmarkStart w:id="166" w:name="_Toc16858"/>
    </w:p>
    <w:p w14:paraId="40C54D73">
      <w:pPr>
        <w:jc w:val="right"/>
        <w:rPr>
          <w:b/>
          <w:color w:val="auto"/>
          <w:sz w:val="24"/>
        </w:rPr>
      </w:pPr>
      <w:r>
        <w:rPr>
          <w:b/>
          <w:color w:val="auto"/>
          <w:sz w:val="24"/>
        </w:rPr>
        <w:t>投标人：                        （公章）</w:t>
      </w:r>
    </w:p>
    <w:p w14:paraId="420FAB6B">
      <w:pPr>
        <w:wordWrap w:val="0"/>
        <w:jc w:val="right"/>
        <w:rPr>
          <w:b/>
          <w:color w:val="auto"/>
          <w:sz w:val="24"/>
        </w:rPr>
      </w:pPr>
      <w:r>
        <w:rPr>
          <w:b/>
          <w:color w:val="auto"/>
          <w:sz w:val="24"/>
        </w:rPr>
        <w:t>法定代表人：                    （</w:t>
      </w:r>
      <w:r>
        <w:rPr>
          <w:rFonts w:hint="eastAsia" w:ascii="Times New Roman" w:hAnsi="Times New Roman" w:eastAsia="宋体" w:cs="Times New Roman"/>
          <w:b/>
          <w:color w:val="auto"/>
          <w:sz w:val="24"/>
          <w:lang w:val="zh-CN"/>
        </w:rPr>
        <w:t>签字或盖章</w:t>
      </w:r>
      <w:r>
        <w:rPr>
          <w:b/>
          <w:color w:val="auto"/>
          <w:sz w:val="24"/>
        </w:rPr>
        <w:t>）</w:t>
      </w:r>
    </w:p>
    <w:p w14:paraId="19F9B6A8">
      <w:pPr>
        <w:tabs>
          <w:tab w:val="left" w:pos="168"/>
        </w:tabs>
        <w:adjustRightInd w:val="0"/>
        <w:spacing w:line="360" w:lineRule="auto"/>
        <w:ind w:right="480" w:firstLine="4939" w:firstLineChars="2050"/>
        <w:textAlignment w:val="baseline"/>
        <w:rPr>
          <w:bCs/>
          <w:color w:val="auto"/>
          <w:sz w:val="24"/>
          <w:szCs w:val="28"/>
        </w:rPr>
      </w:pPr>
      <w:r>
        <w:rPr>
          <w:b/>
          <w:color w:val="auto"/>
          <w:sz w:val="24"/>
        </w:rPr>
        <w:t>日期：           年   月   日</w:t>
      </w:r>
    </w:p>
    <w:p w14:paraId="251641C9">
      <w:pPr>
        <w:pStyle w:val="14"/>
        <w:spacing w:line="360" w:lineRule="auto"/>
        <w:jc w:val="left"/>
        <w:rPr>
          <w:rFonts w:ascii="Times New Roman" w:hAnsi="Times New Roman"/>
          <w:color w:val="auto"/>
          <w:sz w:val="28"/>
          <w:szCs w:val="28"/>
        </w:rPr>
      </w:pPr>
      <w:r>
        <w:rPr>
          <w:rFonts w:ascii="Times New Roman" w:hAnsi="Times New Roman"/>
          <w:color w:val="auto"/>
          <w:lang w:val="zh-CN"/>
        </w:rPr>
        <w:br w:type="page"/>
      </w:r>
      <w:bookmarkStart w:id="167" w:name="_Toc28646"/>
      <w:r>
        <w:rPr>
          <w:rFonts w:ascii="Times New Roman" w:hAnsi="Times New Roman"/>
          <w:color w:val="auto"/>
          <w:lang w:val="zh-CN"/>
        </w:rPr>
        <w:t>格式</w:t>
      </w:r>
      <w:r>
        <w:rPr>
          <w:rFonts w:hint="eastAsia" w:ascii="Times New Roman" w:hAnsi="Times New Roman"/>
          <w:color w:val="auto"/>
          <w:lang w:val="zh-CN"/>
        </w:rPr>
        <w:t>3</w:t>
      </w:r>
      <w:r>
        <w:rPr>
          <w:rFonts w:ascii="Times New Roman" w:hAnsi="Times New Roman"/>
          <w:color w:val="auto"/>
          <w:lang w:val="zh-CN"/>
        </w:rPr>
        <w:t>：法定代表人授权书</w:t>
      </w:r>
      <w:bookmarkEnd w:id="165"/>
      <w:bookmarkEnd w:id="166"/>
      <w:bookmarkEnd w:id="167"/>
    </w:p>
    <w:p w14:paraId="02DFE7E9">
      <w:pPr>
        <w:autoSpaceDE w:val="0"/>
        <w:autoSpaceDN w:val="0"/>
        <w:adjustRightInd w:val="0"/>
        <w:spacing w:line="360" w:lineRule="auto"/>
        <w:jc w:val="center"/>
        <w:rPr>
          <w:b/>
          <w:bCs/>
          <w:color w:val="auto"/>
          <w:kern w:val="0"/>
          <w:sz w:val="30"/>
          <w:szCs w:val="30"/>
          <w:lang w:val="zh-CN"/>
        </w:rPr>
      </w:pPr>
      <w:r>
        <w:rPr>
          <w:b/>
          <w:bCs/>
          <w:color w:val="auto"/>
          <w:kern w:val="0"/>
          <w:sz w:val="30"/>
          <w:szCs w:val="30"/>
          <w:lang w:val="zh-CN"/>
        </w:rPr>
        <w:t>法定代表人授权书</w:t>
      </w:r>
    </w:p>
    <w:p w14:paraId="06A85D60">
      <w:pPr>
        <w:spacing w:line="360" w:lineRule="auto"/>
        <w:rPr>
          <w:b/>
          <w:bCs/>
          <w:color w:val="auto"/>
          <w:sz w:val="24"/>
        </w:rPr>
      </w:pPr>
      <w:r>
        <w:rPr>
          <w:b/>
          <w:bCs/>
          <w:color w:val="auto"/>
          <w:sz w:val="24"/>
        </w:rPr>
        <w:t>致：</w:t>
      </w:r>
      <w:r>
        <w:rPr>
          <w:b/>
          <w:color w:val="auto"/>
          <w:sz w:val="24"/>
          <w:u w:val="single"/>
        </w:rPr>
        <w:t xml:space="preserve">   </w:t>
      </w:r>
      <w:r>
        <w:rPr>
          <w:rFonts w:hint="eastAsia"/>
          <w:b/>
          <w:color w:val="auto"/>
          <w:sz w:val="24"/>
          <w:u w:val="single"/>
          <w:lang w:val="en-US" w:eastAsia="zh-CN"/>
        </w:rPr>
        <w:t>采购人/代理机构</w:t>
      </w:r>
      <w:r>
        <w:rPr>
          <w:b/>
          <w:color w:val="auto"/>
          <w:sz w:val="24"/>
          <w:u w:val="single"/>
        </w:rPr>
        <w:t xml:space="preserve">  </w:t>
      </w:r>
      <w:r>
        <w:rPr>
          <w:b/>
          <w:color w:val="auto"/>
          <w:sz w:val="24"/>
        </w:rPr>
        <w:t xml:space="preserve"> </w:t>
      </w:r>
    </w:p>
    <w:p w14:paraId="5060AE53">
      <w:pPr>
        <w:spacing w:line="360" w:lineRule="auto"/>
        <w:rPr>
          <w:color w:val="auto"/>
          <w:sz w:val="24"/>
          <w:u w:val="single"/>
        </w:rPr>
      </w:pPr>
    </w:p>
    <w:p w14:paraId="5EA1DD0E">
      <w:pPr>
        <w:spacing w:line="360" w:lineRule="auto"/>
        <w:ind w:firstLine="480" w:firstLineChars="200"/>
        <w:rPr>
          <w:color w:val="auto"/>
          <w:sz w:val="24"/>
        </w:rPr>
      </w:pPr>
      <w:r>
        <w:rPr>
          <w:color w:val="auto"/>
          <w:sz w:val="24"/>
          <w:u w:val="single"/>
        </w:rPr>
        <w:t xml:space="preserve">  （</w:t>
      </w:r>
      <w:r>
        <w:rPr>
          <w:rFonts w:hint="eastAsia"/>
          <w:color w:val="auto"/>
          <w:sz w:val="24"/>
          <w:u w:val="single"/>
          <w:lang w:eastAsia="zh-CN"/>
        </w:rPr>
        <w:t>投标人</w:t>
      </w:r>
      <w:r>
        <w:rPr>
          <w:color w:val="auto"/>
          <w:sz w:val="24"/>
          <w:u w:val="single"/>
        </w:rPr>
        <w:t xml:space="preserve">名称）  </w:t>
      </w:r>
      <w:r>
        <w:rPr>
          <w:color w:val="auto"/>
          <w:sz w:val="24"/>
        </w:rPr>
        <w:t>系中华人民共和国合法企业，法定地址</w:t>
      </w:r>
      <w:r>
        <w:rPr>
          <w:color w:val="auto"/>
          <w:sz w:val="24"/>
          <w:u w:val="single"/>
        </w:rPr>
        <w:t xml:space="preserve">              </w:t>
      </w:r>
      <w:r>
        <w:rPr>
          <w:color w:val="auto"/>
          <w:sz w:val="24"/>
        </w:rPr>
        <w:t>。</w:t>
      </w:r>
    </w:p>
    <w:p w14:paraId="767AC1DD">
      <w:pPr>
        <w:spacing w:line="360" w:lineRule="auto"/>
        <w:ind w:firstLine="480" w:firstLineChars="200"/>
        <w:rPr>
          <w:color w:val="auto"/>
          <w:sz w:val="24"/>
        </w:rPr>
      </w:pPr>
      <w:r>
        <w:rPr>
          <w:color w:val="auto"/>
          <w:sz w:val="24"/>
          <w:u w:val="single"/>
        </w:rPr>
        <w:t xml:space="preserve">  （法定代表人姓名）  </w:t>
      </w:r>
      <w:r>
        <w:rPr>
          <w:color w:val="auto"/>
          <w:sz w:val="24"/>
        </w:rPr>
        <w:t>特授权</w:t>
      </w:r>
      <w:r>
        <w:rPr>
          <w:color w:val="auto"/>
          <w:sz w:val="24"/>
          <w:u w:val="single"/>
        </w:rPr>
        <w:t>（被授权人姓名）</w:t>
      </w:r>
      <w:r>
        <w:rPr>
          <w:color w:val="auto"/>
          <w:sz w:val="24"/>
        </w:rPr>
        <w:t>代表我单位全权办理</w:t>
      </w:r>
      <w:r>
        <w:rPr>
          <w:color w:val="auto"/>
          <w:sz w:val="24"/>
          <w:u w:val="single"/>
        </w:rPr>
        <w:t xml:space="preserve">           </w:t>
      </w:r>
      <w:r>
        <w:rPr>
          <w:color w:val="auto"/>
          <w:sz w:val="24"/>
        </w:rPr>
        <w:t>项目的投标、答疑等具体工作，并签署全部有关的文件、协议及合同。</w:t>
      </w:r>
    </w:p>
    <w:p w14:paraId="18D76CC5">
      <w:pPr>
        <w:spacing w:line="360" w:lineRule="auto"/>
        <w:ind w:firstLine="480" w:firstLineChars="200"/>
        <w:rPr>
          <w:color w:val="auto"/>
          <w:sz w:val="24"/>
        </w:rPr>
      </w:pPr>
      <w:r>
        <w:rPr>
          <w:color w:val="auto"/>
          <w:sz w:val="24"/>
        </w:rPr>
        <w:t>我单位对被授权人的签名负全部责任。</w:t>
      </w:r>
    </w:p>
    <w:p w14:paraId="5F70E1B4">
      <w:pPr>
        <w:spacing w:line="360" w:lineRule="auto"/>
        <w:ind w:firstLine="480" w:firstLineChars="200"/>
        <w:rPr>
          <w:color w:val="auto"/>
          <w:sz w:val="24"/>
        </w:rPr>
      </w:pPr>
      <w:r>
        <w:rPr>
          <w:color w:val="auto"/>
          <w:sz w:val="24"/>
        </w:rPr>
        <w:t>在撤销授权的书面通知以前，本授权书一直有效。被授权人签署的所有文件（在授权书有效期内签署的）不因授权的撤销而失效。</w:t>
      </w:r>
    </w:p>
    <w:p w14:paraId="34DC3D1B">
      <w:pPr>
        <w:spacing w:line="360" w:lineRule="auto"/>
        <w:rPr>
          <w:color w:val="auto"/>
          <w:sz w:val="24"/>
          <w:u w:val="single"/>
        </w:rPr>
      </w:pPr>
      <w:r>
        <w:rPr>
          <w:color w:val="auto"/>
          <w:sz w:val="24"/>
        </w:rPr>
        <w:t>被授权人联系电话：</w:t>
      </w:r>
      <w:r>
        <w:rPr>
          <w:color w:val="auto"/>
          <w:sz w:val="24"/>
          <w:u w:val="single"/>
        </w:rPr>
        <w:t xml:space="preserve">               </w:t>
      </w:r>
    </w:p>
    <w:p w14:paraId="4C0CAF64">
      <w:pPr>
        <w:spacing w:line="360" w:lineRule="auto"/>
        <w:rPr>
          <w:color w:val="auto"/>
          <w:sz w:val="24"/>
          <w:u w:val="single"/>
        </w:rPr>
      </w:pPr>
      <w:r>
        <w:rPr>
          <w:color w:val="auto"/>
          <w:sz w:val="24"/>
        </w:rPr>
        <w:t>被授权人（委托代理人）签名：</w:t>
      </w:r>
      <w:r>
        <w:rPr>
          <w:color w:val="auto"/>
          <w:sz w:val="24"/>
          <w:u w:val="single"/>
        </w:rPr>
        <w:t xml:space="preserve">           </w:t>
      </w:r>
      <w:r>
        <w:rPr>
          <w:color w:val="auto"/>
          <w:sz w:val="24"/>
        </w:rPr>
        <w:t xml:space="preserve">    授权人（法定代表人）签名：</w:t>
      </w:r>
      <w:r>
        <w:rPr>
          <w:color w:val="auto"/>
          <w:sz w:val="24"/>
          <w:u w:val="single"/>
        </w:rPr>
        <w:t xml:space="preserve">          </w:t>
      </w:r>
    </w:p>
    <w:p w14:paraId="5DF7D3CF">
      <w:pPr>
        <w:spacing w:line="360" w:lineRule="auto"/>
        <w:rPr>
          <w:color w:val="auto"/>
          <w:sz w:val="24"/>
          <w:u w:val="single"/>
        </w:rPr>
      </w:pPr>
      <w:r>
        <w:rPr>
          <w:color w:val="auto"/>
          <w:sz w:val="24"/>
        </w:rPr>
        <w:t>职务：</w:t>
      </w:r>
      <w:r>
        <w:rPr>
          <w:color w:val="auto"/>
          <w:sz w:val="24"/>
          <w:u w:val="single"/>
        </w:rPr>
        <w:t xml:space="preserve">                                 </w:t>
      </w:r>
      <w:r>
        <w:rPr>
          <w:color w:val="auto"/>
          <w:sz w:val="24"/>
        </w:rPr>
        <w:t xml:space="preserve">    职务：</w:t>
      </w:r>
      <w:r>
        <w:rPr>
          <w:color w:val="auto"/>
          <w:sz w:val="24"/>
          <w:u w:val="single"/>
        </w:rPr>
        <w:t xml:space="preserve">                              </w:t>
      </w:r>
    </w:p>
    <w:p w14:paraId="21872697">
      <w:pPr>
        <w:spacing w:line="360" w:lineRule="auto"/>
        <w:rPr>
          <w:color w:val="auto"/>
          <w:sz w:val="24"/>
        </w:rPr>
      </w:pPr>
    </w:p>
    <w:p w14:paraId="48B734A4">
      <w:pPr>
        <w:spacing w:line="360" w:lineRule="auto"/>
        <w:rPr>
          <w:color w:val="auto"/>
          <w:sz w:val="24"/>
        </w:rPr>
      </w:pPr>
      <w:r>
        <w:rPr>
          <w:color w:val="auto"/>
          <w:sz w:val="24"/>
        </w:rPr>
        <w:t>附：被授权人第二代身份证双面扫描（或复印）件</w:t>
      </w:r>
    </w:p>
    <w:p w14:paraId="3141298E">
      <w:pPr>
        <w:spacing w:line="360" w:lineRule="auto"/>
        <w:rPr>
          <w:color w:val="auto"/>
          <w:sz w:val="24"/>
        </w:rPr>
      </w:pPr>
    </w:p>
    <w:p w14:paraId="7DAB7531">
      <w:pPr>
        <w:tabs>
          <w:tab w:val="left" w:pos="168"/>
        </w:tabs>
        <w:adjustRightInd w:val="0"/>
        <w:spacing w:line="360" w:lineRule="auto"/>
        <w:textAlignment w:val="baseline"/>
        <w:rPr>
          <w:bCs/>
          <w:color w:val="auto"/>
          <w:sz w:val="28"/>
          <w:szCs w:val="28"/>
        </w:rPr>
      </w:pPr>
    </w:p>
    <w:p w14:paraId="3DCCEDB2">
      <w:pPr>
        <w:tabs>
          <w:tab w:val="left" w:pos="168"/>
        </w:tabs>
        <w:adjustRightInd w:val="0"/>
        <w:spacing w:line="360" w:lineRule="auto"/>
        <w:textAlignment w:val="baseline"/>
        <w:rPr>
          <w:bCs/>
          <w:color w:val="auto"/>
          <w:sz w:val="28"/>
          <w:szCs w:val="28"/>
        </w:rPr>
      </w:pPr>
    </w:p>
    <w:p w14:paraId="420701B1">
      <w:pPr>
        <w:tabs>
          <w:tab w:val="left" w:pos="168"/>
        </w:tabs>
        <w:adjustRightInd w:val="0"/>
        <w:spacing w:line="360" w:lineRule="auto"/>
        <w:textAlignment w:val="baseline"/>
        <w:rPr>
          <w:bCs/>
          <w:color w:val="auto"/>
          <w:sz w:val="28"/>
          <w:szCs w:val="28"/>
        </w:rPr>
      </w:pPr>
    </w:p>
    <w:p w14:paraId="6D863C46">
      <w:pPr>
        <w:tabs>
          <w:tab w:val="left" w:pos="168"/>
        </w:tabs>
        <w:adjustRightInd w:val="0"/>
        <w:spacing w:line="360" w:lineRule="auto"/>
        <w:textAlignment w:val="baseline"/>
        <w:rPr>
          <w:bCs/>
          <w:color w:val="auto"/>
          <w:sz w:val="28"/>
          <w:szCs w:val="28"/>
        </w:rPr>
      </w:pPr>
    </w:p>
    <w:p w14:paraId="228B5D91">
      <w:pPr>
        <w:tabs>
          <w:tab w:val="left" w:pos="168"/>
        </w:tabs>
        <w:adjustRightInd w:val="0"/>
        <w:spacing w:line="360" w:lineRule="auto"/>
        <w:textAlignment w:val="baseline"/>
        <w:rPr>
          <w:rFonts w:hint="eastAsia"/>
          <w:bCs/>
          <w:color w:val="auto"/>
          <w:sz w:val="28"/>
          <w:szCs w:val="28"/>
        </w:rPr>
      </w:pPr>
    </w:p>
    <w:p w14:paraId="19681375">
      <w:pPr>
        <w:tabs>
          <w:tab w:val="left" w:pos="168"/>
        </w:tabs>
        <w:adjustRightInd w:val="0"/>
        <w:spacing w:line="360" w:lineRule="auto"/>
        <w:textAlignment w:val="baseline"/>
        <w:rPr>
          <w:rFonts w:hint="eastAsia"/>
          <w:bCs/>
          <w:color w:val="auto"/>
          <w:sz w:val="28"/>
          <w:szCs w:val="28"/>
        </w:rPr>
      </w:pPr>
    </w:p>
    <w:p w14:paraId="39E2DE92">
      <w:pPr>
        <w:tabs>
          <w:tab w:val="left" w:pos="168"/>
        </w:tabs>
        <w:adjustRightInd w:val="0"/>
        <w:spacing w:line="360" w:lineRule="auto"/>
        <w:textAlignment w:val="baseline"/>
        <w:rPr>
          <w:rFonts w:hint="eastAsia"/>
          <w:bCs/>
          <w:color w:val="auto"/>
          <w:sz w:val="28"/>
          <w:szCs w:val="28"/>
        </w:rPr>
      </w:pPr>
    </w:p>
    <w:p w14:paraId="4249BFAB">
      <w:pPr>
        <w:tabs>
          <w:tab w:val="left" w:pos="168"/>
        </w:tabs>
        <w:adjustRightInd w:val="0"/>
        <w:spacing w:line="360" w:lineRule="auto"/>
        <w:textAlignment w:val="baseline"/>
        <w:rPr>
          <w:rFonts w:hint="eastAsia"/>
          <w:bCs/>
          <w:color w:val="auto"/>
          <w:sz w:val="28"/>
          <w:szCs w:val="28"/>
        </w:rPr>
      </w:pPr>
    </w:p>
    <w:p w14:paraId="30C21737">
      <w:pPr>
        <w:tabs>
          <w:tab w:val="left" w:pos="168"/>
        </w:tabs>
        <w:adjustRightInd w:val="0"/>
        <w:spacing w:line="360" w:lineRule="auto"/>
        <w:textAlignment w:val="baseline"/>
        <w:rPr>
          <w:rFonts w:hint="eastAsia"/>
          <w:bCs/>
          <w:color w:val="auto"/>
          <w:sz w:val="28"/>
          <w:szCs w:val="28"/>
        </w:rPr>
      </w:pPr>
    </w:p>
    <w:p w14:paraId="556C9C2F">
      <w:pPr>
        <w:jc w:val="right"/>
        <w:rPr>
          <w:b/>
          <w:color w:val="auto"/>
          <w:sz w:val="24"/>
        </w:rPr>
      </w:pPr>
      <w:r>
        <w:rPr>
          <w:b/>
          <w:color w:val="auto"/>
          <w:sz w:val="24"/>
        </w:rPr>
        <w:t>投标人：                        （公章）</w:t>
      </w:r>
    </w:p>
    <w:p w14:paraId="2BEB479B">
      <w:pPr>
        <w:wordWrap w:val="0"/>
        <w:jc w:val="right"/>
        <w:rPr>
          <w:b/>
          <w:color w:val="auto"/>
          <w:sz w:val="24"/>
        </w:rPr>
      </w:pPr>
      <w:r>
        <w:rPr>
          <w:b/>
          <w:color w:val="auto"/>
          <w:sz w:val="24"/>
        </w:rPr>
        <w:t>法定代表人：                    （</w:t>
      </w:r>
      <w:r>
        <w:rPr>
          <w:rFonts w:hint="eastAsia" w:ascii="Times New Roman" w:hAnsi="Times New Roman" w:eastAsia="宋体" w:cs="Times New Roman"/>
          <w:b/>
          <w:color w:val="auto"/>
          <w:sz w:val="24"/>
          <w:lang w:val="zh-CN"/>
        </w:rPr>
        <w:t>签字或盖章</w:t>
      </w:r>
      <w:r>
        <w:rPr>
          <w:b/>
          <w:color w:val="auto"/>
          <w:sz w:val="24"/>
        </w:rPr>
        <w:t>）</w:t>
      </w:r>
    </w:p>
    <w:p w14:paraId="42E3CE1F">
      <w:pPr>
        <w:tabs>
          <w:tab w:val="left" w:pos="168"/>
        </w:tabs>
        <w:adjustRightInd w:val="0"/>
        <w:spacing w:line="360" w:lineRule="auto"/>
        <w:ind w:right="480"/>
        <w:jc w:val="center"/>
        <w:textAlignment w:val="baseline"/>
        <w:rPr>
          <w:bCs/>
          <w:color w:val="auto"/>
          <w:sz w:val="24"/>
          <w:szCs w:val="28"/>
        </w:rPr>
      </w:pPr>
      <w:r>
        <w:rPr>
          <w:color w:val="auto"/>
          <w:sz w:val="24"/>
        </w:rPr>
        <w:t xml:space="preserve">                                          </w:t>
      </w:r>
      <w:r>
        <w:rPr>
          <w:b/>
          <w:color w:val="auto"/>
          <w:sz w:val="24"/>
        </w:rPr>
        <w:t>日  期：          年   月   日</w:t>
      </w:r>
    </w:p>
    <w:p w14:paraId="31AA2C6E">
      <w:pPr>
        <w:spacing w:line="360" w:lineRule="auto"/>
        <w:ind w:firstLine="3240" w:firstLineChars="1350"/>
        <w:jc w:val="right"/>
        <w:rPr>
          <w:bCs/>
          <w:color w:val="auto"/>
          <w:sz w:val="24"/>
        </w:rPr>
      </w:pPr>
    </w:p>
    <w:p w14:paraId="7122EB42">
      <w:pPr>
        <w:pStyle w:val="14"/>
        <w:spacing w:line="360" w:lineRule="auto"/>
        <w:jc w:val="left"/>
        <w:rPr>
          <w:rFonts w:ascii="Times New Roman" w:hAnsi="Times New Roman"/>
          <w:color w:val="auto"/>
          <w:lang w:val="zh-CN"/>
        </w:rPr>
      </w:pPr>
      <w:bookmarkStart w:id="168" w:name="_Toc23857"/>
      <w:r>
        <w:rPr>
          <w:rFonts w:ascii="Times New Roman" w:hAnsi="Times New Roman"/>
          <w:color w:val="auto"/>
          <w:lang w:val="zh-CN"/>
        </w:rPr>
        <w:t>格式</w:t>
      </w:r>
      <w:r>
        <w:rPr>
          <w:rFonts w:hint="eastAsia" w:ascii="Times New Roman" w:hAnsi="Times New Roman"/>
          <w:color w:val="auto"/>
          <w:lang w:val="zh-CN"/>
        </w:rPr>
        <w:t>4</w:t>
      </w:r>
      <w:r>
        <w:rPr>
          <w:rFonts w:ascii="Times New Roman" w:hAnsi="Times New Roman"/>
          <w:color w:val="auto"/>
          <w:lang w:val="zh-CN"/>
        </w:rPr>
        <w:t>：</w:t>
      </w:r>
      <w:r>
        <w:rPr>
          <w:rFonts w:hint="eastAsia" w:ascii="Times New Roman" w:hAnsi="Times New Roman"/>
          <w:color w:val="auto"/>
          <w:lang w:val="zh-CN"/>
        </w:rPr>
        <w:t>投标人</w:t>
      </w:r>
      <w:r>
        <w:rPr>
          <w:rFonts w:ascii="Times New Roman" w:hAnsi="Times New Roman"/>
          <w:color w:val="auto"/>
          <w:lang w:val="zh-CN"/>
        </w:rPr>
        <w:t>承诺书</w:t>
      </w:r>
      <w:bookmarkEnd w:id="168"/>
    </w:p>
    <w:p w14:paraId="428C42C4">
      <w:pPr>
        <w:autoSpaceDE w:val="0"/>
        <w:autoSpaceDN w:val="0"/>
        <w:adjustRightInd w:val="0"/>
        <w:spacing w:line="360" w:lineRule="auto"/>
        <w:jc w:val="center"/>
        <w:rPr>
          <w:b/>
          <w:bCs/>
          <w:color w:val="auto"/>
          <w:kern w:val="0"/>
          <w:sz w:val="30"/>
          <w:szCs w:val="30"/>
          <w:lang w:val="zh-CN"/>
        </w:rPr>
      </w:pPr>
      <w:r>
        <w:rPr>
          <w:rFonts w:hint="eastAsia"/>
          <w:b/>
          <w:bCs/>
          <w:color w:val="auto"/>
          <w:kern w:val="0"/>
          <w:sz w:val="30"/>
          <w:szCs w:val="30"/>
          <w:lang w:val="zh-CN"/>
        </w:rPr>
        <w:t>投标人</w:t>
      </w:r>
      <w:r>
        <w:rPr>
          <w:b/>
          <w:bCs/>
          <w:color w:val="auto"/>
          <w:kern w:val="0"/>
          <w:sz w:val="30"/>
          <w:szCs w:val="30"/>
          <w:lang w:val="zh-CN"/>
        </w:rPr>
        <w:t>承诺书</w:t>
      </w:r>
    </w:p>
    <w:p w14:paraId="04E29118">
      <w:pPr>
        <w:autoSpaceDE w:val="0"/>
        <w:autoSpaceDN w:val="0"/>
        <w:adjustRightInd w:val="0"/>
        <w:spacing w:line="360" w:lineRule="auto"/>
        <w:rPr>
          <w:b/>
          <w:bCs/>
          <w:color w:val="auto"/>
          <w:kern w:val="0"/>
          <w:sz w:val="30"/>
          <w:szCs w:val="30"/>
          <w:lang w:val="zh-CN"/>
        </w:rPr>
      </w:pPr>
    </w:p>
    <w:p w14:paraId="7162BD6D">
      <w:pPr>
        <w:spacing w:line="360" w:lineRule="auto"/>
        <w:rPr>
          <w:b/>
          <w:bCs/>
          <w:color w:val="auto"/>
          <w:sz w:val="24"/>
          <w:szCs w:val="28"/>
        </w:rPr>
      </w:pPr>
      <w:r>
        <w:rPr>
          <w:b/>
          <w:bCs/>
          <w:color w:val="auto"/>
          <w:sz w:val="24"/>
          <w:szCs w:val="28"/>
        </w:rPr>
        <w:t>致：</w:t>
      </w:r>
      <w:r>
        <w:rPr>
          <w:b/>
          <w:color w:val="auto"/>
          <w:sz w:val="24"/>
          <w:u w:val="single"/>
        </w:rPr>
        <w:t xml:space="preserve"> </w:t>
      </w:r>
      <w:r>
        <w:rPr>
          <w:rFonts w:hint="eastAsia"/>
          <w:b/>
          <w:color w:val="auto"/>
          <w:sz w:val="24"/>
          <w:u w:val="single"/>
          <w:lang w:eastAsia="zh-CN"/>
        </w:rPr>
        <w:t>采购人/代理机构</w:t>
      </w:r>
      <w:r>
        <w:rPr>
          <w:b/>
          <w:color w:val="auto"/>
          <w:sz w:val="24"/>
          <w:u w:val="single"/>
        </w:rPr>
        <w:t xml:space="preserve">   </w:t>
      </w:r>
      <w:r>
        <w:rPr>
          <w:b/>
          <w:color w:val="auto"/>
          <w:sz w:val="24"/>
        </w:rPr>
        <w:t xml:space="preserve"> </w:t>
      </w:r>
    </w:p>
    <w:p w14:paraId="7ECE640F">
      <w:pPr>
        <w:spacing w:line="360" w:lineRule="auto"/>
        <w:rPr>
          <w:color w:val="auto"/>
          <w:sz w:val="24"/>
          <w:szCs w:val="28"/>
        </w:rPr>
      </w:pPr>
    </w:p>
    <w:p w14:paraId="02738727">
      <w:pPr>
        <w:spacing w:line="360" w:lineRule="auto"/>
        <w:ind w:firstLine="480" w:firstLineChars="200"/>
        <w:rPr>
          <w:color w:val="auto"/>
          <w:sz w:val="24"/>
          <w:szCs w:val="28"/>
        </w:rPr>
      </w:pPr>
      <w:r>
        <w:rPr>
          <w:color w:val="auto"/>
          <w:sz w:val="24"/>
          <w:szCs w:val="28"/>
        </w:rPr>
        <w:t>关于贵方</w:t>
      </w:r>
      <w:r>
        <w:rPr>
          <w:rFonts w:hint="eastAsia"/>
          <w:color w:val="auto"/>
          <w:sz w:val="24"/>
          <w:szCs w:val="28"/>
          <w:u w:val="single"/>
        </w:rPr>
        <w:t xml:space="preserve">      </w:t>
      </w:r>
      <w:r>
        <w:rPr>
          <w:color w:val="auto"/>
          <w:sz w:val="24"/>
          <w:szCs w:val="28"/>
        </w:rPr>
        <w:t>年</w:t>
      </w:r>
      <w:r>
        <w:rPr>
          <w:color w:val="auto"/>
          <w:sz w:val="24"/>
          <w:szCs w:val="28"/>
          <w:u w:val="single"/>
        </w:rPr>
        <w:t xml:space="preserve">   </w:t>
      </w:r>
      <w:r>
        <w:rPr>
          <w:color w:val="auto"/>
          <w:sz w:val="24"/>
          <w:szCs w:val="28"/>
        </w:rPr>
        <w:t>月</w:t>
      </w:r>
      <w:r>
        <w:rPr>
          <w:color w:val="auto"/>
          <w:sz w:val="24"/>
          <w:szCs w:val="28"/>
          <w:u w:val="single"/>
        </w:rPr>
        <w:t xml:space="preserve">   </w:t>
      </w:r>
      <w:r>
        <w:rPr>
          <w:color w:val="auto"/>
          <w:sz w:val="24"/>
          <w:szCs w:val="28"/>
        </w:rPr>
        <w:t>日</w:t>
      </w:r>
      <w:r>
        <w:rPr>
          <w:color w:val="auto"/>
          <w:sz w:val="24"/>
          <w:szCs w:val="28"/>
          <w:u w:val="single"/>
        </w:rPr>
        <w:t xml:space="preserve">          (项目名称)</w:t>
      </w:r>
      <w:r>
        <w:rPr>
          <w:color w:val="auto"/>
          <w:sz w:val="24"/>
          <w:szCs w:val="28"/>
        </w:rPr>
        <w:t>采购项目，本签字人愿意参加投标，提供项目参数中要求的所有产品，并证实提交的所有资料是准确的和真实的。同时，我代表</w:t>
      </w:r>
      <w:r>
        <w:rPr>
          <w:color w:val="auto"/>
          <w:sz w:val="24"/>
          <w:szCs w:val="28"/>
          <w:u w:val="single"/>
        </w:rPr>
        <w:t>（</w:t>
      </w:r>
      <w:r>
        <w:rPr>
          <w:rFonts w:hint="eastAsia"/>
          <w:color w:val="auto"/>
          <w:sz w:val="24"/>
          <w:szCs w:val="28"/>
          <w:u w:val="single"/>
          <w:lang w:eastAsia="zh-CN"/>
        </w:rPr>
        <w:t>投标人</w:t>
      </w:r>
      <w:r>
        <w:rPr>
          <w:color w:val="auto"/>
          <w:sz w:val="24"/>
          <w:szCs w:val="28"/>
          <w:u w:val="single"/>
        </w:rPr>
        <w:t>名称）</w:t>
      </w:r>
      <w:r>
        <w:rPr>
          <w:color w:val="auto"/>
          <w:sz w:val="24"/>
          <w:szCs w:val="28"/>
        </w:rPr>
        <w:t>，在此作如下承诺：</w:t>
      </w:r>
    </w:p>
    <w:p w14:paraId="12F7EA75">
      <w:pPr>
        <w:spacing w:line="360" w:lineRule="auto"/>
        <w:ind w:firstLine="480" w:firstLineChars="200"/>
        <w:rPr>
          <w:color w:val="auto"/>
          <w:sz w:val="24"/>
          <w:szCs w:val="28"/>
        </w:rPr>
      </w:pPr>
      <w:r>
        <w:rPr>
          <w:color w:val="auto"/>
          <w:sz w:val="24"/>
          <w:szCs w:val="28"/>
        </w:rPr>
        <w:t>1、完全理解和接受招标文件的一切规定和要求；</w:t>
      </w:r>
    </w:p>
    <w:p w14:paraId="3BA5C581">
      <w:pPr>
        <w:spacing w:line="360" w:lineRule="auto"/>
        <w:ind w:firstLine="480" w:firstLineChars="200"/>
        <w:rPr>
          <w:color w:val="auto"/>
          <w:sz w:val="24"/>
          <w:szCs w:val="28"/>
        </w:rPr>
      </w:pPr>
      <w:r>
        <w:rPr>
          <w:color w:val="auto"/>
          <w:sz w:val="24"/>
          <w:szCs w:val="28"/>
        </w:rPr>
        <w:t>2、若中标，我方将按照招标文件的具体规定与采购人签订合同，并且严格履行合同义务，按时交工，提供优质的产品和服务。如果在合同执行过程中，发现质量出现问题，我方一定尽快返工或保修，并承担相应的经济责任；</w:t>
      </w:r>
    </w:p>
    <w:p w14:paraId="3894C7FD">
      <w:pPr>
        <w:spacing w:line="360" w:lineRule="auto"/>
        <w:ind w:firstLine="480" w:firstLineChars="200"/>
        <w:rPr>
          <w:color w:val="auto"/>
          <w:sz w:val="24"/>
          <w:szCs w:val="28"/>
        </w:rPr>
      </w:pPr>
      <w:r>
        <w:rPr>
          <w:color w:val="auto"/>
          <w:sz w:val="24"/>
          <w:szCs w:val="28"/>
        </w:rPr>
        <w:t>3、在整个招标过程中我方若有违规行为，贵方可按招标文件之规定给予惩罚，我方完全接受。</w:t>
      </w:r>
    </w:p>
    <w:p w14:paraId="79F6D719">
      <w:pPr>
        <w:spacing w:line="360" w:lineRule="auto"/>
        <w:ind w:firstLine="480" w:firstLineChars="200"/>
        <w:rPr>
          <w:color w:val="auto"/>
          <w:sz w:val="24"/>
          <w:szCs w:val="28"/>
        </w:rPr>
      </w:pPr>
      <w:r>
        <w:rPr>
          <w:color w:val="auto"/>
          <w:sz w:val="24"/>
          <w:szCs w:val="28"/>
        </w:rPr>
        <w:t>4、若中标，本承诺将成为合同不可分割的一部分，与合同具有同等的法律效力。</w:t>
      </w:r>
    </w:p>
    <w:p w14:paraId="4FD70822">
      <w:pPr>
        <w:tabs>
          <w:tab w:val="left" w:pos="168"/>
        </w:tabs>
        <w:adjustRightInd w:val="0"/>
        <w:spacing w:line="360" w:lineRule="auto"/>
        <w:ind w:firstLine="560" w:firstLineChars="200"/>
        <w:textAlignment w:val="baseline"/>
        <w:rPr>
          <w:bCs/>
          <w:color w:val="auto"/>
          <w:sz w:val="28"/>
          <w:szCs w:val="28"/>
        </w:rPr>
      </w:pPr>
    </w:p>
    <w:p w14:paraId="63AF3036">
      <w:pPr>
        <w:tabs>
          <w:tab w:val="left" w:pos="168"/>
        </w:tabs>
        <w:adjustRightInd w:val="0"/>
        <w:spacing w:line="360" w:lineRule="auto"/>
        <w:ind w:firstLine="560" w:firstLineChars="200"/>
        <w:textAlignment w:val="baseline"/>
        <w:rPr>
          <w:bCs/>
          <w:color w:val="auto"/>
          <w:sz w:val="28"/>
          <w:szCs w:val="28"/>
        </w:rPr>
      </w:pPr>
    </w:p>
    <w:p w14:paraId="437927FD">
      <w:pPr>
        <w:tabs>
          <w:tab w:val="left" w:pos="168"/>
        </w:tabs>
        <w:adjustRightInd w:val="0"/>
        <w:spacing w:line="360" w:lineRule="auto"/>
        <w:ind w:firstLine="560" w:firstLineChars="200"/>
        <w:textAlignment w:val="baseline"/>
        <w:rPr>
          <w:bCs/>
          <w:color w:val="auto"/>
          <w:sz w:val="28"/>
          <w:szCs w:val="28"/>
        </w:rPr>
      </w:pPr>
    </w:p>
    <w:p w14:paraId="40BDB1C9">
      <w:pPr>
        <w:tabs>
          <w:tab w:val="left" w:pos="168"/>
        </w:tabs>
        <w:adjustRightInd w:val="0"/>
        <w:spacing w:line="360" w:lineRule="auto"/>
        <w:ind w:firstLine="560" w:firstLineChars="200"/>
        <w:textAlignment w:val="baseline"/>
        <w:rPr>
          <w:bCs/>
          <w:color w:val="auto"/>
          <w:sz w:val="28"/>
          <w:szCs w:val="28"/>
        </w:rPr>
      </w:pPr>
    </w:p>
    <w:p w14:paraId="2B931205">
      <w:pPr>
        <w:tabs>
          <w:tab w:val="left" w:pos="168"/>
        </w:tabs>
        <w:adjustRightInd w:val="0"/>
        <w:spacing w:line="360" w:lineRule="auto"/>
        <w:ind w:firstLine="560" w:firstLineChars="200"/>
        <w:textAlignment w:val="baseline"/>
        <w:rPr>
          <w:rFonts w:hint="eastAsia"/>
          <w:bCs/>
          <w:color w:val="auto"/>
          <w:sz w:val="28"/>
          <w:szCs w:val="28"/>
        </w:rPr>
      </w:pPr>
    </w:p>
    <w:p w14:paraId="3D107B40">
      <w:pPr>
        <w:tabs>
          <w:tab w:val="left" w:pos="168"/>
        </w:tabs>
        <w:adjustRightInd w:val="0"/>
        <w:spacing w:line="360" w:lineRule="auto"/>
        <w:ind w:firstLine="560" w:firstLineChars="200"/>
        <w:textAlignment w:val="baseline"/>
        <w:rPr>
          <w:rFonts w:hint="eastAsia"/>
          <w:bCs/>
          <w:color w:val="auto"/>
          <w:sz w:val="28"/>
          <w:szCs w:val="28"/>
        </w:rPr>
      </w:pPr>
    </w:p>
    <w:p w14:paraId="6F4593F0">
      <w:pPr>
        <w:tabs>
          <w:tab w:val="left" w:pos="168"/>
        </w:tabs>
        <w:adjustRightInd w:val="0"/>
        <w:spacing w:line="360" w:lineRule="auto"/>
        <w:ind w:firstLine="560" w:firstLineChars="200"/>
        <w:textAlignment w:val="baseline"/>
        <w:rPr>
          <w:bCs/>
          <w:color w:val="auto"/>
          <w:sz w:val="28"/>
          <w:szCs w:val="28"/>
        </w:rPr>
      </w:pPr>
    </w:p>
    <w:p w14:paraId="024D79C0">
      <w:pPr>
        <w:tabs>
          <w:tab w:val="left" w:pos="168"/>
        </w:tabs>
        <w:adjustRightInd w:val="0"/>
        <w:spacing w:line="360" w:lineRule="auto"/>
        <w:ind w:firstLine="560" w:firstLineChars="200"/>
        <w:textAlignment w:val="baseline"/>
        <w:rPr>
          <w:bCs/>
          <w:color w:val="auto"/>
          <w:sz w:val="28"/>
          <w:szCs w:val="28"/>
        </w:rPr>
      </w:pPr>
    </w:p>
    <w:p w14:paraId="2A74B74D">
      <w:pPr>
        <w:jc w:val="right"/>
        <w:rPr>
          <w:b/>
          <w:color w:val="auto"/>
          <w:sz w:val="24"/>
        </w:rPr>
      </w:pPr>
      <w:r>
        <w:rPr>
          <w:b/>
          <w:color w:val="auto"/>
          <w:sz w:val="24"/>
        </w:rPr>
        <w:t>投标人：                        （公章）</w:t>
      </w:r>
    </w:p>
    <w:p w14:paraId="44A30745">
      <w:pPr>
        <w:jc w:val="right"/>
        <w:rPr>
          <w:b/>
          <w:color w:val="auto"/>
          <w:sz w:val="24"/>
        </w:rPr>
      </w:pPr>
      <w:r>
        <w:rPr>
          <w:b/>
          <w:color w:val="auto"/>
          <w:sz w:val="24"/>
        </w:rPr>
        <w:t>法定代表人或委托代理人：        （</w:t>
      </w:r>
      <w:r>
        <w:rPr>
          <w:rFonts w:hint="eastAsia" w:ascii="Times New Roman" w:hAnsi="Times New Roman" w:eastAsia="宋体" w:cs="Times New Roman"/>
          <w:b/>
          <w:color w:val="auto"/>
          <w:sz w:val="24"/>
          <w:lang w:val="zh-CN"/>
        </w:rPr>
        <w:t>签字或盖章</w:t>
      </w:r>
      <w:r>
        <w:rPr>
          <w:b/>
          <w:color w:val="auto"/>
          <w:sz w:val="24"/>
        </w:rPr>
        <w:t>）</w:t>
      </w:r>
    </w:p>
    <w:p w14:paraId="1752B94F">
      <w:pPr>
        <w:tabs>
          <w:tab w:val="left" w:pos="168"/>
        </w:tabs>
        <w:adjustRightInd w:val="0"/>
        <w:spacing w:line="360" w:lineRule="auto"/>
        <w:ind w:right="480" w:firstLine="4939" w:firstLineChars="2050"/>
        <w:textAlignment w:val="baseline"/>
        <w:rPr>
          <w:bCs/>
          <w:color w:val="auto"/>
          <w:sz w:val="24"/>
          <w:szCs w:val="28"/>
        </w:rPr>
      </w:pPr>
      <w:r>
        <w:rPr>
          <w:b/>
          <w:color w:val="auto"/>
          <w:sz w:val="24"/>
        </w:rPr>
        <w:t>日期：            年   月   日</w:t>
      </w:r>
      <w:r>
        <w:rPr>
          <w:b/>
          <w:color w:val="auto"/>
          <w:kern w:val="0"/>
          <w:sz w:val="24"/>
          <w:lang w:val="zh-CN"/>
        </w:rPr>
        <w:t xml:space="preserve"> </w:t>
      </w:r>
      <w:r>
        <w:rPr>
          <w:bCs/>
          <w:color w:val="auto"/>
          <w:sz w:val="24"/>
          <w:szCs w:val="28"/>
        </w:rPr>
        <w:t xml:space="preserve"> </w:t>
      </w:r>
    </w:p>
    <w:p w14:paraId="2CB2DEB0">
      <w:pPr>
        <w:pStyle w:val="14"/>
        <w:spacing w:line="360" w:lineRule="auto"/>
        <w:jc w:val="left"/>
        <w:rPr>
          <w:rFonts w:ascii="Times New Roman" w:hAnsi="Times New Roman"/>
          <w:color w:val="auto"/>
          <w:lang w:val="zh-CN"/>
        </w:rPr>
      </w:pPr>
      <w:r>
        <w:rPr>
          <w:rFonts w:ascii="Times New Roman" w:hAnsi="Times New Roman"/>
          <w:bCs w:val="0"/>
          <w:color w:val="auto"/>
          <w:sz w:val="24"/>
        </w:rPr>
        <w:br w:type="page"/>
      </w:r>
      <w:bookmarkStart w:id="169" w:name="_Toc26949"/>
      <w:r>
        <w:rPr>
          <w:rFonts w:ascii="Times New Roman" w:hAnsi="Times New Roman"/>
          <w:color w:val="auto"/>
          <w:lang w:val="zh-CN"/>
        </w:rPr>
        <w:t>格式</w:t>
      </w:r>
      <w:r>
        <w:rPr>
          <w:rFonts w:hint="eastAsia" w:ascii="Times New Roman" w:hAnsi="Times New Roman"/>
          <w:color w:val="auto"/>
          <w:lang w:val="zh-CN"/>
        </w:rPr>
        <w:t>5</w:t>
      </w:r>
      <w:r>
        <w:rPr>
          <w:rFonts w:ascii="Times New Roman" w:hAnsi="Times New Roman"/>
          <w:color w:val="auto"/>
          <w:lang w:val="zh-CN"/>
        </w:rPr>
        <w:t>：</w:t>
      </w:r>
      <w:r>
        <w:rPr>
          <w:rFonts w:hint="eastAsia" w:ascii="Times New Roman" w:hAnsi="Times New Roman"/>
          <w:color w:val="auto"/>
          <w:lang w:val="zh-CN"/>
        </w:rPr>
        <w:t>投标人</w:t>
      </w:r>
      <w:r>
        <w:rPr>
          <w:rFonts w:ascii="Times New Roman" w:hAnsi="Times New Roman"/>
          <w:color w:val="auto"/>
          <w:lang w:val="zh-CN"/>
        </w:rPr>
        <w:t>诚信承诺书</w:t>
      </w:r>
      <w:bookmarkEnd w:id="169"/>
    </w:p>
    <w:p w14:paraId="5AFB9663">
      <w:pPr>
        <w:autoSpaceDE w:val="0"/>
        <w:autoSpaceDN w:val="0"/>
        <w:adjustRightInd w:val="0"/>
        <w:spacing w:line="360" w:lineRule="auto"/>
        <w:jc w:val="center"/>
        <w:rPr>
          <w:b/>
          <w:bCs/>
          <w:color w:val="auto"/>
          <w:kern w:val="0"/>
          <w:sz w:val="30"/>
          <w:szCs w:val="30"/>
          <w:lang w:val="zh-CN"/>
        </w:rPr>
      </w:pPr>
      <w:r>
        <w:rPr>
          <w:rFonts w:hint="eastAsia"/>
          <w:b/>
          <w:bCs/>
          <w:color w:val="auto"/>
          <w:kern w:val="0"/>
          <w:sz w:val="30"/>
          <w:szCs w:val="30"/>
          <w:lang w:val="zh-CN"/>
        </w:rPr>
        <w:t>投标人</w:t>
      </w:r>
      <w:r>
        <w:rPr>
          <w:b/>
          <w:bCs/>
          <w:color w:val="auto"/>
          <w:kern w:val="0"/>
          <w:sz w:val="30"/>
          <w:szCs w:val="30"/>
          <w:lang w:val="zh-CN"/>
        </w:rPr>
        <w:t>诚信承诺书</w:t>
      </w:r>
    </w:p>
    <w:p w14:paraId="4B4D5695">
      <w:pPr>
        <w:autoSpaceDE w:val="0"/>
        <w:autoSpaceDN w:val="0"/>
        <w:adjustRightInd w:val="0"/>
        <w:spacing w:line="360" w:lineRule="auto"/>
        <w:rPr>
          <w:color w:val="auto"/>
          <w:kern w:val="0"/>
          <w:sz w:val="24"/>
          <w:lang w:val="zh-CN"/>
        </w:rPr>
      </w:pPr>
      <w:r>
        <w:rPr>
          <w:color w:val="auto"/>
          <w:kern w:val="0"/>
          <w:sz w:val="24"/>
          <w:lang w:val="zh-CN"/>
        </w:rPr>
        <w:t xml:space="preserve"> </w:t>
      </w:r>
    </w:p>
    <w:p w14:paraId="7F09406B">
      <w:pPr>
        <w:autoSpaceDE w:val="0"/>
        <w:autoSpaceDN w:val="0"/>
        <w:adjustRightInd w:val="0"/>
        <w:spacing w:line="360" w:lineRule="auto"/>
        <w:rPr>
          <w:b/>
          <w:bCs/>
          <w:color w:val="auto"/>
          <w:kern w:val="0"/>
          <w:sz w:val="24"/>
          <w:lang w:val="zh-CN"/>
        </w:rPr>
      </w:pPr>
      <w:r>
        <w:rPr>
          <w:b/>
          <w:bCs/>
          <w:color w:val="auto"/>
          <w:kern w:val="0"/>
          <w:sz w:val="24"/>
          <w:lang w:val="zh-CN"/>
        </w:rPr>
        <w:t>致：</w:t>
      </w:r>
      <w:r>
        <w:rPr>
          <w:b/>
          <w:color w:val="auto"/>
          <w:sz w:val="24"/>
          <w:u w:val="single"/>
        </w:rPr>
        <w:t xml:space="preserve"> </w:t>
      </w:r>
      <w:r>
        <w:rPr>
          <w:rFonts w:hint="eastAsia"/>
          <w:b/>
          <w:color w:val="auto"/>
          <w:sz w:val="24"/>
          <w:u w:val="single"/>
          <w:lang w:eastAsia="zh-CN"/>
        </w:rPr>
        <w:t>采购人/代理机构</w:t>
      </w:r>
    </w:p>
    <w:p w14:paraId="49768BF5">
      <w:pPr>
        <w:autoSpaceDE w:val="0"/>
        <w:autoSpaceDN w:val="0"/>
        <w:adjustRightInd w:val="0"/>
        <w:spacing w:line="360" w:lineRule="auto"/>
        <w:rPr>
          <w:color w:val="auto"/>
          <w:kern w:val="0"/>
          <w:sz w:val="24"/>
          <w:lang w:val="zh-CN"/>
        </w:rPr>
      </w:pPr>
    </w:p>
    <w:p w14:paraId="46191DC4">
      <w:pPr>
        <w:autoSpaceDE w:val="0"/>
        <w:autoSpaceDN w:val="0"/>
        <w:adjustRightInd w:val="0"/>
        <w:spacing w:line="360" w:lineRule="auto"/>
        <w:ind w:firstLine="480"/>
        <w:rPr>
          <w:color w:val="auto"/>
          <w:kern w:val="0"/>
          <w:sz w:val="24"/>
          <w:lang w:val="zh-CN"/>
        </w:rPr>
      </w:pPr>
      <w:r>
        <w:rPr>
          <w:color w:val="auto"/>
          <w:kern w:val="0"/>
          <w:sz w:val="24"/>
          <w:lang w:val="zh-CN"/>
        </w:rPr>
        <w:t>为了诚实、客观、有序地参与青海省政府采购活动，愿就以下内容作出承诺：</w:t>
      </w:r>
    </w:p>
    <w:p w14:paraId="212D6973">
      <w:pPr>
        <w:autoSpaceDE w:val="0"/>
        <w:autoSpaceDN w:val="0"/>
        <w:adjustRightInd w:val="0"/>
        <w:spacing w:line="360" w:lineRule="auto"/>
        <w:ind w:firstLine="480"/>
        <w:rPr>
          <w:color w:val="auto"/>
          <w:kern w:val="0"/>
          <w:sz w:val="24"/>
          <w:lang w:val="zh-CN"/>
        </w:rPr>
      </w:pPr>
      <w:r>
        <w:rPr>
          <w:color w:val="auto"/>
          <w:kern w:val="0"/>
          <w:sz w:val="24"/>
          <w:lang w:val="zh-CN"/>
        </w:rPr>
        <w:t>一、自觉遵守各项法律、法规、规章、制度以及社会公德，维护廉洁环境，与同场竞争的供应商平等参加政府采购活动。</w:t>
      </w:r>
    </w:p>
    <w:p w14:paraId="312AFBA0">
      <w:pPr>
        <w:autoSpaceDE w:val="0"/>
        <w:autoSpaceDN w:val="0"/>
        <w:adjustRightInd w:val="0"/>
        <w:spacing w:line="360" w:lineRule="auto"/>
        <w:ind w:firstLine="480"/>
        <w:rPr>
          <w:color w:val="auto"/>
          <w:kern w:val="0"/>
          <w:sz w:val="24"/>
          <w:lang w:val="zh-CN"/>
        </w:rPr>
      </w:pPr>
      <w:r>
        <w:rPr>
          <w:color w:val="auto"/>
          <w:kern w:val="0"/>
          <w:sz w:val="24"/>
          <w:lang w:val="zh-CN"/>
        </w:rPr>
        <w:t>二、参加采购代理机构组织的政府采购活动时，严格按照招标文件的规定和要求提供所需的相关材料，并对所提供的各类资料的真实性负责，不虚假应标，不虚列业绩。</w:t>
      </w:r>
    </w:p>
    <w:p w14:paraId="170B8D00">
      <w:pPr>
        <w:autoSpaceDE w:val="0"/>
        <w:autoSpaceDN w:val="0"/>
        <w:adjustRightInd w:val="0"/>
        <w:spacing w:line="360" w:lineRule="auto"/>
        <w:ind w:firstLine="480"/>
        <w:rPr>
          <w:color w:val="auto"/>
          <w:kern w:val="0"/>
          <w:sz w:val="24"/>
          <w:lang w:val="zh-CN"/>
        </w:rPr>
      </w:pPr>
      <w:r>
        <w:rPr>
          <w:color w:val="auto"/>
          <w:kern w:val="0"/>
          <w:sz w:val="24"/>
          <w:lang w:val="zh-CN"/>
        </w:rPr>
        <w:t>三、尊重参与政府采购活动各相关方的合法行为，接受政府采购活动依法形成的意见、结果。</w:t>
      </w:r>
    </w:p>
    <w:p w14:paraId="1D60171A">
      <w:pPr>
        <w:autoSpaceDE w:val="0"/>
        <w:autoSpaceDN w:val="0"/>
        <w:adjustRightInd w:val="0"/>
        <w:spacing w:line="360" w:lineRule="auto"/>
        <w:ind w:firstLine="480"/>
        <w:rPr>
          <w:color w:val="auto"/>
          <w:kern w:val="0"/>
          <w:sz w:val="24"/>
          <w:lang w:val="zh-CN"/>
        </w:rPr>
      </w:pPr>
      <w:r>
        <w:rPr>
          <w:color w:val="auto"/>
          <w:kern w:val="0"/>
          <w:sz w:val="24"/>
          <w:lang w:val="zh-CN"/>
        </w:rPr>
        <w:t>四、依法参加政府采购活动，不围标、串标，维护市场秩序，不提供“三无”产品、以次充好。</w:t>
      </w:r>
    </w:p>
    <w:p w14:paraId="212A2311">
      <w:pPr>
        <w:autoSpaceDE w:val="0"/>
        <w:autoSpaceDN w:val="0"/>
        <w:adjustRightInd w:val="0"/>
        <w:spacing w:line="360" w:lineRule="auto"/>
        <w:ind w:firstLine="480"/>
        <w:rPr>
          <w:color w:val="auto"/>
          <w:kern w:val="0"/>
          <w:sz w:val="24"/>
          <w:lang w:val="zh-CN"/>
        </w:rPr>
      </w:pPr>
      <w:r>
        <w:rPr>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80C95A5">
      <w:pPr>
        <w:autoSpaceDE w:val="0"/>
        <w:autoSpaceDN w:val="0"/>
        <w:adjustRightInd w:val="0"/>
        <w:spacing w:line="360" w:lineRule="auto"/>
        <w:ind w:firstLine="480"/>
        <w:rPr>
          <w:color w:val="auto"/>
          <w:kern w:val="0"/>
          <w:sz w:val="24"/>
          <w:lang w:val="zh-CN"/>
        </w:rPr>
      </w:pPr>
      <w:r>
        <w:rPr>
          <w:color w:val="auto"/>
          <w:kern w:val="0"/>
          <w:sz w:val="24"/>
          <w:lang w:val="zh-CN"/>
        </w:rPr>
        <w:t>六、认真履行中标人应承担的责任和义务，全面执行采购合同规定的各项内容，保质保量地按时提供采购物品。</w:t>
      </w:r>
    </w:p>
    <w:p w14:paraId="6C6C7E49">
      <w:pPr>
        <w:autoSpaceDE w:val="0"/>
        <w:autoSpaceDN w:val="0"/>
        <w:adjustRightInd w:val="0"/>
        <w:spacing w:line="360" w:lineRule="auto"/>
        <w:ind w:firstLine="480" w:firstLineChars="200"/>
        <w:rPr>
          <w:color w:val="auto"/>
          <w:kern w:val="0"/>
          <w:sz w:val="24"/>
          <w:lang w:val="zh-CN"/>
        </w:rPr>
      </w:pPr>
      <w:r>
        <w:rPr>
          <w:color w:val="auto"/>
          <w:kern w:val="0"/>
          <w:sz w:val="24"/>
          <w:lang w:val="zh-CN"/>
        </w:rPr>
        <w:t>若本企业（单位）发生有悖于上述承诺的行为，愿意接受《中华人民共和国政府采购法》和</w:t>
      </w:r>
      <w:r>
        <w:rPr>
          <w:rFonts w:ascii="Times New Roman" w:hAnsi="Times New Roman" w:eastAsia="宋体" w:cs="Times New Roman"/>
          <w:color w:val="auto"/>
          <w:kern w:val="0"/>
          <w:sz w:val="24"/>
          <w:lang w:val="zh-CN"/>
        </w:rPr>
        <w:t>《</w:t>
      </w:r>
      <w:r>
        <w:rPr>
          <w:rFonts w:ascii="Times New Roman" w:hAnsi="Times New Roman" w:eastAsia="宋体" w:cs="Times New Roman"/>
          <w:color w:val="auto"/>
          <w:kern w:val="0"/>
          <w:sz w:val="24"/>
          <w:szCs w:val="24"/>
          <w:lang w:val="zh-CN"/>
        </w:rPr>
        <w:t>政府采购法实施条例</w:t>
      </w:r>
      <w:r>
        <w:rPr>
          <w:rFonts w:ascii="Times New Roman" w:hAnsi="Times New Roman" w:eastAsia="宋体" w:cs="Times New Roman"/>
          <w:color w:val="auto"/>
          <w:kern w:val="0"/>
          <w:sz w:val="24"/>
          <w:lang w:val="zh-CN"/>
        </w:rPr>
        <w:t>》</w:t>
      </w:r>
      <w:r>
        <w:rPr>
          <w:color w:val="auto"/>
          <w:kern w:val="0"/>
          <w:sz w:val="24"/>
          <w:lang w:val="zh-CN"/>
        </w:rPr>
        <w:t>中对供应商的相关处理。</w:t>
      </w:r>
    </w:p>
    <w:p w14:paraId="2C6ECABB">
      <w:pPr>
        <w:autoSpaceDE w:val="0"/>
        <w:autoSpaceDN w:val="0"/>
        <w:adjustRightInd w:val="0"/>
        <w:spacing w:line="360" w:lineRule="auto"/>
        <w:rPr>
          <w:color w:val="auto"/>
          <w:kern w:val="0"/>
          <w:sz w:val="24"/>
          <w:lang w:val="zh-CN"/>
        </w:rPr>
      </w:pPr>
      <w:r>
        <w:rPr>
          <w:color w:val="auto"/>
          <w:kern w:val="0"/>
          <w:sz w:val="24"/>
          <w:lang w:val="zh-CN"/>
        </w:rPr>
        <w:t>本承诺是采购项目投标文件的组成部分。</w:t>
      </w:r>
    </w:p>
    <w:p w14:paraId="45FB4D7C">
      <w:pPr>
        <w:autoSpaceDE w:val="0"/>
        <w:autoSpaceDN w:val="0"/>
        <w:adjustRightInd w:val="0"/>
        <w:spacing w:line="360" w:lineRule="auto"/>
        <w:rPr>
          <w:color w:val="auto"/>
          <w:kern w:val="0"/>
          <w:sz w:val="24"/>
          <w:lang w:val="zh-CN"/>
        </w:rPr>
      </w:pPr>
    </w:p>
    <w:p w14:paraId="748BFB58">
      <w:pPr>
        <w:autoSpaceDE w:val="0"/>
        <w:autoSpaceDN w:val="0"/>
        <w:adjustRightInd w:val="0"/>
        <w:spacing w:line="360" w:lineRule="auto"/>
        <w:rPr>
          <w:color w:val="auto"/>
          <w:kern w:val="0"/>
          <w:sz w:val="24"/>
          <w:lang w:val="zh-CN"/>
        </w:rPr>
      </w:pPr>
    </w:p>
    <w:p w14:paraId="701CF1A8">
      <w:pPr>
        <w:tabs>
          <w:tab w:val="left" w:pos="168"/>
        </w:tabs>
        <w:adjustRightInd w:val="0"/>
        <w:spacing w:line="360" w:lineRule="auto"/>
        <w:textAlignment w:val="baseline"/>
        <w:rPr>
          <w:rFonts w:hint="eastAsia"/>
          <w:bCs/>
          <w:color w:val="auto"/>
          <w:sz w:val="28"/>
          <w:szCs w:val="28"/>
        </w:rPr>
      </w:pPr>
      <w:bookmarkStart w:id="170" w:name="_Toc444715739"/>
      <w:bookmarkStart w:id="171" w:name="_Toc17097"/>
    </w:p>
    <w:p w14:paraId="2328B981">
      <w:pPr>
        <w:tabs>
          <w:tab w:val="left" w:pos="168"/>
        </w:tabs>
        <w:adjustRightInd w:val="0"/>
        <w:spacing w:line="360" w:lineRule="auto"/>
        <w:textAlignment w:val="baseline"/>
        <w:rPr>
          <w:bCs/>
          <w:color w:val="auto"/>
          <w:sz w:val="28"/>
          <w:szCs w:val="28"/>
        </w:rPr>
      </w:pPr>
    </w:p>
    <w:p w14:paraId="5E92EEFF">
      <w:pPr>
        <w:jc w:val="right"/>
        <w:rPr>
          <w:b/>
          <w:color w:val="auto"/>
          <w:sz w:val="24"/>
        </w:rPr>
      </w:pPr>
      <w:r>
        <w:rPr>
          <w:b/>
          <w:color w:val="auto"/>
          <w:sz w:val="24"/>
        </w:rPr>
        <w:t>投标人：                        （公章）</w:t>
      </w:r>
    </w:p>
    <w:p w14:paraId="5282DB2D">
      <w:pPr>
        <w:jc w:val="right"/>
        <w:rPr>
          <w:b/>
          <w:color w:val="auto"/>
          <w:sz w:val="24"/>
        </w:rPr>
      </w:pPr>
      <w:r>
        <w:rPr>
          <w:b/>
          <w:color w:val="auto"/>
          <w:sz w:val="24"/>
        </w:rPr>
        <w:t>法定代表人或委托代理人：        （</w:t>
      </w:r>
      <w:r>
        <w:rPr>
          <w:rFonts w:hint="eastAsia" w:ascii="Times New Roman" w:hAnsi="Times New Roman" w:eastAsia="宋体" w:cs="Times New Roman"/>
          <w:b/>
          <w:color w:val="auto"/>
          <w:sz w:val="24"/>
          <w:lang w:val="zh-CN"/>
        </w:rPr>
        <w:t>签字或盖章</w:t>
      </w:r>
      <w:r>
        <w:rPr>
          <w:b/>
          <w:color w:val="auto"/>
          <w:sz w:val="24"/>
        </w:rPr>
        <w:t>）</w:t>
      </w:r>
    </w:p>
    <w:p w14:paraId="50C18D0D">
      <w:pPr>
        <w:tabs>
          <w:tab w:val="left" w:pos="168"/>
        </w:tabs>
        <w:adjustRightInd w:val="0"/>
        <w:spacing w:line="360" w:lineRule="auto"/>
        <w:ind w:right="480"/>
        <w:jc w:val="right"/>
        <w:textAlignment w:val="baseline"/>
        <w:rPr>
          <w:bCs/>
          <w:color w:val="auto"/>
          <w:sz w:val="24"/>
          <w:szCs w:val="28"/>
        </w:rPr>
      </w:pPr>
      <w:r>
        <w:rPr>
          <w:b/>
          <w:color w:val="auto"/>
          <w:sz w:val="24"/>
        </w:rPr>
        <w:t>日期：          年   月   日</w:t>
      </w:r>
      <w:r>
        <w:rPr>
          <w:b/>
          <w:color w:val="auto"/>
          <w:kern w:val="0"/>
          <w:sz w:val="24"/>
          <w:lang w:val="zh-CN"/>
        </w:rPr>
        <w:t xml:space="preserve"> </w:t>
      </w:r>
      <w:r>
        <w:rPr>
          <w:bCs/>
          <w:color w:val="auto"/>
          <w:sz w:val="24"/>
          <w:szCs w:val="28"/>
        </w:rPr>
        <w:t xml:space="preserve"> </w:t>
      </w:r>
    </w:p>
    <w:p w14:paraId="0AEB034A">
      <w:pPr>
        <w:pStyle w:val="14"/>
        <w:spacing w:line="360" w:lineRule="auto"/>
        <w:jc w:val="left"/>
        <w:rPr>
          <w:rFonts w:ascii="Times New Roman" w:hAnsi="Times New Roman"/>
          <w:color w:val="auto"/>
          <w:lang w:val="zh-CN"/>
        </w:rPr>
      </w:pPr>
      <w:r>
        <w:rPr>
          <w:rFonts w:ascii="Times New Roman" w:hAnsi="Times New Roman"/>
          <w:color w:val="auto"/>
          <w:lang w:val="zh-CN"/>
        </w:rPr>
        <w:br w:type="page"/>
      </w:r>
      <w:bookmarkStart w:id="172" w:name="_Toc4446"/>
      <w:r>
        <w:rPr>
          <w:rFonts w:ascii="Times New Roman" w:hAnsi="Times New Roman"/>
          <w:color w:val="auto"/>
          <w:lang w:val="zh-CN"/>
        </w:rPr>
        <w:t>格式</w:t>
      </w:r>
      <w:r>
        <w:rPr>
          <w:rFonts w:hint="eastAsia" w:ascii="Times New Roman" w:hAnsi="Times New Roman"/>
          <w:color w:val="auto"/>
          <w:lang w:val="zh-CN"/>
        </w:rPr>
        <w:t>6</w:t>
      </w:r>
      <w:r>
        <w:rPr>
          <w:rFonts w:ascii="Times New Roman" w:hAnsi="Times New Roman"/>
          <w:color w:val="auto"/>
          <w:lang w:val="zh-CN"/>
        </w:rPr>
        <w:t>：资格证明材料</w:t>
      </w:r>
      <w:bookmarkEnd w:id="170"/>
      <w:bookmarkEnd w:id="171"/>
      <w:bookmarkEnd w:id="172"/>
    </w:p>
    <w:p w14:paraId="47346C92">
      <w:pPr>
        <w:spacing w:line="360" w:lineRule="auto"/>
        <w:rPr>
          <w:color w:val="auto"/>
          <w:lang w:val="zh-CN"/>
        </w:rPr>
      </w:pPr>
    </w:p>
    <w:p w14:paraId="3060C70D">
      <w:pPr>
        <w:autoSpaceDE w:val="0"/>
        <w:autoSpaceDN w:val="0"/>
        <w:adjustRightInd w:val="0"/>
        <w:spacing w:line="360" w:lineRule="auto"/>
        <w:jc w:val="center"/>
        <w:rPr>
          <w:b/>
          <w:bCs/>
          <w:color w:val="auto"/>
          <w:kern w:val="0"/>
          <w:sz w:val="30"/>
          <w:szCs w:val="30"/>
          <w:lang w:val="zh-CN"/>
        </w:rPr>
      </w:pPr>
      <w:r>
        <w:rPr>
          <w:b/>
          <w:bCs/>
          <w:color w:val="auto"/>
          <w:kern w:val="0"/>
          <w:sz w:val="30"/>
          <w:szCs w:val="30"/>
          <w:lang w:val="zh-CN"/>
        </w:rPr>
        <w:t>资格证明材料</w:t>
      </w:r>
    </w:p>
    <w:p w14:paraId="091447C8">
      <w:pPr>
        <w:autoSpaceDE w:val="0"/>
        <w:autoSpaceDN w:val="0"/>
        <w:adjustRightInd w:val="0"/>
        <w:spacing w:line="360" w:lineRule="auto"/>
        <w:rPr>
          <w:color w:val="auto"/>
          <w:kern w:val="0"/>
          <w:sz w:val="24"/>
          <w:lang w:val="zh-CN"/>
        </w:rPr>
      </w:pPr>
    </w:p>
    <w:p w14:paraId="1F4B9974">
      <w:pPr>
        <w:tabs>
          <w:tab w:val="left" w:pos="168"/>
        </w:tabs>
        <w:adjustRightInd w:val="0"/>
        <w:spacing w:line="360" w:lineRule="auto"/>
        <w:ind w:firstLine="480" w:firstLineChars="200"/>
        <w:jc w:val="left"/>
        <w:textAlignment w:val="baseline"/>
        <w:rPr>
          <w:rFonts w:hint="eastAsia" w:ascii="Times New Roman" w:hAnsi="Times New Roman" w:eastAsia="宋体" w:cs="Times New Roman"/>
          <w:bCs/>
          <w:color w:val="auto"/>
          <w:sz w:val="24"/>
          <w:szCs w:val="28"/>
          <w:lang w:val="zh-CN"/>
        </w:rPr>
      </w:pPr>
      <w:r>
        <w:rPr>
          <w:rFonts w:hint="eastAsia" w:ascii="Times New Roman" w:hAnsi="Times New Roman" w:eastAsia="宋体" w:cs="Times New Roman"/>
          <w:bCs/>
          <w:color w:val="auto"/>
          <w:sz w:val="24"/>
          <w:szCs w:val="28"/>
          <w:lang w:val="zh-CN"/>
        </w:rPr>
        <w:t>资格证明材料包括：</w:t>
      </w:r>
    </w:p>
    <w:p w14:paraId="3DCBE1E0">
      <w:pPr>
        <w:tabs>
          <w:tab w:val="left" w:pos="168"/>
        </w:tabs>
        <w:adjustRightInd w:val="0"/>
        <w:spacing w:line="360" w:lineRule="auto"/>
        <w:ind w:firstLine="480" w:firstLineChars="200"/>
        <w:jc w:val="left"/>
        <w:textAlignment w:val="baseline"/>
        <w:rPr>
          <w:rFonts w:hint="eastAsia" w:ascii="Times New Roman" w:hAnsi="Times New Roman" w:eastAsia="宋体" w:cs="Times New Roman"/>
          <w:bCs/>
          <w:color w:val="auto"/>
          <w:sz w:val="24"/>
          <w:szCs w:val="28"/>
          <w:lang w:val="zh-CN"/>
        </w:rPr>
      </w:pPr>
      <w:bookmarkStart w:id="173" w:name="OLE_LINK24"/>
      <w:r>
        <w:rPr>
          <w:rFonts w:hint="eastAsia" w:ascii="Times New Roman" w:hAnsi="Times New Roman" w:eastAsia="宋体" w:cs="Times New Roman"/>
          <w:bCs/>
          <w:color w:val="auto"/>
          <w:sz w:val="24"/>
          <w:szCs w:val="28"/>
          <w:lang w:val="zh-CN"/>
        </w:rPr>
        <w:t>（</w:t>
      </w:r>
      <w:r>
        <w:rPr>
          <w:rFonts w:hint="eastAsia" w:ascii="Times New Roman" w:hAnsi="Times New Roman" w:eastAsia="宋体" w:cs="Times New Roman"/>
          <w:bCs/>
          <w:color w:val="auto"/>
          <w:sz w:val="24"/>
          <w:szCs w:val="28"/>
          <w:lang w:val="en-US" w:eastAsia="zh-CN"/>
        </w:rPr>
        <w:t>1</w:t>
      </w:r>
      <w:r>
        <w:rPr>
          <w:rFonts w:hint="eastAsia" w:ascii="Times New Roman" w:hAnsi="Times New Roman" w:eastAsia="宋体" w:cs="Times New Roman"/>
          <w:bCs/>
          <w:color w:val="auto"/>
          <w:sz w:val="24"/>
          <w:szCs w:val="28"/>
          <w:lang w:val="zh-CN"/>
        </w:rPr>
        <w:t>）提供有效的营业执照、税务登记证、机构代码证或三证（五证）合一统一社会代码证及其他资格证明文件（扫描或复印件）；</w:t>
      </w:r>
    </w:p>
    <w:p w14:paraId="1CD849E1">
      <w:pPr>
        <w:tabs>
          <w:tab w:val="left" w:pos="168"/>
        </w:tabs>
        <w:adjustRightInd w:val="0"/>
        <w:spacing w:line="360" w:lineRule="auto"/>
        <w:ind w:firstLine="480" w:firstLineChars="200"/>
        <w:jc w:val="left"/>
        <w:textAlignment w:val="baseline"/>
        <w:rPr>
          <w:rFonts w:hint="eastAsia" w:ascii="Times New Roman" w:hAnsi="Times New Roman" w:eastAsia="宋体" w:cs="Times New Roman"/>
          <w:bCs/>
          <w:color w:val="auto"/>
          <w:sz w:val="24"/>
          <w:szCs w:val="28"/>
          <w:lang w:val="zh-CN"/>
        </w:rPr>
      </w:pPr>
      <w:r>
        <w:rPr>
          <w:rFonts w:hint="eastAsia" w:ascii="Times New Roman" w:hAnsi="Times New Roman" w:eastAsia="宋体" w:cs="Times New Roman"/>
          <w:bCs/>
          <w:color w:val="auto"/>
          <w:sz w:val="24"/>
          <w:szCs w:val="28"/>
          <w:lang w:val="zh-CN"/>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6D9F9848">
      <w:pPr>
        <w:tabs>
          <w:tab w:val="left" w:pos="168"/>
        </w:tabs>
        <w:adjustRightInd w:val="0"/>
        <w:spacing w:line="360" w:lineRule="auto"/>
        <w:ind w:firstLine="480" w:firstLineChars="200"/>
        <w:jc w:val="left"/>
        <w:textAlignment w:val="baseline"/>
        <w:rPr>
          <w:rFonts w:hint="eastAsia" w:ascii="Times New Roman" w:hAnsi="Times New Roman" w:eastAsia="宋体" w:cs="Times New Roman"/>
          <w:bCs/>
          <w:color w:val="auto"/>
          <w:sz w:val="24"/>
          <w:szCs w:val="28"/>
          <w:lang w:val="zh-CN"/>
        </w:rPr>
      </w:pPr>
      <w:r>
        <w:rPr>
          <w:rFonts w:hint="eastAsia" w:ascii="Times New Roman" w:hAnsi="Times New Roman" w:eastAsia="宋体" w:cs="Times New Roman"/>
          <w:bCs/>
          <w:color w:val="auto"/>
          <w:sz w:val="24"/>
          <w:szCs w:val="28"/>
          <w:lang w:val="zh-CN"/>
        </w:rPr>
        <w:t>（2）招标文件规定的有关资格证书、许可证书、认证等；</w:t>
      </w:r>
    </w:p>
    <w:p w14:paraId="133F99C4">
      <w:pPr>
        <w:tabs>
          <w:tab w:val="left" w:pos="168"/>
        </w:tabs>
        <w:adjustRightInd w:val="0"/>
        <w:spacing w:line="360" w:lineRule="auto"/>
        <w:ind w:firstLine="480" w:firstLineChars="200"/>
        <w:jc w:val="left"/>
        <w:textAlignment w:val="baseline"/>
        <w:rPr>
          <w:rFonts w:hint="eastAsia" w:ascii="Times New Roman" w:hAnsi="Times New Roman" w:eastAsia="宋体" w:cs="Times New Roman"/>
          <w:bCs/>
          <w:color w:val="auto"/>
          <w:sz w:val="24"/>
          <w:szCs w:val="28"/>
          <w:lang w:val="zh-CN"/>
        </w:rPr>
      </w:pPr>
      <w:r>
        <w:rPr>
          <w:rFonts w:hint="eastAsia" w:ascii="Times New Roman" w:hAnsi="Times New Roman" w:eastAsia="宋体" w:cs="Times New Roman"/>
          <w:bCs/>
          <w:color w:val="auto"/>
          <w:sz w:val="24"/>
          <w:szCs w:val="28"/>
          <w:lang w:val="zh-CN"/>
        </w:rPr>
        <w:t>（3）投标人认为有必要提供的其他资格证明文件。</w:t>
      </w:r>
    </w:p>
    <w:bookmarkEnd w:id="173"/>
    <w:p w14:paraId="6F7F7EC0">
      <w:pPr>
        <w:pStyle w:val="14"/>
        <w:spacing w:line="360" w:lineRule="auto"/>
        <w:jc w:val="left"/>
        <w:rPr>
          <w:rFonts w:ascii="Times New Roman" w:hAnsi="Times New Roman"/>
          <w:color w:val="auto"/>
          <w:lang w:val="zh-CN"/>
        </w:rPr>
      </w:pPr>
      <w:r>
        <w:rPr>
          <w:rFonts w:ascii="Times New Roman" w:hAnsi="Times New Roman"/>
          <w:color w:val="auto"/>
          <w:kern w:val="0"/>
          <w:sz w:val="24"/>
          <w:lang w:val="zh-CN"/>
        </w:rPr>
        <w:br w:type="page"/>
      </w:r>
      <w:bookmarkStart w:id="174" w:name="_Toc7050"/>
      <w:bookmarkStart w:id="175" w:name="_Toc20673"/>
      <w:bookmarkStart w:id="176" w:name="_Toc444715740"/>
      <w:r>
        <w:rPr>
          <w:rFonts w:ascii="Times New Roman" w:hAnsi="Times New Roman"/>
          <w:color w:val="auto"/>
          <w:lang w:val="zh-CN"/>
        </w:rPr>
        <w:t>格式</w:t>
      </w:r>
      <w:r>
        <w:rPr>
          <w:rFonts w:hint="eastAsia" w:ascii="Times New Roman" w:hAnsi="Times New Roman"/>
          <w:color w:val="auto"/>
          <w:lang w:val="zh-CN"/>
        </w:rPr>
        <w:t>7</w:t>
      </w:r>
      <w:r>
        <w:rPr>
          <w:rFonts w:ascii="Times New Roman" w:hAnsi="Times New Roman"/>
          <w:color w:val="auto"/>
          <w:lang w:val="zh-CN"/>
        </w:rPr>
        <w:t>：财务状况、缴纳税收和社会保障资金证明</w:t>
      </w:r>
      <w:bookmarkEnd w:id="174"/>
    </w:p>
    <w:p w14:paraId="1894DD43">
      <w:pPr>
        <w:rPr>
          <w:color w:val="auto"/>
          <w:lang w:val="zh-CN"/>
        </w:rPr>
      </w:pPr>
    </w:p>
    <w:p w14:paraId="3CDCB527">
      <w:pPr>
        <w:spacing w:line="360" w:lineRule="auto"/>
        <w:ind w:firstLine="480" w:firstLineChars="200"/>
        <w:rPr>
          <w:color w:val="auto"/>
          <w:sz w:val="24"/>
        </w:rPr>
      </w:pPr>
    </w:p>
    <w:p w14:paraId="0FD3EA6C">
      <w:pPr>
        <w:autoSpaceDE w:val="0"/>
        <w:autoSpaceDN w:val="0"/>
        <w:spacing w:line="360" w:lineRule="auto"/>
        <w:jc w:val="center"/>
        <w:rPr>
          <w:b/>
          <w:bCs/>
          <w:color w:val="auto"/>
          <w:kern w:val="0"/>
          <w:sz w:val="36"/>
          <w:szCs w:val="36"/>
          <w:lang w:val="zh-CN"/>
        </w:rPr>
      </w:pPr>
      <w:r>
        <w:rPr>
          <w:b/>
          <w:bCs/>
          <w:color w:val="auto"/>
          <w:kern w:val="0"/>
          <w:sz w:val="28"/>
          <w:szCs w:val="28"/>
          <w:lang w:val="zh-CN"/>
        </w:rPr>
        <w:t>财务状况报告，依法缴纳税收和社会保障资金证明</w:t>
      </w:r>
    </w:p>
    <w:p w14:paraId="6E08D480">
      <w:pPr>
        <w:autoSpaceDE w:val="0"/>
        <w:autoSpaceDN w:val="0"/>
        <w:spacing w:line="360" w:lineRule="auto"/>
        <w:rPr>
          <w:color w:val="auto"/>
          <w:kern w:val="0"/>
          <w:sz w:val="28"/>
          <w:szCs w:val="28"/>
          <w:lang w:val="zh-CN"/>
        </w:rPr>
      </w:pPr>
    </w:p>
    <w:p w14:paraId="4C776DC8">
      <w:pPr>
        <w:autoSpaceDE w:val="0"/>
        <w:autoSpaceDN w:val="0"/>
        <w:spacing w:line="360" w:lineRule="auto"/>
        <w:ind w:firstLine="480"/>
        <w:rPr>
          <w:color w:val="auto"/>
          <w:kern w:val="0"/>
          <w:sz w:val="24"/>
          <w:lang w:val="zh-CN"/>
        </w:rPr>
      </w:pPr>
      <w:r>
        <w:rPr>
          <w:color w:val="auto"/>
          <w:kern w:val="0"/>
          <w:sz w:val="24"/>
          <w:lang w:val="zh-CN"/>
        </w:rPr>
        <w:t>按照招标文件第2.2款（1）中第&lt;2&gt;条规定提供以下相关材料。</w:t>
      </w:r>
    </w:p>
    <w:p w14:paraId="3AAEE1AF">
      <w:pPr>
        <w:tabs>
          <w:tab w:val="left" w:pos="168"/>
        </w:tabs>
        <w:adjustRightInd w:val="0"/>
        <w:spacing w:line="360" w:lineRule="auto"/>
        <w:ind w:firstLine="480" w:firstLineChars="200"/>
        <w:jc w:val="left"/>
        <w:textAlignment w:val="baseline"/>
        <w:rPr>
          <w:rFonts w:hint="eastAsia"/>
          <w:bCs/>
          <w:color w:val="auto"/>
          <w:sz w:val="24"/>
          <w:szCs w:val="28"/>
          <w:lang w:val="zh-CN"/>
        </w:rPr>
      </w:pPr>
      <w:bookmarkStart w:id="177" w:name="OLE_LINK30"/>
      <w:r>
        <w:rPr>
          <w:rFonts w:hint="eastAsia"/>
          <w:bCs/>
          <w:color w:val="auto"/>
          <w:sz w:val="24"/>
          <w:szCs w:val="28"/>
          <w:lang w:val="zh-CN"/>
        </w:rPr>
        <w:t>1、</w:t>
      </w:r>
      <w:bookmarkStart w:id="178" w:name="OLE_LINK25"/>
      <w:r>
        <w:rPr>
          <w:rFonts w:hint="eastAsia"/>
          <w:bCs/>
          <w:color w:val="auto"/>
          <w:sz w:val="24"/>
          <w:szCs w:val="28"/>
          <w:lang w:val="zh-CN"/>
        </w:rPr>
        <w:t>投标人是法人的，</w:t>
      </w:r>
      <w:r>
        <w:rPr>
          <w:rFonts w:hint="eastAsia"/>
          <w:bCs/>
          <w:color w:val="auto"/>
          <w:sz w:val="24"/>
          <w:szCs w:val="28"/>
          <w:lang w:val="en-US" w:eastAsia="zh-CN"/>
        </w:rPr>
        <w:t>提供2023</w:t>
      </w:r>
      <w:r>
        <w:rPr>
          <w:rFonts w:hint="eastAsia"/>
          <w:bCs/>
          <w:color w:val="auto"/>
          <w:sz w:val="24"/>
          <w:szCs w:val="28"/>
        </w:rPr>
        <w:t>年度</w:t>
      </w:r>
      <w:r>
        <w:rPr>
          <w:rFonts w:hint="eastAsia"/>
          <w:bCs/>
          <w:color w:val="auto"/>
          <w:sz w:val="24"/>
          <w:szCs w:val="28"/>
          <w:lang w:eastAsia="zh-CN"/>
        </w:rPr>
        <w:t>或</w:t>
      </w:r>
      <w:r>
        <w:rPr>
          <w:rFonts w:hint="eastAsia"/>
          <w:bCs/>
          <w:color w:val="auto"/>
          <w:sz w:val="24"/>
          <w:szCs w:val="28"/>
          <w:lang w:val="en-US" w:eastAsia="zh-CN"/>
        </w:rPr>
        <w:t>2024年度</w:t>
      </w:r>
      <w:r>
        <w:rPr>
          <w:rFonts w:hint="eastAsia"/>
          <w:bCs/>
          <w:color w:val="auto"/>
          <w:sz w:val="24"/>
          <w:szCs w:val="28"/>
        </w:rPr>
        <w:t>经第三方审计的财务状况报告</w:t>
      </w:r>
      <w:r>
        <w:rPr>
          <w:rFonts w:hint="eastAsia"/>
          <w:bCs/>
          <w:color w:val="auto"/>
          <w:sz w:val="24"/>
          <w:szCs w:val="28"/>
          <w:lang w:val="zh-CN"/>
        </w:rPr>
        <w:t>（扫描或复印件应全面、完整、清晰），包括资产负债表、现金流量表、利润表和财务（会计）报表附注</w:t>
      </w:r>
      <w:r>
        <w:rPr>
          <w:rFonts w:hint="eastAsia"/>
          <w:bCs/>
          <w:color w:val="auto"/>
          <w:sz w:val="24"/>
          <w:szCs w:val="28"/>
        </w:rPr>
        <w:t>，</w:t>
      </w:r>
      <w:r>
        <w:rPr>
          <w:rFonts w:hint="eastAsia"/>
          <w:bCs/>
          <w:color w:val="auto"/>
          <w:sz w:val="24"/>
          <w:szCs w:val="28"/>
          <w:lang w:val="zh-CN"/>
        </w:rPr>
        <w:t>并提供第三方机构的营业执照、执业证书；或提供基本开户银行近三个月内出具的资信证明（同时提供基本</w:t>
      </w:r>
      <w:r>
        <w:rPr>
          <w:rFonts w:hint="eastAsia"/>
          <w:bCs/>
          <w:color w:val="auto"/>
          <w:sz w:val="24"/>
          <w:szCs w:val="28"/>
          <w:lang w:val="en-US" w:eastAsia="zh-CN"/>
        </w:rPr>
        <w:t>存款账户信息证明</w:t>
      </w:r>
      <w:r>
        <w:rPr>
          <w:rFonts w:hint="eastAsia"/>
          <w:bCs/>
          <w:color w:val="auto"/>
          <w:sz w:val="24"/>
          <w:szCs w:val="28"/>
          <w:lang w:val="zh-CN"/>
        </w:rPr>
        <w:t>）。</w:t>
      </w:r>
      <w:r>
        <w:rPr>
          <w:rFonts w:hint="eastAsia"/>
          <w:bCs/>
          <w:color w:val="auto"/>
          <w:sz w:val="24"/>
          <w:szCs w:val="28"/>
        </w:rPr>
        <w:t>投标人是其他组织和自然人，没有经审计的财务报告，可以提供基本开户银行出具的资信证明（</w:t>
      </w:r>
      <w:r>
        <w:rPr>
          <w:rFonts w:hint="eastAsia"/>
          <w:bCs/>
          <w:color w:val="auto"/>
          <w:sz w:val="24"/>
          <w:szCs w:val="28"/>
          <w:lang w:val="zh-CN"/>
        </w:rPr>
        <w:t>同时提供基本</w:t>
      </w:r>
      <w:r>
        <w:rPr>
          <w:rFonts w:hint="eastAsia"/>
          <w:bCs/>
          <w:color w:val="auto"/>
          <w:sz w:val="24"/>
          <w:szCs w:val="28"/>
          <w:lang w:val="en-US" w:eastAsia="zh-CN"/>
        </w:rPr>
        <w:t>存款账户信息证明</w:t>
      </w:r>
      <w:r>
        <w:rPr>
          <w:rFonts w:hint="eastAsia"/>
          <w:bCs/>
          <w:color w:val="auto"/>
          <w:sz w:val="24"/>
          <w:szCs w:val="28"/>
        </w:rPr>
        <w:t>）。</w:t>
      </w:r>
      <w:bookmarkEnd w:id="178"/>
    </w:p>
    <w:p w14:paraId="0B3B1EE5">
      <w:pPr>
        <w:tabs>
          <w:tab w:val="left" w:pos="168"/>
        </w:tabs>
        <w:adjustRightInd w:val="0"/>
        <w:spacing w:line="360" w:lineRule="auto"/>
        <w:ind w:firstLine="480" w:firstLineChars="200"/>
        <w:jc w:val="left"/>
        <w:textAlignment w:val="baseline"/>
        <w:rPr>
          <w:rFonts w:hint="eastAsia"/>
          <w:bCs/>
          <w:color w:val="auto"/>
          <w:sz w:val="24"/>
          <w:szCs w:val="28"/>
          <w:lang w:val="zh-CN"/>
        </w:rPr>
      </w:pPr>
      <w:r>
        <w:rPr>
          <w:rFonts w:hint="eastAsia"/>
          <w:bCs/>
          <w:color w:val="auto"/>
          <w:sz w:val="24"/>
          <w:szCs w:val="28"/>
          <w:lang w:val="zh-CN"/>
        </w:rPr>
        <w:t>2、</w:t>
      </w:r>
      <w:bookmarkStart w:id="179" w:name="OLE_LINK26"/>
      <w:r>
        <w:rPr>
          <w:rFonts w:hint="eastAsia"/>
          <w:bCs/>
          <w:color w:val="auto"/>
          <w:sz w:val="24"/>
          <w:szCs w:val="28"/>
          <w:lang w:val="en-US" w:eastAsia="zh-CN"/>
        </w:rPr>
        <w:t>提供</w:t>
      </w:r>
      <w:r>
        <w:rPr>
          <w:rFonts w:hint="eastAsia"/>
          <w:bCs/>
          <w:color w:val="auto"/>
          <w:sz w:val="24"/>
          <w:szCs w:val="28"/>
          <w:lang w:val="zh-CN"/>
        </w:rPr>
        <w:t>近半年内任</w:t>
      </w:r>
      <w:r>
        <w:rPr>
          <w:rFonts w:hint="eastAsia" w:ascii="Times New Roman" w:hAnsi="Times New Roman" w:eastAsia="宋体" w:cs="Times New Roman"/>
          <w:bCs/>
          <w:color w:val="auto"/>
          <w:sz w:val="24"/>
          <w:szCs w:val="28"/>
          <w:lang w:val="zh-CN"/>
        </w:rPr>
        <w:t>意</w:t>
      </w:r>
      <w:r>
        <w:rPr>
          <w:rFonts w:hint="eastAsia" w:ascii="Times New Roman" w:hAnsi="Times New Roman" w:eastAsia="宋体" w:cs="Times New Roman"/>
          <w:bCs/>
          <w:color w:val="auto"/>
          <w:sz w:val="24"/>
          <w:szCs w:val="28"/>
          <w:lang w:val="en-US" w:eastAsia="zh-CN"/>
        </w:rPr>
        <w:t>一</w:t>
      </w:r>
      <w:r>
        <w:rPr>
          <w:rFonts w:hint="eastAsia" w:ascii="Times New Roman" w:hAnsi="Times New Roman" w:eastAsia="宋体" w:cs="Times New Roman"/>
          <w:bCs/>
          <w:color w:val="auto"/>
          <w:sz w:val="24"/>
          <w:szCs w:val="28"/>
          <w:lang w:val="zh-CN"/>
        </w:rPr>
        <w:t>个月</w:t>
      </w:r>
      <w:r>
        <w:rPr>
          <w:rFonts w:hint="eastAsia"/>
          <w:bCs/>
          <w:color w:val="auto"/>
          <w:sz w:val="24"/>
          <w:szCs w:val="28"/>
          <w:lang w:val="zh-CN"/>
        </w:rPr>
        <w:t>的依法缴纳税收和社会保障资金记录的证明材料；依法免税或不需要缴纳社会保障资金的投标人须提供相应文件证明其依法免税或不需要缴纳社会保障资金。</w:t>
      </w:r>
      <w:bookmarkEnd w:id="179"/>
    </w:p>
    <w:bookmarkEnd w:id="177"/>
    <w:p w14:paraId="1167F1F0">
      <w:pPr>
        <w:tabs>
          <w:tab w:val="left" w:pos="168"/>
        </w:tabs>
        <w:adjustRightInd w:val="0"/>
        <w:spacing w:line="360" w:lineRule="auto"/>
        <w:jc w:val="right"/>
        <w:textAlignment w:val="baseline"/>
        <w:rPr>
          <w:bCs/>
          <w:color w:val="auto"/>
          <w:sz w:val="24"/>
          <w:szCs w:val="28"/>
        </w:rPr>
      </w:pPr>
      <w:r>
        <w:rPr>
          <w:bCs/>
          <w:color w:val="auto"/>
          <w:sz w:val="24"/>
          <w:szCs w:val="28"/>
        </w:rPr>
        <w:t xml:space="preserve"> </w:t>
      </w:r>
    </w:p>
    <w:p w14:paraId="2602A129">
      <w:pPr>
        <w:pStyle w:val="14"/>
        <w:spacing w:line="360" w:lineRule="auto"/>
        <w:jc w:val="left"/>
        <w:rPr>
          <w:rFonts w:ascii="Times New Roman" w:hAnsi="Times New Roman"/>
          <w:color w:val="auto"/>
          <w:lang w:val="zh-CN"/>
        </w:rPr>
      </w:pPr>
      <w:r>
        <w:rPr>
          <w:rFonts w:ascii="Times New Roman" w:hAnsi="Times New Roman"/>
          <w:color w:val="auto"/>
          <w:lang w:val="zh-CN"/>
        </w:rPr>
        <w:br w:type="page"/>
      </w:r>
      <w:bookmarkStart w:id="180" w:name="_Toc32594"/>
      <w:r>
        <w:rPr>
          <w:rFonts w:ascii="Times New Roman" w:hAnsi="Times New Roman"/>
          <w:color w:val="auto"/>
          <w:lang w:val="zh-CN"/>
        </w:rPr>
        <w:t>格式</w:t>
      </w:r>
      <w:r>
        <w:rPr>
          <w:rFonts w:hint="eastAsia" w:ascii="Times New Roman" w:hAnsi="Times New Roman"/>
          <w:color w:val="auto"/>
          <w:lang w:val="zh-CN"/>
        </w:rPr>
        <w:t>8</w:t>
      </w:r>
      <w:r>
        <w:rPr>
          <w:rFonts w:ascii="Times New Roman" w:hAnsi="Times New Roman"/>
          <w:color w:val="auto"/>
          <w:lang w:val="zh-CN"/>
        </w:rPr>
        <w:t>：具备履行合同所必需的设备和专业技术能力证明</w:t>
      </w:r>
      <w:bookmarkEnd w:id="180"/>
    </w:p>
    <w:p w14:paraId="40AC6BA7">
      <w:pPr>
        <w:autoSpaceDE w:val="0"/>
        <w:autoSpaceDN w:val="0"/>
        <w:adjustRightInd w:val="0"/>
        <w:spacing w:line="360" w:lineRule="auto"/>
        <w:rPr>
          <w:color w:val="auto"/>
          <w:kern w:val="0"/>
          <w:sz w:val="24"/>
          <w:lang w:val="zh-CN"/>
        </w:rPr>
      </w:pPr>
    </w:p>
    <w:p w14:paraId="08D97661">
      <w:pPr>
        <w:autoSpaceDE w:val="0"/>
        <w:autoSpaceDN w:val="0"/>
        <w:adjustRightInd w:val="0"/>
        <w:spacing w:line="360" w:lineRule="auto"/>
        <w:jc w:val="center"/>
        <w:rPr>
          <w:b/>
          <w:bCs/>
          <w:color w:val="auto"/>
          <w:kern w:val="0"/>
          <w:sz w:val="30"/>
          <w:szCs w:val="30"/>
          <w:lang w:val="zh-CN"/>
        </w:rPr>
      </w:pPr>
      <w:r>
        <w:rPr>
          <w:b/>
          <w:bCs/>
          <w:color w:val="auto"/>
          <w:kern w:val="0"/>
          <w:sz w:val="30"/>
          <w:szCs w:val="30"/>
          <w:lang w:val="zh-CN"/>
        </w:rPr>
        <w:t>具备履行合同所必需的设备和专业技术能力证明</w:t>
      </w:r>
    </w:p>
    <w:p w14:paraId="6679D3AD">
      <w:pPr>
        <w:autoSpaceDE w:val="0"/>
        <w:autoSpaceDN w:val="0"/>
        <w:adjustRightInd w:val="0"/>
        <w:spacing w:line="360" w:lineRule="auto"/>
        <w:ind w:firstLine="600" w:firstLineChars="250"/>
        <w:jc w:val="left"/>
        <w:rPr>
          <w:color w:val="auto"/>
          <w:sz w:val="24"/>
          <w:lang w:val="zh-CN"/>
        </w:rPr>
      </w:pPr>
    </w:p>
    <w:p w14:paraId="4694B25F">
      <w:pPr>
        <w:bidi w:val="0"/>
        <w:spacing w:line="360" w:lineRule="auto"/>
        <w:ind w:firstLine="480" w:firstLineChars="200"/>
        <w:jc w:val="left"/>
        <w:rPr>
          <w:rFonts w:hint="eastAsia" w:ascii="Times New Roman" w:hAnsi="Times New Roman" w:eastAsia="宋体" w:cs="Times New Roman"/>
          <w:color w:val="auto"/>
          <w:sz w:val="24"/>
          <w:lang w:val="zh-CN" w:eastAsia="zh-CN"/>
        </w:rPr>
      </w:pPr>
      <w:r>
        <w:rPr>
          <w:rFonts w:hint="eastAsia" w:ascii="Times New Roman" w:hAnsi="Times New Roman" w:eastAsia="宋体" w:cs="Times New Roman"/>
          <w:color w:val="auto"/>
          <w:sz w:val="24"/>
          <w:lang w:val="zh-CN" w:eastAsia="zh-CN"/>
        </w:rPr>
        <w:t>为保证本项目合同的顺利履行，投标人必须具备履行合同的设备或专业技术能力，须提供必须具备履行合同的设备和专业技术能力的承诺函（格式自拟），并提供相关设备的购置发票或相关人员的职称证书或用工合同等证明材料。</w:t>
      </w:r>
    </w:p>
    <w:p w14:paraId="324E0071">
      <w:pPr>
        <w:pStyle w:val="14"/>
        <w:spacing w:line="360" w:lineRule="auto"/>
        <w:jc w:val="left"/>
        <w:rPr>
          <w:rFonts w:ascii="Times New Roman" w:hAnsi="Times New Roman" w:eastAsia="宋体" w:cs="Times New Roman"/>
          <w:b/>
          <w:bCs/>
          <w:color w:val="auto"/>
          <w:lang w:val="zh-CN"/>
        </w:rPr>
      </w:pPr>
      <w:r>
        <w:rPr>
          <w:rFonts w:hint="eastAsia" w:ascii="Times New Roman" w:hAnsi="Times New Roman" w:eastAsia="宋体" w:cs="Times New Roman"/>
          <w:b/>
          <w:bCs/>
          <w:color w:val="auto"/>
          <w:lang w:val="zh-CN" w:eastAsia="zh-CN"/>
        </w:rPr>
        <w:br w:type="page"/>
      </w:r>
      <w:bookmarkStart w:id="181" w:name="_Toc28676"/>
      <w:r>
        <w:rPr>
          <w:rFonts w:hint="eastAsia" w:ascii="Times New Roman" w:hAnsi="Times New Roman" w:eastAsia="宋体" w:cs="Times New Roman"/>
          <w:b/>
          <w:bCs/>
          <w:color w:val="auto"/>
          <w:lang w:val="zh-CN" w:eastAsia="zh-CN"/>
        </w:rPr>
        <w:t>格式9：</w:t>
      </w:r>
      <w:bookmarkEnd w:id="175"/>
      <w:bookmarkEnd w:id="176"/>
      <w:r>
        <w:rPr>
          <w:rFonts w:hint="eastAsia" w:ascii="Times New Roman" w:hAnsi="Times New Roman" w:eastAsia="宋体" w:cs="Times New Roman"/>
          <w:b/>
          <w:bCs/>
          <w:color w:val="auto"/>
          <w:lang w:val="zh-CN" w:eastAsia="zh-CN"/>
        </w:rPr>
        <w:t>无重大违法记录声明</w:t>
      </w:r>
      <w:bookmarkEnd w:id="181"/>
    </w:p>
    <w:p w14:paraId="55C20CC8">
      <w:pPr>
        <w:autoSpaceDE w:val="0"/>
        <w:autoSpaceDN w:val="0"/>
        <w:adjustRightInd w:val="0"/>
        <w:spacing w:line="360" w:lineRule="auto"/>
        <w:rPr>
          <w:color w:val="auto"/>
          <w:kern w:val="0"/>
          <w:sz w:val="24"/>
          <w:lang w:val="zh-CN"/>
        </w:rPr>
      </w:pPr>
    </w:p>
    <w:p w14:paraId="1D62DEBD">
      <w:pPr>
        <w:autoSpaceDE w:val="0"/>
        <w:autoSpaceDN w:val="0"/>
        <w:adjustRightInd w:val="0"/>
        <w:spacing w:line="360" w:lineRule="auto"/>
        <w:jc w:val="center"/>
        <w:rPr>
          <w:b/>
          <w:bCs/>
          <w:color w:val="auto"/>
          <w:kern w:val="0"/>
          <w:sz w:val="30"/>
          <w:szCs w:val="30"/>
          <w:lang w:val="zh-CN"/>
        </w:rPr>
      </w:pPr>
      <w:r>
        <w:rPr>
          <w:b/>
          <w:bCs/>
          <w:color w:val="auto"/>
          <w:kern w:val="0"/>
          <w:sz w:val="30"/>
          <w:szCs w:val="30"/>
          <w:lang w:val="zh-CN"/>
        </w:rPr>
        <w:t>无重大违法记录声明</w:t>
      </w:r>
    </w:p>
    <w:p w14:paraId="5C5D9600">
      <w:pPr>
        <w:autoSpaceDE w:val="0"/>
        <w:autoSpaceDN w:val="0"/>
        <w:adjustRightInd w:val="0"/>
        <w:spacing w:line="360" w:lineRule="auto"/>
        <w:rPr>
          <w:color w:val="auto"/>
          <w:kern w:val="0"/>
          <w:sz w:val="24"/>
          <w:lang w:val="zh-CN"/>
        </w:rPr>
      </w:pPr>
    </w:p>
    <w:p w14:paraId="0E42F4D6">
      <w:pPr>
        <w:spacing w:line="360" w:lineRule="auto"/>
        <w:ind w:left="632" w:hanging="632" w:hangingChars="300"/>
        <w:rPr>
          <w:rFonts w:hint="eastAsia" w:eastAsia="宋体"/>
          <w:b/>
          <w:color w:val="auto"/>
          <w:lang w:eastAsia="zh-CN"/>
        </w:rPr>
      </w:pPr>
      <w:bookmarkStart w:id="182" w:name="_Hlk490491531"/>
      <w:r>
        <w:rPr>
          <w:b/>
          <w:color w:val="auto"/>
        </w:rPr>
        <w:t>致：</w:t>
      </w:r>
      <w:r>
        <w:rPr>
          <w:rFonts w:hint="eastAsia"/>
          <w:b/>
          <w:color w:val="auto"/>
          <w:lang w:eastAsia="zh-CN"/>
        </w:rPr>
        <w:t>采购人/代理机构</w:t>
      </w:r>
    </w:p>
    <w:p w14:paraId="6D73C442">
      <w:pPr>
        <w:spacing w:line="360" w:lineRule="auto"/>
        <w:ind w:firstLine="480" w:firstLineChars="200"/>
        <w:rPr>
          <w:color w:val="auto"/>
          <w:sz w:val="24"/>
        </w:rPr>
      </w:pPr>
      <w:r>
        <w:rPr>
          <w:color w:val="auto"/>
          <w:sz w:val="24"/>
        </w:rPr>
        <w:t>（</w:t>
      </w:r>
      <w:r>
        <w:rPr>
          <w:rFonts w:hint="eastAsia"/>
          <w:color w:val="auto"/>
          <w:sz w:val="24"/>
          <w:lang w:eastAsia="zh-CN"/>
        </w:rPr>
        <w:t>投标人</w:t>
      </w:r>
      <w:r>
        <w:rPr>
          <w:color w:val="auto"/>
          <w:sz w:val="24"/>
        </w:rPr>
        <w:t>名称）郑重声明，我方参加本项目前三年内无重大违法活动记录，</w:t>
      </w:r>
    </w:p>
    <w:p w14:paraId="0D763CED">
      <w:pPr>
        <w:spacing w:line="360" w:lineRule="auto"/>
        <w:rPr>
          <w:color w:val="auto"/>
          <w:sz w:val="24"/>
        </w:rPr>
      </w:pPr>
      <w:r>
        <w:rPr>
          <w:color w:val="auto"/>
          <w:sz w:val="24"/>
        </w:rPr>
        <w:t>符合规定的供应商资格条件。我方对此声明负全部法律责任。</w:t>
      </w:r>
    </w:p>
    <w:p w14:paraId="4319F796">
      <w:pPr>
        <w:spacing w:line="360" w:lineRule="auto"/>
        <w:ind w:firstLine="720" w:firstLineChars="300"/>
        <w:rPr>
          <w:color w:val="auto"/>
          <w:sz w:val="24"/>
        </w:rPr>
      </w:pPr>
      <w:r>
        <w:rPr>
          <w:color w:val="auto"/>
          <w:sz w:val="24"/>
        </w:rPr>
        <w:t>特此声明。</w:t>
      </w:r>
    </w:p>
    <w:p w14:paraId="4CE6427A">
      <w:pPr>
        <w:rPr>
          <w:color w:val="auto"/>
          <w:lang w:val="zh-CN"/>
        </w:rPr>
      </w:pPr>
    </w:p>
    <w:p w14:paraId="1569DFCA">
      <w:pPr>
        <w:autoSpaceDE w:val="0"/>
        <w:autoSpaceDN w:val="0"/>
        <w:adjustRightInd w:val="0"/>
        <w:spacing w:line="360" w:lineRule="auto"/>
        <w:rPr>
          <w:color w:val="auto"/>
          <w:kern w:val="0"/>
          <w:sz w:val="24"/>
          <w:lang w:val="zh-CN"/>
        </w:rPr>
      </w:pPr>
    </w:p>
    <w:p w14:paraId="130980B1">
      <w:pPr>
        <w:autoSpaceDE w:val="0"/>
        <w:autoSpaceDN w:val="0"/>
        <w:adjustRightInd w:val="0"/>
        <w:spacing w:line="360" w:lineRule="auto"/>
        <w:rPr>
          <w:color w:val="auto"/>
          <w:kern w:val="0"/>
          <w:sz w:val="24"/>
          <w:lang w:val="zh-CN"/>
        </w:rPr>
      </w:pPr>
    </w:p>
    <w:p w14:paraId="7CC06C24">
      <w:pPr>
        <w:autoSpaceDE w:val="0"/>
        <w:autoSpaceDN w:val="0"/>
        <w:adjustRightInd w:val="0"/>
        <w:spacing w:line="360" w:lineRule="auto"/>
        <w:rPr>
          <w:color w:val="auto"/>
          <w:kern w:val="0"/>
          <w:sz w:val="24"/>
          <w:lang w:val="zh-CN"/>
        </w:rPr>
      </w:pPr>
    </w:p>
    <w:p w14:paraId="7F6766C7">
      <w:pPr>
        <w:autoSpaceDE w:val="0"/>
        <w:autoSpaceDN w:val="0"/>
        <w:adjustRightInd w:val="0"/>
        <w:spacing w:line="360" w:lineRule="auto"/>
        <w:rPr>
          <w:color w:val="auto"/>
          <w:kern w:val="0"/>
          <w:sz w:val="24"/>
          <w:lang w:val="zh-CN"/>
        </w:rPr>
      </w:pPr>
    </w:p>
    <w:p w14:paraId="73E08713">
      <w:pPr>
        <w:autoSpaceDE w:val="0"/>
        <w:autoSpaceDN w:val="0"/>
        <w:adjustRightInd w:val="0"/>
        <w:spacing w:line="360" w:lineRule="auto"/>
        <w:rPr>
          <w:color w:val="auto"/>
          <w:kern w:val="0"/>
          <w:sz w:val="24"/>
          <w:lang w:val="zh-CN"/>
        </w:rPr>
      </w:pPr>
    </w:p>
    <w:p w14:paraId="4D5C379C">
      <w:pPr>
        <w:autoSpaceDE w:val="0"/>
        <w:autoSpaceDN w:val="0"/>
        <w:adjustRightInd w:val="0"/>
        <w:spacing w:line="360" w:lineRule="auto"/>
        <w:rPr>
          <w:color w:val="auto"/>
          <w:kern w:val="0"/>
          <w:sz w:val="24"/>
          <w:lang w:val="zh-CN"/>
        </w:rPr>
      </w:pPr>
    </w:p>
    <w:p w14:paraId="3D6CEB52">
      <w:pPr>
        <w:autoSpaceDE w:val="0"/>
        <w:autoSpaceDN w:val="0"/>
        <w:adjustRightInd w:val="0"/>
        <w:spacing w:line="360" w:lineRule="auto"/>
        <w:rPr>
          <w:color w:val="auto"/>
          <w:kern w:val="0"/>
          <w:sz w:val="24"/>
          <w:lang w:val="zh-CN"/>
        </w:rPr>
      </w:pPr>
    </w:p>
    <w:p w14:paraId="1D05FCFA">
      <w:pPr>
        <w:autoSpaceDE w:val="0"/>
        <w:autoSpaceDN w:val="0"/>
        <w:adjustRightInd w:val="0"/>
        <w:spacing w:line="360" w:lineRule="auto"/>
        <w:rPr>
          <w:color w:val="auto"/>
          <w:kern w:val="0"/>
          <w:sz w:val="24"/>
          <w:lang w:val="zh-CN"/>
        </w:rPr>
      </w:pPr>
    </w:p>
    <w:p w14:paraId="2BF7F7DD">
      <w:pPr>
        <w:autoSpaceDE w:val="0"/>
        <w:autoSpaceDN w:val="0"/>
        <w:adjustRightInd w:val="0"/>
        <w:spacing w:line="360" w:lineRule="auto"/>
        <w:rPr>
          <w:color w:val="auto"/>
          <w:kern w:val="0"/>
          <w:sz w:val="24"/>
          <w:lang w:val="zh-CN"/>
        </w:rPr>
      </w:pPr>
    </w:p>
    <w:p w14:paraId="08349528">
      <w:pPr>
        <w:autoSpaceDE w:val="0"/>
        <w:autoSpaceDN w:val="0"/>
        <w:adjustRightInd w:val="0"/>
        <w:spacing w:line="360" w:lineRule="auto"/>
        <w:rPr>
          <w:color w:val="auto"/>
          <w:kern w:val="0"/>
          <w:sz w:val="24"/>
          <w:lang w:val="zh-CN"/>
        </w:rPr>
      </w:pPr>
    </w:p>
    <w:p w14:paraId="460F098E">
      <w:pPr>
        <w:autoSpaceDE w:val="0"/>
        <w:autoSpaceDN w:val="0"/>
        <w:adjustRightInd w:val="0"/>
        <w:spacing w:line="360" w:lineRule="auto"/>
        <w:rPr>
          <w:rFonts w:hint="eastAsia"/>
          <w:color w:val="auto"/>
          <w:kern w:val="0"/>
          <w:sz w:val="24"/>
          <w:lang w:val="zh-CN"/>
        </w:rPr>
      </w:pPr>
    </w:p>
    <w:p w14:paraId="649DF118">
      <w:pPr>
        <w:autoSpaceDE w:val="0"/>
        <w:autoSpaceDN w:val="0"/>
        <w:adjustRightInd w:val="0"/>
        <w:spacing w:line="360" w:lineRule="auto"/>
        <w:rPr>
          <w:rFonts w:hint="eastAsia"/>
          <w:color w:val="auto"/>
          <w:kern w:val="0"/>
          <w:sz w:val="24"/>
          <w:lang w:val="zh-CN"/>
        </w:rPr>
      </w:pPr>
    </w:p>
    <w:p w14:paraId="200558BE">
      <w:pPr>
        <w:autoSpaceDE w:val="0"/>
        <w:autoSpaceDN w:val="0"/>
        <w:adjustRightInd w:val="0"/>
        <w:spacing w:line="360" w:lineRule="auto"/>
        <w:rPr>
          <w:rFonts w:hint="eastAsia"/>
          <w:color w:val="auto"/>
          <w:kern w:val="0"/>
          <w:sz w:val="24"/>
          <w:lang w:val="zh-CN"/>
        </w:rPr>
      </w:pPr>
    </w:p>
    <w:p w14:paraId="5B1E8690">
      <w:pPr>
        <w:autoSpaceDE w:val="0"/>
        <w:autoSpaceDN w:val="0"/>
        <w:adjustRightInd w:val="0"/>
        <w:spacing w:line="360" w:lineRule="auto"/>
        <w:rPr>
          <w:rFonts w:hint="eastAsia"/>
          <w:color w:val="auto"/>
          <w:kern w:val="0"/>
          <w:sz w:val="24"/>
          <w:lang w:val="zh-CN"/>
        </w:rPr>
      </w:pPr>
    </w:p>
    <w:p w14:paraId="1E19B4DB">
      <w:pPr>
        <w:autoSpaceDE w:val="0"/>
        <w:autoSpaceDN w:val="0"/>
        <w:adjustRightInd w:val="0"/>
        <w:spacing w:line="360" w:lineRule="auto"/>
        <w:rPr>
          <w:color w:val="auto"/>
          <w:kern w:val="0"/>
          <w:sz w:val="24"/>
          <w:lang w:val="zh-CN"/>
        </w:rPr>
      </w:pPr>
    </w:p>
    <w:p w14:paraId="354F8687">
      <w:pPr>
        <w:autoSpaceDE w:val="0"/>
        <w:autoSpaceDN w:val="0"/>
        <w:adjustRightInd w:val="0"/>
        <w:spacing w:line="360" w:lineRule="auto"/>
        <w:rPr>
          <w:color w:val="auto"/>
          <w:kern w:val="0"/>
          <w:sz w:val="24"/>
          <w:lang w:val="zh-CN"/>
        </w:rPr>
      </w:pPr>
    </w:p>
    <w:bookmarkEnd w:id="182"/>
    <w:p w14:paraId="7FD8F73B">
      <w:pPr>
        <w:jc w:val="right"/>
        <w:rPr>
          <w:b/>
          <w:color w:val="auto"/>
          <w:sz w:val="24"/>
        </w:rPr>
      </w:pPr>
      <w:r>
        <w:rPr>
          <w:b/>
          <w:color w:val="auto"/>
          <w:sz w:val="24"/>
        </w:rPr>
        <w:t>投标人：                        （公章）</w:t>
      </w:r>
    </w:p>
    <w:p w14:paraId="3E5CFB29">
      <w:pPr>
        <w:jc w:val="right"/>
        <w:rPr>
          <w:b/>
          <w:color w:val="auto"/>
          <w:sz w:val="24"/>
        </w:rPr>
      </w:pPr>
      <w:r>
        <w:rPr>
          <w:b/>
          <w:color w:val="auto"/>
          <w:sz w:val="24"/>
        </w:rPr>
        <w:t>法定代表人或委托代理人：        （</w:t>
      </w:r>
      <w:r>
        <w:rPr>
          <w:rFonts w:hint="eastAsia" w:ascii="Times New Roman" w:hAnsi="Times New Roman" w:eastAsia="宋体" w:cs="Times New Roman"/>
          <w:b/>
          <w:color w:val="auto"/>
          <w:sz w:val="24"/>
          <w:lang w:val="zh-CN"/>
        </w:rPr>
        <w:t>签字或盖章</w:t>
      </w:r>
      <w:r>
        <w:rPr>
          <w:b/>
          <w:color w:val="auto"/>
          <w:sz w:val="24"/>
        </w:rPr>
        <w:t>）</w:t>
      </w:r>
    </w:p>
    <w:p w14:paraId="6C43A460">
      <w:pPr>
        <w:jc w:val="right"/>
        <w:rPr>
          <w:color w:val="auto"/>
        </w:rPr>
      </w:pPr>
      <w:r>
        <w:rPr>
          <w:color w:val="auto"/>
          <w:sz w:val="24"/>
        </w:rPr>
        <w:t xml:space="preserve">      </w:t>
      </w:r>
      <w:r>
        <w:rPr>
          <w:b/>
          <w:color w:val="auto"/>
          <w:sz w:val="24"/>
        </w:rPr>
        <w:t>日期：                  年   月   日</w:t>
      </w:r>
    </w:p>
    <w:p w14:paraId="5B758D9E">
      <w:pPr>
        <w:pStyle w:val="14"/>
        <w:spacing w:line="360" w:lineRule="auto"/>
        <w:jc w:val="left"/>
        <w:rPr>
          <w:rFonts w:hint="eastAsia" w:ascii="宋体" w:hAnsi="宋体" w:cs="宋体"/>
          <w:color w:val="auto"/>
          <w:lang w:val="zh-CN"/>
        </w:rPr>
      </w:pPr>
      <w:bookmarkStart w:id="183" w:name="_Toc100240546"/>
      <w:bookmarkStart w:id="184" w:name="_Toc17535"/>
      <w:r>
        <w:rPr>
          <w:rFonts w:hint="eastAsia"/>
          <w:color w:val="auto"/>
          <w:lang w:val="zh-CN"/>
        </w:rPr>
        <w:br w:type="page"/>
      </w:r>
      <w:bookmarkStart w:id="185" w:name="_Toc8442"/>
      <w:r>
        <w:rPr>
          <w:rFonts w:hint="eastAsia"/>
          <w:color w:val="auto"/>
          <w:lang w:val="zh-CN"/>
        </w:rPr>
        <w:t>格式10：投标保证金证明</w:t>
      </w:r>
      <w:bookmarkEnd w:id="183"/>
      <w:bookmarkEnd w:id="185"/>
    </w:p>
    <w:p w14:paraId="2FF45DB1">
      <w:pPr>
        <w:spacing w:line="360" w:lineRule="auto"/>
        <w:rPr>
          <w:rFonts w:hint="eastAsia" w:ascii="宋体" w:hAnsi="宋体" w:cs="宋体"/>
          <w:color w:val="auto"/>
          <w:lang w:val="zh-CN"/>
        </w:rPr>
      </w:pPr>
    </w:p>
    <w:p w14:paraId="693CFBD7">
      <w:pPr>
        <w:autoSpaceDE w:val="0"/>
        <w:autoSpaceDN w:val="0"/>
        <w:adjustRightInd w:val="0"/>
        <w:spacing w:line="360" w:lineRule="auto"/>
        <w:jc w:val="center"/>
        <w:rPr>
          <w:rFonts w:hint="eastAsia" w:ascii="宋体" w:hAnsi="宋体" w:cs="宋体"/>
          <w:b/>
          <w:bCs/>
          <w:color w:val="auto"/>
          <w:kern w:val="0"/>
          <w:sz w:val="30"/>
          <w:szCs w:val="30"/>
          <w:lang w:val="zh-CN"/>
        </w:rPr>
      </w:pPr>
      <w:r>
        <w:rPr>
          <w:rFonts w:hint="eastAsia" w:ascii="宋体" w:hAnsi="宋体" w:cs="宋体"/>
          <w:b/>
          <w:bCs/>
          <w:color w:val="auto"/>
          <w:kern w:val="0"/>
          <w:sz w:val="30"/>
          <w:szCs w:val="30"/>
          <w:lang w:val="zh-CN"/>
        </w:rPr>
        <w:t>投标保证金证明</w:t>
      </w:r>
    </w:p>
    <w:p w14:paraId="1B494304">
      <w:pPr>
        <w:autoSpaceDE w:val="0"/>
        <w:autoSpaceDN w:val="0"/>
        <w:adjustRightInd w:val="0"/>
        <w:spacing w:line="360" w:lineRule="auto"/>
        <w:rPr>
          <w:rFonts w:hint="eastAsia" w:ascii="宋体" w:hAnsi="宋体" w:cs="宋体"/>
          <w:b/>
          <w:bCs/>
          <w:color w:val="auto"/>
          <w:kern w:val="0"/>
          <w:sz w:val="28"/>
          <w:szCs w:val="28"/>
          <w:lang w:val="zh-CN"/>
        </w:rPr>
      </w:pPr>
    </w:p>
    <w:p w14:paraId="159017B5">
      <w:pPr>
        <w:autoSpaceDE w:val="0"/>
        <w:autoSpaceDN w:val="0"/>
        <w:adjustRightInd w:val="0"/>
        <w:spacing w:line="360" w:lineRule="auto"/>
        <w:rPr>
          <w:rFonts w:hint="eastAsia" w:ascii="宋体" w:hAnsi="宋体" w:eastAsia="宋体" w:cs="宋体"/>
          <w:b/>
          <w:color w:val="auto"/>
          <w:kern w:val="0"/>
          <w:sz w:val="24"/>
          <w:lang w:eastAsia="zh-CN"/>
        </w:rPr>
      </w:pPr>
      <w:r>
        <w:rPr>
          <w:rFonts w:hint="eastAsia" w:ascii="宋体" w:hAnsi="宋体" w:cs="宋体"/>
          <w:b/>
          <w:color w:val="auto"/>
          <w:kern w:val="0"/>
          <w:sz w:val="24"/>
        </w:rPr>
        <w:t>致：</w:t>
      </w:r>
      <w:r>
        <w:rPr>
          <w:rFonts w:hint="eastAsia" w:ascii="宋体" w:hAnsi="宋体" w:cs="宋体"/>
          <w:b/>
          <w:color w:val="auto"/>
          <w:kern w:val="0"/>
          <w:sz w:val="24"/>
          <w:lang w:eastAsia="zh-CN"/>
        </w:rPr>
        <w:t>采购人/代理机构</w:t>
      </w:r>
    </w:p>
    <w:p w14:paraId="23DCCDA8">
      <w:pPr>
        <w:autoSpaceDE w:val="0"/>
        <w:autoSpaceDN w:val="0"/>
        <w:adjustRightInd w:val="0"/>
        <w:spacing w:line="360" w:lineRule="auto"/>
        <w:rPr>
          <w:rFonts w:hint="eastAsia" w:ascii="宋体" w:hAnsi="宋体" w:cs="宋体"/>
          <w:b/>
          <w:bCs/>
          <w:color w:val="auto"/>
          <w:kern w:val="0"/>
          <w:sz w:val="24"/>
          <w:lang w:val="zh-CN"/>
        </w:rPr>
      </w:pPr>
    </w:p>
    <w:p w14:paraId="4030FE9E">
      <w:pPr>
        <w:autoSpaceDE w:val="0"/>
        <w:autoSpaceDN w:val="0"/>
        <w:adjustRightInd w:val="0"/>
        <w:spacing w:line="360" w:lineRule="auto"/>
        <w:ind w:firstLine="360"/>
        <w:rPr>
          <w:rFonts w:hint="eastAsia" w:ascii="宋体" w:hAnsi="宋体" w:cs="宋体"/>
          <w:color w:val="auto"/>
          <w:kern w:val="0"/>
          <w:sz w:val="24"/>
          <w:lang w:val="zh-CN"/>
        </w:rPr>
      </w:pPr>
      <w:r>
        <w:rPr>
          <w:rFonts w:hint="eastAsia" w:ascii="宋体" w:hAnsi="宋体" w:cs="宋体"/>
          <w:color w:val="auto"/>
          <w:kern w:val="0"/>
          <w:sz w:val="24"/>
          <w:lang w:val="zh-CN"/>
        </w:rPr>
        <w:t>我方为（项目名称）项目（采购编号为：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）递交保证金人民币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（大写：人民币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元）已于</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日以基本户转账方式汇入你方账户。</w:t>
      </w:r>
    </w:p>
    <w:p w14:paraId="483C29D4">
      <w:pPr>
        <w:autoSpaceDE w:val="0"/>
        <w:autoSpaceDN w:val="0"/>
        <w:adjustRightInd w:val="0"/>
        <w:spacing w:line="360" w:lineRule="auto"/>
        <w:ind w:firstLine="360"/>
        <w:rPr>
          <w:rFonts w:hint="eastAsia" w:ascii="宋体" w:hAnsi="宋体" w:cs="宋体"/>
          <w:bCs/>
          <w:color w:val="auto"/>
          <w:kern w:val="0"/>
          <w:sz w:val="24"/>
          <w:lang w:val="zh-CN"/>
        </w:rPr>
      </w:pPr>
      <w:r>
        <w:rPr>
          <w:rFonts w:hint="eastAsia" w:ascii="宋体" w:hAnsi="宋体" w:cs="宋体"/>
          <w:bCs/>
          <w:color w:val="auto"/>
          <w:kern w:val="0"/>
          <w:sz w:val="24"/>
          <w:lang w:val="zh-CN"/>
        </w:rPr>
        <w:t>附件：保证金交款证明及开户许可证复印件（加盖投标人公章）</w:t>
      </w:r>
    </w:p>
    <w:p w14:paraId="77E5FA48">
      <w:pPr>
        <w:autoSpaceDE w:val="0"/>
        <w:autoSpaceDN w:val="0"/>
        <w:adjustRightInd w:val="0"/>
        <w:spacing w:line="360" w:lineRule="auto"/>
        <w:ind w:firstLine="360"/>
        <w:rPr>
          <w:rFonts w:hint="eastAsia" w:ascii="宋体" w:hAnsi="宋体" w:cs="宋体"/>
          <w:color w:val="auto"/>
          <w:kern w:val="0"/>
          <w:sz w:val="24"/>
          <w:lang w:val="zh-CN"/>
        </w:rPr>
      </w:pPr>
      <w:r>
        <w:rPr>
          <w:rFonts w:hint="eastAsia" w:ascii="宋体" w:hAnsi="宋体"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E93D181">
      <w:pPr>
        <w:autoSpaceDE w:val="0"/>
        <w:autoSpaceDN w:val="0"/>
        <w:adjustRightInd w:val="0"/>
        <w:spacing w:line="360" w:lineRule="auto"/>
        <w:ind w:firstLine="360"/>
        <w:rPr>
          <w:rFonts w:hint="eastAsia" w:ascii="宋体" w:hAnsi="宋体" w:cs="宋体"/>
          <w:color w:val="auto"/>
          <w:kern w:val="0"/>
          <w:sz w:val="24"/>
          <w:lang w:val="zh-CN"/>
        </w:rPr>
      </w:pPr>
      <w:r>
        <w:rPr>
          <w:rFonts w:hint="eastAsia" w:ascii="宋体" w:hAnsi="宋体" w:cs="宋体"/>
          <w:color w:val="auto"/>
          <w:kern w:val="0"/>
          <w:sz w:val="24"/>
          <w:lang w:val="zh-CN"/>
        </w:rPr>
        <w:t>户    名：</w:t>
      </w:r>
    </w:p>
    <w:p w14:paraId="413534BE">
      <w:pPr>
        <w:autoSpaceDE w:val="0"/>
        <w:autoSpaceDN w:val="0"/>
        <w:adjustRightInd w:val="0"/>
        <w:spacing w:line="360" w:lineRule="auto"/>
        <w:ind w:firstLine="360"/>
        <w:rPr>
          <w:rFonts w:hint="eastAsia" w:ascii="宋体" w:hAnsi="宋体" w:cs="宋体"/>
          <w:color w:val="auto"/>
          <w:kern w:val="0"/>
          <w:sz w:val="24"/>
          <w:lang w:val="zh-CN"/>
        </w:rPr>
      </w:pPr>
      <w:r>
        <w:rPr>
          <w:rFonts w:hint="eastAsia" w:ascii="宋体" w:hAnsi="宋体" w:cs="宋体"/>
          <w:color w:val="auto"/>
          <w:kern w:val="0"/>
          <w:sz w:val="24"/>
          <w:lang w:val="zh-CN"/>
        </w:rPr>
        <w:t>开户银行：</w:t>
      </w:r>
    </w:p>
    <w:p w14:paraId="27500316">
      <w:pPr>
        <w:autoSpaceDE w:val="0"/>
        <w:autoSpaceDN w:val="0"/>
        <w:adjustRightInd w:val="0"/>
        <w:spacing w:line="360" w:lineRule="auto"/>
        <w:ind w:firstLine="360"/>
        <w:rPr>
          <w:rFonts w:ascii="宋体" w:hAnsi="宋体" w:cs="宋体"/>
          <w:color w:val="auto"/>
          <w:kern w:val="0"/>
          <w:sz w:val="24"/>
          <w:lang w:val="zh-CN"/>
        </w:rPr>
      </w:pPr>
      <w:r>
        <w:rPr>
          <w:rFonts w:hint="eastAsia" w:ascii="宋体" w:hAnsi="宋体" w:cs="宋体"/>
          <w:color w:val="auto"/>
          <w:kern w:val="0"/>
          <w:sz w:val="24"/>
          <w:lang w:val="zh-CN"/>
        </w:rPr>
        <w:t>开户帐号：</w:t>
      </w:r>
    </w:p>
    <w:p w14:paraId="64D30C4A">
      <w:pPr>
        <w:autoSpaceDE w:val="0"/>
        <w:autoSpaceDN w:val="0"/>
        <w:adjustRightInd w:val="0"/>
        <w:spacing w:line="360" w:lineRule="auto"/>
        <w:rPr>
          <w:rFonts w:ascii="宋体" w:hAnsi="宋体" w:cs="宋体"/>
          <w:color w:val="auto"/>
          <w:kern w:val="0"/>
          <w:sz w:val="24"/>
          <w:lang w:val="zh-CN"/>
        </w:rPr>
      </w:pPr>
    </w:p>
    <w:p w14:paraId="7CC469D3">
      <w:pPr>
        <w:autoSpaceDE w:val="0"/>
        <w:autoSpaceDN w:val="0"/>
        <w:adjustRightInd w:val="0"/>
        <w:spacing w:line="360" w:lineRule="auto"/>
        <w:rPr>
          <w:rFonts w:ascii="宋体" w:hAnsi="宋体" w:cs="宋体"/>
          <w:color w:val="auto"/>
          <w:kern w:val="0"/>
          <w:sz w:val="24"/>
          <w:lang w:val="zh-CN"/>
        </w:rPr>
      </w:pPr>
    </w:p>
    <w:p w14:paraId="49A8CB79">
      <w:pPr>
        <w:autoSpaceDE w:val="0"/>
        <w:autoSpaceDN w:val="0"/>
        <w:adjustRightInd w:val="0"/>
        <w:spacing w:line="360" w:lineRule="auto"/>
        <w:rPr>
          <w:rFonts w:ascii="宋体" w:hAnsi="宋体" w:cs="宋体"/>
          <w:color w:val="auto"/>
          <w:kern w:val="0"/>
          <w:sz w:val="24"/>
          <w:lang w:val="zh-CN"/>
        </w:rPr>
      </w:pPr>
    </w:p>
    <w:p w14:paraId="6AE6FEEF">
      <w:pPr>
        <w:autoSpaceDE w:val="0"/>
        <w:autoSpaceDN w:val="0"/>
        <w:adjustRightInd w:val="0"/>
        <w:spacing w:line="360" w:lineRule="auto"/>
        <w:rPr>
          <w:rFonts w:hint="eastAsia" w:ascii="宋体" w:hAnsi="宋体" w:cs="宋体"/>
          <w:color w:val="auto"/>
          <w:kern w:val="0"/>
          <w:sz w:val="24"/>
          <w:lang w:val="zh-CN"/>
        </w:rPr>
      </w:pPr>
    </w:p>
    <w:p w14:paraId="78D99BBB">
      <w:pPr>
        <w:autoSpaceDE w:val="0"/>
        <w:autoSpaceDN w:val="0"/>
        <w:adjustRightInd w:val="0"/>
        <w:spacing w:line="360" w:lineRule="auto"/>
        <w:rPr>
          <w:rFonts w:hint="eastAsia" w:ascii="宋体" w:hAnsi="宋体" w:cs="宋体"/>
          <w:color w:val="auto"/>
          <w:kern w:val="0"/>
          <w:sz w:val="24"/>
          <w:lang w:val="zh-CN"/>
        </w:rPr>
      </w:pPr>
    </w:p>
    <w:p w14:paraId="72070292">
      <w:pPr>
        <w:autoSpaceDE w:val="0"/>
        <w:autoSpaceDN w:val="0"/>
        <w:adjustRightInd w:val="0"/>
        <w:spacing w:line="360" w:lineRule="auto"/>
        <w:ind w:firstLine="360"/>
        <w:jc w:val="right"/>
        <w:rPr>
          <w:rFonts w:ascii="宋体" w:hAnsi="宋体" w:cs="宋体"/>
          <w:color w:val="auto"/>
          <w:kern w:val="0"/>
          <w:sz w:val="24"/>
          <w:lang w:val="zh-CN"/>
        </w:rPr>
      </w:pPr>
    </w:p>
    <w:p w14:paraId="461D79C1">
      <w:pPr>
        <w:autoSpaceDE w:val="0"/>
        <w:autoSpaceDN w:val="0"/>
        <w:adjustRightInd w:val="0"/>
        <w:spacing w:line="360" w:lineRule="auto"/>
        <w:ind w:firstLine="360"/>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投标人：                        （公章）</w:t>
      </w:r>
    </w:p>
    <w:p w14:paraId="348C38C0">
      <w:pPr>
        <w:autoSpaceDE w:val="0"/>
        <w:autoSpaceDN w:val="0"/>
        <w:adjustRightInd w:val="0"/>
        <w:spacing w:line="360" w:lineRule="auto"/>
        <w:ind w:firstLine="360"/>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法定代表人或委托代理人：   </w:t>
      </w:r>
      <w:r>
        <w:rPr>
          <w:rFonts w:hint="eastAsia" w:ascii="宋体" w:hAnsi="宋体" w:cs="宋体"/>
          <w:b/>
          <w:bCs/>
          <w:color w:val="auto"/>
          <w:kern w:val="0"/>
          <w:sz w:val="24"/>
          <w:lang w:val="en-US" w:eastAsia="zh-CN"/>
        </w:rPr>
        <w:t xml:space="preserve">          </w:t>
      </w:r>
      <w:r>
        <w:rPr>
          <w:rFonts w:hint="eastAsia" w:ascii="宋体" w:hAnsi="宋体" w:cs="宋体"/>
          <w:b/>
          <w:bCs/>
          <w:color w:val="auto"/>
          <w:kern w:val="0"/>
          <w:sz w:val="24"/>
          <w:lang w:val="zh-CN"/>
        </w:rPr>
        <w:t xml:space="preserve">     （签字或盖章）</w:t>
      </w:r>
    </w:p>
    <w:p w14:paraId="48ABE340">
      <w:pPr>
        <w:jc w:val="right"/>
        <w:rPr>
          <w:rFonts w:hint="eastAsia" w:ascii="宋体" w:hAnsi="宋体" w:cs="宋体"/>
          <w:color w:val="auto"/>
          <w:kern w:val="0"/>
          <w:sz w:val="24"/>
          <w:lang w:val="zh-CN"/>
        </w:rPr>
      </w:pPr>
      <w:r>
        <w:rPr>
          <w:rFonts w:hint="eastAsia" w:ascii="宋体" w:hAnsi="宋体" w:cs="宋体"/>
          <w:b/>
          <w:bCs/>
          <w:color w:val="auto"/>
          <w:kern w:val="0"/>
          <w:sz w:val="24"/>
          <w:lang w:val="zh-CN"/>
        </w:rPr>
        <w:t xml:space="preserve">      </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日期：   年   月   日</w:t>
      </w:r>
    </w:p>
    <w:p w14:paraId="4E907D24">
      <w:pPr>
        <w:rPr>
          <w:rStyle w:val="22"/>
          <w:color w:val="auto"/>
          <w:lang w:val="zh-CN"/>
        </w:rPr>
      </w:pPr>
      <w:r>
        <w:rPr>
          <w:rStyle w:val="21"/>
          <w:color w:val="auto"/>
          <w:lang w:val="zh-CN"/>
        </w:rPr>
        <w:br w:type="page"/>
      </w:r>
      <w:bookmarkStart w:id="186" w:name="_Toc16230"/>
      <w:r>
        <w:rPr>
          <w:rStyle w:val="22"/>
          <w:color w:val="auto"/>
          <w:lang w:val="zh-CN"/>
        </w:rPr>
        <w:t>投标文件封面（下册）</w:t>
      </w:r>
      <w:bookmarkEnd w:id="184"/>
    </w:p>
    <w:bookmarkEnd w:id="186"/>
    <w:p w14:paraId="2F4B4972">
      <w:pPr>
        <w:autoSpaceDE w:val="0"/>
        <w:autoSpaceDN w:val="0"/>
        <w:spacing w:line="360" w:lineRule="auto"/>
        <w:jc w:val="center"/>
        <w:rPr>
          <w:b/>
          <w:bCs/>
          <w:color w:val="auto"/>
          <w:kern w:val="0"/>
          <w:sz w:val="52"/>
          <w:szCs w:val="52"/>
          <w:lang w:val="zh-CN"/>
        </w:rPr>
      </w:pPr>
    </w:p>
    <w:p w14:paraId="544A9B85">
      <w:pPr>
        <w:autoSpaceDE w:val="0"/>
        <w:autoSpaceDN w:val="0"/>
        <w:spacing w:line="360" w:lineRule="auto"/>
        <w:jc w:val="center"/>
        <w:rPr>
          <w:b/>
          <w:bCs/>
          <w:color w:val="auto"/>
          <w:kern w:val="0"/>
          <w:sz w:val="52"/>
          <w:szCs w:val="52"/>
          <w:lang w:val="zh-CN"/>
        </w:rPr>
      </w:pPr>
      <w:r>
        <w:rPr>
          <w:b/>
          <w:bCs/>
          <w:color w:val="auto"/>
          <w:kern w:val="0"/>
          <w:sz w:val="52"/>
          <w:szCs w:val="52"/>
          <w:lang w:val="zh-CN"/>
        </w:rPr>
        <w:t>青海省政府采购项目</w:t>
      </w:r>
    </w:p>
    <w:p w14:paraId="4AE72435">
      <w:pPr>
        <w:autoSpaceDE w:val="0"/>
        <w:autoSpaceDN w:val="0"/>
        <w:spacing w:line="360" w:lineRule="auto"/>
        <w:rPr>
          <w:color w:val="auto"/>
          <w:kern w:val="0"/>
          <w:sz w:val="36"/>
          <w:szCs w:val="36"/>
        </w:rPr>
      </w:pPr>
    </w:p>
    <w:p w14:paraId="191C6B4C">
      <w:pPr>
        <w:autoSpaceDE w:val="0"/>
        <w:autoSpaceDN w:val="0"/>
        <w:spacing w:line="360" w:lineRule="auto"/>
        <w:jc w:val="center"/>
        <w:rPr>
          <w:b/>
          <w:bCs/>
          <w:color w:val="auto"/>
          <w:kern w:val="0"/>
          <w:sz w:val="72"/>
          <w:szCs w:val="72"/>
        </w:rPr>
      </w:pPr>
      <w:r>
        <w:rPr>
          <w:b/>
          <w:bCs/>
          <w:color w:val="auto"/>
          <w:kern w:val="0"/>
          <w:sz w:val="72"/>
          <w:szCs w:val="72"/>
          <w:lang w:val="zh-CN"/>
        </w:rPr>
        <w:t>投</w:t>
      </w:r>
      <w:r>
        <w:rPr>
          <w:b/>
          <w:bCs/>
          <w:color w:val="auto"/>
          <w:kern w:val="0"/>
          <w:sz w:val="72"/>
          <w:szCs w:val="72"/>
        </w:rPr>
        <w:t xml:space="preserve"> </w:t>
      </w:r>
      <w:r>
        <w:rPr>
          <w:b/>
          <w:bCs/>
          <w:color w:val="auto"/>
          <w:kern w:val="0"/>
          <w:sz w:val="72"/>
          <w:szCs w:val="72"/>
          <w:lang w:val="zh-CN"/>
        </w:rPr>
        <w:t>标</w:t>
      </w:r>
      <w:r>
        <w:rPr>
          <w:b/>
          <w:bCs/>
          <w:color w:val="auto"/>
          <w:kern w:val="0"/>
          <w:sz w:val="72"/>
          <w:szCs w:val="72"/>
        </w:rPr>
        <w:t xml:space="preserve"> </w:t>
      </w:r>
      <w:r>
        <w:rPr>
          <w:b/>
          <w:bCs/>
          <w:color w:val="auto"/>
          <w:kern w:val="0"/>
          <w:sz w:val="72"/>
          <w:szCs w:val="72"/>
          <w:lang w:val="zh-CN"/>
        </w:rPr>
        <w:t>文</w:t>
      </w:r>
      <w:r>
        <w:rPr>
          <w:b/>
          <w:bCs/>
          <w:color w:val="auto"/>
          <w:kern w:val="0"/>
          <w:sz w:val="72"/>
          <w:szCs w:val="72"/>
        </w:rPr>
        <w:t xml:space="preserve"> </w:t>
      </w:r>
      <w:r>
        <w:rPr>
          <w:b/>
          <w:bCs/>
          <w:color w:val="auto"/>
          <w:kern w:val="0"/>
          <w:sz w:val="72"/>
          <w:szCs w:val="72"/>
          <w:lang w:val="zh-CN"/>
        </w:rPr>
        <w:t>件</w:t>
      </w:r>
    </w:p>
    <w:p w14:paraId="261DC44F">
      <w:pPr>
        <w:autoSpaceDE w:val="0"/>
        <w:autoSpaceDN w:val="0"/>
        <w:spacing w:line="360" w:lineRule="auto"/>
        <w:jc w:val="center"/>
        <w:rPr>
          <w:color w:val="auto"/>
          <w:sz w:val="44"/>
          <w:szCs w:val="44"/>
          <w:lang w:val="zh-CN"/>
        </w:rPr>
      </w:pPr>
      <w:r>
        <w:rPr>
          <w:color w:val="auto"/>
          <w:sz w:val="44"/>
          <w:szCs w:val="44"/>
          <w:lang w:val="zh-CN"/>
        </w:rPr>
        <w:t>（下册）</w:t>
      </w:r>
    </w:p>
    <w:p w14:paraId="083558A2">
      <w:pPr>
        <w:autoSpaceDE w:val="0"/>
        <w:autoSpaceDN w:val="0"/>
        <w:spacing w:line="360" w:lineRule="auto"/>
        <w:jc w:val="center"/>
        <w:rPr>
          <w:color w:val="auto"/>
          <w:sz w:val="44"/>
          <w:szCs w:val="44"/>
          <w:lang w:val="zh-CN"/>
        </w:rPr>
      </w:pPr>
    </w:p>
    <w:p w14:paraId="1D99DABE">
      <w:pPr>
        <w:autoSpaceDE w:val="0"/>
        <w:autoSpaceDN w:val="0"/>
        <w:spacing w:line="360" w:lineRule="auto"/>
        <w:jc w:val="center"/>
        <w:rPr>
          <w:color w:val="auto"/>
          <w:sz w:val="44"/>
          <w:szCs w:val="44"/>
          <w:lang w:val="zh-CN"/>
        </w:rPr>
      </w:pPr>
    </w:p>
    <w:p w14:paraId="1C3538C4">
      <w:pPr>
        <w:autoSpaceDE w:val="0"/>
        <w:autoSpaceDN w:val="0"/>
        <w:spacing w:line="360" w:lineRule="auto"/>
        <w:jc w:val="center"/>
        <w:rPr>
          <w:color w:val="auto"/>
          <w:sz w:val="44"/>
          <w:szCs w:val="44"/>
          <w:lang w:val="zh-CN"/>
        </w:rPr>
      </w:pPr>
    </w:p>
    <w:p w14:paraId="46809063">
      <w:pPr>
        <w:autoSpaceDE w:val="0"/>
        <w:autoSpaceDN w:val="0"/>
        <w:spacing w:line="360" w:lineRule="auto"/>
        <w:jc w:val="center"/>
        <w:rPr>
          <w:color w:val="auto"/>
          <w:sz w:val="44"/>
          <w:szCs w:val="44"/>
          <w:lang w:val="zh-CN"/>
        </w:rPr>
      </w:pPr>
    </w:p>
    <w:p w14:paraId="251F20BC">
      <w:pPr>
        <w:autoSpaceDE w:val="0"/>
        <w:autoSpaceDN w:val="0"/>
        <w:spacing w:line="360" w:lineRule="auto"/>
        <w:rPr>
          <w:color w:val="auto"/>
          <w:kern w:val="0"/>
          <w:sz w:val="36"/>
          <w:szCs w:val="36"/>
        </w:rPr>
      </w:pPr>
    </w:p>
    <w:p w14:paraId="129EB473">
      <w:pPr>
        <w:adjustRightInd w:val="0"/>
        <w:spacing w:line="360" w:lineRule="auto"/>
        <w:ind w:firstLine="643" w:firstLineChars="200"/>
        <w:textAlignment w:val="baseline"/>
        <w:rPr>
          <w:rFonts w:hint="eastAsia"/>
          <w:b/>
          <w:bCs/>
          <w:color w:val="auto"/>
          <w:sz w:val="32"/>
          <w:szCs w:val="32"/>
          <w:u w:val="single"/>
        </w:rPr>
      </w:pPr>
      <w:r>
        <w:rPr>
          <w:b/>
          <w:bCs/>
          <w:color w:val="auto"/>
          <w:sz w:val="32"/>
          <w:szCs w:val="32"/>
        </w:rPr>
        <w:t>采购项目编号:</w:t>
      </w:r>
      <w:r>
        <w:rPr>
          <w:b/>
          <w:bCs/>
          <w:color w:val="auto"/>
          <w:sz w:val="32"/>
          <w:szCs w:val="32"/>
          <w:u w:val="single"/>
        </w:rPr>
        <w:t xml:space="preserve">                              </w:t>
      </w:r>
    </w:p>
    <w:p w14:paraId="083644DE">
      <w:pPr>
        <w:adjustRightInd w:val="0"/>
        <w:spacing w:line="360" w:lineRule="auto"/>
        <w:ind w:left="2886" w:leftChars="311" w:hanging="2233" w:hangingChars="695"/>
        <w:textAlignment w:val="baseline"/>
        <w:rPr>
          <w:b/>
          <w:bCs/>
          <w:color w:val="auto"/>
          <w:sz w:val="32"/>
          <w:szCs w:val="32"/>
          <w:u w:val="single"/>
        </w:rPr>
      </w:pPr>
      <w:r>
        <w:rPr>
          <w:b/>
          <w:bCs/>
          <w:color w:val="auto"/>
          <w:sz w:val="32"/>
          <w:szCs w:val="32"/>
        </w:rPr>
        <w:t>采购项目名称：</w:t>
      </w:r>
      <w:r>
        <w:rPr>
          <w:b/>
          <w:bCs/>
          <w:color w:val="auto"/>
          <w:sz w:val="32"/>
          <w:szCs w:val="32"/>
          <w:u w:val="single"/>
        </w:rPr>
        <w:t xml:space="preserve">                             </w:t>
      </w:r>
    </w:p>
    <w:p w14:paraId="1A70FA0F">
      <w:pPr>
        <w:adjustRightInd w:val="0"/>
        <w:spacing w:line="360" w:lineRule="auto"/>
        <w:ind w:left="2886" w:leftChars="311" w:hanging="2233" w:hangingChars="695"/>
        <w:textAlignment w:val="baseline"/>
        <w:rPr>
          <w:rFonts w:hint="eastAsia"/>
        </w:rPr>
      </w:pPr>
      <w:r>
        <w:rPr>
          <w:rFonts w:hint="eastAsia" w:ascii="Times New Roman" w:hAnsi="Times New Roman" w:eastAsia="宋体" w:cs="Times New Roman"/>
          <w:b/>
          <w:bCs/>
          <w:color w:val="auto"/>
          <w:sz w:val="32"/>
          <w:szCs w:val="32"/>
          <w:lang w:val="en-US" w:eastAsia="zh-CN"/>
        </w:rPr>
        <w:t>包        号：</w:t>
      </w:r>
      <w:r>
        <w:rPr>
          <w:b/>
          <w:bCs/>
          <w:color w:val="auto"/>
          <w:sz w:val="32"/>
          <w:szCs w:val="32"/>
          <w:u w:val="single"/>
        </w:rPr>
        <w:t xml:space="preserve">                             </w:t>
      </w:r>
    </w:p>
    <w:p w14:paraId="2FBC241D">
      <w:pPr>
        <w:adjustRightInd w:val="0"/>
        <w:spacing w:line="360" w:lineRule="auto"/>
        <w:ind w:firstLine="643" w:firstLineChars="200"/>
        <w:textAlignment w:val="baseline"/>
        <w:rPr>
          <w:b/>
          <w:bCs/>
          <w:color w:val="auto"/>
          <w:sz w:val="32"/>
          <w:szCs w:val="32"/>
          <w:u w:val="single"/>
        </w:rPr>
      </w:pPr>
      <w:r>
        <w:rPr>
          <w:b/>
          <w:bCs/>
          <w:color w:val="auto"/>
          <w:sz w:val="32"/>
          <w:szCs w:val="32"/>
        </w:rPr>
        <w:t>投   标   人</w:t>
      </w:r>
      <w:r>
        <w:rPr>
          <w:b/>
          <w:color w:val="auto"/>
          <w:sz w:val="32"/>
          <w:szCs w:val="32"/>
        </w:rPr>
        <w:t>：</w:t>
      </w:r>
      <w:r>
        <w:rPr>
          <w:b/>
          <w:color w:val="auto"/>
          <w:sz w:val="32"/>
          <w:szCs w:val="32"/>
          <w:u w:val="single"/>
        </w:rPr>
        <w:t xml:space="preserve">                      （公章）</w:t>
      </w:r>
    </w:p>
    <w:p w14:paraId="42F0D8A1">
      <w:pPr>
        <w:autoSpaceDE w:val="0"/>
        <w:autoSpaceDN w:val="0"/>
        <w:spacing w:line="360" w:lineRule="auto"/>
        <w:ind w:firstLine="630" w:firstLineChars="196"/>
        <w:rPr>
          <w:b/>
          <w:bCs/>
          <w:color w:val="auto"/>
          <w:kern w:val="0"/>
          <w:sz w:val="36"/>
          <w:szCs w:val="36"/>
        </w:rPr>
      </w:pPr>
      <w:r>
        <w:rPr>
          <w:b/>
          <w:color w:val="auto"/>
          <w:sz w:val="32"/>
        </w:rPr>
        <w:t>法定代表人：</w:t>
      </w:r>
      <w:r>
        <w:rPr>
          <w:b/>
          <w:color w:val="auto"/>
          <w:sz w:val="32"/>
          <w:u w:val="single"/>
        </w:rPr>
        <w:t xml:space="preserve">          </w:t>
      </w:r>
      <w:r>
        <w:rPr>
          <w:rFonts w:hint="eastAsia"/>
          <w:b/>
          <w:color w:val="auto"/>
          <w:sz w:val="32"/>
          <w:u w:val="single"/>
          <w:lang w:val="en-US" w:eastAsia="zh-CN"/>
        </w:rPr>
        <w:t xml:space="preserve"> </w:t>
      </w:r>
      <w:r>
        <w:rPr>
          <w:b/>
          <w:color w:val="auto"/>
          <w:sz w:val="32"/>
          <w:u w:val="single"/>
        </w:rPr>
        <w:t xml:space="preserve"> （签字</w:t>
      </w:r>
      <w:r>
        <w:rPr>
          <w:rFonts w:hint="eastAsia"/>
          <w:b/>
          <w:color w:val="auto"/>
          <w:sz w:val="32"/>
          <w:u w:val="single"/>
        </w:rPr>
        <w:t>或</w:t>
      </w:r>
      <w:r>
        <w:rPr>
          <w:b/>
          <w:color w:val="auto"/>
          <w:sz w:val="32"/>
          <w:u w:val="single"/>
        </w:rPr>
        <w:t>加盖法人章）</w:t>
      </w:r>
    </w:p>
    <w:p w14:paraId="4F5C7D35">
      <w:pPr>
        <w:jc w:val="center"/>
        <w:rPr>
          <w:color w:val="auto"/>
          <w:kern w:val="0"/>
          <w:sz w:val="30"/>
          <w:szCs w:val="30"/>
          <w:lang w:val="zh-CN"/>
        </w:rPr>
      </w:pPr>
      <w:r>
        <w:rPr>
          <w:color w:val="auto"/>
          <w:sz w:val="30"/>
          <w:szCs w:val="30"/>
        </w:rPr>
        <w:t>年  月  日</w:t>
      </w:r>
    </w:p>
    <w:p w14:paraId="15A4B08F">
      <w:pPr>
        <w:pStyle w:val="15"/>
        <w:spacing w:before="0" w:after="0" w:line="360" w:lineRule="auto"/>
        <w:jc w:val="left"/>
        <w:rPr>
          <w:rFonts w:ascii="Times New Roman" w:hAnsi="Times New Roman"/>
          <w:color w:val="auto"/>
          <w:sz w:val="44"/>
          <w:szCs w:val="44"/>
          <w:lang w:val="zh-CN"/>
        </w:rPr>
      </w:pPr>
      <w:r>
        <w:rPr>
          <w:rFonts w:ascii="Times New Roman" w:hAnsi="Times New Roman"/>
          <w:color w:val="auto"/>
          <w:kern w:val="0"/>
          <w:lang w:val="zh-CN"/>
        </w:rPr>
        <w:br w:type="page"/>
      </w:r>
      <w:bookmarkStart w:id="187" w:name="_Toc136"/>
      <w:bookmarkStart w:id="188" w:name="_Toc24811"/>
      <w:r>
        <w:rPr>
          <w:rFonts w:ascii="Times New Roman" w:hAnsi="Times New Roman"/>
          <w:color w:val="auto"/>
          <w:sz w:val="30"/>
          <w:szCs w:val="30"/>
          <w:lang w:val="zh-CN"/>
        </w:rPr>
        <w:t>投标文件目录（下册）</w:t>
      </w:r>
      <w:bookmarkEnd w:id="187"/>
      <w:bookmarkEnd w:id="188"/>
    </w:p>
    <w:p w14:paraId="4C37DA9F">
      <w:pPr>
        <w:rPr>
          <w:color w:val="auto"/>
          <w:lang w:val="zh-CN"/>
        </w:rPr>
      </w:pPr>
    </w:p>
    <w:p w14:paraId="13C6CE61">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（11）</w:t>
      </w:r>
      <w:r>
        <w:rPr>
          <w:color w:val="auto"/>
          <w:kern w:val="0"/>
          <w:sz w:val="24"/>
          <w:lang w:val="zh-CN"/>
        </w:rPr>
        <w:t>.评分对照表………………………………………………………所在页码</w:t>
      </w:r>
    </w:p>
    <w:p w14:paraId="5F218476">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（12）</w:t>
      </w:r>
      <w:r>
        <w:rPr>
          <w:color w:val="auto"/>
          <w:kern w:val="0"/>
          <w:sz w:val="24"/>
          <w:lang w:val="zh-CN"/>
        </w:rPr>
        <w:t>.开标一览表（报价表）…………………………………………所在页码</w:t>
      </w:r>
    </w:p>
    <w:p w14:paraId="549026E2">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（13）</w:t>
      </w:r>
      <w:r>
        <w:rPr>
          <w:color w:val="auto"/>
          <w:kern w:val="0"/>
          <w:sz w:val="24"/>
          <w:lang w:val="zh-CN"/>
        </w:rPr>
        <w:t>.分项报价表………………………………………………………所在页码</w:t>
      </w:r>
    </w:p>
    <w:p w14:paraId="518291C8">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（14）</w:t>
      </w:r>
      <w:r>
        <w:rPr>
          <w:color w:val="auto"/>
          <w:kern w:val="0"/>
          <w:sz w:val="24"/>
          <w:lang w:val="zh-CN"/>
        </w:rPr>
        <w:t>.技术规格响应表…………………………………………………所在页码</w:t>
      </w:r>
    </w:p>
    <w:p w14:paraId="068C0286">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（15）</w:t>
      </w:r>
      <w:r>
        <w:rPr>
          <w:color w:val="auto"/>
          <w:kern w:val="0"/>
          <w:sz w:val="24"/>
          <w:lang w:val="zh-CN"/>
        </w:rPr>
        <w:t>.投标产品相关资料………………………………………………所在页码</w:t>
      </w:r>
    </w:p>
    <w:p w14:paraId="57CB917A">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（16）</w:t>
      </w:r>
      <w:r>
        <w:rPr>
          <w:color w:val="auto"/>
          <w:kern w:val="0"/>
          <w:sz w:val="24"/>
          <w:lang w:val="zh-CN"/>
        </w:rPr>
        <w:t>.投标人的类似业绩证明材料……………………………………所在页码</w:t>
      </w:r>
    </w:p>
    <w:p w14:paraId="0CB11932">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（17）</w:t>
      </w:r>
      <w:r>
        <w:rPr>
          <w:color w:val="auto"/>
          <w:kern w:val="0"/>
          <w:sz w:val="24"/>
          <w:lang w:val="zh-CN"/>
        </w:rPr>
        <w:t>.</w:t>
      </w:r>
      <w:r>
        <w:rPr>
          <w:rFonts w:hint="eastAsia"/>
          <w:color w:val="auto"/>
          <w:kern w:val="0"/>
          <w:sz w:val="24"/>
          <w:lang w:val="zh-CN"/>
        </w:rPr>
        <w:t>享受政府采购政策优惠的证明资料</w:t>
      </w:r>
      <w:r>
        <w:rPr>
          <w:color w:val="auto"/>
          <w:kern w:val="0"/>
          <w:sz w:val="24"/>
          <w:lang w:val="zh-CN"/>
        </w:rPr>
        <w:t>……………………………所在页码</w:t>
      </w:r>
    </w:p>
    <w:p w14:paraId="1F2423CE">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（18）</w:t>
      </w:r>
      <w:r>
        <w:rPr>
          <w:color w:val="auto"/>
          <w:kern w:val="0"/>
          <w:sz w:val="24"/>
          <w:lang w:val="zh-CN"/>
        </w:rPr>
        <w:t>.投标人认为在其他方面有必要说明的事项……………………所在页码</w:t>
      </w:r>
    </w:p>
    <w:p w14:paraId="3B008870">
      <w:pPr>
        <w:pStyle w:val="15"/>
        <w:spacing w:before="0" w:after="0" w:line="360" w:lineRule="auto"/>
        <w:jc w:val="left"/>
        <w:rPr>
          <w:rFonts w:ascii="Times New Roman" w:hAnsi="Times New Roman"/>
          <w:color w:val="auto"/>
          <w:sz w:val="30"/>
          <w:szCs w:val="30"/>
          <w:lang w:val="zh-CN"/>
        </w:rPr>
      </w:pPr>
      <w:r>
        <w:rPr>
          <w:rFonts w:ascii="Times New Roman" w:hAnsi="Times New Roman"/>
          <w:color w:val="auto"/>
          <w:kern w:val="0"/>
          <w:sz w:val="28"/>
          <w:szCs w:val="28"/>
          <w:lang w:val="zh-CN"/>
        </w:rPr>
        <w:br w:type="page"/>
      </w:r>
      <w:bookmarkStart w:id="189" w:name="_Toc25843"/>
      <w:bookmarkStart w:id="190" w:name="_Toc5102"/>
      <w:r>
        <w:rPr>
          <w:rFonts w:hint="eastAsia" w:ascii="Times New Roman" w:hAnsi="Times New Roman"/>
          <w:color w:val="auto"/>
          <w:sz w:val="30"/>
          <w:szCs w:val="30"/>
        </w:rPr>
        <w:t>格式11：</w:t>
      </w:r>
      <w:r>
        <w:rPr>
          <w:rFonts w:ascii="Times New Roman" w:hAnsi="Times New Roman"/>
          <w:color w:val="auto"/>
          <w:sz w:val="30"/>
          <w:szCs w:val="30"/>
          <w:lang w:val="zh-CN"/>
        </w:rPr>
        <w:t>评分对照表</w:t>
      </w:r>
      <w:bookmarkEnd w:id="189"/>
      <w:bookmarkEnd w:id="190"/>
    </w:p>
    <w:p w14:paraId="64707819">
      <w:pPr>
        <w:spacing w:line="360" w:lineRule="auto"/>
        <w:rPr>
          <w:color w:val="auto"/>
          <w:sz w:val="28"/>
          <w:szCs w:val="28"/>
        </w:rPr>
      </w:pPr>
    </w:p>
    <w:p w14:paraId="6FA5BD5D">
      <w:pPr>
        <w:spacing w:line="360" w:lineRule="auto"/>
        <w:jc w:val="center"/>
        <w:rPr>
          <w:color w:val="auto"/>
        </w:rPr>
      </w:pPr>
      <w:r>
        <w:rPr>
          <w:b/>
          <w:bCs/>
          <w:color w:val="auto"/>
          <w:sz w:val="28"/>
          <w:szCs w:val="28"/>
        </w:rPr>
        <w:t>评分对照表</w:t>
      </w:r>
    </w:p>
    <w:p w14:paraId="7D40CA0D">
      <w:pPr>
        <w:spacing w:line="360" w:lineRule="auto"/>
        <w:rPr>
          <w:color w:val="auto"/>
          <w:sz w:val="28"/>
          <w:szCs w:val="2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E0F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noWrap w:val="0"/>
            <w:vAlign w:val="center"/>
          </w:tcPr>
          <w:p w14:paraId="07A569A5">
            <w:pPr>
              <w:pStyle w:val="3"/>
              <w:spacing w:line="360" w:lineRule="auto"/>
              <w:ind w:firstLine="0" w:firstLineChars="0"/>
              <w:jc w:val="center"/>
              <w:rPr>
                <w:color w:val="auto"/>
                <w:sz w:val="24"/>
              </w:rPr>
            </w:pPr>
            <w:r>
              <w:rPr>
                <w:color w:val="auto"/>
                <w:sz w:val="24"/>
              </w:rPr>
              <w:t>序号</w:t>
            </w:r>
          </w:p>
        </w:tc>
        <w:tc>
          <w:tcPr>
            <w:tcW w:w="2514" w:type="dxa"/>
            <w:noWrap w:val="0"/>
            <w:vAlign w:val="center"/>
          </w:tcPr>
          <w:p w14:paraId="53DA5462">
            <w:pPr>
              <w:pStyle w:val="3"/>
              <w:spacing w:line="360" w:lineRule="auto"/>
              <w:ind w:firstLine="480"/>
              <w:rPr>
                <w:color w:val="auto"/>
                <w:sz w:val="24"/>
              </w:rPr>
            </w:pPr>
            <w:r>
              <w:rPr>
                <w:color w:val="auto"/>
                <w:sz w:val="24"/>
              </w:rPr>
              <w:t>招标文件评分标准</w:t>
            </w:r>
          </w:p>
        </w:tc>
        <w:tc>
          <w:tcPr>
            <w:tcW w:w="2266" w:type="dxa"/>
            <w:noWrap w:val="0"/>
            <w:vAlign w:val="center"/>
          </w:tcPr>
          <w:p w14:paraId="78E45AE3">
            <w:pPr>
              <w:pStyle w:val="3"/>
              <w:spacing w:line="360" w:lineRule="auto"/>
              <w:ind w:firstLine="480"/>
              <w:rPr>
                <w:color w:val="auto"/>
                <w:sz w:val="24"/>
              </w:rPr>
            </w:pPr>
            <w:r>
              <w:rPr>
                <w:color w:val="auto"/>
                <w:sz w:val="24"/>
              </w:rPr>
              <w:t>投标响应部分</w:t>
            </w:r>
          </w:p>
        </w:tc>
        <w:tc>
          <w:tcPr>
            <w:tcW w:w="2966" w:type="dxa"/>
            <w:noWrap w:val="0"/>
            <w:vAlign w:val="center"/>
          </w:tcPr>
          <w:p w14:paraId="497601F3">
            <w:pPr>
              <w:pStyle w:val="3"/>
              <w:spacing w:line="360" w:lineRule="auto"/>
              <w:ind w:firstLine="480"/>
              <w:rPr>
                <w:color w:val="auto"/>
                <w:sz w:val="24"/>
              </w:rPr>
            </w:pPr>
            <w:r>
              <w:rPr>
                <w:color w:val="auto"/>
                <w:sz w:val="24"/>
              </w:rPr>
              <w:t>投标文件中对应页码</w:t>
            </w:r>
          </w:p>
        </w:tc>
      </w:tr>
      <w:tr w14:paraId="19EE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B2B0E98">
            <w:pPr>
              <w:pStyle w:val="3"/>
              <w:spacing w:line="360" w:lineRule="auto"/>
              <w:jc w:val="center"/>
              <w:rPr>
                <w:color w:val="auto"/>
              </w:rPr>
            </w:pPr>
          </w:p>
        </w:tc>
        <w:tc>
          <w:tcPr>
            <w:tcW w:w="2514" w:type="dxa"/>
            <w:noWrap w:val="0"/>
            <w:vAlign w:val="center"/>
          </w:tcPr>
          <w:p w14:paraId="313BDC8A">
            <w:pPr>
              <w:pStyle w:val="3"/>
              <w:spacing w:line="360" w:lineRule="auto"/>
              <w:jc w:val="center"/>
              <w:rPr>
                <w:color w:val="auto"/>
              </w:rPr>
            </w:pPr>
          </w:p>
        </w:tc>
        <w:tc>
          <w:tcPr>
            <w:tcW w:w="2266" w:type="dxa"/>
            <w:noWrap w:val="0"/>
            <w:vAlign w:val="center"/>
          </w:tcPr>
          <w:p w14:paraId="49C10070">
            <w:pPr>
              <w:pStyle w:val="3"/>
              <w:spacing w:line="360" w:lineRule="auto"/>
              <w:jc w:val="center"/>
              <w:rPr>
                <w:color w:val="auto"/>
              </w:rPr>
            </w:pPr>
          </w:p>
        </w:tc>
        <w:tc>
          <w:tcPr>
            <w:tcW w:w="2966" w:type="dxa"/>
            <w:noWrap w:val="0"/>
            <w:vAlign w:val="center"/>
          </w:tcPr>
          <w:p w14:paraId="61D3FAD0">
            <w:pPr>
              <w:pStyle w:val="3"/>
              <w:spacing w:line="360" w:lineRule="auto"/>
              <w:jc w:val="center"/>
              <w:rPr>
                <w:color w:val="auto"/>
              </w:rPr>
            </w:pPr>
          </w:p>
        </w:tc>
      </w:tr>
      <w:tr w14:paraId="08D0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8D3CBE6">
            <w:pPr>
              <w:pStyle w:val="3"/>
              <w:spacing w:line="360" w:lineRule="auto"/>
              <w:jc w:val="center"/>
              <w:rPr>
                <w:color w:val="auto"/>
              </w:rPr>
            </w:pPr>
          </w:p>
        </w:tc>
        <w:tc>
          <w:tcPr>
            <w:tcW w:w="2514" w:type="dxa"/>
            <w:noWrap w:val="0"/>
            <w:vAlign w:val="center"/>
          </w:tcPr>
          <w:p w14:paraId="6761DADD">
            <w:pPr>
              <w:pStyle w:val="3"/>
              <w:spacing w:line="360" w:lineRule="auto"/>
              <w:jc w:val="center"/>
              <w:rPr>
                <w:color w:val="auto"/>
              </w:rPr>
            </w:pPr>
          </w:p>
        </w:tc>
        <w:tc>
          <w:tcPr>
            <w:tcW w:w="2266" w:type="dxa"/>
            <w:noWrap w:val="0"/>
            <w:vAlign w:val="center"/>
          </w:tcPr>
          <w:p w14:paraId="71EDF085">
            <w:pPr>
              <w:pStyle w:val="3"/>
              <w:spacing w:line="360" w:lineRule="auto"/>
              <w:jc w:val="center"/>
              <w:rPr>
                <w:color w:val="auto"/>
              </w:rPr>
            </w:pPr>
          </w:p>
        </w:tc>
        <w:tc>
          <w:tcPr>
            <w:tcW w:w="2966" w:type="dxa"/>
            <w:noWrap w:val="0"/>
            <w:vAlign w:val="center"/>
          </w:tcPr>
          <w:p w14:paraId="23676591">
            <w:pPr>
              <w:pStyle w:val="3"/>
              <w:spacing w:line="360" w:lineRule="auto"/>
              <w:jc w:val="center"/>
              <w:rPr>
                <w:color w:val="auto"/>
              </w:rPr>
            </w:pPr>
          </w:p>
        </w:tc>
      </w:tr>
      <w:tr w14:paraId="4671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77688CC">
            <w:pPr>
              <w:pStyle w:val="3"/>
              <w:spacing w:line="360" w:lineRule="auto"/>
              <w:jc w:val="center"/>
              <w:rPr>
                <w:color w:val="auto"/>
              </w:rPr>
            </w:pPr>
          </w:p>
        </w:tc>
        <w:tc>
          <w:tcPr>
            <w:tcW w:w="2514" w:type="dxa"/>
            <w:noWrap w:val="0"/>
            <w:vAlign w:val="center"/>
          </w:tcPr>
          <w:p w14:paraId="14E246E4">
            <w:pPr>
              <w:pStyle w:val="3"/>
              <w:spacing w:line="360" w:lineRule="auto"/>
              <w:jc w:val="center"/>
              <w:rPr>
                <w:color w:val="auto"/>
              </w:rPr>
            </w:pPr>
          </w:p>
        </w:tc>
        <w:tc>
          <w:tcPr>
            <w:tcW w:w="2266" w:type="dxa"/>
            <w:noWrap w:val="0"/>
            <w:vAlign w:val="center"/>
          </w:tcPr>
          <w:p w14:paraId="6B3AE1B5">
            <w:pPr>
              <w:pStyle w:val="3"/>
              <w:spacing w:line="360" w:lineRule="auto"/>
              <w:jc w:val="center"/>
              <w:rPr>
                <w:color w:val="auto"/>
              </w:rPr>
            </w:pPr>
          </w:p>
        </w:tc>
        <w:tc>
          <w:tcPr>
            <w:tcW w:w="2966" w:type="dxa"/>
            <w:noWrap w:val="0"/>
            <w:vAlign w:val="center"/>
          </w:tcPr>
          <w:p w14:paraId="1E9E9DEB">
            <w:pPr>
              <w:pStyle w:val="3"/>
              <w:spacing w:line="360" w:lineRule="auto"/>
              <w:jc w:val="center"/>
              <w:rPr>
                <w:color w:val="auto"/>
              </w:rPr>
            </w:pPr>
          </w:p>
        </w:tc>
      </w:tr>
      <w:tr w14:paraId="3B03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1385B6E">
            <w:pPr>
              <w:pStyle w:val="3"/>
              <w:spacing w:line="360" w:lineRule="auto"/>
              <w:jc w:val="center"/>
              <w:rPr>
                <w:color w:val="auto"/>
              </w:rPr>
            </w:pPr>
          </w:p>
        </w:tc>
        <w:tc>
          <w:tcPr>
            <w:tcW w:w="2514" w:type="dxa"/>
            <w:noWrap w:val="0"/>
            <w:vAlign w:val="center"/>
          </w:tcPr>
          <w:p w14:paraId="222E79D9">
            <w:pPr>
              <w:pStyle w:val="3"/>
              <w:spacing w:line="360" w:lineRule="auto"/>
              <w:jc w:val="center"/>
              <w:rPr>
                <w:color w:val="auto"/>
              </w:rPr>
            </w:pPr>
          </w:p>
        </w:tc>
        <w:tc>
          <w:tcPr>
            <w:tcW w:w="2266" w:type="dxa"/>
            <w:noWrap w:val="0"/>
            <w:vAlign w:val="center"/>
          </w:tcPr>
          <w:p w14:paraId="60308042">
            <w:pPr>
              <w:pStyle w:val="3"/>
              <w:spacing w:line="360" w:lineRule="auto"/>
              <w:jc w:val="center"/>
              <w:rPr>
                <w:color w:val="auto"/>
              </w:rPr>
            </w:pPr>
          </w:p>
        </w:tc>
        <w:tc>
          <w:tcPr>
            <w:tcW w:w="2966" w:type="dxa"/>
            <w:noWrap w:val="0"/>
            <w:vAlign w:val="center"/>
          </w:tcPr>
          <w:p w14:paraId="2774AD68">
            <w:pPr>
              <w:pStyle w:val="3"/>
              <w:spacing w:line="360" w:lineRule="auto"/>
              <w:jc w:val="center"/>
              <w:rPr>
                <w:color w:val="auto"/>
              </w:rPr>
            </w:pPr>
          </w:p>
        </w:tc>
      </w:tr>
      <w:tr w14:paraId="3D2A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87D1151">
            <w:pPr>
              <w:pStyle w:val="3"/>
              <w:spacing w:line="360" w:lineRule="auto"/>
              <w:jc w:val="center"/>
              <w:rPr>
                <w:color w:val="auto"/>
              </w:rPr>
            </w:pPr>
          </w:p>
        </w:tc>
        <w:tc>
          <w:tcPr>
            <w:tcW w:w="2514" w:type="dxa"/>
            <w:noWrap w:val="0"/>
            <w:vAlign w:val="center"/>
          </w:tcPr>
          <w:p w14:paraId="19558015">
            <w:pPr>
              <w:pStyle w:val="3"/>
              <w:spacing w:line="360" w:lineRule="auto"/>
              <w:jc w:val="center"/>
              <w:rPr>
                <w:color w:val="auto"/>
              </w:rPr>
            </w:pPr>
          </w:p>
        </w:tc>
        <w:tc>
          <w:tcPr>
            <w:tcW w:w="2266" w:type="dxa"/>
            <w:noWrap w:val="0"/>
            <w:vAlign w:val="center"/>
          </w:tcPr>
          <w:p w14:paraId="517AABF8">
            <w:pPr>
              <w:pStyle w:val="3"/>
              <w:spacing w:line="360" w:lineRule="auto"/>
              <w:jc w:val="center"/>
              <w:rPr>
                <w:color w:val="auto"/>
              </w:rPr>
            </w:pPr>
          </w:p>
        </w:tc>
        <w:tc>
          <w:tcPr>
            <w:tcW w:w="2966" w:type="dxa"/>
            <w:noWrap w:val="0"/>
            <w:vAlign w:val="center"/>
          </w:tcPr>
          <w:p w14:paraId="78393D1F">
            <w:pPr>
              <w:pStyle w:val="3"/>
              <w:spacing w:line="360" w:lineRule="auto"/>
              <w:jc w:val="center"/>
              <w:rPr>
                <w:color w:val="auto"/>
              </w:rPr>
            </w:pPr>
          </w:p>
        </w:tc>
      </w:tr>
      <w:tr w14:paraId="34EF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3869ECE">
            <w:pPr>
              <w:pStyle w:val="3"/>
              <w:spacing w:line="360" w:lineRule="auto"/>
              <w:jc w:val="center"/>
              <w:rPr>
                <w:color w:val="auto"/>
              </w:rPr>
            </w:pPr>
          </w:p>
        </w:tc>
        <w:tc>
          <w:tcPr>
            <w:tcW w:w="2514" w:type="dxa"/>
            <w:noWrap w:val="0"/>
            <w:vAlign w:val="center"/>
          </w:tcPr>
          <w:p w14:paraId="37DF49AF">
            <w:pPr>
              <w:pStyle w:val="3"/>
              <w:spacing w:line="360" w:lineRule="auto"/>
              <w:jc w:val="center"/>
              <w:rPr>
                <w:color w:val="auto"/>
              </w:rPr>
            </w:pPr>
          </w:p>
        </w:tc>
        <w:tc>
          <w:tcPr>
            <w:tcW w:w="2266" w:type="dxa"/>
            <w:noWrap w:val="0"/>
            <w:vAlign w:val="center"/>
          </w:tcPr>
          <w:p w14:paraId="0D009500">
            <w:pPr>
              <w:pStyle w:val="3"/>
              <w:spacing w:line="360" w:lineRule="auto"/>
              <w:jc w:val="center"/>
              <w:rPr>
                <w:color w:val="auto"/>
              </w:rPr>
            </w:pPr>
          </w:p>
        </w:tc>
        <w:tc>
          <w:tcPr>
            <w:tcW w:w="2966" w:type="dxa"/>
            <w:noWrap w:val="0"/>
            <w:vAlign w:val="center"/>
          </w:tcPr>
          <w:p w14:paraId="40388E57">
            <w:pPr>
              <w:pStyle w:val="3"/>
              <w:spacing w:line="360" w:lineRule="auto"/>
              <w:jc w:val="center"/>
              <w:rPr>
                <w:color w:val="auto"/>
              </w:rPr>
            </w:pPr>
          </w:p>
        </w:tc>
      </w:tr>
    </w:tbl>
    <w:p w14:paraId="1DC8BBF9">
      <w:pPr>
        <w:spacing w:line="480" w:lineRule="auto"/>
        <w:jc w:val="center"/>
        <w:rPr>
          <w:color w:val="auto"/>
          <w:kern w:val="0"/>
          <w:sz w:val="28"/>
          <w:szCs w:val="28"/>
          <w:lang w:val="zh-CN"/>
        </w:rPr>
      </w:pPr>
    </w:p>
    <w:p w14:paraId="6E467EDE">
      <w:pPr>
        <w:pStyle w:val="15"/>
        <w:spacing w:before="0" w:after="0" w:line="360" w:lineRule="auto"/>
        <w:jc w:val="left"/>
        <w:rPr>
          <w:rFonts w:ascii="Times New Roman" w:hAnsi="Times New Roman"/>
          <w:color w:val="auto"/>
          <w:lang w:val="zh-CN"/>
        </w:rPr>
      </w:pPr>
      <w:r>
        <w:rPr>
          <w:rFonts w:ascii="Times New Roman" w:hAnsi="Times New Roman"/>
          <w:color w:val="auto"/>
          <w:kern w:val="0"/>
          <w:sz w:val="28"/>
          <w:szCs w:val="28"/>
          <w:lang w:val="zh-CN"/>
        </w:rPr>
        <w:br w:type="page"/>
      </w:r>
      <w:bookmarkStart w:id="191" w:name="_Toc11014"/>
      <w:bookmarkStart w:id="192" w:name="_Toc19045"/>
      <w:bookmarkStart w:id="193" w:name="_Toc26451"/>
      <w:r>
        <w:rPr>
          <w:rFonts w:hint="eastAsia" w:ascii="Times New Roman" w:hAnsi="Times New Roman"/>
          <w:color w:val="auto"/>
          <w:sz w:val="30"/>
          <w:szCs w:val="30"/>
        </w:rPr>
        <w:t>格式12：</w:t>
      </w:r>
      <w:r>
        <w:rPr>
          <w:rFonts w:ascii="Times New Roman" w:hAnsi="Times New Roman"/>
          <w:color w:val="auto"/>
          <w:sz w:val="30"/>
          <w:szCs w:val="30"/>
          <w:lang w:val="zh-CN"/>
        </w:rPr>
        <w:t>开标一览表（报价表）</w:t>
      </w:r>
      <w:bookmarkEnd w:id="191"/>
      <w:bookmarkEnd w:id="192"/>
      <w:bookmarkEnd w:id="193"/>
    </w:p>
    <w:p w14:paraId="1A0775FA">
      <w:pPr>
        <w:autoSpaceDE w:val="0"/>
        <w:autoSpaceDN w:val="0"/>
        <w:spacing w:line="360" w:lineRule="auto"/>
        <w:rPr>
          <w:b/>
          <w:bCs/>
          <w:color w:val="auto"/>
          <w:kern w:val="0"/>
          <w:sz w:val="28"/>
          <w:szCs w:val="28"/>
          <w:lang w:val="zh-CN"/>
        </w:rPr>
      </w:pPr>
    </w:p>
    <w:p w14:paraId="45FF7D8B">
      <w:pPr>
        <w:autoSpaceDE w:val="0"/>
        <w:autoSpaceDN w:val="0"/>
        <w:spacing w:line="360" w:lineRule="auto"/>
        <w:jc w:val="center"/>
        <w:rPr>
          <w:b/>
          <w:bCs/>
          <w:color w:val="auto"/>
          <w:kern w:val="0"/>
          <w:sz w:val="36"/>
          <w:szCs w:val="36"/>
          <w:lang w:val="zh-CN"/>
        </w:rPr>
      </w:pPr>
      <w:r>
        <w:rPr>
          <w:b/>
          <w:bCs/>
          <w:color w:val="auto"/>
          <w:kern w:val="0"/>
          <w:sz w:val="28"/>
          <w:szCs w:val="28"/>
          <w:lang w:val="zh-CN"/>
        </w:rPr>
        <w:t>开标一览表（报价表）</w:t>
      </w:r>
    </w:p>
    <w:p w14:paraId="69CCF604">
      <w:pPr>
        <w:autoSpaceDE w:val="0"/>
        <w:autoSpaceDN w:val="0"/>
        <w:spacing w:line="360" w:lineRule="auto"/>
        <w:rPr>
          <w:b/>
          <w:bCs/>
          <w:color w:val="auto"/>
          <w:kern w:val="0"/>
          <w:sz w:val="28"/>
          <w:szCs w:val="28"/>
          <w:lang w:val="zh-CN"/>
        </w:rPr>
      </w:pPr>
    </w:p>
    <w:p w14:paraId="692095B6">
      <w:pPr>
        <w:autoSpaceDE w:val="0"/>
        <w:autoSpaceDN w:val="0"/>
        <w:spacing w:line="360" w:lineRule="auto"/>
        <w:rPr>
          <w:bCs/>
          <w:color w:val="auto"/>
          <w:kern w:val="0"/>
          <w:sz w:val="24"/>
          <w:lang w:val="zh-CN"/>
        </w:rPr>
      </w:pPr>
      <w:r>
        <w:rPr>
          <w:bCs/>
          <w:color w:val="auto"/>
          <w:kern w:val="0"/>
          <w:sz w:val="24"/>
          <w:lang w:val="zh-CN"/>
        </w:rPr>
        <w:t>采购项目名称：                                          单位：人民币（元）</w:t>
      </w:r>
    </w:p>
    <w:p w14:paraId="51B4D7BA">
      <w:pPr>
        <w:pStyle w:val="5"/>
        <w:rPr>
          <w:rFonts w:hint="eastAsia" w:eastAsia="宋体"/>
          <w:lang w:val="en-US" w:eastAsia="zh-CN"/>
        </w:rPr>
      </w:pPr>
      <w:r>
        <w:rPr>
          <w:rFonts w:hint="eastAsia"/>
          <w:bCs/>
          <w:color w:val="auto"/>
          <w:kern w:val="0"/>
          <w:sz w:val="24"/>
          <w:lang w:val="en-US" w:eastAsia="zh-CN"/>
        </w:rPr>
        <w:t>包号：</w:t>
      </w:r>
    </w:p>
    <w:tbl>
      <w:tblPr>
        <w:tblStyle w:val="16"/>
        <w:tblW w:w="0" w:type="auto"/>
        <w:jc w:val="center"/>
        <w:tblLayout w:type="fixed"/>
        <w:tblCellMar>
          <w:top w:w="0" w:type="dxa"/>
          <w:left w:w="108" w:type="dxa"/>
          <w:bottom w:w="0" w:type="dxa"/>
          <w:right w:w="108" w:type="dxa"/>
        </w:tblCellMar>
      </w:tblPr>
      <w:tblGrid>
        <w:gridCol w:w="3516"/>
        <w:gridCol w:w="2829"/>
        <w:gridCol w:w="2016"/>
        <w:gridCol w:w="1607"/>
      </w:tblGrid>
      <w:tr w14:paraId="0D9CCB19">
        <w:tblPrEx>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437BAD">
            <w:pPr>
              <w:autoSpaceDE w:val="0"/>
              <w:autoSpaceDN w:val="0"/>
              <w:spacing w:line="360" w:lineRule="auto"/>
              <w:jc w:val="center"/>
              <w:rPr>
                <w:rFonts w:ascii="宋体" w:hAnsi="宋体" w:cs="Arial"/>
                <w:bCs/>
                <w:color w:val="auto"/>
                <w:sz w:val="24"/>
                <w:lang w:val="zh-CN"/>
              </w:rPr>
            </w:pPr>
            <w:r>
              <w:rPr>
                <w:rFonts w:ascii="宋体" w:hAnsi="宋体" w:cs="Arial"/>
                <w:bCs/>
                <w:color w:val="auto"/>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5C4262">
            <w:pPr>
              <w:autoSpaceDE w:val="0"/>
              <w:autoSpaceDN w:val="0"/>
              <w:spacing w:line="360" w:lineRule="auto"/>
              <w:jc w:val="center"/>
              <w:rPr>
                <w:rFonts w:ascii="宋体" w:hAnsi="宋体" w:cs="Arial"/>
                <w:bCs/>
                <w:color w:val="auto"/>
                <w:sz w:val="24"/>
                <w:lang w:val="zh-CN"/>
              </w:rPr>
            </w:pPr>
            <w:r>
              <w:rPr>
                <w:rFonts w:hint="eastAsia" w:ascii="宋体" w:hAnsi="宋体" w:cs="Arial"/>
                <w:bCs/>
                <w:color w:val="auto"/>
                <w:sz w:val="24"/>
                <w:lang w:val="zh-CN"/>
              </w:rPr>
              <w:t>投标</w:t>
            </w:r>
            <w:r>
              <w:rPr>
                <w:rFonts w:ascii="宋体" w:hAnsi="宋体" w:cs="Arial"/>
                <w:bCs/>
                <w:color w:val="auto"/>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0B5EB826">
            <w:pPr>
              <w:autoSpaceDE w:val="0"/>
              <w:autoSpaceDN w:val="0"/>
              <w:spacing w:line="360" w:lineRule="auto"/>
              <w:jc w:val="center"/>
              <w:rPr>
                <w:rFonts w:ascii="宋体" w:hAnsi="宋体" w:cs="Arial"/>
                <w:bCs/>
                <w:color w:val="auto"/>
                <w:sz w:val="24"/>
                <w:lang w:val="zh-CN"/>
              </w:rPr>
            </w:pPr>
            <w:r>
              <w:rPr>
                <w:rFonts w:ascii="宋体" w:hAnsi="宋体" w:cs="Arial"/>
                <w:bCs/>
                <w:color w:val="auto"/>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DF4131">
            <w:pPr>
              <w:autoSpaceDE w:val="0"/>
              <w:autoSpaceDN w:val="0"/>
              <w:spacing w:line="360" w:lineRule="auto"/>
              <w:jc w:val="center"/>
              <w:rPr>
                <w:rFonts w:ascii="宋体" w:hAnsi="宋体" w:cs="Arial"/>
                <w:bCs/>
                <w:color w:val="auto"/>
                <w:sz w:val="24"/>
                <w:lang w:val="zh-CN"/>
              </w:rPr>
            </w:pPr>
            <w:r>
              <w:rPr>
                <w:rFonts w:ascii="宋体" w:hAnsi="宋体" w:cs="Arial"/>
                <w:bCs/>
                <w:color w:val="auto"/>
                <w:sz w:val="24"/>
                <w:lang w:val="zh-CN"/>
              </w:rPr>
              <w:t>备注</w:t>
            </w:r>
          </w:p>
        </w:tc>
      </w:tr>
      <w:tr w14:paraId="2F3E159E">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000000" w:fill="FFFFFF"/>
            <w:noWrap w:val="0"/>
            <w:vAlign w:val="center"/>
          </w:tcPr>
          <w:p w14:paraId="20EC1574">
            <w:pPr>
              <w:autoSpaceDE w:val="0"/>
              <w:autoSpaceDN w:val="0"/>
              <w:spacing w:line="360" w:lineRule="auto"/>
              <w:rPr>
                <w:rFonts w:ascii="宋体" w:hAnsi="宋体" w:cs="Arial"/>
                <w:bCs/>
                <w:color w:val="auto"/>
                <w:sz w:val="24"/>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C8E877">
            <w:pPr>
              <w:autoSpaceDE w:val="0"/>
              <w:autoSpaceDN w:val="0"/>
              <w:spacing w:line="360" w:lineRule="auto"/>
              <w:rPr>
                <w:rFonts w:ascii="宋体" w:hAnsi="宋体" w:cs="Arial"/>
                <w:bCs/>
                <w:color w:val="auto"/>
                <w:sz w:val="24"/>
                <w:lang w:val="zh-CN"/>
              </w:rPr>
            </w:pPr>
            <w:r>
              <w:rPr>
                <w:rFonts w:ascii="宋体" w:hAnsi="宋体" w:cs="Arial"/>
                <w:bCs/>
                <w:color w:val="auto"/>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37839778">
            <w:pPr>
              <w:autoSpaceDE w:val="0"/>
              <w:autoSpaceDN w:val="0"/>
              <w:spacing w:line="360" w:lineRule="auto"/>
              <w:rPr>
                <w:rFonts w:ascii="宋体" w:hAnsi="宋体" w:cs="Arial"/>
                <w:bCs/>
                <w:color w:val="auto"/>
                <w:sz w:val="24"/>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B7376E">
            <w:pPr>
              <w:autoSpaceDE w:val="0"/>
              <w:autoSpaceDN w:val="0"/>
              <w:spacing w:line="360" w:lineRule="auto"/>
              <w:rPr>
                <w:rFonts w:ascii="宋体" w:hAnsi="宋体" w:cs="Arial"/>
                <w:bCs/>
                <w:color w:val="auto"/>
                <w:sz w:val="24"/>
                <w:lang w:val="zh-CN"/>
              </w:rPr>
            </w:pPr>
          </w:p>
        </w:tc>
      </w:tr>
      <w:tr w14:paraId="73B76500">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000000" w:sz="6" w:space="0"/>
              <w:right w:val="single" w:color="000000" w:sz="6" w:space="0"/>
            </w:tcBorders>
            <w:shd w:val="clear" w:color="000000" w:fill="FFFFFF"/>
            <w:noWrap w:val="0"/>
            <w:vAlign w:val="center"/>
          </w:tcPr>
          <w:p w14:paraId="4719CC3D">
            <w:pPr>
              <w:autoSpaceDE w:val="0"/>
              <w:autoSpaceDN w:val="0"/>
              <w:spacing w:line="360" w:lineRule="auto"/>
              <w:rPr>
                <w:rFonts w:ascii="宋体" w:hAnsi="宋体" w:cs="宋体"/>
                <w:b/>
                <w:bCs/>
                <w:color w:val="auto"/>
                <w:sz w:val="24"/>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7CF986">
            <w:pPr>
              <w:autoSpaceDE w:val="0"/>
              <w:autoSpaceDN w:val="0"/>
              <w:spacing w:line="360" w:lineRule="auto"/>
              <w:rPr>
                <w:rFonts w:ascii="宋体" w:hAnsi="宋体" w:cs="宋体"/>
                <w:b/>
                <w:bCs/>
                <w:color w:val="auto"/>
                <w:sz w:val="24"/>
                <w:lang w:val="zh-CN"/>
              </w:rPr>
            </w:pPr>
            <w:r>
              <w:rPr>
                <w:rFonts w:ascii="宋体" w:hAnsi="宋体" w:cs="Arial"/>
                <w:bCs/>
                <w:color w:val="auto"/>
                <w:sz w:val="24"/>
                <w:lang w:val="zh-CN"/>
              </w:rPr>
              <w:t>小写：</w:t>
            </w:r>
          </w:p>
        </w:tc>
        <w:tc>
          <w:tcPr>
            <w:tcW w:w="2016" w:type="dxa"/>
            <w:vMerge w:val="continue"/>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59DF98AA">
            <w:pPr>
              <w:autoSpaceDE w:val="0"/>
              <w:autoSpaceDN w:val="0"/>
              <w:spacing w:line="360" w:lineRule="auto"/>
              <w:rPr>
                <w:rFonts w:ascii="宋体" w:hAnsi="宋体" w:cs="宋体"/>
                <w:b/>
                <w:bCs/>
                <w:color w:val="auto"/>
                <w:sz w:val="24"/>
                <w:lang w:val="zh-CN"/>
              </w:rPr>
            </w:pPr>
          </w:p>
        </w:tc>
        <w:tc>
          <w:tcPr>
            <w:tcW w:w="160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0DD31E">
            <w:pPr>
              <w:autoSpaceDE w:val="0"/>
              <w:autoSpaceDN w:val="0"/>
              <w:spacing w:line="360" w:lineRule="auto"/>
              <w:rPr>
                <w:rFonts w:ascii="宋体" w:hAnsi="宋体" w:cs="宋体"/>
                <w:b/>
                <w:bCs/>
                <w:color w:val="auto"/>
                <w:sz w:val="24"/>
                <w:lang w:val="zh-CN"/>
              </w:rPr>
            </w:pPr>
          </w:p>
        </w:tc>
      </w:tr>
    </w:tbl>
    <w:p w14:paraId="422BBE2A">
      <w:pPr>
        <w:autoSpaceDE w:val="0"/>
        <w:autoSpaceDN w:val="0"/>
        <w:spacing w:line="360" w:lineRule="auto"/>
        <w:rPr>
          <w:b/>
          <w:bCs/>
          <w:color w:val="auto"/>
          <w:kern w:val="0"/>
          <w:sz w:val="24"/>
          <w:lang w:val="zh-CN"/>
        </w:rPr>
      </w:pPr>
    </w:p>
    <w:p w14:paraId="7706174C">
      <w:pPr>
        <w:autoSpaceDE w:val="0"/>
        <w:autoSpaceDN w:val="0"/>
        <w:spacing w:line="360" w:lineRule="auto"/>
        <w:rPr>
          <w:color w:val="auto"/>
          <w:kern w:val="0"/>
          <w:sz w:val="24"/>
          <w:lang w:val="zh-CN"/>
        </w:rPr>
      </w:pPr>
      <w:r>
        <w:rPr>
          <w:b/>
          <w:bCs/>
          <w:color w:val="auto"/>
          <w:kern w:val="0"/>
          <w:sz w:val="24"/>
          <w:lang w:val="zh-CN"/>
        </w:rPr>
        <w:t>注：</w:t>
      </w:r>
      <w:r>
        <w:rPr>
          <w:color w:val="auto"/>
          <w:kern w:val="0"/>
          <w:sz w:val="24"/>
          <w:lang w:val="zh-CN"/>
        </w:rPr>
        <w:t>1.填写此表时不得改变表格形式。</w:t>
      </w:r>
    </w:p>
    <w:p w14:paraId="7DE7BD6A">
      <w:pPr>
        <w:autoSpaceDE w:val="0"/>
        <w:autoSpaceDN w:val="0"/>
        <w:spacing w:line="360" w:lineRule="auto"/>
        <w:ind w:firstLine="480"/>
        <w:rPr>
          <w:rFonts w:hint="eastAsia" w:eastAsia="宋体"/>
          <w:color w:val="auto"/>
          <w:kern w:val="0"/>
          <w:sz w:val="24"/>
          <w:lang w:val="zh-CN" w:eastAsia="zh-CN"/>
        </w:rPr>
      </w:pPr>
      <w:r>
        <w:rPr>
          <w:color w:val="auto"/>
          <w:kern w:val="0"/>
          <w:sz w:val="24"/>
          <w:lang w:val="zh-CN"/>
        </w:rPr>
        <w:t>2.“投标报价”为投标总价。</w:t>
      </w:r>
      <w:r>
        <w:rPr>
          <w:rFonts w:hint="eastAsia"/>
          <w:color w:val="auto"/>
          <w:sz w:val="24"/>
          <w:lang w:eastAsia="zh-CN"/>
        </w:rPr>
        <w:t>投标报价应包含产品费、验收费、手续费、包装费、运输费、保险费、安装调试费、售前、售中、售后服务费、招标代理费、税金及不可预见费等全部费用。</w:t>
      </w:r>
    </w:p>
    <w:p w14:paraId="185835D3">
      <w:pPr>
        <w:autoSpaceDE w:val="0"/>
        <w:autoSpaceDN w:val="0"/>
        <w:spacing w:line="360" w:lineRule="auto"/>
        <w:ind w:firstLine="480"/>
        <w:rPr>
          <w:color w:val="auto"/>
          <w:kern w:val="0"/>
          <w:sz w:val="24"/>
        </w:rPr>
      </w:pPr>
      <w:r>
        <w:rPr>
          <w:color w:val="auto"/>
          <w:kern w:val="0"/>
          <w:sz w:val="24"/>
          <w:lang w:val="zh-CN"/>
        </w:rPr>
        <w:t>3.“交货期”是指产品能够交付使用的具体时间。</w:t>
      </w:r>
      <w:r>
        <w:rPr>
          <w:rFonts w:hint="eastAsia"/>
          <w:color w:val="auto"/>
          <w:kern w:val="0"/>
          <w:sz w:val="24"/>
        </w:rPr>
        <w:t xml:space="preserve">                                                                                                                                                                                                          </w:t>
      </w:r>
    </w:p>
    <w:p w14:paraId="41989B93">
      <w:pPr>
        <w:autoSpaceDE w:val="0"/>
        <w:autoSpaceDN w:val="0"/>
        <w:spacing w:line="360" w:lineRule="auto"/>
        <w:ind w:firstLine="480"/>
        <w:rPr>
          <w:color w:val="auto"/>
          <w:kern w:val="0"/>
          <w:sz w:val="24"/>
          <w:lang w:val="zh-CN"/>
        </w:rPr>
      </w:pPr>
      <w:r>
        <w:rPr>
          <w:color w:val="auto"/>
          <w:kern w:val="0"/>
          <w:sz w:val="24"/>
          <w:lang w:val="zh-CN"/>
        </w:rPr>
        <w:t>4.投标报价不能有两个或两个以上的报价方案，</w:t>
      </w:r>
      <w:r>
        <w:rPr>
          <w:color w:val="auto"/>
          <w:kern w:val="0"/>
          <w:sz w:val="24"/>
        </w:rPr>
        <w:t>否则投标无效</w:t>
      </w:r>
      <w:r>
        <w:rPr>
          <w:color w:val="auto"/>
          <w:kern w:val="0"/>
          <w:sz w:val="24"/>
          <w:lang w:val="zh-CN"/>
        </w:rPr>
        <w:t>。</w:t>
      </w:r>
    </w:p>
    <w:p w14:paraId="658F131E">
      <w:pPr>
        <w:autoSpaceDE w:val="0"/>
        <w:autoSpaceDN w:val="0"/>
        <w:spacing w:line="360" w:lineRule="auto"/>
        <w:ind w:firstLine="480"/>
        <w:rPr>
          <w:color w:val="auto"/>
          <w:kern w:val="0"/>
          <w:sz w:val="24"/>
          <w:lang w:val="zh-CN"/>
        </w:rPr>
      </w:pPr>
    </w:p>
    <w:p w14:paraId="0C235B96">
      <w:pPr>
        <w:autoSpaceDE w:val="0"/>
        <w:autoSpaceDN w:val="0"/>
        <w:spacing w:line="360" w:lineRule="auto"/>
        <w:ind w:firstLine="480"/>
        <w:rPr>
          <w:color w:val="auto"/>
          <w:kern w:val="0"/>
          <w:sz w:val="24"/>
          <w:lang w:val="zh-CN"/>
        </w:rPr>
      </w:pPr>
    </w:p>
    <w:p w14:paraId="592C72F6">
      <w:pPr>
        <w:autoSpaceDE w:val="0"/>
        <w:autoSpaceDN w:val="0"/>
        <w:spacing w:line="360" w:lineRule="auto"/>
        <w:ind w:firstLine="480"/>
        <w:rPr>
          <w:color w:val="auto"/>
          <w:kern w:val="0"/>
          <w:sz w:val="24"/>
          <w:lang w:val="zh-CN"/>
        </w:rPr>
      </w:pPr>
    </w:p>
    <w:p w14:paraId="5B85E1AE">
      <w:pPr>
        <w:autoSpaceDE w:val="0"/>
        <w:autoSpaceDN w:val="0"/>
        <w:spacing w:line="360" w:lineRule="auto"/>
        <w:ind w:firstLine="480"/>
        <w:rPr>
          <w:color w:val="auto"/>
          <w:kern w:val="0"/>
          <w:sz w:val="24"/>
          <w:lang w:val="zh-CN"/>
        </w:rPr>
      </w:pPr>
    </w:p>
    <w:p w14:paraId="5EEC90E6">
      <w:pPr>
        <w:autoSpaceDE w:val="0"/>
        <w:autoSpaceDN w:val="0"/>
        <w:spacing w:line="360" w:lineRule="auto"/>
        <w:ind w:firstLine="480"/>
        <w:rPr>
          <w:color w:val="auto"/>
          <w:kern w:val="0"/>
          <w:sz w:val="24"/>
          <w:lang w:val="zh-CN"/>
        </w:rPr>
      </w:pPr>
    </w:p>
    <w:p w14:paraId="658DB4B1">
      <w:pPr>
        <w:jc w:val="right"/>
        <w:rPr>
          <w:rFonts w:hint="eastAsia"/>
          <w:b/>
          <w:color w:val="auto"/>
          <w:sz w:val="24"/>
        </w:rPr>
      </w:pPr>
    </w:p>
    <w:p w14:paraId="453F997C">
      <w:pPr>
        <w:jc w:val="right"/>
        <w:rPr>
          <w:rFonts w:hint="eastAsia"/>
          <w:b/>
          <w:color w:val="auto"/>
          <w:sz w:val="24"/>
        </w:rPr>
      </w:pPr>
    </w:p>
    <w:p w14:paraId="44AC9E49">
      <w:pPr>
        <w:ind w:right="239"/>
        <w:jc w:val="right"/>
        <w:rPr>
          <w:b/>
          <w:color w:val="auto"/>
          <w:sz w:val="24"/>
        </w:rPr>
      </w:pPr>
      <w:r>
        <w:rPr>
          <w:rFonts w:hint="eastAsia"/>
          <w:b/>
          <w:color w:val="auto"/>
          <w:sz w:val="24"/>
        </w:rPr>
        <w:t xml:space="preserve"> </w:t>
      </w:r>
      <w:r>
        <w:rPr>
          <w:b/>
          <w:color w:val="auto"/>
          <w:sz w:val="24"/>
        </w:rPr>
        <w:t>投标人：                      （公章）</w:t>
      </w:r>
    </w:p>
    <w:p w14:paraId="3AFCBAFE">
      <w:pPr>
        <w:jc w:val="right"/>
        <w:rPr>
          <w:b/>
          <w:color w:val="auto"/>
          <w:sz w:val="24"/>
        </w:rPr>
      </w:pPr>
      <w:r>
        <w:rPr>
          <w:b/>
          <w:color w:val="auto"/>
          <w:sz w:val="24"/>
        </w:rPr>
        <w:t>法定代表人或委托代理人：        （</w:t>
      </w:r>
      <w:bookmarkStart w:id="194" w:name="OLE_LINK6"/>
      <w:r>
        <w:rPr>
          <w:rFonts w:hint="eastAsia" w:ascii="Times New Roman" w:hAnsi="Times New Roman" w:eastAsia="宋体" w:cs="Times New Roman"/>
          <w:b/>
          <w:color w:val="auto"/>
          <w:sz w:val="24"/>
          <w:lang w:val="zh-CN"/>
        </w:rPr>
        <w:t>签字或盖章</w:t>
      </w:r>
      <w:bookmarkEnd w:id="194"/>
      <w:r>
        <w:rPr>
          <w:b/>
          <w:color w:val="auto"/>
          <w:sz w:val="24"/>
        </w:rPr>
        <w:t>）</w:t>
      </w:r>
    </w:p>
    <w:p w14:paraId="462EB2B7">
      <w:pPr>
        <w:wordWrap w:val="0"/>
        <w:spacing w:line="480" w:lineRule="auto"/>
        <w:jc w:val="right"/>
        <w:rPr>
          <w:b/>
          <w:bCs/>
          <w:color w:val="auto"/>
          <w:kern w:val="0"/>
          <w:lang w:val="zh-CN"/>
        </w:rPr>
      </w:pPr>
      <w:r>
        <w:rPr>
          <w:rFonts w:hint="eastAsia"/>
          <w:color w:val="auto"/>
          <w:sz w:val="24"/>
        </w:rPr>
        <w:t xml:space="preserve">        </w:t>
      </w:r>
      <w:r>
        <w:rPr>
          <w:color w:val="auto"/>
          <w:sz w:val="24"/>
        </w:rPr>
        <w:t xml:space="preserve">   </w:t>
      </w:r>
      <w:r>
        <w:rPr>
          <w:rFonts w:hint="eastAsia"/>
          <w:color w:val="auto"/>
          <w:sz w:val="24"/>
        </w:rPr>
        <w:t xml:space="preserve">  </w:t>
      </w:r>
      <w:r>
        <w:rPr>
          <w:color w:val="auto"/>
          <w:sz w:val="24"/>
        </w:rPr>
        <w:t xml:space="preserve">   </w:t>
      </w:r>
      <w:r>
        <w:rPr>
          <w:b/>
          <w:color w:val="auto"/>
          <w:sz w:val="24"/>
        </w:rPr>
        <w:t>日期：                  年   月   日</w:t>
      </w:r>
    </w:p>
    <w:p w14:paraId="739BFFA4">
      <w:pPr>
        <w:pStyle w:val="15"/>
        <w:spacing w:before="0" w:after="0" w:line="360" w:lineRule="auto"/>
        <w:jc w:val="left"/>
        <w:rPr>
          <w:rFonts w:ascii="Times New Roman" w:hAnsi="Times New Roman"/>
          <w:color w:val="auto"/>
        </w:rPr>
      </w:pPr>
      <w:r>
        <w:rPr>
          <w:rFonts w:ascii="Times New Roman" w:hAnsi="Times New Roman"/>
          <w:b w:val="0"/>
          <w:bCs w:val="0"/>
          <w:color w:val="auto"/>
          <w:kern w:val="0"/>
          <w:lang w:val="zh-CN"/>
        </w:rPr>
        <w:br w:type="page"/>
      </w:r>
      <w:bookmarkStart w:id="195" w:name="_Toc13807"/>
      <w:r>
        <w:rPr>
          <w:rFonts w:hint="eastAsia" w:ascii="Times New Roman" w:hAnsi="Times New Roman"/>
          <w:color w:val="auto"/>
          <w:sz w:val="30"/>
          <w:szCs w:val="30"/>
        </w:rPr>
        <w:t>格式13：</w:t>
      </w:r>
      <w:r>
        <w:rPr>
          <w:rFonts w:ascii="Times New Roman" w:hAnsi="Times New Roman"/>
          <w:color w:val="auto"/>
          <w:sz w:val="30"/>
          <w:szCs w:val="30"/>
          <w:lang w:val="zh-CN"/>
        </w:rPr>
        <w:t>分项报价表</w:t>
      </w:r>
      <w:bookmarkEnd w:id="195"/>
    </w:p>
    <w:p w14:paraId="6569DDFE">
      <w:pPr>
        <w:autoSpaceDE w:val="0"/>
        <w:autoSpaceDN w:val="0"/>
        <w:spacing w:line="360" w:lineRule="auto"/>
        <w:jc w:val="center"/>
        <w:rPr>
          <w:b/>
          <w:bCs/>
          <w:color w:val="auto"/>
          <w:kern w:val="0"/>
          <w:sz w:val="36"/>
          <w:szCs w:val="36"/>
          <w:lang w:val="zh-CN"/>
        </w:rPr>
      </w:pPr>
      <w:r>
        <w:rPr>
          <w:b/>
          <w:bCs/>
          <w:color w:val="auto"/>
          <w:kern w:val="0"/>
          <w:sz w:val="28"/>
          <w:szCs w:val="28"/>
          <w:lang w:val="zh-CN"/>
        </w:rPr>
        <w:t>分项报价表</w:t>
      </w:r>
    </w:p>
    <w:p w14:paraId="3E18E963">
      <w:pPr>
        <w:autoSpaceDE w:val="0"/>
        <w:autoSpaceDN w:val="0"/>
        <w:spacing w:line="360" w:lineRule="auto"/>
        <w:ind w:firstLine="720" w:firstLineChars="300"/>
        <w:rPr>
          <w:color w:val="auto"/>
          <w:kern w:val="0"/>
          <w:sz w:val="24"/>
          <w:lang w:val="zh-CN"/>
        </w:rPr>
      </w:pPr>
      <w:r>
        <w:rPr>
          <w:color w:val="auto"/>
          <w:kern w:val="0"/>
          <w:sz w:val="24"/>
          <w:lang w:val="zh-CN"/>
        </w:rPr>
        <w:t>投标人名称</w:t>
      </w:r>
      <w:r>
        <w:rPr>
          <w:color w:val="auto"/>
          <w:kern w:val="0"/>
          <w:sz w:val="24"/>
        </w:rPr>
        <w:t xml:space="preserve">：                                 </w:t>
      </w:r>
      <w:r>
        <w:rPr>
          <w:rFonts w:ascii="Times New Roman" w:hAnsi="Times New Roman" w:eastAsia="宋体" w:cs="Times New Roman"/>
          <w:color w:val="auto"/>
          <w:kern w:val="0"/>
          <w:sz w:val="24"/>
          <w:lang w:val="zh-CN"/>
        </w:rPr>
        <w:t xml:space="preserve"> 采购项目编号：</w:t>
      </w:r>
    </w:p>
    <w:tbl>
      <w:tblPr>
        <w:tblStyle w:val="16"/>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1DC9AA89">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6A361FCF">
            <w:pPr>
              <w:autoSpaceDE w:val="0"/>
              <w:autoSpaceDN w:val="0"/>
              <w:spacing w:line="360" w:lineRule="auto"/>
              <w:jc w:val="center"/>
              <w:rPr>
                <w:color w:val="auto"/>
                <w:kern w:val="0"/>
                <w:sz w:val="24"/>
                <w:lang w:val="zh-CN"/>
              </w:rPr>
            </w:pPr>
            <w:r>
              <w:rPr>
                <w:color w:val="auto"/>
                <w:kern w:val="0"/>
                <w:sz w:val="24"/>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0E60D1D4">
            <w:pPr>
              <w:autoSpaceDE w:val="0"/>
              <w:autoSpaceDN w:val="0"/>
              <w:spacing w:line="360" w:lineRule="auto"/>
              <w:jc w:val="center"/>
              <w:rPr>
                <w:color w:val="auto"/>
                <w:kern w:val="0"/>
                <w:sz w:val="24"/>
                <w:lang w:val="zh-CN"/>
              </w:rPr>
            </w:pPr>
            <w:r>
              <w:rPr>
                <w:color w:val="auto"/>
                <w:kern w:val="0"/>
                <w:sz w:val="24"/>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09F3BABA">
            <w:pPr>
              <w:autoSpaceDE w:val="0"/>
              <w:autoSpaceDN w:val="0"/>
              <w:spacing w:line="360" w:lineRule="auto"/>
              <w:jc w:val="center"/>
              <w:rPr>
                <w:color w:val="auto"/>
                <w:kern w:val="0"/>
                <w:sz w:val="24"/>
                <w:lang w:val="zh-CN"/>
              </w:rPr>
            </w:pPr>
            <w:r>
              <w:rPr>
                <w:color w:val="auto"/>
                <w:kern w:val="0"/>
                <w:sz w:val="24"/>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6E369C64">
            <w:pPr>
              <w:autoSpaceDE w:val="0"/>
              <w:autoSpaceDN w:val="0"/>
              <w:spacing w:line="360" w:lineRule="auto"/>
              <w:jc w:val="center"/>
              <w:rPr>
                <w:color w:val="auto"/>
                <w:kern w:val="0"/>
                <w:sz w:val="24"/>
                <w:lang w:val="zh-CN"/>
              </w:rPr>
            </w:pPr>
            <w:r>
              <w:rPr>
                <w:color w:val="auto"/>
                <w:kern w:val="0"/>
                <w:sz w:val="24"/>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14:paraId="3C1C9E29">
            <w:pPr>
              <w:autoSpaceDE w:val="0"/>
              <w:autoSpaceDN w:val="0"/>
              <w:spacing w:line="360" w:lineRule="auto"/>
              <w:jc w:val="center"/>
              <w:rPr>
                <w:color w:val="auto"/>
                <w:kern w:val="0"/>
                <w:sz w:val="24"/>
                <w:lang w:val="zh-CN"/>
              </w:rPr>
            </w:pPr>
            <w:r>
              <w:rPr>
                <w:color w:val="auto"/>
                <w:kern w:val="0"/>
                <w:sz w:val="24"/>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14:paraId="64BCDD4E">
            <w:pPr>
              <w:autoSpaceDE w:val="0"/>
              <w:autoSpaceDN w:val="0"/>
              <w:spacing w:line="360" w:lineRule="auto"/>
              <w:jc w:val="center"/>
              <w:rPr>
                <w:color w:val="auto"/>
                <w:kern w:val="0"/>
                <w:sz w:val="24"/>
                <w:lang w:val="zh-CN"/>
              </w:rPr>
            </w:pPr>
            <w:r>
              <w:rPr>
                <w:color w:val="auto"/>
                <w:kern w:val="0"/>
                <w:sz w:val="24"/>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14:paraId="6085646E">
            <w:pPr>
              <w:autoSpaceDE w:val="0"/>
              <w:autoSpaceDN w:val="0"/>
              <w:spacing w:line="360" w:lineRule="auto"/>
              <w:jc w:val="center"/>
              <w:rPr>
                <w:color w:val="auto"/>
                <w:kern w:val="0"/>
                <w:sz w:val="24"/>
                <w:lang w:val="zh-CN"/>
              </w:rPr>
            </w:pPr>
            <w:r>
              <w:rPr>
                <w:color w:val="auto"/>
                <w:kern w:val="0"/>
                <w:sz w:val="24"/>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26BEB7F5">
            <w:pPr>
              <w:autoSpaceDE w:val="0"/>
              <w:autoSpaceDN w:val="0"/>
              <w:spacing w:line="360" w:lineRule="auto"/>
              <w:jc w:val="center"/>
              <w:rPr>
                <w:color w:val="auto"/>
                <w:kern w:val="0"/>
                <w:sz w:val="24"/>
                <w:lang w:val="zh-CN"/>
              </w:rPr>
            </w:pPr>
            <w:r>
              <w:rPr>
                <w:color w:val="auto"/>
                <w:kern w:val="0"/>
                <w:sz w:val="24"/>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590F563D">
            <w:pPr>
              <w:autoSpaceDE w:val="0"/>
              <w:autoSpaceDN w:val="0"/>
              <w:spacing w:line="360" w:lineRule="auto"/>
              <w:jc w:val="center"/>
              <w:rPr>
                <w:color w:val="auto"/>
                <w:kern w:val="0"/>
                <w:sz w:val="24"/>
                <w:lang w:val="zh-CN"/>
              </w:rPr>
            </w:pPr>
            <w:r>
              <w:rPr>
                <w:color w:val="auto"/>
                <w:sz w:val="24"/>
              </w:rPr>
              <w:t>免费质保期</w:t>
            </w:r>
          </w:p>
        </w:tc>
      </w:tr>
      <w:tr w14:paraId="28D3F170">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0DEDD88">
            <w:pPr>
              <w:autoSpaceDE w:val="0"/>
              <w:autoSpaceDN w:val="0"/>
              <w:spacing w:line="360" w:lineRule="auto"/>
              <w:jc w:val="center"/>
              <w:rPr>
                <w:color w:val="auto"/>
                <w:kern w:val="0"/>
                <w:sz w:val="24"/>
                <w:lang w:val="zh-CN"/>
              </w:rPr>
            </w:pPr>
            <w:r>
              <w:rPr>
                <w:color w:val="auto"/>
                <w:kern w:val="0"/>
                <w:sz w:val="24"/>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08E4A32">
            <w:pPr>
              <w:autoSpaceDE w:val="0"/>
              <w:autoSpaceDN w:val="0"/>
              <w:spacing w:line="360" w:lineRule="auto"/>
              <w:jc w:val="center"/>
              <w:rPr>
                <w:color w:val="auto"/>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57BD9B03">
            <w:pPr>
              <w:autoSpaceDE w:val="0"/>
              <w:autoSpaceDN w:val="0"/>
              <w:spacing w:line="360" w:lineRule="auto"/>
              <w:jc w:val="center"/>
              <w:rPr>
                <w:color w:val="auto"/>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3570B98E">
            <w:pPr>
              <w:autoSpaceDE w:val="0"/>
              <w:autoSpaceDN w:val="0"/>
              <w:spacing w:line="360" w:lineRule="auto"/>
              <w:jc w:val="center"/>
              <w:rPr>
                <w:color w:val="auto"/>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0F26BD17">
            <w:pPr>
              <w:autoSpaceDE w:val="0"/>
              <w:autoSpaceDN w:val="0"/>
              <w:spacing w:line="360" w:lineRule="auto"/>
              <w:jc w:val="center"/>
              <w:rPr>
                <w:color w:val="auto"/>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678CDE0">
            <w:pPr>
              <w:autoSpaceDE w:val="0"/>
              <w:autoSpaceDN w:val="0"/>
              <w:spacing w:line="360" w:lineRule="auto"/>
              <w:jc w:val="center"/>
              <w:rPr>
                <w:color w:val="auto"/>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55715265">
            <w:pPr>
              <w:autoSpaceDE w:val="0"/>
              <w:autoSpaceDN w:val="0"/>
              <w:spacing w:line="360" w:lineRule="auto"/>
              <w:jc w:val="center"/>
              <w:rPr>
                <w:color w:val="auto"/>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5B68EC56">
            <w:pPr>
              <w:autoSpaceDE w:val="0"/>
              <w:autoSpaceDN w:val="0"/>
              <w:spacing w:line="360" w:lineRule="auto"/>
              <w:jc w:val="center"/>
              <w:rPr>
                <w:color w:val="auto"/>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326BD798">
            <w:pPr>
              <w:autoSpaceDE w:val="0"/>
              <w:autoSpaceDN w:val="0"/>
              <w:spacing w:line="360" w:lineRule="auto"/>
              <w:jc w:val="center"/>
              <w:rPr>
                <w:color w:val="auto"/>
                <w:kern w:val="0"/>
                <w:sz w:val="24"/>
                <w:lang w:val="zh-CN"/>
              </w:rPr>
            </w:pPr>
          </w:p>
        </w:tc>
      </w:tr>
      <w:tr w14:paraId="3297EA9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639D616">
            <w:pPr>
              <w:autoSpaceDE w:val="0"/>
              <w:autoSpaceDN w:val="0"/>
              <w:spacing w:line="360" w:lineRule="auto"/>
              <w:jc w:val="center"/>
              <w:rPr>
                <w:color w:val="auto"/>
                <w:kern w:val="0"/>
                <w:sz w:val="24"/>
                <w:lang w:val="zh-CN"/>
              </w:rPr>
            </w:pPr>
            <w:r>
              <w:rPr>
                <w:color w:val="auto"/>
                <w:kern w:val="0"/>
                <w:sz w:val="24"/>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4E8CE52B">
            <w:pPr>
              <w:autoSpaceDE w:val="0"/>
              <w:autoSpaceDN w:val="0"/>
              <w:spacing w:line="360" w:lineRule="auto"/>
              <w:jc w:val="center"/>
              <w:rPr>
                <w:color w:val="auto"/>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77091D2">
            <w:pPr>
              <w:autoSpaceDE w:val="0"/>
              <w:autoSpaceDN w:val="0"/>
              <w:spacing w:line="360" w:lineRule="auto"/>
              <w:jc w:val="center"/>
              <w:rPr>
                <w:color w:val="auto"/>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05CDB003">
            <w:pPr>
              <w:autoSpaceDE w:val="0"/>
              <w:autoSpaceDN w:val="0"/>
              <w:spacing w:line="360" w:lineRule="auto"/>
              <w:jc w:val="center"/>
              <w:rPr>
                <w:color w:val="auto"/>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6A8075F4">
            <w:pPr>
              <w:autoSpaceDE w:val="0"/>
              <w:autoSpaceDN w:val="0"/>
              <w:spacing w:line="360" w:lineRule="auto"/>
              <w:jc w:val="center"/>
              <w:rPr>
                <w:color w:val="auto"/>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EF13CBA">
            <w:pPr>
              <w:autoSpaceDE w:val="0"/>
              <w:autoSpaceDN w:val="0"/>
              <w:spacing w:line="360" w:lineRule="auto"/>
              <w:jc w:val="center"/>
              <w:rPr>
                <w:color w:val="auto"/>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661650CA">
            <w:pPr>
              <w:autoSpaceDE w:val="0"/>
              <w:autoSpaceDN w:val="0"/>
              <w:spacing w:line="360" w:lineRule="auto"/>
              <w:jc w:val="center"/>
              <w:rPr>
                <w:color w:val="auto"/>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24035E87">
            <w:pPr>
              <w:autoSpaceDE w:val="0"/>
              <w:autoSpaceDN w:val="0"/>
              <w:spacing w:line="360" w:lineRule="auto"/>
              <w:jc w:val="center"/>
              <w:rPr>
                <w:color w:val="auto"/>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95DB5FF">
            <w:pPr>
              <w:autoSpaceDE w:val="0"/>
              <w:autoSpaceDN w:val="0"/>
              <w:spacing w:line="360" w:lineRule="auto"/>
              <w:jc w:val="center"/>
              <w:rPr>
                <w:color w:val="auto"/>
                <w:kern w:val="0"/>
                <w:sz w:val="24"/>
                <w:lang w:val="zh-CN"/>
              </w:rPr>
            </w:pPr>
          </w:p>
        </w:tc>
      </w:tr>
      <w:tr w14:paraId="29A4918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3FD0FA5">
            <w:pPr>
              <w:autoSpaceDE w:val="0"/>
              <w:autoSpaceDN w:val="0"/>
              <w:spacing w:line="360" w:lineRule="auto"/>
              <w:jc w:val="center"/>
              <w:rPr>
                <w:color w:val="auto"/>
                <w:kern w:val="0"/>
                <w:sz w:val="24"/>
                <w:lang w:val="zh-CN"/>
              </w:rPr>
            </w:pPr>
            <w:r>
              <w:rPr>
                <w:color w:val="auto"/>
                <w:kern w:val="0"/>
                <w:sz w:val="24"/>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104F2738">
            <w:pPr>
              <w:autoSpaceDE w:val="0"/>
              <w:autoSpaceDN w:val="0"/>
              <w:spacing w:line="360" w:lineRule="auto"/>
              <w:jc w:val="center"/>
              <w:rPr>
                <w:color w:val="auto"/>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B039087">
            <w:pPr>
              <w:autoSpaceDE w:val="0"/>
              <w:autoSpaceDN w:val="0"/>
              <w:spacing w:line="360" w:lineRule="auto"/>
              <w:jc w:val="center"/>
              <w:rPr>
                <w:color w:val="auto"/>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04B65A55">
            <w:pPr>
              <w:autoSpaceDE w:val="0"/>
              <w:autoSpaceDN w:val="0"/>
              <w:spacing w:line="360" w:lineRule="auto"/>
              <w:jc w:val="center"/>
              <w:rPr>
                <w:color w:val="auto"/>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7652480E">
            <w:pPr>
              <w:autoSpaceDE w:val="0"/>
              <w:autoSpaceDN w:val="0"/>
              <w:spacing w:line="360" w:lineRule="auto"/>
              <w:jc w:val="center"/>
              <w:rPr>
                <w:color w:val="auto"/>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7D3DA432">
            <w:pPr>
              <w:autoSpaceDE w:val="0"/>
              <w:autoSpaceDN w:val="0"/>
              <w:spacing w:line="360" w:lineRule="auto"/>
              <w:jc w:val="center"/>
              <w:rPr>
                <w:color w:val="auto"/>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8E2158A">
            <w:pPr>
              <w:autoSpaceDE w:val="0"/>
              <w:autoSpaceDN w:val="0"/>
              <w:spacing w:line="360" w:lineRule="auto"/>
              <w:jc w:val="center"/>
              <w:rPr>
                <w:color w:val="auto"/>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4C58B1E0">
            <w:pPr>
              <w:autoSpaceDE w:val="0"/>
              <w:autoSpaceDN w:val="0"/>
              <w:spacing w:line="360" w:lineRule="auto"/>
              <w:jc w:val="center"/>
              <w:rPr>
                <w:color w:val="auto"/>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A61D28A">
            <w:pPr>
              <w:autoSpaceDE w:val="0"/>
              <w:autoSpaceDN w:val="0"/>
              <w:spacing w:line="360" w:lineRule="auto"/>
              <w:jc w:val="center"/>
              <w:rPr>
                <w:color w:val="auto"/>
                <w:kern w:val="0"/>
                <w:sz w:val="24"/>
                <w:lang w:val="zh-CN"/>
              </w:rPr>
            </w:pPr>
          </w:p>
        </w:tc>
      </w:tr>
      <w:tr w14:paraId="4C725E08">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3E92127">
            <w:pPr>
              <w:autoSpaceDE w:val="0"/>
              <w:autoSpaceDN w:val="0"/>
              <w:spacing w:line="360" w:lineRule="auto"/>
              <w:jc w:val="center"/>
              <w:rPr>
                <w:color w:val="auto"/>
                <w:kern w:val="0"/>
                <w:sz w:val="24"/>
                <w:lang w:val="zh-CN"/>
              </w:rPr>
            </w:pPr>
            <w:r>
              <w:rPr>
                <w:color w:val="auto"/>
                <w:kern w:val="0"/>
                <w:sz w:val="24"/>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3A311787">
            <w:pPr>
              <w:autoSpaceDE w:val="0"/>
              <w:autoSpaceDN w:val="0"/>
              <w:spacing w:line="360" w:lineRule="auto"/>
              <w:jc w:val="center"/>
              <w:rPr>
                <w:color w:val="auto"/>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30EDD1E7">
            <w:pPr>
              <w:autoSpaceDE w:val="0"/>
              <w:autoSpaceDN w:val="0"/>
              <w:spacing w:line="360" w:lineRule="auto"/>
              <w:jc w:val="center"/>
              <w:rPr>
                <w:color w:val="auto"/>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38F4B2F2">
            <w:pPr>
              <w:autoSpaceDE w:val="0"/>
              <w:autoSpaceDN w:val="0"/>
              <w:spacing w:line="360" w:lineRule="auto"/>
              <w:jc w:val="center"/>
              <w:rPr>
                <w:color w:val="auto"/>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3B525E54">
            <w:pPr>
              <w:autoSpaceDE w:val="0"/>
              <w:autoSpaceDN w:val="0"/>
              <w:spacing w:line="360" w:lineRule="auto"/>
              <w:jc w:val="center"/>
              <w:rPr>
                <w:color w:val="auto"/>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24C1D886">
            <w:pPr>
              <w:autoSpaceDE w:val="0"/>
              <w:autoSpaceDN w:val="0"/>
              <w:spacing w:line="360" w:lineRule="auto"/>
              <w:jc w:val="center"/>
              <w:rPr>
                <w:color w:val="auto"/>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13291929">
            <w:pPr>
              <w:autoSpaceDE w:val="0"/>
              <w:autoSpaceDN w:val="0"/>
              <w:spacing w:line="360" w:lineRule="auto"/>
              <w:jc w:val="center"/>
              <w:rPr>
                <w:color w:val="auto"/>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28DEC04E">
            <w:pPr>
              <w:autoSpaceDE w:val="0"/>
              <w:autoSpaceDN w:val="0"/>
              <w:spacing w:line="360" w:lineRule="auto"/>
              <w:jc w:val="center"/>
              <w:rPr>
                <w:color w:val="auto"/>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EA0DABA">
            <w:pPr>
              <w:autoSpaceDE w:val="0"/>
              <w:autoSpaceDN w:val="0"/>
              <w:spacing w:line="360" w:lineRule="auto"/>
              <w:jc w:val="center"/>
              <w:rPr>
                <w:color w:val="auto"/>
                <w:kern w:val="0"/>
                <w:sz w:val="24"/>
                <w:lang w:val="zh-CN"/>
              </w:rPr>
            </w:pPr>
          </w:p>
        </w:tc>
      </w:tr>
      <w:tr w14:paraId="7FF0893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03F688B6">
            <w:pPr>
              <w:autoSpaceDE w:val="0"/>
              <w:autoSpaceDN w:val="0"/>
              <w:spacing w:line="360" w:lineRule="auto"/>
              <w:jc w:val="center"/>
              <w:rPr>
                <w:color w:val="auto"/>
                <w:kern w:val="0"/>
                <w:sz w:val="24"/>
                <w:lang w:val="zh-CN"/>
              </w:rPr>
            </w:pPr>
            <w:r>
              <w:rPr>
                <w:color w:val="auto"/>
                <w:kern w:val="0"/>
                <w:sz w:val="24"/>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4ED801F2">
            <w:pPr>
              <w:autoSpaceDE w:val="0"/>
              <w:autoSpaceDN w:val="0"/>
              <w:spacing w:line="360" w:lineRule="auto"/>
              <w:jc w:val="center"/>
              <w:rPr>
                <w:color w:val="auto"/>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91FD6F7">
            <w:pPr>
              <w:autoSpaceDE w:val="0"/>
              <w:autoSpaceDN w:val="0"/>
              <w:spacing w:line="360" w:lineRule="auto"/>
              <w:jc w:val="center"/>
              <w:rPr>
                <w:color w:val="auto"/>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4BA0B174">
            <w:pPr>
              <w:autoSpaceDE w:val="0"/>
              <w:autoSpaceDN w:val="0"/>
              <w:spacing w:line="360" w:lineRule="auto"/>
              <w:jc w:val="center"/>
              <w:rPr>
                <w:color w:val="auto"/>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7DD99BAC">
            <w:pPr>
              <w:autoSpaceDE w:val="0"/>
              <w:autoSpaceDN w:val="0"/>
              <w:spacing w:line="360" w:lineRule="auto"/>
              <w:jc w:val="center"/>
              <w:rPr>
                <w:color w:val="auto"/>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794248E">
            <w:pPr>
              <w:autoSpaceDE w:val="0"/>
              <w:autoSpaceDN w:val="0"/>
              <w:spacing w:line="360" w:lineRule="auto"/>
              <w:jc w:val="center"/>
              <w:rPr>
                <w:color w:val="auto"/>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53B4042A">
            <w:pPr>
              <w:autoSpaceDE w:val="0"/>
              <w:autoSpaceDN w:val="0"/>
              <w:spacing w:line="360" w:lineRule="auto"/>
              <w:jc w:val="center"/>
              <w:rPr>
                <w:color w:val="auto"/>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068694CB">
            <w:pPr>
              <w:autoSpaceDE w:val="0"/>
              <w:autoSpaceDN w:val="0"/>
              <w:spacing w:line="360" w:lineRule="auto"/>
              <w:jc w:val="center"/>
              <w:rPr>
                <w:color w:val="auto"/>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6B02701">
            <w:pPr>
              <w:autoSpaceDE w:val="0"/>
              <w:autoSpaceDN w:val="0"/>
              <w:spacing w:line="360" w:lineRule="auto"/>
              <w:jc w:val="center"/>
              <w:rPr>
                <w:color w:val="auto"/>
                <w:kern w:val="0"/>
                <w:sz w:val="24"/>
                <w:lang w:val="zh-CN"/>
              </w:rPr>
            </w:pPr>
          </w:p>
        </w:tc>
      </w:tr>
      <w:tr w14:paraId="02F685E9">
        <w:tblPrEx>
          <w:tblCellMar>
            <w:top w:w="0" w:type="dxa"/>
            <w:left w:w="28" w:type="dxa"/>
            <w:bottom w:w="0" w:type="dxa"/>
            <w:right w:w="28" w:type="dxa"/>
          </w:tblCellMar>
        </w:tblPrEx>
        <w:trPr>
          <w:trHeight w:val="23" w:hRule="atLeast"/>
          <w:jc w:val="center"/>
        </w:trPr>
        <w:tc>
          <w:tcPr>
            <w:tcW w:w="8617" w:type="dxa"/>
            <w:gridSpan w:val="9"/>
            <w:tcBorders>
              <w:top w:val="single" w:color="000000" w:sz="6" w:space="0"/>
              <w:left w:val="single" w:color="000000" w:sz="8" w:space="0"/>
              <w:bottom w:val="single" w:color="000000" w:sz="6" w:space="0"/>
              <w:right w:val="single" w:color="000000" w:sz="8" w:space="0"/>
            </w:tcBorders>
            <w:noWrap w:val="0"/>
            <w:vAlign w:val="center"/>
          </w:tcPr>
          <w:p w14:paraId="641AA71D">
            <w:pPr>
              <w:jc w:val="left"/>
              <w:rPr>
                <w:color w:val="auto"/>
                <w:sz w:val="24"/>
                <w:lang w:val="zh-CN"/>
              </w:rPr>
            </w:pPr>
            <w:r>
              <w:rPr>
                <w:color w:val="auto"/>
                <w:sz w:val="24"/>
                <w:lang w:val="zh-CN"/>
              </w:rPr>
              <w:t>优惠承诺及其他：</w:t>
            </w:r>
          </w:p>
          <w:p w14:paraId="4B944F28">
            <w:pPr>
              <w:autoSpaceDE w:val="0"/>
              <w:autoSpaceDN w:val="0"/>
              <w:spacing w:line="360" w:lineRule="auto"/>
              <w:jc w:val="center"/>
              <w:rPr>
                <w:color w:val="auto"/>
                <w:kern w:val="0"/>
                <w:sz w:val="24"/>
                <w:lang w:val="zh-CN"/>
              </w:rPr>
            </w:pPr>
          </w:p>
        </w:tc>
      </w:tr>
      <w:tr w14:paraId="610D38B9">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14:paraId="7ED7DA2D">
            <w:pPr>
              <w:autoSpaceDE w:val="0"/>
              <w:autoSpaceDN w:val="0"/>
              <w:spacing w:line="360" w:lineRule="auto"/>
              <w:jc w:val="center"/>
              <w:rPr>
                <w:color w:val="auto"/>
                <w:kern w:val="0"/>
                <w:sz w:val="24"/>
                <w:lang w:val="zh-CN"/>
              </w:rPr>
            </w:pPr>
            <w:r>
              <w:rPr>
                <w:color w:val="auto"/>
                <w:kern w:val="0"/>
                <w:sz w:val="24"/>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14:paraId="4315E142">
            <w:pPr>
              <w:autoSpaceDE w:val="0"/>
              <w:autoSpaceDN w:val="0"/>
              <w:spacing w:line="360" w:lineRule="auto"/>
              <w:rPr>
                <w:color w:val="auto"/>
                <w:kern w:val="0"/>
                <w:sz w:val="24"/>
                <w:lang w:val="zh-CN"/>
              </w:rPr>
            </w:pPr>
            <w:r>
              <w:rPr>
                <w:color w:val="auto"/>
                <w:kern w:val="0"/>
                <w:sz w:val="24"/>
                <w:lang w:val="zh-CN"/>
              </w:rPr>
              <w:t>大写：</w:t>
            </w:r>
          </w:p>
          <w:p w14:paraId="0980FEC3">
            <w:pPr>
              <w:autoSpaceDE w:val="0"/>
              <w:autoSpaceDN w:val="0"/>
              <w:spacing w:line="360" w:lineRule="auto"/>
              <w:rPr>
                <w:color w:val="auto"/>
                <w:kern w:val="0"/>
                <w:sz w:val="24"/>
                <w:lang w:val="zh-CN"/>
              </w:rPr>
            </w:pPr>
            <w:r>
              <w:rPr>
                <w:color w:val="auto"/>
                <w:kern w:val="0"/>
                <w:sz w:val="24"/>
                <w:lang w:val="zh-CN"/>
              </w:rPr>
              <w:t>小写：</w:t>
            </w:r>
          </w:p>
        </w:tc>
      </w:tr>
    </w:tbl>
    <w:p w14:paraId="65B1C3D1">
      <w:pPr>
        <w:autoSpaceDE w:val="0"/>
        <w:autoSpaceDN w:val="0"/>
        <w:spacing w:line="360" w:lineRule="auto"/>
        <w:rPr>
          <w:color w:val="auto"/>
          <w:kern w:val="0"/>
          <w:lang w:val="zh-CN"/>
        </w:rPr>
      </w:pPr>
      <w:r>
        <w:rPr>
          <w:color w:val="auto"/>
          <w:kern w:val="0"/>
          <w:lang w:val="zh-CN"/>
        </w:rPr>
        <w:t>注：</w:t>
      </w:r>
      <w:r>
        <w:rPr>
          <w:color w:val="auto"/>
          <w:kern w:val="0"/>
        </w:rPr>
        <w:t>1.</w:t>
      </w:r>
      <w:r>
        <w:rPr>
          <w:color w:val="auto"/>
          <w:kern w:val="0"/>
          <w:lang w:val="zh-CN"/>
        </w:rPr>
        <w:t>本表应按照“项目概况及技术参数”中产品序号的指标逐项填写，不得遗漏。</w:t>
      </w:r>
    </w:p>
    <w:p w14:paraId="36F83469">
      <w:pPr>
        <w:autoSpaceDE w:val="0"/>
        <w:autoSpaceDN w:val="0"/>
        <w:spacing w:line="360" w:lineRule="auto"/>
        <w:rPr>
          <w:color w:val="auto"/>
          <w:kern w:val="0"/>
        </w:rPr>
      </w:pPr>
      <w:r>
        <w:rPr>
          <w:color w:val="auto"/>
          <w:kern w:val="0"/>
        </w:rPr>
        <w:t xml:space="preserve">    2.</w:t>
      </w:r>
      <w:r>
        <w:rPr>
          <w:color w:val="auto"/>
          <w:kern w:val="0"/>
          <w:lang w:val="zh-CN"/>
        </w:rPr>
        <w:t>投标报价不能有两个或两个以上的报价方案。</w:t>
      </w:r>
    </w:p>
    <w:p w14:paraId="7AF6C389">
      <w:pPr>
        <w:jc w:val="right"/>
        <w:rPr>
          <w:rFonts w:hint="eastAsia"/>
          <w:b/>
          <w:color w:val="auto"/>
          <w:sz w:val="24"/>
        </w:rPr>
      </w:pPr>
    </w:p>
    <w:p w14:paraId="4974E315">
      <w:pPr>
        <w:jc w:val="right"/>
        <w:rPr>
          <w:rFonts w:hint="eastAsia"/>
          <w:b/>
          <w:color w:val="auto"/>
          <w:sz w:val="24"/>
        </w:rPr>
      </w:pPr>
    </w:p>
    <w:p w14:paraId="101D3A7E">
      <w:pPr>
        <w:jc w:val="right"/>
        <w:rPr>
          <w:rFonts w:hint="eastAsia"/>
          <w:b/>
          <w:color w:val="auto"/>
          <w:sz w:val="24"/>
        </w:rPr>
      </w:pPr>
    </w:p>
    <w:p w14:paraId="114CB824">
      <w:pPr>
        <w:jc w:val="right"/>
        <w:rPr>
          <w:rFonts w:hint="eastAsia"/>
          <w:b/>
          <w:color w:val="auto"/>
          <w:sz w:val="24"/>
        </w:rPr>
      </w:pPr>
    </w:p>
    <w:p w14:paraId="34E11A56">
      <w:pPr>
        <w:jc w:val="right"/>
        <w:rPr>
          <w:rFonts w:hint="eastAsia"/>
          <w:b/>
          <w:color w:val="auto"/>
          <w:sz w:val="24"/>
        </w:rPr>
      </w:pPr>
    </w:p>
    <w:p w14:paraId="0F2B4354">
      <w:pPr>
        <w:jc w:val="right"/>
        <w:rPr>
          <w:rFonts w:hint="eastAsia"/>
          <w:b/>
          <w:color w:val="auto"/>
          <w:sz w:val="24"/>
        </w:rPr>
      </w:pPr>
    </w:p>
    <w:p w14:paraId="6546BA72">
      <w:pPr>
        <w:jc w:val="right"/>
        <w:rPr>
          <w:rFonts w:hint="eastAsia"/>
          <w:b/>
          <w:color w:val="auto"/>
          <w:sz w:val="24"/>
        </w:rPr>
      </w:pPr>
    </w:p>
    <w:p w14:paraId="2D2C0223">
      <w:pPr>
        <w:jc w:val="right"/>
        <w:rPr>
          <w:rFonts w:hint="eastAsia"/>
          <w:b/>
          <w:color w:val="auto"/>
          <w:sz w:val="24"/>
        </w:rPr>
      </w:pPr>
    </w:p>
    <w:p w14:paraId="32BB4A5E">
      <w:pPr>
        <w:jc w:val="right"/>
        <w:rPr>
          <w:rFonts w:hint="eastAsia"/>
          <w:b/>
          <w:color w:val="auto"/>
          <w:sz w:val="24"/>
        </w:rPr>
      </w:pPr>
    </w:p>
    <w:p w14:paraId="4415D619">
      <w:pPr>
        <w:jc w:val="right"/>
        <w:rPr>
          <w:rFonts w:hint="eastAsia"/>
          <w:b/>
          <w:color w:val="auto"/>
          <w:sz w:val="24"/>
        </w:rPr>
      </w:pPr>
    </w:p>
    <w:p w14:paraId="22862EC3">
      <w:pPr>
        <w:jc w:val="right"/>
        <w:rPr>
          <w:rFonts w:hint="eastAsia"/>
          <w:b/>
          <w:color w:val="auto"/>
          <w:sz w:val="24"/>
        </w:rPr>
      </w:pPr>
    </w:p>
    <w:p w14:paraId="622ED2C0">
      <w:pPr>
        <w:jc w:val="right"/>
        <w:rPr>
          <w:rFonts w:hint="eastAsia"/>
          <w:b/>
          <w:color w:val="auto"/>
          <w:sz w:val="24"/>
        </w:rPr>
      </w:pPr>
    </w:p>
    <w:p w14:paraId="09443B13">
      <w:pPr>
        <w:jc w:val="right"/>
        <w:rPr>
          <w:rFonts w:hint="eastAsia"/>
          <w:b/>
          <w:color w:val="auto"/>
          <w:sz w:val="24"/>
        </w:rPr>
      </w:pPr>
    </w:p>
    <w:p w14:paraId="16BB68EB">
      <w:pPr>
        <w:jc w:val="right"/>
        <w:rPr>
          <w:rFonts w:hint="eastAsia"/>
          <w:b/>
          <w:color w:val="auto"/>
          <w:sz w:val="24"/>
        </w:rPr>
      </w:pPr>
    </w:p>
    <w:p w14:paraId="5D849033">
      <w:pPr>
        <w:jc w:val="right"/>
        <w:rPr>
          <w:rFonts w:hint="eastAsia"/>
          <w:b/>
          <w:color w:val="auto"/>
          <w:sz w:val="24"/>
        </w:rPr>
      </w:pPr>
    </w:p>
    <w:p w14:paraId="591694BA">
      <w:pPr>
        <w:jc w:val="right"/>
        <w:rPr>
          <w:rFonts w:hint="eastAsia"/>
          <w:b/>
          <w:color w:val="auto"/>
          <w:sz w:val="24"/>
        </w:rPr>
      </w:pPr>
    </w:p>
    <w:p w14:paraId="5123AC2D">
      <w:pPr>
        <w:jc w:val="right"/>
        <w:rPr>
          <w:rFonts w:hint="eastAsia"/>
          <w:b/>
          <w:color w:val="auto"/>
          <w:sz w:val="24"/>
        </w:rPr>
      </w:pPr>
    </w:p>
    <w:p w14:paraId="100EF53C">
      <w:pPr>
        <w:jc w:val="right"/>
        <w:rPr>
          <w:rFonts w:hint="eastAsia"/>
          <w:b/>
          <w:color w:val="auto"/>
          <w:sz w:val="24"/>
        </w:rPr>
      </w:pPr>
    </w:p>
    <w:p w14:paraId="5F9D91B7">
      <w:pPr>
        <w:jc w:val="right"/>
        <w:rPr>
          <w:rFonts w:hint="eastAsia"/>
          <w:b/>
          <w:color w:val="auto"/>
          <w:sz w:val="24"/>
        </w:rPr>
      </w:pPr>
    </w:p>
    <w:p w14:paraId="1CDE664F">
      <w:pPr>
        <w:jc w:val="right"/>
        <w:rPr>
          <w:b/>
          <w:color w:val="auto"/>
          <w:sz w:val="24"/>
        </w:rPr>
      </w:pPr>
      <w:r>
        <w:rPr>
          <w:b/>
          <w:color w:val="auto"/>
          <w:sz w:val="24"/>
        </w:rPr>
        <w:t>投标人：                        （公章）</w:t>
      </w:r>
    </w:p>
    <w:p w14:paraId="148772AB">
      <w:pPr>
        <w:jc w:val="right"/>
        <w:rPr>
          <w:b/>
          <w:color w:val="auto"/>
          <w:sz w:val="24"/>
        </w:rPr>
      </w:pPr>
      <w:r>
        <w:rPr>
          <w:b/>
          <w:color w:val="auto"/>
          <w:sz w:val="24"/>
        </w:rPr>
        <w:t>法定代表人或委托代理人：        （</w:t>
      </w:r>
      <w:r>
        <w:rPr>
          <w:rFonts w:hint="eastAsia"/>
          <w:b/>
          <w:color w:val="auto"/>
          <w:sz w:val="24"/>
          <w:lang w:val="zh-CN"/>
        </w:rPr>
        <w:t>签字或盖章</w:t>
      </w:r>
      <w:r>
        <w:rPr>
          <w:b/>
          <w:color w:val="auto"/>
          <w:sz w:val="24"/>
        </w:rPr>
        <w:t>）</w:t>
      </w:r>
    </w:p>
    <w:p w14:paraId="0E921AC4">
      <w:pPr>
        <w:spacing w:line="480" w:lineRule="auto"/>
        <w:jc w:val="right"/>
        <w:rPr>
          <w:b/>
          <w:bCs/>
          <w:color w:val="auto"/>
          <w:kern w:val="0"/>
          <w:lang w:val="zh-CN"/>
        </w:rPr>
      </w:pPr>
      <w:r>
        <w:rPr>
          <w:color w:val="auto"/>
          <w:sz w:val="24"/>
        </w:rPr>
        <w:t xml:space="preserve">      </w:t>
      </w:r>
      <w:r>
        <w:rPr>
          <w:b/>
          <w:color w:val="auto"/>
          <w:sz w:val="24"/>
        </w:rPr>
        <w:t>日期：                  年   月   日</w:t>
      </w:r>
    </w:p>
    <w:p w14:paraId="2478AE2D">
      <w:pPr>
        <w:pStyle w:val="15"/>
        <w:spacing w:before="0" w:after="0" w:line="360" w:lineRule="auto"/>
        <w:jc w:val="both"/>
        <w:rPr>
          <w:rFonts w:ascii="Times New Roman" w:hAnsi="Times New Roman"/>
          <w:color w:val="auto"/>
        </w:rPr>
      </w:pPr>
      <w:bookmarkStart w:id="196" w:name="_Toc20466"/>
      <w:bookmarkStart w:id="197" w:name="_Toc3638"/>
      <w:r>
        <w:rPr>
          <w:rFonts w:hint="eastAsia" w:ascii="Times New Roman" w:hAnsi="Times New Roman"/>
          <w:color w:val="auto"/>
          <w:sz w:val="30"/>
          <w:szCs w:val="30"/>
        </w:rPr>
        <w:t>格式14：</w:t>
      </w:r>
      <w:r>
        <w:rPr>
          <w:rFonts w:ascii="Times New Roman" w:hAnsi="Times New Roman"/>
          <w:color w:val="auto"/>
          <w:sz w:val="30"/>
          <w:szCs w:val="30"/>
          <w:lang w:val="zh-CN"/>
        </w:rPr>
        <w:t>技术规格响应表</w:t>
      </w:r>
      <w:bookmarkEnd w:id="196"/>
      <w:bookmarkEnd w:id="197"/>
    </w:p>
    <w:p w14:paraId="2BF66F16">
      <w:pPr>
        <w:autoSpaceDE w:val="0"/>
        <w:autoSpaceDN w:val="0"/>
        <w:spacing w:line="360" w:lineRule="auto"/>
        <w:rPr>
          <w:color w:val="auto"/>
          <w:kern w:val="0"/>
          <w:sz w:val="28"/>
          <w:szCs w:val="28"/>
          <w:lang w:val="zh-CN"/>
        </w:rPr>
      </w:pPr>
    </w:p>
    <w:p w14:paraId="5B99DEBA">
      <w:pPr>
        <w:autoSpaceDE w:val="0"/>
        <w:autoSpaceDN w:val="0"/>
        <w:spacing w:line="360" w:lineRule="auto"/>
        <w:jc w:val="center"/>
        <w:rPr>
          <w:b/>
          <w:bCs/>
          <w:color w:val="auto"/>
          <w:kern w:val="0"/>
          <w:sz w:val="36"/>
          <w:szCs w:val="36"/>
          <w:lang w:val="zh-CN"/>
        </w:rPr>
      </w:pPr>
      <w:r>
        <w:rPr>
          <w:b/>
          <w:bCs/>
          <w:color w:val="auto"/>
          <w:kern w:val="0"/>
          <w:sz w:val="28"/>
          <w:szCs w:val="28"/>
          <w:lang w:val="zh-CN"/>
        </w:rPr>
        <w:t>技术规格响应表</w:t>
      </w:r>
    </w:p>
    <w:p w14:paraId="783C210E">
      <w:pPr>
        <w:autoSpaceDE w:val="0"/>
        <w:autoSpaceDN w:val="0"/>
        <w:spacing w:line="360" w:lineRule="auto"/>
        <w:ind w:firstLine="527" w:firstLineChars="250"/>
        <w:rPr>
          <w:b/>
          <w:bCs/>
          <w:color w:val="auto"/>
          <w:kern w:val="0"/>
          <w:sz w:val="24"/>
          <w:lang w:val="zh-CN"/>
        </w:rPr>
      </w:pPr>
      <w:r>
        <w:rPr>
          <w:b/>
          <w:bCs/>
          <w:color w:val="auto"/>
          <w:kern w:val="0"/>
          <w:lang w:val="zh-CN"/>
        </w:rPr>
        <w:t>投标人名称</w:t>
      </w:r>
      <w:r>
        <w:rPr>
          <w:b/>
          <w:bCs/>
          <w:color w:val="auto"/>
          <w:kern w:val="0"/>
        </w:rPr>
        <w:t xml:space="preserve">：                                           </w:t>
      </w:r>
      <w:r>
        <w:rPr>
          <w:rFonts w:ascii="Times New Roman" w:hAnsi="Times New Roman" w:eastAsia="宋体" w:cs="Times New Roman"/>
          <w:b/>
          <w:bCs/>
          <w:color w:val="auto"/>
          <w:kern w:val="0"/>
          <w:lang w:val="zh-CN"/>
        </w:rPr>
        <w:t xml:space="preserve"> 采购项目编号：</w:t>
      </w:r>
    </w:p>
    <w:tbl>
      <w:tblPr>
        <w:tblStyle w:val="16"/>
        <w:tblW w:w="9471" w:type="dxa"/>
        <w:jc w:val="center"/>
        <w:tblLayout w:type="fixed"/>
        <w:tblCellMar>
          <w:top w:w="0" w:type="dxa"/>
          <w:left w:w="28" w:type="dxa"/>
          <w:bottom w:w="0" w:type="dxa"/>
          <w:right w:w="28" w:type="dxa"/>
        </w:tblCellMar>
      </w:tblPr>
      <w:tblGrid>
        <w:gridCol w:w="677"/>
        <w:gridCol w:w="585"/>
        <w:gridCol w:w="2075"/>
        <w:gridCol w:w="1494"/>
        <w:gridCol w:w="706"/>
        <w:gridCol w:w="2013"/>
        <w:gridCol w:w="1331"/>
        <w:gridCol w:w="590"/>
      </w:tblGrid>
      <w:tr w14:paraId="3CF3A040">
        <w:tblPrEx>
          <w:tblCellMar>
            <w:top w:w="0" w:type="dxa"/>
            <w:left w:w="28" w:type="dxa"/>
            <w:bottom w:w="0" w:type="dxa"/>
            <w:right w:w="28" w:type="dxa"/>
          </w:tblCellMar>
        </w:tblPrEx>
        <w:trPr>
          <w:trHeight w:val="1" w:hRule="atLeast"/>
          <w:jc w:val="center"/>
        </w:trPr>
        <w:tc>
          <w:tcPr>
            <w:tcW w:w="677" w:type="dxa"/>
            <w:vMerge w:val="restart"/>
            <w:tcBorders>
              <w:top w:val="single" w:color="000000" w:sz="6" w:space="0"/>
              <w:left w:val="single" w:color="000000" w:sz="6" w:space="0"/>
              <w:right w:val="single" w:color="000000" w:sz="6" w:space="0"/>
            </w:tcBorders>
            <w:noWrap w:val="0"/>
            <w:vAlign w:val="center"/>
          </w:tcPr>
          <w:p w14:paraId="1AE18FAD">
            <w:pPr>
              <w:autoSpaceDE w:val="0"/>
              <w:autoSpaceDN w:val="0"/>
              <w:spacing w:line="360" w:lineRule="auto"/>
              <w:jc w:val="center"/>
              <w:rPr>
                <w:color w:val="auto"/>
                <w:kern w:val="0"/>
                <w:sz w:val="24"/>
                <w:lang w:val="zh-CN"/>
              </w:rPr>
            </w:pPr>
            <w:r>
              <w:rPr>
                <w:color w:val="auto"/>
                <w:kern w:val="0"/>
                <w:sz w:val="24"/>
                <w:lang w:val="zh-CN"/>
              </w:rPr>
              <w:t>序号</w:t>
            </w:r>
          </w:p>
        </w:tc>
        <w:tc>
          <w:tcPr>
            <w:tcW w:w="4154" w:type="dxa"/>
            <w:gridSpan w:val="3"/>
            <w:tcBorders>
              <w:top w:val="single" w:color="000000" w:sz="6" w:space="0"/>
              <w:left w:val="single" w:color="000000" w:sz="6" w:space="0"/>
              <w:bottom w:val="single" w:color="000000" w:sz="6" w:space="0"/>
              <w:right w:val="single" w:color="000000" w:sz="6" w:space="0"/>
            </w:tcBorders>
            <w:noWrap w:val="0"/>
            <w:vAlign w:val="center"/>
          </w:tcPr>
          <w:p w14:paraId="72BBFE2F">
            <w:pPr>
              <w:autoSpaceDE w:val="0"/>
              <w:autoSpaceDN w:val="0"/>
              <w:spacing w:line="360" w:lineRule="auto"/>
              <w:jc w:val="center"/>
              <w:rPr>
                <w:lang w:val="zh-CN"/>
              </w:rPr>
            </w:pPr>
            <w:r>
              <w:rPr>
                <w:rFonts w:ascii="Times New Roman" w:hAnsi="Times New Roman" w:eastAsia="宋体" w:cs="Times New Roman"/>
                <w:color w:val="auto"/>
                <w:kern w:val="0"/>
                <w:sz w:val="24"/>
                <w:lang w:val="zh-CN"/>
              </w:rPr>
              <w:t>采购需求技术参数、指标</w:t>
            </w:r>
          </w:p>
        </w:tc>
        <w:tc>
          <w:tcPr>
            <w:tcW w:w="4050" w:type="dxa"/>
            <w:gridSpan w:val="3"/>
            <w:tcBorders>
              <w:top w:val="single" w:color="000000" w:sz="6" w:space="0"/>
              <w:left w:val="single" w:color="000000" w:sz="6" w:space="0"/>
              <w:bottom w:val="single" w:color="000000" w:sz="6" w:space="0"/>
              <w:right w:val="single" w:color="000000" w:sz="6" w:space="0"/>
            </w:tcBorders>
            <w:noWrap w:val="0"/>
            <w:vAlign w:val="center"/>
          </w:tcPr>
          <w:p w14:paraId="02B61EC8">
            <w:pPr>
              <w:autoSpaceDE w:val="0"/>
              <w:autoSpaceDN w:val="0"/>
              <w:spacing w:line="360" w:lineRule="auto"/>
              <w:jc w:val="center"/>
              <w:rPr>
                <w:color w:val="auto"/>
                <w:kern w:val="0"/>
                <w:sz w:val="24"/>
                <w:lang w:val="zh-CN"/>
              </w:rPr>
            </w:pPr>
            <w:r>
              <w:rPr>
                <w:color w:val="auto"/>
                <w:kern w:val="0"/>
                <w:sz w:val="24"/>
                <w:lang w:val="zh-CN"/>
              </w:rPr>
              <w:t>投标产品技术参数、指标</w:t>
            </w:r>
          </w:p>
        </w:tc>
        <w:tc>
          <w:tcPr>
            <w:tcW w:w="590" w:type="dxa"/>
            <w:vMerge w:val="restart"/>
            <w:tcBorders>
              <w:top w:val="single" w:color="000000" w:sz="6" w:space="0"/>
              <w:left w:val="single" w:color="000000" w:sz="6" w:space="0"/>
              <w:right w:val="single" w:color="000000" w:sz="6" w:space="0"/>
            </w:tcBorders>
            <w:noWrap w:val="0"/>
            <w:vAlign w:val="center"/>
          </w:tcPr>
          <w:p w14:paraId="795E46A2">
            <w:pPr>
              <w:autoSpaceDE w:val="0"/>
              <w:autoSpaceDN w:val="0"/>
              <w:spacing w:line="360" w:lineRule="auto"/>
              <w:jc w:val="center"/>
              <w:rPr>
                <w:color w:val="auto"/>
                <w:kern w:val="0"/>
                <w:sz w:val="24"/>
                <w:lang w:val="zh-CN"/>
              </w:rPr>
            </w:pPr>
            <w:r>
              <w:rPr>
                <w:color w:val="auto"/>
                <w:kern w:val="0"/>
                <w:sz w:val="24"/>
                <w:lang w:val="zh-CN"/>
              </w:rPr>
              <w:t>偏离</w:t>
            </w:r>
          </w:p>
        </w:tc>
      </w:tr>
      <w:tr w14:paraId="68328DAD">
        <w:tblPrEx>
          <w:tblCellMar>
            <w:top w:w="0" w:type="dxa"/>
            <w:left w:w="28" w:type="dxa"/>
            <w:bottom w:w="0" w:type="dxa"/>
            <w:right w:w="28" w:type="dxa"/>
          </w:tblCellMar>
        </w:tblPrEx>
        <w:trPr>
          <w:trHeight w:val="1" w:hRule="atLeast"/>
          <w:jc w:val="center"/>
        </w:trPr>
        <w:tc>
          <w:tcPr>
            <w:tcW w:w="677" w:type="dxa"/>
            <w:vMerge w:val="continue"/>
            <w:tcBorders>
              <w:left w:val="single" w:color="000000" w:sz="6" w:space="0"/>
              <w:bottom w:val="single" w:color="000000" w:sz="6" w:space="0"/>
              <w:right w:val="single" w:color="000000" w:sz="6" w:space="0"/>
            </w:tcBorders>
            <w:noWrap w:val="0"/>
            <w:vAlign w:val="center"/>
          </w:tcPr>
          <w:p w14:paraId="161D12BF">
            <w:pPr>
              <w:autoSpaceDE w:val="0"/>
              <w:autoSpaceDN w:val="0"/>
              <w:spacing w:line="360" w:lineRule="auto"/>
              <w:jc w:val="center"/>
              <w:rPr>
                <w:color w:val="auto"/>
                <w:kern w:val="0"/>
                <w:sz w:val="24"/>
                <w:lang w:val="zh-CN"/>
              </w:rPr>
            </w:pP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49E04AF9">
            <w:pPr>
              <w:autoSpaceDE w:val="0"/>
              <w:autoSpaceDN w:val="0"/>
              <w:spacing w:line="360" w:lineRule="auto"/>
              <w:jc w:val="center"/>
              <w:rPr>
                <w:color w:val="auto"/>
                <w:kern w:val="0"/>
                <w:sz w:val="24"/>
                <w:lang w:val="zh-CN"/>
              </w:rPr>
            </w:pPr>
            <w:r>
              <w:rPr>
                <w:color w:val="auto"/>
                <w:kern w:val="0"/>
                <w:sz w:val="24"/>
                <w:lang w:val="zh-CN"/>
              </w:rPr>
              <w:t>名称</w:t>
            </w:r>
          </w:p>
        </w:tc>
        <w:tc>
          <w:tcPr>
            <w:tcW w:w="2075" w:type="dxa"/>
            <w:tcBorders>
              <w:top w:val="single" w:color="000000" w:sz="6" w:space="0"/>
              <w:left w:val="single" w:color="000000" w:sz="6" w:space="0"/>
              <w:bottom w:val="single" w:color="000000" w:sz="6" w:space="0"/>
              <w:right w:val="single" w:color="auto" w:sz="4" w:space="0"/>
            </w:tcBorders>
            <w:noWrap w:val="0"/>
            <w:vAlign w:val="center"/>
          </w:tcPr>
          <w:p w14:paraId="171E906B">
            <w:pPr>
              <w:autoSpaceDE w:val="0"/>
              <w:autoSpaceDN w:val="0"/>
              <w:spacing w:line="360" w:lineRule="auto"/>
              <w:jc w:val="center"/>
              <w:rPr>
                <w:color w:val="auto"/>
                <w:kern w:val="0"/>
                <w:sz w:val="24"/>
                <w:lang w:val="zh-CN"/>
              </w:rPr>
            </w:pPr>
            <w:r>
              <w:rPr>
                <w:color w:val="auto"/>
                <w:kern w:val="0"/>
                <w:sz w:val="24"/>
                <w:lang w:val="zh-CN"/>
              </w:rPr>
              <w:t>技术参数及配置</w:t>
            </w:r>
          </w:p>
        </w:tc>
        <w:tc>
          <w:tcPr>
            <w:tcW w:w="1494" w:type="dxa"/>
            <w:tcBorders>
              <w:top w:val="single" w:color="000000" w:sz="6" w:space="0"/>
              <w:left w:val="single" w:color="auto" w:sz="4" w:space="0"/>
              <w:bottom w:val="single" w:color="000000" w:sz="6" w:space="0"/>
              <w:right w:val="single" w:color="000000" w:sz="6" w:space="0"/>
            </w:tcBorders>
            <w:noWrap w:val="0"/>
            <w:vAlign w:val="center"/>
          </w:tcPr>
          <w:p w14:paraId="63F817A8">
            <w:pPr>
              <w:autoSpaceDE w:val="0"/>
              <w:autoSpaceDN w:val="0"/>
              <w:spacing w:line="360" w:lineRule="auto"/>
              <w:jc w:val="center"/>
              <w:rPr>
                <w:color w:val="auto"/>
                <w:kern w:val="0"/>
                <w:sz w:val="24"/>
                <w:lang w:val="zh-CN"/>
              </w:rPr>
            </w:pPr>
            <w:r>
              <w:rPr>
                <w:color w:val="auto"/>
                <w:kern w:val="0"/>
                <w:sz w:val="24"/>
                <w:lang w:val="zh-CN"/>
              </w:rPr>
              <w:t>数量</w:t>
            </w:r>
            <w:r>
              <w:rPr>
                <w:rFonts w:hint="eastAsia"/>
                <w:color w:val="auto"/>
                <w:kern w:val="0"/>
                <w:sz w:val="24"/>
                <w:lang w:val="zh-CN"/>
              </w:rPr>
              <w:t>及单位</w:t>
            </w: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72E3D128">
            <w:pPr>
              <w:autoSpaceDE w:val="0"/>
              <w:autoSpaceDN w:val="0"/>
              <w:spacing w:line="360" w:lineRule="auto"/>
              <w:jc w:val="center"/>
              <w:rPr>
                <w:color w:val="auto"/>
                <w:kern w:val="0"/>
                <w:sz w:val="24"/>
                <w:lang w:val="zh-CN"/>
              </w:rPr>
            </w:pPr>
            <w:r>
              <w:rPr>
                <w:color w:val="auto"/>
                <w:kern w:val="0"/>
                <w:sz w:val="24"/>
                <w:lang w:val="zh-CN"/>
              </w:rPr>
              <w:t>名称</w:t>
            </w:r>
          </w:p>
        </w:tc>
        <w:tc>
          <w:tcPr>
            <w:tcW w:w="2013" w:type="dxa"/>
            <w:tcBorders>
              <w:top w:val="single" w:color="000000" w:sz="6" w:space="0"/>
              <w:left w:val="single" w:color="000000" w:sz="6" w:space="0"/>
              <w:bottom w:val="single" w:color="000000" w:sz="6" w:space="0"/>
              <w:right w:val="single" w:color="auto" w:sz="4" w:space="0"/>
            </w:tcBorders>
            <w:noWrap w:val="0"/>
            <w:vAlign w:val="center"/>
          </w:tcPr>
          <w:p w14:paraId="1EAA36AC">
            <w:pPr>
              <w:autoSpaceDE w:val="0"/>
              <w:autoSpaceDN w:val="0"/>
              <w:spacing w:line="360" w:lineRule="auto"/>
              <w:jc w:val="center"/>
              <w:rPr>
                <w:color w:val="auto"/>
                <w:kern w:val="0"/>
                <w:sz w:val="24"/>
                <w:lang w:val="zh-CN"/>
              </w:rPr>
            </w:pPr>
            <w:r>
              <w:rPr>
                <w:color w:val="auto"/>
                <w:kern w:val="0"/>
                <w:sz w:val="24"/>
                <w:lang w:val="zh-CN"/>
              </w:rPr>
              <w:t>技术参数及配置</w:t>
            </w:r>
          </w:p>
        </w:tc>
        <w:tc>
          <w:tcPr>
            <w:tcW w:w="1331" w:type="dxa"/>
            <w:tcBorders>
              <w:top w:val="single" w:color="000000" w:sz="6" w:space="0"/>
              <w:left w:val="single" w:color="auto" w:sz="4" w:space="0"/>
              <w:bottom w:val="single" w:color="000000" w:sz="6" w:space="0"/>
              <w:right w:val="single" w:color="000000" w:sz="6" w:space="0"/>
            </w:tcBorders>
            <w:noWrap w:val="0"/>
            <w:vAlign w:val="center"/>
          </w:tcPr>
          <w:p w14:paraId="7BC76FE7">
            <w:pPr>
              <w:autoSpaceDE w:val="0"/>
              <w:autoSpaceDN w:val="0"/>
              <w:spacing w:line="360" w:lineRule="auto"/>
              <w:jc w:val="center"/>
              <w:rPr>
                <w:color w:val="auto"/>
                <w:kern w:val="0"/>
                <w:sz w:val="24"/>
                <w:lang w:val="zh-CN"/>
              </w:rPr>
            </w:pPr>
            <w:r>
              <w:rPr>
                <w:color w:val="auto"/>
                <w:kern w:val="0"/>
                <w:sz w:val="24"/>
                <w:lang w:val="zh-CN"/>
              </w:rPr>
              <w:t>数量</w:t>
            </w:r>
            <w:r>
              <w:rPr>
                <w:rFonts w:hint="eastAsia"/>
                <w:color w:val="auto"/>
                <w:kern w:val="0"/>
                <w:sz w:val="24"/>
                <w:lang w:val="zh-CN"/>
              </w:rPr>
              <w:t>及单位</w:t>
            </w:r>
          </w:p>
        </w:tc>
        <w:tc>
          <w:tcPr>
            <w:tcW w:w="590" w:type="dxa"/>
            <w:vMerge w:val="continue"/>
            <w:tcBorders>
              <w:left w:val="single" w:color="000000" w:sz="6" w:space="0"/>
              <w:bottom w:val="single" w:color="000000" w:sz="6" w:space="0"/>
              <w:right w:val="single" w:color="000000" w:sz="6" w:space="0"/>
            </w:tcBorders>
            <w:noWrap w:val="0"/>
            <w:vAlign w:val="center"/>
          </w:tcPr>
          <w:p w14:paraId="4B2E0A66">
            <w:pPr>
              <w:autoSpaceDE w:val="0"/>
              <w:autoSpaceDN w:val="0"/>
              <w:spacing w:line="360" w:lineRule="auto"/>
              <w:jc w:val="center"/>
              <w:rPr>
                <w:color w:val="auto"/>
                <w:kern w:val="0"/>
                <w:sz w:val="24"/>
                <w:lang w:val="zh-CN"/>
              </w:rPr>
            </w:pPr>
          </w:p>
        </w:tc>
      </w:tr>
      <w:tr w14:paraId="4167B16A">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6653CEE9">
            <w:pPr>
              <w:autoSpaceDE w:val="0"/>
              <w:autoSpaceDN w:val="0"/>
              <w:spacing w:line="360" w:lineRule="auto"/>
              <w:jc w:val="center"/>
              <w:rPr>
                <w:color w:val="auto"/>
                <w:kern w:val="0"/>
                <w:lang w:val="zh-CN"/>
              </w:rPr>
            </w:pPr>
            <w:r>
              <w:rPr>
                <w:color w:val="auto"/>
                <w:kern w:val="0"/>
                <w:lang w:val="zh-CN"/>
              </w:rPr>
              <w:t>1</w:t>
            </w: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7FB78D98">
            <w:pPr>
              <w:autoSpaceDE w:val="0"/>
              <w:autoSpaceDN w:val="0"/>
              <w:spacing w:line="360" w:lineRule="auto"/>
              <w:jc w:val="center"/>
              <w:rPr>
                <w:color w:val="auto"/>
                <w:kern w:val="0"/>
                <w:lang w:val="zh-CN"/>
              </w:rPr>
            </w:pPr>
          </w:p>
        </w:tc>
        <w:tc>
          <w:tcPr>
            <w:tcW w:w="2075" w:type="dxa"/>
            <w:tcBorders>
              <w:top w:val="single" w:color="000000" w:sz="6" w:space="0"/>
              <w:left w:val="single" w:color="000000" w:sz="6" w:space="0"/>
              <w:bottom w:val="single" w:color="000000" w:sz="6" w:space="0"/>
              <w:right w:val="single" w:color="auto" w:sz="4" w:space="0"/>
            </w:tcBorders>
            <w:noWrap w:val="0"/>
            <w:vAlign w:val="center"/>
          </w:tcPr>
          <w:p w14:paraId="5E10EC0B">
            <w:pPr>
              <w:autoSpaceDE w:val="0"/>
              <w:autoSpaceDN w:val="0"/>
              <w:spacing w:line="360" w:lineRule="auto"/>
              <w:jc w:val="center"/>
              <w:rPr>
                <w:color w:val="auto"/>
                <w:kern w:val="0"/>
                <w:lang w:val="zh-CN"/>
              </w:rPr>
            </w:pPr>
          </w:p>
        </w:tc>
        <w:tc>
          <w:tcPr>
            <w:tcW w:w="1494" w:type="dxa"/>
            <w:tcBorders>
              <w:top w:val="single" w:color="000000" w:sz="6" w:space="0"/>
              <w:left w:val="single" w:color="auto" w:sz="4" w:space="0"/>
              <w:bottom w:val="single" w:color="000000" w:sz="6" w:space="0"/>
              <w:right w:val="single" w:color="000000" w:sz="6" w:space="0"/>
            </w:tcBorders>
            <w:noWrap w:val="0"/>
            <w:vAlign w:val="center"/>
          </w:tcPr>
          <w:p w14:paraId="4B2165F9">
            <w:pPr>
              <w:autoSpaceDE w:val="0"/>
              <w:autoSpaceDN w:val="0"/>
              <w:spacing w:line="360" w:lineRule="auto"/>
              <w:jc w:val="center"/>
              <w:rPr>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7D556958">
            <w:pPr>
              <w:autoSpaceDE w:val="0"/>
              <w:autoSpaceDN w:val="0"/>
              <w:spacing w:line="360" w:lineRule="auto"/>
              <w:jc w:val="center"/>
              <w:rPr>
                <w:color w:val="auto"/>
                <w:kern w:val="0"/>
                <w:lang w:val="zh-CN"/>
              </w:rPr>
            </w:pPr>
          </w:p>
        </w:tc>
        <w:tc>
          <w:tcPr>
            <w:tcW w:w="2013" w:type="dxa"/>
            <w:tcBorders>
              <w:top w:val="single" w:color="000000" w:sz="6" w:space="0"/>
              <w:left w:val="single" w:color="000000" w:sz="6" w:space="0"/>
              <w:bottom w:val="single" w:color="000000" w:sz="6" w:space="0"/>
              <w:right w:val="single" w:color="auto" w:sz="4" w:space="0"/>
            </w:tcBorders>
            <w:noWrap w:val="0"/>
            <w:vAlign w:val="center"/>
          </w:tcPr>
          <w:p w14:paraId="78961DC2">
            <w:pPr>
              <w:autoSpaceDE w:val="0"/>
              <w:autoSpaceDN w:val="0"/>
              <w:spacing w:line="360" w:lineRule="auto"/>
              <w:jc w:val="center"/>
              <w:rPr>
                <w:color w:val="auto"/>
                <w:kern w:val="0"/>
                <w:lang w:val="zh-CN"/>
              </w:rPr>
            </w:pPr>
          </w:p>
        </w:tc>
        <w:tc>
          <w:tcPr>
            <w:tcW w:w="1331" w:type="dxa"/>
            <w:tcBorders>
              <w:top w:val="single" w:color="000000" w:sz="6" w:space="0"/>
              <w:left w:val="single" w:color="auto" w:sz="4" w:space="0"/>
              <w:bottom w:val="single" w:color="000000" w:sz="6" w:space="0"/>
              <w:right w:val="single" w:color="000000" w:sz="6" w:space="0"/>
            </w:tcBorders>
            <w:noWrap w:val="0"/>
            <w:vAlign w:val="center"/>
          </w:tcPr>
          <w:p w14:paraId="0135BCC6">
            <w:pPr>
              <w:autoSpaceDE w:val="0"/>
              <w:autoSpaceDN w:val="0"/>
              <w:spacing w:line="360" w:lineRule="auto"/>
              <w:jc w:val="center"/>
              <w:rPr>
                <w:color w:val="auto"/>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408714F7">
            <w:pPr>
              <w:autoSpaceDE w:val="0"/>
              <w:autoSpaceDN w:val="0"/>
              <w:spacing w:line="360" w:lineRule="auto"/>
              <w:jc w:val="center"/>
              <w:rPr>
                <w:color w:val="auto"/>
                <w:kern w:val="0"/>
                <w:lang w:val="zh-CN"/>
              </w:rPr>
            </w:pPr>
          </w:p>
        </w:tc>
      </w:tr>
      <w:tr w14:paraId="179CE8CB">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3686592E">
            <w:pPr>
              <w:autoSpaceDE w:val="0"/>
              <w:autoSpaceDN w:val="0"/>
              <w:spacing w:line="360" w:lineRule="auto"/>
              <w:jc w:val="center"/>
              <w:rPr>
                <w:color w:val="auto"/>
                <w:kern w:val="0"/>
                <w:lang w:val="zh-CN"/>
              </w:rPr>
            </w:pPr>
            <w:r>
              <w:rPr>
                <w:color w:val="auto"/>
                <w:kern w:val="0"/>
                <w:lang w:val="zh-CN"/>
              </w:rPr>
              <w:t>2</w:t>
            </w: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3B6BDFAA">
            <w:pPr>
              <w:autoSpaceDE w:val="0"/>
              <w:autoSpaceDN w:val="0"/>
              <w:spacing w:line="360" w:lineRule="auto"/>
              <w:jc w:val="center"/>
              <w:rPr>
                <w:color w:val="auto"/>
                <w:kern w:val="0"/>
                <w:lang w:val="zh-CN"/>
              </w:rPr>
            </w:pPr>
          </w:p>
        </w:tc>
        <w:tc>
          <w:tcPr>
            <w:tcW w:w="2075" w:type="dxa"/>
            <w:tcBorders>
              <w:top w:val="single" w:color="000000" w:sz="6" w:space="0"/>
              <w:left w:val="single" w:color="000000" w:sz="6" w:space="0"/>
              <w:bottom w:val="single" w:color="000000" w:sz="6" w:space="0"/>
              <w:right w:val="single" w:color="auto" w:sz="4" w:space="0"/>
            </w:tcBorders>
            <w:noWrap w:val="0"/>
            <w:vAlign w:val="center"/>
          </w:tcPr>
          <w:p w14:paraId="07B8BA1D">
            <w:pPr>
              <w:autoSpaceDE w:val="0"/>
              <w:autoSpaceDN w:val="0"/>
              <w:spacing w:line="360" w:lineRule="auto"/>
              <w:jc w:val="center"/>
              <w:rPr>
                <w:color w:val="auto"/>
                <w:kern w:val="0"/>
                <w:lang w:val="zh-CN"/>
              </w:rPr>
            </w:pPr>
          </w:p>
        </w:tc>
        <w:tc>
          <w:tcPr>
            <w:tcW w:w="1494" w:type="dxa"/>
            <w:tcBorders>
              <w:top w:val="single" w:color="000000" w:sz="6" w:space="0"/>
              <w:left w:val="single" w:color="auto" w:sz="4" w:space="0"/>
              <w:bottom w:val="single" w:color="000000" w:sz="6" w:space="0"/>
              <w:right w:val="single" w:color="000000" w:sz="6" w:space="0"/>
            </w:tcBorders>
            <w:noWrap w:val="0"/>
            <w:vAlign w:val="center"/>
          </w:tcPr>
          <w:p w14:paraId="168ED4EB">
            <w:pPr>
              <w:autoSpaceDE w:val="0"/>
              <w:autoSpaceDN w:val="0"/>
              <w:spacing w:line="360" w:lineRule="auto"/>
              <w:jc w:val="center"/>
              <w:rPr>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F50026D">
            <w:pPr>
              <w:autoSpaceDE w:val="0"/>
              <w:autoSpaceDN w:val="0"/>
              <w:spacing w:line="360" w:lineRule="auto"/>
              <w:jc w:val="center"/>
              <w:rPr>
                <w:color w:val="auto"/>
                <w:kern w:val="0"/>
                <w:lang w:val="zh-CN"/>
              </w:rPr>
            </w:pPr>
          </w:p>
        </w:tc>
        <w:tc>
          <w:tcPr>
            <w:tcW w:w="2013" w:type="dxa"/>
            <w:tcBorders>
              <w:top w:val="single" w:color="000000" w:sz="6" w:space="0"/>
              <w:left w:val="single" w:color="000000" w:sz="6" w:space="0"/>
              <w:bottom w:val="single" w:color="000000" w:sz="6" w:space="0"/>
              <w:right w:val="single" w:color="auto" w:sz="4" w:space="0"/>
            </w:tcBorders>
            <w:noWrap w:val="0"/>
            <w:vAlign w:val="center"/>
          </w:tcPr>
          <w:p w14:paraId="30E6F45E">
            <w:pPr>
              <w:autoSpaceDE w:val="0"/>
              <w:autoSpaceDN w:val="0"/>
              <w:spacing w:line="360" w:lineRule="auto"/>
              <w:jc w:val="center"/>
              <w:rPr>
                <w:color w:val="auto"/>
                <w:kern w:val="0"/>
                <w:lang w:val="zh-CN"/>
              </w:rPr>
            </w:pPr>
          </w:p>
        </w:tc>
        <w:tc>
          <w:tcPr>
            <w:tcW w:w="1331" w:type="dxa"/>
            <w:tcBorders>
              <w:top w:val="single" w:color="000000" w:sz="6" w:space="0"/>
              <w:left w:val="single" w:color="auto" w:sz="4" w:space="0"/>
              <w:bottom w:val="single" w:color="000000" w:sz="6" w:space="0"/>
              <w:right w:val="single" w:color="000000" w:sz="6" w:space="0"/>
            </w:tcBorders>
            <w:noWrap w:val="0"/>
            <w:vAlign w:val="center"/>
          </w:tcPr>
          <w:p w14:paraId="3792E79D">
            <w:pPr>
              <w:autoSpaceDE w:val="0"/>
              <w:autoSpaceDN w:val="0"/>
              <w:spacing w:line="360" w:lineRule="auto"/>
              <w:jc w:val="center"/>
              <w:rPr>
                <w:color w:val="auto"/>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40E3DDC0">
            <w:pPr>
              <w:autoSpaceDE w:val="0"/>
              <w:autoSpaceDN w:val="0"/>
              <w:spacing w:line="360" w:lineRule="auto"/>
              <w:jc w:val="center"/>
              <w:rPr>
                <w:color w:val="auto"/>
                <w:kern w:val="0"/>
                <w:lang w:val="zh-CN"/>
              </w:rPr>
            </w:pPr>
          </w:p>
        </w:tc>
      </w:tr>
      <w:tr w14:paraId="66D01738">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58956759">
            <w:pPr>
              <w:autoSpaceDE w:val="0"/>
              <w:autoSpaceDN w:val="0"/>
              <w:spacing w:line="360" w:lineRule="auto"/>
              <w:jc w:val="center"/>
              <w:rPr>
                <w:color w:val="auto"/>
                <w:kern w:val="0"/>
                <w:lang w:val="zh-CN"/>
              </w:rPr>
            </w:pPr>
            <w:r>
              <w:rPr>
                <w:rFonts w:hint="eastAsia"/>
                <w:color w:val="auto"/>
                <w:kern w:val="0"/>
                <w:lang w:val="zh-CN"/>
              </w:rPr>
              <w:t>3</w:t>
            </w: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22A2F3E7">
            <w:pPr>
              <w:autoSpaceDE w:val="0"/>
              <w:autoSpaceDN w:val="0"/>
              <w:spacing w:line="360" w:lineRule="auto"/>
              <w:jc w:val="center"/>
              <w:rPr>
                <w:color w:val="auto"/>
                <w:kern w:val="0"/>
                <w:lang w:val="zh-CN"/>
              </w:rPr>
            </w:pPr>
          </w:p>
        </w:tc>
        <w:tc>
          <w:tcPr>
            <w:tcW w:w="2075" w:type="dxa"/>
            <w:tcBorders>
              <w:top w:val="single" w:color="000000" w:sz="6" w:space="0"/>
              <w:left w:val="single" w:color="000000" w:sz="6" w:space="0"/>
              <w:bottom w:val="single" w:color="000000" w:sz="6" w:space="0"/>
              <w:right w:val="single" w:color="auto" w:sz="4" w:space="0"/>
            </w:tcBorders>
            <w:noWrap w:val="0"/>
            <w:vAlign w:val="center"/>
          </w:tcPr>
          <w:p w14:paraId="50C18A80">
            <w:pPr>
              <w:autoSpaceDE w:val="0"/>
              <w:autoSpaceDN w:val="0"/>
              <w:spacing w:line="360" w:lineRule="auto"/>
              <w:jc w:val="center"/>
              <w:rPr>
                <w:color w:val="auto"/>
                <w:kern w:val="0"/>
                <w:lang w:val="zh-CN"/>
              </w:rPr>
            </w:pPr>
          </w:p>
        </w:tc>
        <w:tc>
          <w:tcPr>
            <w:tcW w:w="1494" w:type="dxa"/>
            <w:tcBorders>
              <w:top w:val="single" w:color="000000" w:sz="6" w:space="0"/>
              <w:left w:val="single" w:color="auto" w:sz="4" w:space="0"/>
              <w:bottom w:val="single" w:color="000000" w:sz="6" w:space="0"/>
              <w:right w:val="single" w:color="000000" w:sz="6" w:space="0"/>
            </w:tcBorders>
            <w:noWrap w:val="0"/>
            <w:vAlign w:val="center"/>
          </w:tcPr>
          <w:p w14:paraId="6E4C6C77">
            <w:pPr>
              <w:autoSpaceDE w:val="0"/>
              <w:autoSpaceDN w:val="0"/>
              <w:spacing w:line="360" w:lineRule="auto"/>
              <w:jc w:val="center"/>
              <w:rPr>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ED889E9">
            <w:pPr>
              <w:autoSpaceDE w:val="0"/>
              <w:autoSpaceDN w:val="0"/>
              <w:spacing w:line="360" w:lineRule="auto"/>
              <w:jc w:val="center"/>
              <w:rPr>
                <w:color w:val="auto"/>
                <w:kern w:val="0"/>
                <w:lang w:val="zh-CN"/>
              </w:rPr>
            </w:pPr>
          </w:p>
        </w:tc>
        <w:tc>
          <w:tcPr>
            <w:tcW w:w="2013" w:type="dxa"/>
            <w:tcBorders>
              <w:top w:val="single" w:color="000000" w:sz="6" w:space="0"/>
              <w:left w:val="single" w:color="000000" w:sz="6" w:space="0"/>
              <w:bottom w:val="single" w:color="000000" w:sz="6" w:space="0"/>
              <w:right w:val="single" w:color="auto" w:sz="4" w:space="0"/>
            </w:tcBorders>
            <w:noWrap w:val="0"/>
            <w:vAlign w:val="center"/>
          </w:tcPr>
          <w:p w14:paraId="6663EBFB">
            <w:pPr>
              <w:autoSpaceDE w:val="0"/>
              <w:autoSpaceDN w:val="0"/>
              <w:spacing w:line="360" w:lineRule="auto"/>
              <w:jc w:val="center"/>
              <w:rPr>
                <w:color w:val="auto"/>
                <w:kern w:val="0"/>
                <w:lang w:val="zh-CN"/>
              </w:rPr>
            </w:pPr>
          </w:p>
        </w:tc>
        <w:tc>
          <w:tcPr>
            <w:tcW w:w="1331" w:type="dxa"/>
            <w:tcBorders>
              <w:top w:val="single" w:color="000000" w:sz="6" w:space="0"/>
              <w:left w:val="single" w:color="auto" w:sz="4" w:space="0"/>
              <w:bottom w:val="single" w:color="000000" w:sz="6" w:space="0"/>
              <w:right w:val="single" w:color="000000" w:sz="6" w:space="0"/>
            </w:tcBorders>
            <w:noWrap w:val="0"/>
            <w:vAlign w:val="center"/>
          </w:tcPr>
          <w:p w14:paraId="104028EA">
            <w:pPr>
              <w:autoSpaceDE w:val="0"/>
              <w:autoSpaceDN w:val="0"/>
              <w:spacing w:line="360" w:lineRule="auto"/>
              <w:jc w:val="center"/>
              <w:rPr>
                <w:color w:val="auto"/>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0F30150E">
            <w:pPr>
              <w:autoSpaceDE w:val="0"/>
              <w:autoSpaceDN w:val="0"/>
              <w:spacing w:line="360" w:lineRule="auto"/>
              <w:jc w:val="center"/>
              <w:rPr>
                <w:color w:val="auto"/>
                <w:kern w:val="0"/>
                <w:lang w:val="zh-CN"/>
              </w:rPr>
            </w:pPr>
          </w:p>
        </w:tc>
      </w:tr>
      <w:tr w14:paraId="15A63B83">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44B8C5E0">
            <w:pPr>
              <w:autoSpaceDE w:val="0"/>
              <w:autoSpaceDN w:val="0"/>
              <w:spacing w:line="360" w:lineRule="auto"/>
              <w:jc w:val="center"/>
              <w:rPr>
                <w:rFonts w:hint="eastAsia"/>
                <w:color w:val="auto"/>
                <w:kern w:val="0"/>
                <w:lang w:val="zh-CN"/>
              </w:rPr>
            </w:pPr>
            <w:r>
              <w:rPr>
                <w:rFonts w:hint="eastAsia"/>
                <w:color w:val="auto"/>
                <w:kern w:val="0"/>
                <w:lang w:val="zh-CN"/>
              </w:rPr>
              <w:t>4</w:t>
            </w: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79BBA6FC">
            <w:pPr>
              <w:autoSpaceDE w:val="0"/>
              <w:autoSpaceDN w:val="0"/>
              <w:spacing w:line="360" w:lineRule="auto"/>
              <w:jc w:val="center"/>
              <w:rPr>
                <w:color w:val="auto"/>
                <w:kern w:val="0"/>
                <w:lang w:val="zh-CN"/>
              </w:rPr>
            </w:pPr>
          </w:p>
        </w:tc>
        <w:tc>
          <w:tcPr>
            <w:tcW w:w="2075" w:type="dxa"/>
            <w:tcBorders>
              <w:top w:val="single" w:color="000000" w:sz="6" w:space="0"/>
              <w:left w:val="single" w:color="000000" w:sz="6" w:space="0"/>
              <w:bottom w:val="single" w:color="000000" w:sz="6" w:space="0"/>
              <w:right w:val="single" w:color="auto" w:sz="4" w:space="0"/>
            </w:tcBorders>
            <w:noWrap w:val="0"/>
            <w:vAlign w:val="center"/>
          </w:tcPr>
          <w:p w14:paraId="127D0A07">
            <w:pPr>
              <w:autoSpaceDE w:val="0"/>
              <w:autoSpaceDN w:val="0"/>
              <w:spacing w:line="360" w:lineRule="auto"/>
              <w:jc w:val="center"/>
              <w:rPr>
                <w:color w:val="auto"/>
                <w:kern w:val="0"/>
                <w:lang w:val="zh-CN"/>
              </w:rPr>
            </w:pPr>
          </w:p>
        </w:tc>
        <w:tc>
          <w:tcPr>
            <w:tcW w:w="1494" w:type="dxa"/>
            <w:tcBorders>
              <w:top w:val="single" w:color="000000" w:sz="6" w:space="0"/>
              <w:left w:val="single" w:color="auto" w:sz="4" w:space="0"/>
              <w:bottom w:val="single" w:color="000000" w:sz="6" w:space="0"/>
              <w:right w:val="single" w:color="000000" w:sz="6" w:space="0"/>
            </w:tcBorders>
            <w:noWrap w:val="0"/>
            <w:vAlign w:val="center"/>
          </w:tcPr>
          <w:p w14:paraId="71146AF0">
            <w:pPr>
              <w:autoSpaceDE w:val="0"/>
              <w:autoSpaceDN w:val="0"/>
              <w:spacing w:line="360" w:lineRule="auto"/>
              <w:jc w:val="center"/>
              <w:rPr>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20E0FB77">
            <w:pPr>
              <w:autoSpaceDE w:val="0"/>
              <w:autoSpaceDN w:val="0"/>
              <w:spacing w:line="360" w:lineRule="auto"/>
              <w:jc w:val="center"/>
              <w:rPr>
                <w:color w:val="auto"/>
                <w:kern w:val="0"/>
                <w:lang w:val="zh-CN"/>
              </w:rPr>
            </w:pPr>
          </w:p>
        </w:tc>
        <w:tc>
          <w:tcPr>
            <w:tcW w:w="2013" w:type="dxa"/>
            <w:tcBorders>
              <w:top w:val="single" w:color="000000" w:sz="6" w:space="0"/>
              <w:left w:val="single" w:color="000000" w:sz="6" w:space="0"/>
              <w:bottom w:val="single" w:color="000000" w:sz="6" w:space="0"/>
              <w:right w:val="single" w:color="auto" w:sz="4" w:space="0"/>
            </w:tcBorders>
            <w:noWrap w:val="0"/>
            <w:vAlign w:val="center"/>
          </w:tcPr>
          <w:p w14:paraId="3EADD72F">
            <w:pPr>
              <w:autoSpaceDE w:val="0"/>
              <w:autoSpaceDN w:val="0"/>
              <w:spacing w:line="360" w:lineRule="auto"/>
              <w:jc w:val="center"/>
              <w:rPr>
                <w:color w:val="auto"/>
                <w:kern w:val="0"/>
                <w:lang w:val="zh-CN"/>
              </w:rPr>
            </w:pPr>
          </w:p>
        </w:tc>
        <w:tc>
          <w:tcPr>
            <w:tcW w:w="1331" w:type="dxa"/>
            <w:tcBorders>
              <w:top w:val="single" w:color="000000" w:sz="6" w:space="0"/>
              <w:left w:val="single" w:color="auto" w:sz="4" w:space="0"/>
              <w:bottom w:val="single" w:color="000000" w:sz="6" w:space="0"/>
              <w:right w:val="single" w:color="000000" w:sz="6" w:space="0"/>
            </w:tcBorders>
            <w:noWrap w:val="0"/>
            <w:vAlign w:val="center"/>
          </w:tcPr>
          <w:p w14:paraId="27BA97F7">
            <w:pPr>
              <w:autoSpaceDE w:val="0"/>
              <w:autoSpaceDN w:val="0"/>
              <w:spacing w:line="360" w:lineRule="auto"/>
              <w:jc w:val="center"/>
              <w:rPr>
                <w:color w:val="auto"/>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26CE99CC">
            <w:pPr>
              <w:autoSpaceDE w:val="0"/>
              <w:autoSpaceDN w:val="0"/>
              <w:spacing w:line="360" w:lineRule="auto"/>
              <w:jc w:val="center"/>
              <w:rPr>
                <w:color w:val="auto"/>
                <w:kern w:val="0"/>
                <w:lang w:val="zh-CN"/>
              </w:rPr>
            </w:pPr>
          </w:p>
        </w:tc>
      </w:tr>
      <w:tr w14:paraId="06F88504">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128CB4D2">
            <w:pPr>
              <w:autoSpaceDE w:val="0"/>
              <w:autoSpaceDN w:val="0"/>
              <w:spacing w:line="360" w:lineRule="auto"/>
              <w:jc w:val="center"/>
              <w:rPr>
                <w:color w:val="auto"/>
                <w:kern w:val="0"/>
                <w:lang w:val="zh-CN"/>
              </w:rPr>
            </w:pPr>
            <w:r>
              <w:rPr>
                <w:color w:val="auto"/>
                <w:kern w:val="0"/>
                <w:lang w:val="zh-CN"/>
              </w:rPr>
              <w:t>…</w:t>
            </w: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309ED201">
            <w:pPr>
              <w:autoSpaceDE w:val="0"/>
              <w:autoSpaceDN w:val="0"/>
              <w:spacing w:line="360" w:lineRule="auto"/>
              <w:jc w:val="center"/>
              <w:rPr>
                <w:color w:val="auto"/>
                <w:kern w:val="0"/>
                <w:lang w:val="zh-CN"/>
              </w:rPr>
            </w:pPr>
          </w:p>
        </w:tc>
        <w:tc>
          <w:tcPr>
            <w:tcW w:w="2075" w:type="dxa"/>
            <w:tcBorders>
              <w:top w:val="single" w:color="000000" w:sz="6" w:space="0"/>
              <w:left w:val="single" w:color="000000" w:sz="6" w:space="0"/>
              <w:bottom w:val="single" w:color="000000" w:sz="6" w:space="0"/>
              <w:right w:val="single" w:color="auto" w:sz="4" w:space="0"/>
            </w:tcBorders>
            <w:noWrap w:val="0"/>
            <w:vAlign w:val="center"/>
          </w:tcPr>
          <w:p w14:paraId="2B0FF62B">
            <w:pPr>
              <w:autoSpaceDE w:val="0"/>
              <w:autoSpaceDN w:val="0"/>
              <w:spacing w:line="360" w:lineRule="auto"/>
              <w:jc w:val="center"/>
              <w:rPr>
                <w:color w:val="auto"/>
                <w:kern w:val="0"/>
                <w:lang w:val="zh-CN"/>
              </w:rPr>
            </w:pPr>
          </w:p>
        </w:tc>
        <w:tc>
          <w:tcPr>
            <w:tcW w:w="1494" w:type="dxa"/>
            <w:tcBorders>
              <w:top w:val="single" w:color="000000" w:sz="6" w:space="0"/>
              <w:left w:val="single" w:color="auto" w:sz="4" w:space="0"/>
              <w:bottom w:val="single" w:color="000000" w:sz="6" w:space="0"/>
              <w:right w:val="single" w:color="000000" w:sz="6" w:space="0"/>
            </w:tcBorders>
            <w:noWrap w:val="0"/>
            <w:vAlign w:val="center"/>
          </w:tcPr>
          <w:p w14:paraId="299573BA">
            <w:pPr>
              <w:autoSpaceDE w:val="0"/>
              <w:autoSpaceDN w:val="0"/>
              <w:spacing w:line="360" w:lineRule="auto"/>
              <w:jc w:val="center"/>
              <w:rPr>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643EE64E">
            <w:pPr>
              <w:autoSpaceDE w:val="0"/>
              <w:autoSpaceDN w:val="0"/>
              <w:spacing w:line="360" w:lineRule="auto"/>
              <w:jc w:val="center"/>
              <w:rPr>
                <w:color w:val="auto"/>
                <w:kern w:val="0"/>
                <w:lang w:val="zh-CN"/>
              </w:rPr>
            </w:pPr>
          </w:p>
        </w:tc>
        <w:tc>
          <w:tcPr>
            <w:tcW w:w="2013" w:type="dxa"/>
            <w:tcBorders>
              <w:top w:val="single" w:color="000000" w:sz="6" w:space="0"/>
              <w:left w:val="single" w:color="000000" w:sz="6" w:space="0"/>
              <w:bottom w:val="single" w:color="000000" w:sz="6" w:space="0"/>
              <w:right w:val="single" w:color="auto" w:sz="4" w:space="0"/>
            </w:tcBorders>
            <w:noWrap w:val="0"/>
            <w:vAlign w:val="center"/>
          </w:tcPr>
          <w:p w14:paraId="73EF9704">
            <w:pPr>
              <w:autoSpaceDE w:val="0"/>
              <w:autoSpaceDN w:val="0"/>
              <w:spacing w:line="360" w:lineRule="auto"/>
              <w:jc w:val="center"/>
              <w:rPr>
                <w:color w:val="auto"/>
                <w:kern w:val="0"/>
                <w:lang w:val="zh-CN"/>
              </w:rPr>
            </w:pPr>
          </w:p>
        </w:tc>
        <w:tc>
          <w:tcPr>
            <w:tcW w:w="1331" w:type="dxa"/>
            <w:tcBorders>
              <w:top w:val="single" w:color="000000" w:sz="6" w:space="0"/>
              <w:left w:val="single" w:color="auto" w:sz="4" w:space="0"/>
              <w:bottom w:val="single" w:color="000000" w:sz="6" w:space="0"/>
              <w:right w:val="single" w:color="000000" w:sz="6" w:space="0"/>
            </w:tcBorders>
            <w:noWrap w:val="0"/>
            <w:vAlign w:val="center"/>
          </w:tcPr>
          <w:p w14:paraId="77CC9C97">
            <w:pPr>
              <w:autoSpaceDE w:val="0"/>
              <w:autoSpaceDN w:val="0"/>
              <w:spacing w:line="360" w:lineRule="auto"/>
              <w:jc w:val="center"/>
              <w:rPr>
                <w:color w:val="auto"/>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655AC242">
            <w:pPr>
              <w:autoSpaceDE w:val="0"/>
              <w:autoSpaceDN w:val="0"/>
              <w:spacing w:line="360" w:lineRule="auto"/>
              <w:jc w:val="center"/>
              <w:rPr>
                <w:color w:val="auto"/>
                <w:kern w:val="0"/>
                <w:lang w:val="zh-CN"/>
              </w:rPr>
            </w:pPr>
          </w:p>
        </w:tc>
      </w:tr>
    </w:tbl>
    <w:p w14:paraId="353874FF">
      <w:pPr>
        <w:autoSpaceDE w:val="0"/>
        <w:autoSpaceDN w:val="0"/>
        <w:spacing w:line="360" w:lineRule="auto"/>
        <w:rPr>
          <w:b/>
          <w:bCs/>
          <w:color w:val="auto"/>
          <w:kern w:val="0"/>
          <w:lang w:val="zh-CN"/>
        </w:rPr>
      </w:pPr>
    </w:p>
    <w:p w14:paraId="2375E848">
      <w:pPr>
        <w:autoSpaceDE w:val="0"/>
        <w:autoSpaceDN w:val="0"/>
        <w:spacing w:line="360" w:lineRule="auto"/>
        <w:rPr>
          <w:color w:val="auto"/>
          <w:kern w:val="0"/>
          <w:lang w:val="zh-CN"/>
        </w:rPr>
      </w:pPr>
      <w:r>
        <w:rPr>
          <w:color w:val="auto"/>
          <w:kern w:val="0"/>
          <w:lang w:val="zh-CN"/>
        </w:rPr>
        <w:t>注：</w:t>
      </w:r>
      <w:r>
        <w:rPr>
          <w:rFonts w:hint="eastAsia"/>
          <w:color w:val="auto"/>
          <w:kern w:val="0"/>
          <w:lang w:val="zh-CN"/>
        </w:rPr>
        <w:t xml:space="preserve"> </w:t>
      </w:r>
      <w:r>
        <w:rPr>
          <w:color w:val="auto"/>
          <w:kern w:val="0"/>
          <w:lang w:val="zh-CN"/>
        </w:rPr>
        <w:t>1.本表应按照每包“</w:t>
      </w:r>
      <w:r>
        <w:rPr>
          <w:b w:val="0"/>
          <w:bCs w:val="0"/>
          <w:color w:val="auto"/>
          <w:kern w:val="0"/>
          <w:lang w:val="zh-CN"/>
        </w:rPr>
        <w:t>项目概况及技术参数</w:t>
      </w:r>
      <w:r>
        <w:rPr>
          <w:color w:val="auto"/>
          <w:kern w:val="0"/>
          <w:lang w:val="zh-CN"/>
        </w:rPr>
        <w:t>”中产品序号的指标逐项填写，不得遗漏。</w:t>
      </w:r>
    </w:p>
    <w:p w14:paraId="0E047A30">
      <w:pPr>
        <w:numPr>
          <w:ilvl w:val="0"/>
          <w:numId w:val="7"/>
        </w:numPr>
        <w:autoSpaceDE w:val="0"/>
        <w:autoSpaceDN w:val="0"/>
        <w:spacing w:line="360" w:lineRule="auto"/>
        <w:ind w:firstLine="480"/>
        <w:rPr>
          <w:color w:val="auto"/>
          <w:kern w:val="0"/>
          <w:lang w:val="zh-CN"/>
        </w:rPr>
      </w:pPr>
      <w:r>
        <w:rPr>
          <w:color w:val="auto"/>
          <w:kern w:val="0"/>
          <w:lang w:val="zh-CN"/>
        </w:rPr>
        <w:t>“投标产品技术参数、指标”必须与投标文件中的证明材料的实质性响应情况相一致。若在评标环节发现该项与投标文件中提供的证明材料的实质性响应情况不一致或直接复制招标文件“采购需求技术参数、指标”内容的，按无效投标处理。</w:t>
      </w:r>
    </w:p>
    <w:p w14:paraId="30B3971C">
      <w:pPr>
        <w:numPr>
          <w:ilvl w:val="0"/>
          <w:numId w:val="7"/>
        </w:numPr>
        <w:autoSpaceDE w:val="0"/>
        <w:autoSpaceDN w:val="0"/>
        <w:spacing w:line="360" w:lineRule="auto"/>
        <w:ind w:firstLine="480"/>
        <w:rPr>
          <w:color w:val="auto"/>
          <w:kern w:val="0"/>
          <w:lang w:val="zh-CN"/>
        </w:rPr>
      </w:pPr>
      <w:r>
        <w:rPr>
          <w:color w:val="auto"/>
          <w:kern w:val="0"/>
          <w:lang w:val="zh-CN"/>
        </w:rPr>
        <w:t>填写此表时以招标项目参数要求为基本投标要求，满足招标项目参数要求的指标需列出“</w:t>
      </w:r>
      <w:r>
        <w:rPr>
          <w:color w:val="auto"/>
          <w:kern w:val="0"/>
        </w:rPr>
        <w:t>0</w:t>
      </w:r>
      <w:r>
        <w:rPr>
          <w:color w:val="auto"/>
          <w:kern w:val="0"/>
          <w:lang w:val="zh-CN"/>
        </w:rPr>
        <w:t>”</w:t>
      </w:r>
      <w:r>
        <w:rPr>
          <w:rFonts w:hint="eastAsia" w:ascii="宋体" w:hAnsi="宋体" w:cs="宋体"/>
          <w:kern w:val="0"/>
          <w:sz w:val="21"/>
          <w:szCs w:val="21"/>
          <w:lang w:val="zh-CN"/>
        </w:rPr>
        <w:t>（</w:t>
      </w:r>
      <w:r>
        <w:rPr>
          <w:rFonts w:hint="eastAsia" w:ascii="宋体" w:hAnsi="宋体" w:cs="宋体"/>
          <w:kern w:val="0"/>
          <w:sz w:val="21"/>
          <w:szCs w:val="21"/>
        </w:rPr>
        <w:t>无偏离）</w:t>
      </w:r>
      <w:r>
        <w:rPr>
          <w:color w:val="auto"/>
          <w:kern w:val="0"/>
          <w:lang w:val="zh-CN"/>
        </w:rPr>
        <w:t>；超出、不满足招标项目参数要求的指标需列出“+”、“-”偏差，并做出详细说明；如果只注明“+”、“-”或未填写，将视为该项指标不响应。</w:t>
      </w:r>
    </w:p>
    <w:p w14:paraId="66BE7BA3">
      <w:pPr>
        <w:numPr>
          <w:ilvl w:val="0"/>
          <w:numId w:val="7"/>
        </w:numPr>
        <w:autoSpaceDE w:val="0"/>
        <w:autoSpaceDN w:val="0"/>
        <w:spacing w:line="360" w:lineRule="auto"/>
        <w:ind w:firstLine="480"/>
        <w:rPr>
          <w:color w:val="auto"/>
          <w:kern w:val="0"/>
          <w:lang w:val="zh-CN"/>
        </w:rPr>
      </w:pPr>
      <w:r>
        <w:rPr>
          <w:rFonts w:hint="eastAsia"/>
          <w:color w:val="auto"/>
          <w:kern w:val="0"/>
          <w:lang w:val="zh-CN"/>
        </w:rPr>
        <w:t>投标人</w:t>
      </w:r>
      <w:r>
        <w:rPr>
          <w:color w:val="auto"/>
          <w:kern w:val="0"/>
          <w:lang w:val="zh-CN"/>
        </w:rPr>
        <w:t>应按投标产品实际情况填写，不得照抄、复制招标文件技术参数要求。</w:t>
      </w:r>
    </w:p>
    <w:p w14:paraId="620B53FB">
      <w:pPr>
        <w:numPr>
          <w:ilvl w:val="0"/>
          <w:numId w:val="7"/>
        </w:numPr>
        <w:autoSpaceDE w:val="0"/>
        <w:autoSpaceDN w:val="0"/>
        <w:spacing w:line="360" w:lineRule="auto"/>
        <w:ind w:firstLine="480"/>
        <w:rPr>
          <w:color w:val="auto"/>
          <w:kern w:val="0"/>
          <w:lang w:val="zh-CN"/>
        </w:rPr>
      </w:pPr>
      <w:r>
        <w:rPr>
          <w:color w:val="auto"/>
          <w:kern w:val="0"/>
          <w:lang w:val="zh-CN"/>
        </w:rPr>
        <w:t>投标人响应采购需求应具体、明确，含糊不清、不确切或伪造、编造证明材料的，按照实质性不响应处理。对伪造、编造证明材料的，将报送采购监管部门查处。</w:t>
      </w:r>
    </w:p>
    <w:p w14:paraId="57834853">
      <w:pPr>
        <w:autoSpaceDE w:val="0"/>
        <w:autoSpaceDN w:val="0"/>
        <w:spacing w:line="360" w:lineRule="auto"/>
        <w:ind w:firstLine="480"/>
        <w:rPr>
          <w:color w:val="auto"/>
          <w:kern w:val="0"/>
          <w:lang w:val="zh-CN"/>
        </w:rPr>
      </w:pPr>
    </w:p>
    <w:p w14:paraId="2B543E05">
      <w:pPr>
        <w:autoSpaceDE w:val="0"/>
        <w:autoSpaceDN w:val="0"/>
        <w:spacing w:line="360" w:lineRule="auto"/>
        <w:ind w:firstLine="480"/>
        <w:rPr>
          <w:color w:val="auto"/>
          <w:kern w:val="0"/>
          <w:lang w:val="zh-CN"/>
        </w:rPr>
      </w:pPr>
    </w:p>
    <w:p w14:paraId="122028F1">
      <w:pPr>
        <w:jc w:val="right"/>
        <w:rPr>
          <w:rFonts w:hint="eastAsia"/>
          <w:b/>
          <w:color w:val="auto"/>
          <w:sz w:val="24"/>
        </w:rPr>
      </w:pPr>
    </w:p>
    <w:p w14:paraId="6F8A7AD0">
      <w:pPr>
        <w:jc w:val="right"/>
        <w:rPr>
          <w:rFonts w:hint="eastAsia"/>
          <w:b/>
          <w:color w:val="auto"/>
          <w:sz w:val="24"/>
        </w:rPr>
      </w:pPr>
    </w:p>
    <w:p w14:paraId="6B03A64A">
      <w:pPr>
        <w:jc w:val="right"/>
        <w:rPr>
          <w:rFonts w:hint="eastAsia"/>
          <w:b/>
          <w:color w:val="auto"/>
          <w:sz w:val="24"/>
        </w:rPr>
      </w:pPr>
    </w:p>
    <w:p w14:paraId="43760CB3">
      <w:pPr>
        <w:jc w:val="right"/>
        <w:rPr>
          <w:rFonts w:hint="eastAsia"/>
          <w:b/>
          <w:color w:val="auto"/>
          <w:sz w:val="24"/>
        </w:rPr>
      </w:pPr>
    </w:p>
    <w:p w14:paraId="06C6EB7B">
      <w:pPr>
        <w:jc w:val="right"/>
        <w:rPr>
          <w:rFonts w:hint="eastAsia"/>
          <w:b/>
          <w:color w:val="auto"/>
          <w:sz w:val="24"/>
        </w:rPr>
      </w:pPr>
    </w:p>
    <w:p w14:paraId="64D84465">
      <w:pPr>
        <w:jc w:val="right"/>
        <w:rPr>
          <w:rFonts w:hint="eastAsia"/>
          <w:b/>
          <w:color w:val="auto"/>
          <w:sz w:val="24"/>
        </w:rPr>
      </w:pPr>
    </w:p>
    <w:p w14:paraId="466A69B0">
      <w:pPr>
        <w:jc w:val="right"/>
        <w:rPr>
          <w:rFonts w:hint="eastAsia"/>
          <w:b/>
          <w:color w:val="auto"/>
          <w:sz w:val="24"/>
        </w:rPr>
      </w:pPr>
    </w:p>
    <w:p w14:paraId="264AEC21">
      <w:pPr>
        <w:jc w:val="right"/>
        <w:rPr>
          <w:b/>
          <w:color w:val="auto"/>
          <w:sz w:val="24"/>
        </w:rPr>
      </w:pPr>
      <w:r>
        <w:rPr>
          <w:b/>
          <w:color w:val="auto"/>
          <w:sz w:val="24"/>
        </w:rPr>
        <w:t>投标人：                        （公章）</w:t>
      </w:r>
    </w:p>
    <w:p w14:paraId="49F466A7">
      <w:pPr>
        <w:jc w:val="right"/>
        <w:rPr>
          <w:b/>
          <w:color w:val="auto"/>
          <w:sz w:val="24"/>
        </w:rPr>
      </w:pPr>
      <w:r>
        <w:rPr>
          <w:b/>
          <w:color w:val="auto"/>
          <w:sz w:val="24"/>
        </w:rPr>
        <w:t>法定代表人或委托代理人：        （</w:t>
      </w:r>
      <w:r>
        <w:rPr>
          <w:rFonts w:hint="eastAsia"/>
          <w:b/>
          <w:color w:val="auto"/>
          <w:sz w:val="24"/>
          <w:lang w:val="zh-CN"/>
        </w:rPr>
        <w:t>签字或盖章</w:t>
      </w:r>
      <w:r>
        <w:rPr>
          <w:b/>
          <w:color w:val="auto"/>
          <w:sz w:val="24"/>
        </w:rPr>
        <w:t>）</w:t>
      </w:r>
    </w:p>
    <w:p w14:paraId="344AE888">
      <w:pPr>
        <w:spacing w:line="480" w:lineRule="auto"/>
        <w:jc w:val="right"/>
        <w:rPr>
          <w:b/>
          <w:bCs/>
          <w:color w:val="auto"/>
          <w:kern w:val="0"/>
          <w:lang w:val="zh-CN"/>
        </w:rPr>
      </w:pPr>
      <w:r>
        <w:rPr>
          <w:color w:val="auto"/>
          <w:sz w:val="24"/>
        </w:rPr>
        <w:t xml:space="preserve">      </w:t>
      </w:r>
      <w:r>
        <w:rPr>
          <w:b/>
          <w:color w:val="auto"/>
          <w:sz w:val="24"/>
        </w:rPr>
        <w:t>日期：                  年   月   日</w:t>
      </w:r>
    </w:p>
    <w:p w14:paraId="19A62C08">
      <w:pPr>
        <w:pStyle w:val="15"/>
        <w:spacing w:before="0" w:after="0" w:line="360" w:lineRule="auto"/>
        <w:jc w:val="left"/>
        <w:rPr>
          <w:rFonts w:ascii="Times New Roman" w:hAnsi="Times New Roman"/>
          <w:color w:val="auto"/>
        </w:rPr>
      </w:pPr>
      <w:bookmarkStart w:id="198" w:name="_Toc2601"/>
      <w:r>
        <w:rPr>
          <w:rFonts w:ascii="Times New Roman" w:hAnsi="Times New Roman"/>
          <w:b w:val="0"/>
          <w:bCs w:val="0"/>
          <w:color w:val="auto"/>
          <w:kern w:val="0"/>
          <w:lang w:val="zh-CN"/>
        </w:rPr>
        <w:br w:type="page"/>
      </w:r>
      <w:bookmarkStart w:id="199" w:name="_Toc7584"/>
      <w:r>
        <w:rPr>
          <w:rFonts w:hint="eastAsia" w:ascii="Times New Roman" w:hAnsi="Times New Roman"/>
          <w:color w:val="auto"/>
          <w:sz w:val="30"/>
          <w:szCs w:val="30"/>
        </w:rPr>
        <w:t>格式15：</w:t>
      </w:r>
      <w:r>
        <w:rPr>
          <w:rFonts w:ascii="Times New Roman" w:hAnsi="Times New Roman"/>
          <w:color w:val="auto"/>
          <w:sz w:val="30"/>
          <w:szCs w:val="30"/>
          <w:lang w:val="zh-CN"/>
        </w:rPr>
        <w:t>投标产品相关资料</w:t>
      </w:r>
      <w:bookmarkEnd w:id="198"/>
      <w:bookmarkEnd w:id="199"/>
    </w:p>
    <w:p w14:paraId="4AE78D55">
      <w:pPr>
        <w:autoSpaceDE w:val="0"/>
        <w:autoSpaceDN w:val="0"/>
        <w:spacing w:line="360" w:lineRule="auto"/>
        <w:rPr>
          <w:color w:val="auto"/>
          <w:kern w:val="0"/>
          <w:sz w:val="28"/>
          <w:szCs w:val="28"/>
          <w:lang w:val="zh-CN"/>
        </w:rPr>
      </w:pPr>
    </w:p>
    <w:p w14:paraId="3BD9EF03">
      <w:pPr>
        <w:autoSpaceDE w:val="0"/>
        <w:autoSpaceDN w:val="0"/>
        <w:spacing w:line="360" w:lineRule="auto"/>
        <w:jc w:val="center"/>
        <w:rPr>
          <w:b/>
          <w:bCs/>
          <w:color w:val="auto"/>
          <w:kern w:val="0"/>
          <w:sz w:val="28"/>
          <w:szCs w:val="28"/>
          <w:lang w:val="zh-CN"/>
        </w:rPr>
      </w:pPr>
      <w:r>
        <w:rPr>
          <w:b/>
          <w:bCs/>
          <w:color w:val="auto"/>
          <w:kern w:val="0"/>
          <w:sz w:val="28"/>
          <w:szCs w:val="28"/>
          <w:lang w:val="zh-CN"/>
        </w:rPr>
        <w:t>投标产品相关资料</w:t>
      </w:r>
    </w:p>
    <w:p w14:paraId="222D3ADB">
      <w:pPr>
        <w:autoSpaceDE w:val="0"/>
        <w:autoSpaceDN w:val="0"/>
        <w:spacing w:line="360" w:lineRule="auto"/>
        <w:rPr>
          <w:color w:val="auto"/>
          <w:kern w:val="0"/>
          <w:sz w:val="28"/>
          <w:szCs w:val="28"/>
          <w:lang w:val="zh-CN"/>
        </w:rPr>
      </w:pPr>
    </w:p>
    <w:p w14:paraId="0E7F0980">
      <w:pPr>
        <w:spacing w:line="360" w:lineRule="auto"/>
        <w:ind w:firstLine="424" w:firstLineChars="177"/>
        <w:rPr>
          <w:rFonts w:ascii="宋体" w:hAnsi="宋体"/>
          <w:b/>
          <w:sz w:val="24"/>
          <w:lang w:val="zh-CN"/>
        </w:rPr>
      </w:pPr>
      <w:r>
        <w:rPr>
          <w:rFonts w:hint="eastAsia" w:ascii="宋体" w:hAnsi="宋体" w:cs="Arial"/>
          <w:sz w:val="24"/>
        </w:rPr>
        <w:t>根据采购项目内容，</w:t>
      </w:r>
      <w:bookmarkStart w:id="200" w:name="OLE_LINK11"/>
      <w:r>
        <w:rPr>
          <w:rFonts w:hint="eastAsia" w:ascii="宋体" w:hAnsi="宋体" w:cs="Arial"/>
          <w:sz w:val="24"/>
          <w:lang w:val="en-US" w:eastAsia="zh-CN"/>
        </w:rPr>
        <w:t>投标</w:t>
      </w:r>
      <w:bookmarkEnd w:id="200"/>
      <w:r>
        <w:rPr>
          <w:rFonts w:hint="eastAsia" w:ascii="宋体" w:hAnsi="宋体" w:cs="Arial"/>
          <w:sz w:val="24"/>
        </w:rPr>
        <w:t>时提供国家认可的质监机构出具的</w:t>
      </w:r>
      <w:r>
        <w:rPr>
          <w:rFonts w:hint="eastAsia" w:ascii="宋体" w:hAnsi="宋体" w:cs="Arial"/>
          <w:sz w:val="24"/>
          <w:lang w:val="en-US" w:eastAsia="zh-CN"/>
        </w:rPr>
        <w:t>投标</w:t>
      </w:r>
      <w:r>
        <w:rPr>
          <w:rFonts w:hint="eastAsia" w:ascii="宋体" w:hAnsi="宋体" w:cs="Arial"/>
          <w:sz w:val="24"/>
        </w:rPr>
        <w:t>产品的产品材料的检验报告（或彩页）或证明技术参数响应的相关资料（或厂家公开发布的资料参数）或相关认证等资料。</w:t>
      </w:r>
    </w:p>
    <w:p w14:paraId="480FD007">
      <w:pPr>
        <w:pStyle w:val="14"/>
        <w:spacing w:line="360" w:lineRule="auto"/>
        <w:jc w:val="left"/>
        <w:rPr>
          <w:rFonts w:ascii="Times New Roman" w:hAnsi="Times New Roman"/>
          <w:color w:val="auto"/>
        </w:rPr>
      </w:pPr>
      <w:r>
        <w:rPr>
          <w:rFonts w:ascii="Times New Roman" w:hAnsi="Times New Roman"/>
          <w:color w:val="auto"/>
          <w:kern w:val="0"/>
          <w:lang w:val="zh-CN"/>
        </w:rPr>
        <w:br w:type="page"/>
      </w:r>
      <w:bookmarkStart w:id="201" w:name="_Toc11218"/>
      <w:bookmarkStart w:id="202" w:name="_Toc444715743"/>
      <w:bookmarkStart w:id="203" w:name="_Toc17047"/>
      <w:r>
        <w:rPr>
          <w:rFonts w:hint="eastAsia" w:ascii="Times New Roman" w:hAnsi="Times New Roman"/>
          <w:color w:val="auto"/>
          <w:sz w:val="30"/>
          <w:szCs w:val="30"/>
        </w:rPr>
        <w:t>格式16：</w:t>
      </w:r>
      <w:r>
        <w:rPr>
          <w:rFonts w:hint="eastAsia" w:ascii="Times New Roman" w:hAnsi="Times New Roman"/>
          <w:color w:val="auto"/>
          <w:lang w:val="zh-CN"/>
        </w:rPr>
        <w:t>投标人</w:t>
      </w:r>
      <w:r>
        <w:rPr>
          <w:rFonts w:ascii="Times New Roman" w:hAnsi="Times New Roman"/>
          <w:color w:val="auto"/>
          <w:lang w:val="zh-CN"/>
        </w:rPr>
        <w:t>类似业绩证明材料</w:t>
      </w:r>
      <w:bookmarkEnd w:id="201"/>
      <w:bookmarkEnd w:id="202"/>
      <w:bookmarkEnd w:id="203"/>
    </w:p>
    <w:p w14:paraId="1C2691E4">
      <w:pPr>
        <w:autoSpaceDE w:val="0"/>
        <w:autoSpaceDN w:val="0"/>
        <w:spacing w:line="360" w:lineRule="auto"/>
        <w:jc w:val="center"/>
        <w:rPr>
          <w:b/>
          <w:bCs/>
          <w:color w:val="auto"/>
          <w:kern w:val="0"/>
          <w:sz w:val="28"/>
          <w:szCs w:val="28"/>
          <w:lang w:val="zh-CN"/>
        </w:rPr>
      </w:pPr>
    </w:p>
    <w:p w14:paraId="09F1E2A4">
      <w:pPr>
        <w:autoSpaceDE w:val="0"/>
        <w:autoSpaceDN w:val="0"/>
        <w:spacing w:line="360" w:lineRule="auto"/>
        <w:jc w:val="center"/>
        <w:rPr>
          <w:b/>
          <w:bCs/>
          <w:color w:val="auto"/>
          <w:kern w:val="0"/>
          <w:sz w:val="28"/>
          <w:szCs w:val="28"/>
          <w:lang w:val="zh-CN"/>
        </w:rPr>
      </w:pPr>
      <w:r>
        <w:rPr>
          <w:rFonts w:hint="eastAsia"/>
          <w:b/>
          <w:bCs/>
          <w:color w:val="auto"/>
          <w:kern w:val="0"/>
          <w:sz w:val="28"/>
          <w:szCs w:val="28"/>
          <w:lang w:val="zh-CN"/>
        </w:rPr>
        <w:t>投标人</w:t>
      </w:r>
      <w:r>
        <w:rPr>
          <w:b/>
          <w:bCs/>
          <w:color w:val="auto"/>
          <w:kern w:val="0"/>
          <w:sz w:val="28"/>
          <w:szCs w:val="28"/>
          <w:lang w:val="zh-CN"/>
        </w:rPr>
        <w:t>类似业绩证明材料</w:t>
      </w:r>
    </w:p>
    <w:p w14:paraId="21EAD3A6">
      <w:pPr>
        <w:autoSpaceDE w:val="0"/>
        <w:autoSpaceDN w:val="0"/>
        <w:adjustRightInd w:val="0"/>
        <w:spacing w:line="360" w:lineRule="auto"/>
        <w:rPr>
          <w:color w:val="auto"/>
          <w:kern w:val="0"/>
          <w:sz w:val="24"/>
          <w:lang w:val="zh-CN"/>
        </w:rPr>
      </w:pPr>
    </w:p>
    <w:p w14:paraId="30958378">
      <w:pPr>
        <w:autoSpaceDE w:val="0"/>
        <w:autoSpaceDN w:val="0"/>
        <w:adjustRightInd w:val="0"/>
        <w:spacing w:line="360" w:lineRule="auto"/>
        <w:ind w:firstLine="600" w:firstLineChars="250"/>
        <w:rPr>
          <w:rFonts w:ascii="宋体" w:hAnsi="宋体" w:cs="宋体"/>
          <w:color w:val="auto"/>
          <w:kern w:val="0"/>
          <w:sz w:val="24"/>
          <w:lang w:val="zh-CN"/>
        </w:rPr>
      </w:pPr>
      <w:r>
        <w:rPr>
          <w:rFonts w:hint="eastAsia" w:ascii="宋体" w:hAnsi="宋体" w:cs="宋体"/>
          <w:color w:val="auto"/>
          <w:kern w:val="0"/>
          <w:sz w:val="24"/>
          <w:lang w:val="zh-CN"/>
        </w:rPr>
        <w:t>根据评分表要求提供相应的业绩证明材料。</w:t>
      </w:r>
    </w:p>
    <w:p w14:paraId="43C5F529">
      <w:pPr>
        <w:pStyle w:val="14"/>
        <w:spacing w:line="360" w:lineRule="auto"/>
        <w:jc w:val="left"/>
        <w:rPr>
          <w:rFonts w:hint="eastAsia" w:ascii="Times New Roman" w:hAnsi="Times New Roman"/>
          <w:color w:val="auto"/>
          <w:lang w:val="zh-CN"/>
        </w:rPr>
      </w:pPr>
      <w:r>
        <w:rPr>
          <w:color w:val="auto"/>
          <w:kern w:val="0"/>
          <w:sz w:val="24"/>
          <w:lang w:val="zh-CN"/>
        </w:rPr>
        <w:br w:type="page"/>
      </w:r>
      <w:bookmarkStart w:id="204" w:name="_Toc31831"/>
      <w:bookmarkStart w:id="205" w:name="_Toc10010"/>
      <w:bookmarkStart w:id="206" w:name="_Toc1304"/>
      <w:r>
        <w:rPr>
          <w:rFonts w:hint="eastAsia" w:ascii="Times New Roman" w:hAnsi="Times New Roman"/>
          <w:color w:val="auto"/>
          <w:lang w:val="zh-CN"/>
        </w:rPr>
        <w:t>格式17：享受政府采购政策优惠的证明资料</w:t>
      </w:r>
      <w:bookmarkEnd w:id="204"/>
      <w:bookmarkEnd w:id="205"/>
      <w:bookmarkEnd w:id="206"/>
    </w:p>
    <w:p w14:paraId="482DCDDA">
      <w:pPr>
        <w:autoSpaceDE w:val="0"/>
        <w:autoSpaceDN w:val="0"/>
        <w:spacing w:line="360" w:lineRule="auto"/>
        <w:jc w:val="center"/>
        <w:rPr>
          <w:rFonts w:hint="eastAsia"/>
          <w:b/>
          <w:bCs/>
          <w:color w:val="auto"/>
          <w:kern w:val="0"/>
          <w:sz w:val="28"/>
          <w:szCs w:val="28"/>
        </w:rPr>
      </w:pPr>
      <w:bookmarkStart w:id="207" w:name="_Toc25276"/>
    </w:p>
    <w:p w14:paraId="2F77AB27">
      <w:pPr>
        <w:autoSpaceDE w:val="0"/>
        <w:autoSpaceDN w:val="0"/>
        <w:spacing w:line="360" w:lineRule="auto"/>
        <w:jc w:val="center"/>
        <w:rPr>
          <w:rFonts w:hint="eastAsia"/>
          <w:b/>
          <w:bCs/>
          <w:color w:val="auto"/>
          <w:kern w:val="0"/>
          <w:sz w:val="28"/>
          <w:szCs w:val="28"/>
        </w:rPr>
      </w:pPr>
      <w:r>
        <w:rPr>
          <w:rFonts w:hint="eastAsia"/>
          <w:b/>
          <w:bCs/>
          <w:color w:val="auto"/>
          <w:kern w:val="0"/>
          <w:sz w:val="28"/>
          <w:szCs w:val="28"/>
        </w:rPr>
        <w:t>节能产品、环境标志产品证明材料</w:t>
      </w:r>
      <w:bookmarkEnd w:id="207"/>
    </w:p>
    <w:p w14:paraId="666493CC">
      <w:pPr>
        <w:autoSpaceDE w:val="0"/>
        <w:autoSpaceDN w:val="0"/>
        <w:spacing w:line="360" w:lineRule="auto"/>
        <w:jc w:val="center"/>
        <w:rPr>
          <w:b/>
          <w:bCs/>
          <w:color w:val="auto"/>
          <w:kern w:val="0"/>
          <w:sz w:val="28"/>
          <w:szCs w:val="28"/>
        </w:rPr>
      </w:pPr>
    </w:p>
    <w:p w14:paraId="78096253">
      <w:pPr>
        <w:spacing w:line="360" w:lineRule="auto"/>
        <w:rPr>
          <w:rFonts w:ascii="宋体" w:hAnsi="宋体" w:cs="仿宋"/>
          <w:color w:val="auto"/>
          <w:kern w:val="0"/>
          <w:sz w:val="24"/>
        </w:rPr>
      </w:pPr>
      <w:r>
        <w:rPr>
          <w:rFonts w:hint="eastAsia" w:ascii="宋体" w:hAnsi="宋体" w:cs="仿宋"/>
          <w:color w:val="auto"/>
          <w:kern w:val="0"/>
          <w:sz w:val="24"/>
        </w:rPr>
        <w:t xml:space="preserve">    产品属于品目清单范围的，实施政府优先采购和强制采购。供应商应提供国家确定的认证机构出具的、处于有效期之内的节能产品、环境标志产品认证证书，并加盖供应商单位公章。</w:t>
      </w:r>
    </w:p>
    <w:p w14:paraId="3BC76F68">
      <w:pPr>
        <w:spacing w:line="360" w:lineRule="auto"/>
        <w:rPr>
          <w:color w:val="auto"/>
          <w:sz w:val="28"/>
          <w:szCs w:val="28"/>
          <w:lang w:val="zh-CN"/>
        </w:rPr>
      </w:pPr>
    </w:p>
    <w:p w14:paraId="16442F95">
      <w:pPr>
        <w:autoSpaceDE w:val="0"/>
        <w:autoSpaceDN w:val="0"/>
        <w:spacing w:line="360" w:lineRule="auto"/>
        <w:jc w:val="center"/>
        <w:rPr>
          <w:b/>
          <w:bCs/>
          <w:color w:val="auto"/>
          <w:kern w:val="0"/>
          <w:sz w:val="36"/>
          <w:szCs w:val="36"/>
          <w:lang w:val="zh-CN"/>
        </w:rPr>
      </w:pPr>
      <w:r>
        <w:rPr>
          <w:b/>
          <w:bCs/>
          <w:color w:val="auto"/>
          <w:kern w:val="0"/>
          <w:sz w:val="28"/>
          <w:szCs w:val="28"/>
        </w:rPr>
        <w:br w:type="page"/>
      </w:r>
      <w:r>
        <w:rPr>
          <w:rFonts w:hint="eastAsia"/>
          <w:b/>
          <w:bCs/>
          <w:color w:val="auto"/>
          <w:kern w:val="0"/>
          <w:sz w:val="28"/>
          <w:szCs w:val="28"/>
        </w:rPr>
        <w:t>中小</w:t>
      </w:r>
      <w:r>
        <w:rPr>
          <w:b/>
          <w:bCs/>
          <w:color w:val="auto"/>
          <w:kern w:val="0"/>
          <w:sz w:val="28"/>
          <w:szCs w:val="28"/>
          <w:lang w:val="zh-CN"/>
        </w:rPr>
        <w:t>企业声明函</w:t>
      </w:r>
    </w:p>
    <w:p w14:paraId="5871F394">
      <w:pPr>
        <w:autoSpaceDE w:val="0"/>
        <w:autoSpaceDN w:val="0"/>
        <w:spacing w:line="360" w:lineRule="auto"/>
        <w:rPr>
          <w:color w:val="auto"/>
          <w:kern w:val="0"/>
          <w:sz w:val="28"/>
          <w:szCs w:val="28"/>
          <w:lang w:val="zh-CN"/>
        </w:rPr>
      </w:pPr>
    </w:p>
    <w:p w14:paraId="376BFBD2">
      <w:pPr>
        <w:autoSpaceDE w:val="0"/>
        <w:autoSpaceDN w:val="0"/>
        <w:adjustRightInd w:val="0"/>
        <w:spacing w:line="360" w:lineRule="auto"/>
        <w:jc w:val="left"/>
        <w:rPr>
          <w:rFonts w:ascii="宋体" w:hAnsi="宋体" w:cs="仿宋"/>
          <w:color w:val="auto"/>
          <w:kern w:val="0"/>
          <w:sz w:val="24"/>
        </w:rPr>
      </w:pPr>
      <w:r>
        <w:rPr>
          <w:rFonts w:hint="eastAsia" w:ascii="宋体" w:hAnsi="宋体" w:cs="仿宋"/>
          <w:color w:val="auto"/>
          <w:kern w:val="0"/>
          <w:sz w:val="24"/>
        </w:rPr>
        <w:t xml:space="preserve">     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采购活动，提供的货物全部由符合政策要求的中小企业制造。相关企业（含联合体中的中小企业、签订分包意向协议的中小企业）的具体情况如下：</w:t>
      </w:r>
    </w:p>
    <w:p w14:paraId="4E5E1074">
      <w:pPr>
        <w:autoSpaceDE w:val="0"/>
        <w:autoSpaceDN w:val="0"/>
        <w:adjustRightInd w:val="0"/>
        <w:spacing w:line="360" w:lineRule="auto"/>
        <w:jc w:val="left"/>
        <w:rPr>
          <w:rFonts w:ascii="宋体" w:hAnsi="宋体" w:cs="仿宋"/>
          <w:color w:val="auto"/>
          <w:kern w:val="0"/>
          <w:sz w:val="24"/>
        </w:rPr>
      </w:pPr>
      <w:r>
        <w:rPr>
          <w:rFonts w:hint="eastAsia" w:ascii="宋体" w:hAnsi="宋体" w:cs="仿宋"/>
          <w:color w:val="auto"/>
          <w:kern w:val="0"/>
          <w:sz w:val="24"/>
        </w:rPr>
        <w:t xml:space="preserve">    </w:t>
      </w:r>
      <w:r>
        <w:rPr>
          <w:rFonts w:ascii="宋体" w:hAnsi="宋体" w:cs="仿宋"/>
          <w:color w:val="auto"/>
          <w:kern w:val="0"/>
          <w:sz w:val="24"/>
        </w:rPr>
        <w:t xml:space="preserve">1. </w:t>
      </w:r>
      <w:r>
        <w:rPr>
          <w:rFonts w:hint="eastAsia" w:ascii="宋体" w:hAnsi="宋体" w:cs="仿宋"/>
          <w:color w:val="auto"/>
          <w:kern w:val="0"/>
          <w:sz w:val="24"/>
          <w:u w:val="single"/>
        </w:rPr>
        <w:t>（标的名称）</w:t>
      </w:r>
      <w:r>
        <w:rPr>
          <w:rFonts w:ascii="宋体" w:hAnsi="宋体" w:cs="仿宋"/>
          <w:color w:val="auto"/>
          <w:kern w:val="0"/>
          <w:sz w:val="24"/>
          <w:u w:val="single"/>
        </w:rPr>
        <w:t xml:space="preserve"> </w:t>
      </w:r>
      <w:r>
        <w:rPr>
          <w:rFonts w:hint="eastAsia" w:ascii="宋体" w:hAnsi="宋体" w:cs="仿宋"/>
          <w:color w:val="auto"/>
          <w:kern w:val="0"/>
          <w:sz w:val="24"/>
        </w:rPr>
        <w:t>，属于</w:t>
      </w:r>
      <w:r>
        <w:rPr>
          <w:rFonts w:hint="eastAsia" w:ascii="宋体" w:hAnsi="宋体" w:cs="仿宋"/>
          <w:color w:val="auto"/>
          <w:kern w:val="0"/>
          <w:sz w:val="24"/>
          <w:u w:val="single"/>
        </w:rPr>
        <w:t>（采购文件中明确的所属行业）</w:t>
      </w:r>
      <w:r>
        <w:rPr>
          <w:rFonts w:hint="eastAsia" w:ascii="宋体" w:hAnsi="宋体" w:cs="仿宋"/>
          <w:color w:val="auto"/>
          <w:kern w:val="0"/>
          <w:sz w:val="24"/>
        </w:rPr>
        <w:t>行业；制造商为</w:t>
      </w:r>
      <w:r>
        <w:rPr>
          <w:rFonts w:hint="eastAsia" w:ascii="宋体" w:hAnsi="宋体" w:cs="仿宋"/>
          <w:color w:val="auto"/>
          <w:kern w:val="0"/>
          <w:sz w:val="24"/>
          <w:u w:val="single"/>
        </w:rPr>
        <w:t>（企业名称）</w:t>
      </w:r>
      <w:r>
        <w:rPr>
          <w:rFonts w:hint="eastAsia" w:ascii="宋体" w:hAnsi="宋体" w:cs="仿宋"/>
          <w:color w:val="auto"/>
          <w:kern w:val="0"/>
          <w:sz w:val="24"/>
        </w:rPr>
        <w:t>，从业人员</w:t>
      </w:r>
      <w:r>
        <w:rPr>
          <w:rFonts w:hint="eastAsia" w:ascii="宋体" w:hAnsi="宋体" w:cs="仿宋"/>
          <w:i/>
          <w:iCs/>
          <w:color w:val="auto"/>
          <w:kern w:val="0"/>
          <w:sz w:val="24"/>
          <w:u w:val="single"/>
          <w:lang w:val="en-US" w:eastAsia="zh-CN"/>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2C44184D">
      <w:pPr>
        <w:autoSpaceDE w:val="0"/>
        <w:autoSpaceDN w:val="0"/>
        <w:adjustRightInd w:val="0"/>
        <w:spacing w:line="360" w:lineRule="auto"/>
        <w:jc w:val="left"/>
        <w:rPr>
          <w:rFonts w:hint="eastAsia" w:ascii="宋体" w:hAnsi="宋体" w:cs="仿宋"/>
          <w:color w:val="auto"/>
          <w:kern w:val="0"/>
          <w:sz w:val="24"/>
        </w:rPr>
      </w:pPr>
      <w:r>
        <w:rPr>
          <w:rFonts w:hint="eastAsia" w:ascii="宋体" w:hAnsi="宋体" w:cs="仿宋"/>
          <w:color w:val="auto"/>
          <w:kern w:val="0"/>
          <w:sz w:val="24"/>
        </w:rPr>
        <w:t xml:space="preserve">    </w:t>
      </w:r>
      <w:r>
        <w:rPr>
          <w:rFonts w:ascii="宋体" w:hAnsi="宋体" w:cs="仿宋"/>
          <w:color w:val="auto"/>
          <w:kern w:val="0"/>
          <w:sz w:val="24"/>
        </w:rPr>
        <w:t xml:space="preserve">2. </w:t>
      </w:r>
      <w:r>
        <w:rPr>
          <w:rFonts w:hint="eastAsia" w:ascii="宋体" w:hAnsi="宋体" w:cs="仿宋"/>
          <w:color w:val="auto"/>
          <w:kern w:val="0"/>
          <w:sz w:val="24"/>
          <w:u w:val="single"/>
        </w:rPr>
        <w:t>（标的名称）</w:t>
      </w:r>
      <w:r>
        <w:rPr>
          <w:rFonts w:ascii="宋体" w:hAnsi="宋体" w:cs="仿宋"/>
          <w:color w:val="auto"/>
          <w:kern w:val="0"/>
          <w:sz w:val="24"/>
          <w:u w:val="single"/>
        </w:rPr>
        <w:t xml:space="preserve"> </w:t>
      </w:r>
      <w:r>
        <w:rPr>
          <w:rFonts w:hint="eastAsia" w:ascii="宋体" w:hAnsi="宋体" w:cs="仿宋"/>
          <w:color w:val="auto"/>
          <w:kern w:val="0"/>
          <w:sz w:val="24"/>
        </w:rPr>
        <w:t>，属于</w:t>
      </w:r>
      <w:r>
        <w:rPr>
          <w:rFonts w:hint="eastAsia" w:ascii="宋体" w:hAnsi="宋体" w:cs="仿宋"/>
          <w:color w:val="auto"/>
          <w:kern w:val="0"/>
          <w:sz w:val="24"/>
          <w:u w:val="single"/>
        </w:rPr>
        <w:t>（采购文件中明确的所属行业）</w:t>
      </w:r>
      <w:r>
        <w:rPr>
          <w:rFonts w:hint="eastAsia" w:ascii="宋体" w:hAnsi="宋体" w:cs="仿宋"/>
          <w:color w:val="auto"/>
          <w:kern w:val="0"/>
          <w:sz w:val="24"/>
        </w:rPr>
        <w:t>行业；制造商为</w:t>
      </w:r>
      <w:r>
        <w:rPr>
          <w:rFonts w:hint="eastAsia" w:ascii="宋体" w:hAnsi="宋体" w:cs="仿宋"/>
          <w:color w:val="auto"/>
          <w:kern w:val="0"/>
          <w:sz w:val="24"/>
          <w:u w:val="single"/>
        </w:rPr>
        <w:t>（企业名称）</w:t>
      </w:r>
      <w:r>
        <w:rPr>
          <w:rFonts w:hint="eastAsia" w:ascii="宋体" w:hAnsi="宋体" w:cs="仿宋"/>
          <w:color w:val="auto"/>
          <w:kern w:val="0"/>
          <w:sz w:val="24"/>
        </w:rPr>
        <w:t>，从业人员</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31E7BBF4">
      <w:pPr>
        <w:autoSpaceDE w:val="0"/>
        <w:autoSpaceDN w:val="0"/>
        <w:adjustRightInd w:val="0"/>
        <w:spacing w:line="360" w:lineRule="auto"/>
        <w:jc w:val="left"/>
        <w:rPr>
          <w:rFonts w:hint="eastAsia" w:ascii="宋体" w:hAnsi="宋体" w:cs="仿宋"/>
          <w:color w:val="auto"/>
          <w:kern w:val="0"/>
          <w:sz w:val="24"/>
        </w:rPr>
      </w:pPr>
      <w:r>
        <w:rPr>
          <w:rFonts w:hint="eastAsia" w:ascii="宋体" w:hAnsi="宋体" w:cs="仿宋"/>
          <w:color w:val="auto"/>
          <w:kern w:val="0"/>
          <w:sz w:val="24"/>
        </w:rPr>
        <w:t>……</w:t>
      </w:r>
    </w:p>
    <w:p w14:paraId="46CEA8F6">
      <w:pPr>
        <w:autoSpaceDE w:val="0"/>
        <w:autoSpaceDN w:val="0"/>
        <w:adjustRightInd w:val="0"/>
        <w:spacing w:line="360" w:lineRule="auto"/>
        <w:jc w:val="left"/>
        <w:rPr>
          <w:rFonts w:ascii="宋体" w:hAnsi="宋体" w:cs="仿宋"/>
          <w:color w:val="auto"/>
          <w:kern w:val="0"/>
          <w:sz w:val="24"/>
        </w:rPr>
      </w:pPr>
      <w:r>
        <w:rPr>
          <w:rFonts w:hint="eastAsia" w:ascii="宋体" w:hAnsi="宋体" w:cs="仿宋"/>
          <w:color w:val="auto"/>
          <w:kern w:val="0"/>
          <w:sz w:val="24"/>
        </w:rPr>
        <w:t xml:space="preserve">    以上企业，不属于大企业的分支机构，不存在控股股东为大企业的情形，也不存在与大企业的负责人为同一人的情形。</w:t>
      </w:r>
    </w:p>
    <w:p w14:paraId="38839F59">
      <w:pPr>
        <w:autoSpaceDE w:val="0"/>
        <w:autoSpaceDN w:val="0"/>
        <w:adjustRightInd w:val="0"/>
        <w:spacing w:line="360" w:lineRule="auto"/>
        <w:jc w:val="left"/>
        <w:rPr>
          <w:rFonts w:hint="eastAsia" w:ascii="宋体" w:hAnsi="宋体" w:cs="仿宋"/>
          <w:color w:val="auto"/>
          <w:kern w:val="0"/>
          <w:sz w:val="24"/>
        </w:rPr>
      </w:pPr>
      <w:r>
        <w:rPr>
          <w:rFonts w:hint="eastAsia" w:ascii="宋体" w:hAnsi="宋体" w:cs="仿宋"/>
          <w:color w:val="auto"/>
          <w:kern w:val="0"/>
          <w:sz w:val="24"/>
        </w:rPr>
        <w:t xml:space="preserve">    本企业对上述声明内容的真实性负责。如有虚假，将依法承担相应责任。</w:t>
      </w:r>
    </w:p>
    <w:p w14:paraId="5F135829">
      <w:pPr>
        <w:autoSpaceDE w:val="0"/>
        <w:autoSpaceDN w:val="0"/>
        <w:adjustRightInd w:val="0"/>
        <w:spacing w:line="360" w:lineRule="auto"/>
        <w:jc w:val="left"/>
        <w:rPr>
          <w:rFonts w:ascii="宋体" w:hAnsi="宋体" w:cs="仿宋"/>
          <w:color w:val="auto"/>
          <w:kern w:val="0"/>
          <w:sz w:val="24"/>
        </w:rPr>
      </w:pPr>
    </w:p>
    <w:p w14:paraId="7079296A">
      <w:pPr>
        <w:autoSpaceDE w:val="0"/>
        <w:autoSpaceDN w:val="0"/>
        <w:adjustRightInd w:val="0"/>
        <w:spacing w:line="360" w:lineRule="auto"/>
        <w:jc w:val="both"/>
        <w:rPr>
          <w:rFonts w:hint="eastAsia" w:ascii="宋体" w:hAnsi="宋体" w:cs="仿宋"/>
          <w:color w:val="auto"/>
          <w:kern w:val="0"/>
          <w:sz w:val="24"/>
        </w:rPr>
      </w:pPr>
    </w:p>
    <w:p w14:paraId="2AEC31A1">
      <w:pPr>
        <w:autoSpaceDE w:val="0"/>
        <w:autoSpaceDN w:val="0"/>
        <w:adjustRightInd w:val="0"/>
        <w:spacing w:line="360" w:lineRule="auto"/>
        <w:rPr>
          <w:rFonts w:hint="eastAsia" w:ascii="宋体" w:hAnsi="宋体" w:cs="仿宋"/>
          <w:color w:val="auto"/>
          <w:kern w:val="0"/>
          <w:sz w:val="24"/>
        </w:rPr>
      </w:pPr>
    </w:p>
    <w:p w14:paraId="3B38C1F6">
      <w:pPr>
        <w:autoSpaceDE w:val="0"/>
        <w:autoSpaceDN w:val="0"/>
        <w:adjustRightInd w:val="0"/>
        <w:spacing w:line="360" w:lineRule="auto"/>
        <w:jc w:val="center"/>
        <w:rPr>
          <w:rFonts w:ascii="宋体" w:hAnsi="宋体" w:cs="仿宋"/>
          <w:color w:val="auto"/>
          <w:kern w:val="0"/>
          <w:sz w:val="24"/>
        </w:rPr>
      </w:pPr>
      <w:r>
        <w:rPr>
          <w:rFonts w:hint="eastAsia" w:ascii="宋体" w:hAnsi="宋体" w:cs="仿宋"/>
          <w:color w:val="auto"/>
          <w:kern w:val="0"/>
          <w:sz w:val="24"/>
        </w:rPr>
        <w:t xml:space="preserve">                                             企业名称（盖章）：   </w:t>
      </w:r>
    </w:p>
    <w:p w14:paraId="5752CCFB">
      <w:pPr>
        <w:autoSpaceDE w:val="0"/>
        <w:autoSpaceDN w:val="0"/>
        <w:adjustRightInd w:val="0"/>
        <w:spacing w:line="360" w:lineRule="auto"/>
        <w:jc w:val="center"/>
        <w:rPr>
          <w:rFonts w:hint="eastAsia" w:ascii="宋体" w:hAnsi="宋体" w:cs="仿宋"/>
          <w:color w:val="auto"/>
          <w:kern w:val="0"/>
          <w:sz w:val="24"/>
        </w:rPr>
      </w:pPr>
      <w:r>
        <w:rPr>
          <w:rFonts w:hint="eastAsia" w:ascii="宋体" w:hAnsi="宋体" w:cs="仿宋"/>
          <w:color w:val="auto"/>
          <w:kern w:val="0"/>
          <w:sz w:val="24"/>
        </w:rPr>
        <w:t xml:space="preserve">                                                         日期：</w:t>
      </w:r>
    </w:p>
    <w:p w14:paraId="109610AD">
      <w:pPr>
        <w:autoSpaceDE w:val="0"/>
        <w:autoSpaceDN w:val="0"/>
        <w:adjustRightInd w:val="0"/>
        <w:spacing w:line="360" w:lineRule="auto"/>
        <w:jc w:val="right"/>
        <w:rPr>
          <w:rFonts w:ascii="宋体" w:hAnsi="宋体" w:cs="仿宋"/>
          <w:color w:val="auto"/>
          <w:kern w:val="0"/>
          <w:sz w:val="24"/>
        </w:rPr>
      </w:pPr>
    </w:p>
    <w:p w14:paraId="7352ADC3">
      <w:pPr>
        <w:spacing w:line="360" w:lineRule="auto"/>
        <w:rPr>
          <w:color w:val="auto"/>
          <w:sz w:val="24"/>
        </w:rPr>
      </w:pPr>
      <w:r>
        <w:rPr>
          <w:rFonts w:hint="eastAsia" w:ascii="宋体" w:cs="宋体"/>
          <w:color w:val="auto"/>
          <w:kern w:val="0"/>
          <w:sz w:val="24"/>
        </w:rPr>
        <w:t>从业人员、营业收入、资产总额填报上一年度数据，无上一年度数据的新成立企业可不填报。</w:t>
      </w:r>
    </w:p>
    <w:p w14:paraId="653515A0">
      <w:pPr>
        <w:adjustRightInd w:val="0"/>
        <w:snapToGrid w:val="0"/>
        <w:spacing w:line="440" w:lineRule="exact"/>
        <w:jc w:val="both"/>
        <w:rPr>
          <w:b/>
          <w:bCs/>
          <w:color w:val="auto"/>
          <w:kern w:val="0"/>
          <w:lang w:val="zh-CN"/>
        </w:rPr>
      </w:pPr>
      <w:bookmarkStart w:id="208" w:name="_Toc743"/>
      <w:bookmarkStart w:id="209" w:name="_Toc17668"/>
    </w:p>
    <w:p w14:paraId="61FE6485">
      <w:pPr>
        <w:autoSpaceDE w:val="0"/>
        <w:autoSpaceDN w:val="0"/>
        <w:spacing w:line="360" w:lineRule="auto"/>
        <w:jc w:val="center"/>
        <w:rPr>
          <w:rFonts w:hint="eastAsia"/>
          <w:b/>
          <w:bCs/>
          <w:color w:val="auto"/>
          <w:kern w:val="0"/>
          <w:sz w:val="28"/>
          <w:szCs w:val="28"/>
        </w:rPr>
      </w:pPr>
      <w:bookmarkStart w:id="210" w:name="_Toc9477"/>
      <w:bookmarkStart w:id="211" w:name="_Toc30801"/>
      <w:r>
        <w:rPr>
          <w:rFonts w:hint="eastAsia"/>
          <w:b/>
          <w:bCs/>
          <w:color w:val="auto"/>
          <w:kern w:val="0"/>
          <w:sz w:val="28"/>
          <w:szCs w:val="28"/>
        </w:rPr>
        <w:br w:type="page"/>
      </w:r>
      <w:r>
        <w:rPr>
          <w:rFonts w:hint="eastAsia"/>
          <w:b/>
          <w:bCs/>
          <w:color w:val="auto"/>
          <w:kern w:val="0"/>
          <w:sz w:val="28"/>
          <w:szCs w:val="28"/>
        </w:rPr>
        <w:t>监狱企业证明资料</w:t>
      </w:r>
      <w:bookmarkEnd w:id="210"/>
      <w:bookmarkEnd w:id="211"/>
    </w:p>
    <w:p w14:paraId="0CAF3B5B">
      <w:pPr>
        <w:autoSpaceDE w:val="0"/>
        <w:autoSpaceDN w:val="0"/>
        <w:spacing w:line="360" w:lineRule="auto"/>
        <w:jc w:val="center"/>
        <w:rPr>
          <w:rFonts w:ascii="楷体" w:hAnsi="楷体" w:eastAsia="楷体" w:cs="楷体"/>
          <w:color w:val="auto"/>
          <w:sz w:val="32"/>
          <w:szCs w:val="32"/>
        </w:rPr>
      </w:pPr>
    </w:p>
    <w:p w14:paraId="543F3CEF">
      <w:pPr>
        <w:adjustRightInd w:val="0"/>
        <w:snapToGrid w:val="0"/>
        <w:spacing w:line="560" w:lineRule="exact"/>
        <w:jc w:val="center"/>
        <w:rPr>
          <w:rFonts w:ascii="仿宋_GB2312" w:hAnsi="仿宋_GB2312" w:eastAsia="仿宋_GB2312" w:cs="仿宋_GB2312"/>
          <w:color w:val="auto"/>
          <w:sz w:val="32"/>
          <w:szCs w:val="32"/>
        </w:rPr>
      </w:pPr>
      <w:bookmarkStart w:id="212" w:name="_Toc25903_WPSOffice_Level3"/>
      <w:bookmarkStart w:id="213" w:name="_Toc28022_WPSOffice_Level3"/>
      <w:r>
        <w:rPr>
          <w:rFonts w:hint="eastAsia" w:ascii="仿宋_GB2312" w:hAnsi="仿宋_GB2312" w:eastAsia="仿宋_GB2312" w:cs="仿宋_GB2312"/>
          <w:b/>
          <w:color w:val="auto"/>
          <w:spacing w:val="6"/>
          <w:sz w:val="32"/>
          <w:szCs w:val="32"/>
        </w:rPr>
        <w:t>(不属于监狱企业的无需提供)</w:t>
      </w:r>
      <w:bookmarkEnd w:id="212"/>
      <w:bookmarkEnd w:id="213"/>
    </w:p>
    <w:p w14:paraId="04407154">
      <w:pPr>
        <w:adjustRightInd w:val="0"/>
        <w:snapToGrid w:val="0"/>
        <w:spacing w:line="560" w:lineRule="exact"/>
        <w:ind w:firstLine="480" w:firstLineChars="200"/>
        <w:rPr>
          <w:rFonts w:ascii="宋体" w:hAnsi="宋体" w:cs="仿宋"/>
          <w:color w:val="auto"/>
          <w:kern w:val="0"/>
          <w:sz w:val="24"/>
        </w:rPr>
      </w:pPr>
      <w:r>
        <w:rPr>
          <w:rFonts w:hint="eastAsia" w:ascii="宋体" w:hAnsi="宋体" w:cs="仿宋"/>
          <w:color w:val="auto"/>
          <w:kern w:val="0"/>
          <w:sz w:val="24"/>
        </w:rPr>
        <w:t>备注：按《财政部司法部关于政府采购支持监狱企业发展有关问题的通知》(财库〔2014〕68号)文件规定提供证明文件（复印件）。</w:t>
      </w:r>
    </w:p>
    <w:p w14:paraId="63FEDB79">
      <w:pPr>
        <w:spacing w:before="120" w:beforeLines="50" w:line="560" w:lineRule="exact"/>
        <w:ind w:firstLine="480" w:firstLineChars="200"/>
        <w:jc w:val="right"/>
        <w:rPr>
          <w:rFonts w:hint="eastAsia" w:ascii="宋体" w:hAnsi="宋体" w:cs="仿宋"/>
          <w:color w:val="auto"/>
          <w:kern w:val="0"/>
          <w:sz w:val="24"/>
        </w:rPr>
      </w:pPr>
      <w:r>
        <w:rPr>
          <w:rFonts w:hint="eastAsia" w:ascii="宋体" w:hAnsi="宋体" w:cs="仿宋"/>
          <w:color w:val="auto"/>
          <w:kern w:val="0"/>
          <w:sz w:val="24"/>
        </w:rPr>
        <w:t xml:space="preserve">                 </w:t>
      </w:r>
      <w:bookmarkStart w:id="214" w:name="_Toc22071_WPSOffice_Level3"/>
    </w:p>
    <w:p w14:paraId="0BA663E3">
      <w:pPr>
        <w:spacing w:before="120" w:beforeLines="50" w:line="560" w:lineRule="exact"/>
        <w:ind w:firstLine="480" w:firstLineChars="200"/>
        <w:jc w:val="right"/>
        <w:rPr>
          <w:rFonts w:hint="eastAsia" w:ascii="宋体" w:hAnsi="宋体" w:cs="仿宋"/>
          <w:color w:val="auto"/>
          <w:kern w:val="0"/>
          <w:sz w:val="24"/>
        </w:rPr>
      </w:pPr>
    </w:p>
    <w:p w14:paraId="0AB664B1">
      <w:pPr>
        <w:spacing w:before="120" w:beforeLines="50" w:line="560" w:lineRule="exact"/>
        <w:ind w:firstLine="480" w:firstLineChars="200"/>
        <w:jc w:val="right"/>
        <w:rPr>
          <w:rFonts w:hint="eastAsia" w:ascii="宋体" w:hAnsi="宋体" w:cs="仿宋"/>
          <w:color w:val="auto"/>
          <w:kern w:val="0"/>
          <w:sz w:val="24"/>
        </w:rPr>
      </w:pPr>
    </w:p>
    <w:p w14:paraId="17B3D43A">
      <w:pPr>
        <w:spacing w:before="120" w:beforeLines="50" w:line="560" w:lineRule="exact"/>
        <w:ind w:firstLine="480" w:firstLineChars="200"/>
        <w:jc w:val="right"/>
        <w:rPr>
          <w:rFonts w:hint="eastAsia" w:ascii="宋体" w:hAnsi="宋体" w:cs="仿宋"/>
          <w:color w:val="auto"/>
          <w:kern w:val="0"/>
          <w:sz w:val="24"/>
        </w:rPr>
      </w:pPr>
    </w:p>
    <w:p w14:paraId="6746D23B">
      <w:pPr>
        <w:spacing w:before="120" w:beforeLines="50" w:line="560" w:lineRule="exact"/>
        <w:ind w:firstLine="480" w:firstLineChars="200"/>
        <w:jc w:val="right"/>
        <w:rPr>
          <w:rFonts w:hint="eastAsia" w:ascii="宋体" w:hAnsi="宋体" w:cs="仿宋"/>
          <w:color w:val="auto"/>
          <w:kern w:val="0"/>
          <w:sz w:val="24"/>
        </w:rPr>
      </w:pPr>
    </w:p>
    <w:p w14:paraId="5B4F6012">
      <w:pPr>
        <w:spacing w:before="120" w:beforeLines="50" w:line="560" w:lineRule="exact"/>
        <w:ind w:firstLine="480" w:firstLineChars="200"/>
        <w:jc w:val="right"/>
        <w:rPr>
          <w:rFonts w:hint="eastAsia" w:ascii="宋体" w:hAnsi="宋体" w:cs="仿宋"/>
          <w:color w:val="auto"/>
          <w:kern w:val="0"/>
          <w:sz w:val="24"/>
        </w:rPr>
      </w:pPr>
    </w:p>
    <w:p w14:paraId="1FA0E017">
      <w:pPr>
        <w:spacing w:before="120" w:beforeLines="50" w:line="560" w:lineRule="exact"/>
        <w:ind w:firstLine="480" w:firstLineChars="200"/>
        <w:jc w:val="right"/>
        <w:rPr>
          <w:rFonts w:hint="eastAsia" w:ascii="宋体" w:hAnsi="宋体" w:cs="仿宋"/>
          <w:color w:val="auto"/>
          <w:kern w:val="0"/>
          <w:sz w:val="24"/>
        </w:rPr>
      </w:pPr>
    </w:p>
    <w:p w14:paraId="70DA4171">
      <w:pPr>
        <w:spacing w:before="120" w:beforeLines="50" w:line="560" w:lineRule="exact"/>
        <w:ind w:firstLine="480" w:firstLineChars="200"/>
        <w:jc w:val="right"/>
        <w:rPr>
          <w:rFonts w:hint="eastAsia" w:ascii="宋体" w:hAnsi="宋体" w:cs="仿宋"/>
          <w:color w:val="auto"/>
          <w:kern w:val="0"/>
          <w:sz w:val="24"/>
        </w:rPr>
      </w:pPr>
    </w:p>
    <w:p w14:paraId="54F56D21">
      <w:pPr>
        <w:spacing w:before="120" w:beforeLines="50" w:line="560" w:lineRule="exact"/>
        <w:ind w:firstLine="480" w:firstLineChars="200"/>
        <w:jc w:val="right"/>
        <w:rPr>
          <w:rFonts w:hint="eastAsia" w:ascii="宋体" w:hAnsi="宋体" w:cs="仿宋"/>
          <w:color w:val="auto"/>
          <w:kern w:val="0"/>
          <w:sz w:val="24"/>
        </w:rPr>
      </w:pPr>
    </w:p>
    <w:p w14:paraId="2CACCF98">
      <w:pPr>
        <w:spacing w:before="120" w:beforeLines="50" w:line="560" w:lineRule="exact"/>
        <w:ind w:firstLine="480" w:firstLineChars="200"/>
        <w:jc w:val="right"/>
        <w:rPr>
          <w:rFonts w:hint="eastAsia" w:ascii="宋体" w:hAnsi="宋体" w:cs="仿宋"/>
          <w:color w:val="auto"/>
          <w:kern w:val="0"/>
          <w:sz w:val="24"/>
        </w:rPr>
      </w:pPr>
    </w:p>
    <w:p w14:paraId="1F6F55B4">
      <w:pPr>
        <w:spacing w:before="120" w:beforeLines="50" w:line="560" w:lineRule="exact"/>
        <w:ind w:firstLine="480" w:firstLineChars="200"/>
        <w:jc w:val="right"/>
        <w:rPr>
          <w:rFonts w:hint="eastAsia" w:ascii="宋体" w:hAnsi="宋体" w:cs="仿宋"/>
          <w:color w:val="auto"/>
          <w:kern w:val="0"/>
          <w:sz w:val="24"/>
        </w:rPr>
      </w:pPr>
    </w:p>
    <w:p w14:paraId="667519C2">
      <w:pPr>
        <w:spacing w:before="120" w:beforeLines="50" w:line="560" w:lineRule="exact"/>
        <w:ind w:firstLine="480" w:firstLineChars="200"/>
        <w:jc w:val="right"/>
        <w:rPr>
          <w:rFonts w:hint="eastAsia" w:ascii="宋体" w:hAnsi="宋体" w:cs="仿宋"/>
          <w:color w:val="auto"/>
          <w:kern w:val="0"/>
          <w:sz w:val="24"/>
        </w:rPr>
      </w:pPr>
    </w:p>
    <w:p w14:paraId="0F0ED5BD">
      <w:pPr>
        <w:spacing w:before="120" w:beforeLines="50" w:line="560" w:lineRule="exact"/>
        <w:ind w:firstLine="480" w:firstLineChars="200"/>
        <w:jc w:val="right"/>
        <w:rPr>
          <w:rFonts w:ascii="宋体" w:hAnsi="宋体" w:cs="仿宋"/>
          <w:color w:val="auto"/>
          <w:kern w:val="0"/>
          <w:sz w:val="24"/>
        </w:rPr>
      </w:pPr>
      <w:r>
        <w:rPr>
          <w:rFonts w:hint="eastAsia" w:ascii="宋体" w:hAnsi="宋体" w:cs="仿宋"/>
          <w:color w:val="auto"/>
          <w:kern w:val="0"/>
          <w:sz w:val="24"/>
        </w:rPr>
        <w:t>单位名称：       （公章）</w:t>
      </w:r>
      <w:bookmarkEnd w:id="214"/>
    </w:p>
    <w:p w14:paraId="68292DBA">
      <w:pPr>
        <w:spacing w:before="120" w:beforeLines="50" w:line="560" w:lineRule="exact"/>
        <w:ind w:firstLine="480" w:firstLineChars="200"/>
        <w:jc w:val="right"/>
        <w:rPr>
          <w:rFonts w:ascii="宋体" w:hAnsi="宋体" w:cs="仿宋"/>
          <w:color w:val="auto"/>
          <w:kern w:val="0"/>
          <w:sz w:val="24"/>
        </w:rPr>
      </w:pPr>
      <w:r>
        <w:rPr>
          <w:rFonts w:hint="eastAsia" w:ascii="宋体" w:hAnsi="宋体" w:cs="仿宋"/>
          <w:color w:val="auto"/>
          <w:kern w:val="0"/>
          <w:sz w:val="24"/>
        </w:rPr>
        <w:t xml:space="preserve">        </w:t>
      </w:r>
      <w:bookmarkStart w:id="215" w:name="_Toc11539_WPSOffice_Level3"/>
      <w:r>
        <w:rPr>
          <w:rFonts w:hint="eastAsia" w:ascii="宋体" w:hAnsi="宋体" w:cs="仿宋"/>
          <w:color w:val="auto"/>
          <w:kern w:val="0"/>
          <w:sz w:val="24"/>
        </w:rPr>
        <w:t>法定代表人或委托代理人：       （签字或盖章）</w:t>
      </w:r>
      <w:bookmarkEnd w:id="215"/>
    </w:p>
    <w:p w14:paraId="6F4EB671">
      <w:pPr>
        <w:spacing w:before="120" w:beforeLines="50" w:line="560" w:lineRule="exact"/>
        <w:ind w:firstLine="640" w:firstLineChars="200"/>
        <w:jc w:val="center"/>
        <w:rPr>
          <w:rFonts w:ascii="宋体" w:hAnsi="宋体" w:cs="仿宋"/>
          <w:color w:val="auto"/>
          <w:kern w:val="0"/>
          <w:sz w:val="24"/>
        </w:rPr>
      </w:pPr>
      <w:r>
        <w:rPr>
          <w:rFonts w:hint="eastAsia" w:ascii="仿宋_GB2312" w:hAnsi="仿宋_GB2312" w:eastAsia="仿宋_GB2312" w:cs="仿宋_GB2312"/>
          <w:bCs/>
          <w:color w:val="auto"/>
          <w:sz w:val="32"/>
          <w:szCs w:val="32"/>
        </w:rPr>
        <w:t xml:space="preserve">                                    </w:t>
      </w:r>
      <w:bookmarkStart w:id="216" w:name="_Toc3285_WPSOffice_Level3"/>
      <w:r>
        <w:rPr>
          <w:rFonts w:hint="eastAsia" w:ascii="宋体" w:hAnsi="宋体" w:cs="仿宋"/>
          <w:color w:val="auto"/>
          <w:kern w:val="0"/>
          <w:sz w:val="24"/>
        </w:rPr>
        <w:t>年   月  日</w:t>
      </w:r>
      <w:bookmarkEnd w:id="216"/>
    </w:p>
    <w:p w14:paraId="099E69B4">
      <w:pPr>
        <w:autoSpaceDE w:val="0"/>
        <w:autoSpaceDN w:val="0"/>
        <w:spacing w:line="360" w:lineRule="auto"/>
        <w:jc w:val="center"/>
        <w:rPr>
          <w:b/>
          <w:bCs/>
          <w:color w:val="auto"/>
          <w:kern w:val="0"/>
          <w:sz w:val="28"/>
          <w:szCs w:val="28"/>
        </w:rPr>
      </w:pPr>
      <w:r>
        <w:rPr>
          <w:b/>
          <w:bCs/>
          <w:color w:val="auto"/>
          <w:kern w:val="0"/>
          <w:sz w:val="28"/>
          <w:szCs w:val="28"/>
          <w:lang w:val="zh-CN"/>
        </w:rPr>
        <w:br w:type="page"/>
      </w:r>
      <w:r>
        <w:rPr>
          <w:b/>
          <w:bCs/>
          <w:color w:val="auto"/>
          <w:kern w:val="0"/>
          <w:sz w:val="28"/>
          <w:szCs w:val="28"/>
        </w:rPr>
        <w:t>残疾人福利性单位声明函</w:t>
      </w:r>
    </w:p>
    <w:p w14:paraId="397D94EA">
      <w:pPr>
        <w:spacing w:after="120" w:afterLines="50"/>
        <w:rPr>
          <w:bCs/>
          <w:color w:val="auto"/>
        </w:rPr>
      </w:pPr>
    </w:p>
    <w:p w14:paraId="38F5CB2E">
      <w:pPr>
        <w:adjustRightInd w:val="0"/>
        <w:snapToGrid w:val="0"/>
        <w:spacing w:line="440" w:lineRule="exact"/>
        <w:ind w:left="6987" w:hanging="6987" w:hangingChars="2900"/>
        <w:rPr>
          <w:b/>
          <w:bCs/>
          <w:color w:val="auto"/>
          <w:kern w:val="0"/>
          <w:sz w:val="24"/>
          <w:lang w:val="zh-CN"/>
        </w:rPr>
      </w:pPr>
      <w:r>
        <w:rPr>
          <w:b/>
          <w:bCs/>
          <w:color w:val="auto"/>
          <w:kern w:val="0"/>
          <w:sz w:val="24"/>
          <w:lang w:val="zh-CN"/>
        </w:rPr>
        <w:t>致：</w:t>
      </w:r>
      <w:r>
        <w:rPr>
          <w:rFonts w:hint="eastAsia"/>
          <w:b/>
          <w:bCs/>
          <w:color w:val="auto"/>
          <w:kern w:val="0"/>
          <w:sz w:val="24"/>
          <w:lang w:val="zh-CN"/>
        </w:rPr>
        <w:t>采购人/代理机构</w:t>
      </w:r>
    </w:p>
    <w:p w14:paraId="54E8701A">
      <w:pPr>
        <w:spacing w:line="360" w:lineRule="auto"/>
        <w:ind w:firstLine="480"/>
        <w:rPr>
          <w:color w:val="auto"/>
        </w:rPr>
      </w:pPr>
    </w:p>
    <w:p w14:paraId="41593B69">
      <w:pPr>
        <w:adjustRightInd w:val="0"/>
        <w:snapToGrid w:val="0"/>
        <w:spacing w:line="440" w:lineRule="exact"/>
        <w:ind w:left="-4" w:leftChars="-2" w:firstLine="480" w:firstLineChars="200"/>
        <w:rPr>
          <w:color w:val="auto"/>
          <w:sz w:val="24"/>
        </w:rPr>
      </w:pPr>
      <w:r>
        <w:rPr>
          <w:color w:val="auto"/>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315637C9">
      <w:pPr>
        <w:adjustRightInd w:val="0"/>
        <w:snapToGrid w:val="0"/>
        <w:spacing w:line="440" w:lineRule="exact"/>
        <w:ind w:left="-4" w:leftChars="-2" w:firstLine="480" w:firstLineChars="200"/>
        <w:rPr>
          <w:color w:val="auto"/>
          <w:sz w:val="24"/>
        </w:rPr>
      </w:pPr>
      <w:r>
        <w:rPr>
          <w:color w:val="auto"/>
          <w:sz w:val="24"/>
        </w:rPr>
        <w:t>本单位对上述声明的真实性负责。如有虚假，将依法承担相应责任。</w:t>
      </w:r>
    </w:p>
    <w:p w14:paraId="40AB3B12">
      <w:pPr>
        <w:spacing w:line="360" w:lineRule="auto"/>
        <w:ind w:firstLine="480"/>
        <w:rPr>
          <w:color w:val="auto"/>
        </w:rPr>
      </w:pPr>
    </w:p>
    <w:p w14:paraId="002BCA5A">
      <w:pPr>
        <w:spacing w:line="360" w:lineRule="auto"/>
        <w:ind w:firstLine="480"/>
        <w:rPr>
          <w:color w:val="auto"/>
        </w:rPr>
      </w:pPr>
    </w:p>
    <w:p w14:paraId="2FB9271A">
      <w:pPr>
        <w:spacing w:line="360" w:lineRule="auto"/>
        <w:ind w:firstLine="480"/>
        <w:rPr>
          <w:color w:val="auto"/>
        </w:rPr>
      </w:pPr>
    </w:p>
    <w:p w14:paraId="1055CD08">
      <w:pPr>
        <w:spacing w:line="360" w:lineRule="auto"/>
        <w:ind w:firstLine="480"/>
        <w:rPr>
          <w:color w:val="auto"/>
        </w:rPr>
      </w:pPr>
    </w:p>
    <w:p w14:paraId="39142C18">
      <w:pPr>
        <w:spacing w:line="360" w:lineRule="auto"/>
        <w:ind w:firstLine="480"/>
        <w:rPr>
          <w:color w:val="auto"/>
        </w:rPr>
      </w:pPr>
    </w:p>
    <w:p w14:paraId="33BB6EED">
      <w:pPr>
        <w:spacing w:line="360" w:lineRule="auto"/>
        <w:ind w:firstLine="480"/>
        <w:rPr>
          <w:color w:val="auto"/>
        </w:rPr>
      </w:pPr>
    </w:p>
    <w:p w14:paraId="665E2550">
      <w:pPr>
        <w:spacing w:line="360" w:lineRule="auto"/>
        <w:ind w:firstLine="480"/>
        <w:rPr>
          <w:rFonts w:hint="eastAsia"/>
          <w:color w:val="auto"/>
        </w:rPr>
      </w:pPr>
    </w:p>
    <w:p w14:paraId="36595457">
      <w:pPr>
        <w:spacing w:line="360" w:lineRule="auto"/>
        <w:ind w:firstLine="480"/>
        <w:rPr>
          <w:rFonts w:hint="eastAsia"/>
          <w:color w:val="auto"/>
        </w:rPr>
      </w:pPr>
    </w:p>
    <w:p w14:paraId="1DA88170">
      <w:pPr>
        <w:spacing w:line="360" w:lineRule="auto"/>
        <w:ind w:firstLine="480"/>
        <w:rPr>
          <w:rFonts w:hint="eastAsia"/>
          <w:color w:val="auto"/>
        </w:rPr>
      </w:pPr>
    </w:p>
    <w:p w14:paraId="40E24B6A">
      <w:pPr>
        <w:spacing w:line="360" w:lineRule="auto"/>
        <w:ind w:firstLine="480"/>
        <w:rPr>
          <w:rFonts w:hint="eastAsia"/>
          <w:color w:val="auto"/>
        </w:rPr>
      </w:pPr>
    </w:p>
    <w:p w14:paraId="0BBD69D1">
      <w:pPr>
        <w:spacing w:line="360" w:lineRule="auto"/>
        <w:ind w:firstLine="480"/>
        <w:rPr>
          <w:rFonts w:hint="eastAsia"/>
          <w:color w:val="auto"/>
        </w:rPr>
      </w:pPr>
    </w:p>
    <w:p w14:paraId="2A253125">
      <w:pPr>
        <w:spacing w:line="360" w:lineRule="auto"/>
        <w:ind w:firstLine="480"/>
        <w:rPr>
          <w:rFonts w:hint="eastAsia"/>
          <w:color w:val="auto"/>
        </w:rPr>
      </w:pPr>
    </w:p>
    <w:p w14:paraId="1E9D989E">
      <w:pPr>
        <w:spacing w:line="360" w:lineRule="auto"/>
        <w:ind w:firstLine="480"/>
        <w:rPr>
          <w:rFonts w:hint="eastAsia"/>
          <w:color w:val="auto"/>
        </w:rPr>
      </w:pPr>
    </w:p>
    <w:p w14:paraId="40DAFDC2">
      <w:pPr>
        <w:spacing w:line="360" w:lineRule="auto"/>
        <w:ind w:firstLine="480"/>
        <w:rPr>
          <w:rFonts w:hint="eastAsia"/>
          <w:color w:val="auto"/>
        </w:rPr>
      </w:pPr>
    </w:p>
    <w:p w14:paraId="6F0F5125">
      <w:pPr>
        <w:spacing w:line="360" w:lineRule="auto"/>
        <w:ind w:firstLine="480"/>
        <w:rPr>
          <w:rFonts w:hint="eastAsia"/>
          <w:color w:val="auto"/>
        </w:rPr>
      </w:pPr>
    </w:p>
    <w:p w14:paraId="6EAD80BD">
      <w:pPr>
        <w:spacing w:line="360" w:lineRule="auto"/>
        <w:ind w:firstLine="480"/>
        <w:rPr>
          <w:rFonts w:hint="eastAsia"/>
          <w:color w:val="auto"/>
        </w:rPr>
      </w:pPr>
    </w:p>
    <w:p w14:paraId="0CC50883">
      <w:pPr>
        <w:spacing w:line="360" w:lineRule="auto"/>
        <w:ind w:firstLine="480"/>
        <w:rPr>
          <w:color w:val="auto"/>
        </w:rPr>
      </w:pPr>
    </w:p>
    <w:p w14:paraId="7519A6BB">
      <w:pPr>
        <w:autoSpaceDE w:val="0"/>
        <w:autoSpaceDN w:val="0"/>
        <w:spacing w:line="360" w:lineRule="auto"/>
        <w:jc w:val="right"/>
        <w:rPr>
          <w:bCs/>
          <w:color w:val="auto"/>
          <w:sz w:val="24"/>
          <w:szCs w:val="28"/>
        </w:rPr>
      </w:pPr>
      <w:r>
        <w:rPr>
          <w:b/>
          <w:color w:val="auto"/>
        </w:rPr>
        <w:t xml:space="preserve">                                </w:t>
      </w:r>
      <w:r>
        <w:rPr>
          <w:bCs/>
          <w:color w:val="auto"/>
          <w:sz w:val="24"/>
          <w:szCs w:val="28"/>
        </w:rPr>
        <w:t>企业名称：       （公章）</w:t>
      </w:r>
    </w:p>
    <w:p w14:paraId="2B9D4BB5">
      <w:pPr>
        <w:autoSpaceDE w:val="0"/>
        <w:autoSpaceDN w:val="0"/>
        <w:spacing w:line="360" w:lineRule="auto"/>
        <w:jc w:val="right"/>
        <w:rPr>
          <w:bCs/>
          <w:color w:val="auto"/>
          <w:sz w:val="24"/>
          <w:szCs w:val="28"/>
        </w:rPr>
      </w:pPr>
      <w:r>
        <w:rPr>
          <w:bCs/>
          <w:color w:val="auto"/>
          <w:sz w:val="24"/>
          <w:szCs w:val="28"/>
        </w:rPr>
        <w:t xml:space="preserve">       企业法定代表人：       （签字或盖章）</w:t>
      </w:r>
    </w:p>
    <w:p w14:paraId="5B9B36EF">
      <w:pPr>
        <w:rPr>
          <w:color w:val="auto"/>
          <w:lang w:val="zh-CN"/>
        </w:rPr>
      </w:pPr>
      <w:r>
        <w:rPr>
          <w:bCs/>
          <w:color w:val="auto"/>
          <w:sz w:val="24"/>
          <w:szCs w:val="28"/>
        </w:rPr>
        <w:t xml:space="preserve">                                                              年   月  日</w:t>
      </w:r>
    </w:p>
    <w:p w14:paraId="573F5BF3">
      <w:pPr>
        <w:rPr>
          <w:color w:val="auto"/>
          <w:lang w:val="zh-CN"/>
        </w:rPr>
      </w:pPr>
    </w:p>
    <w:p w14:paraId="2F22152F">
      <w:pPr>
        <w:pStyle w:val="15"/>
        <w:spacing w:before="0" w:after="0" w:line="360" w:lineRule="auto"/>
        <w:jc w:val="left"/>
        <w:rPr>
          <w:rFonts w:ascii="Times New Roman" w:hAnsi="Times New Roman"/>
          <w:color w:val="auto"/>
        </w:rPr>
      </w:pPr>
      <w:r>
        <w:rPr>
          <w:rFonts w:ascii="Times New Roman" w:hAnsi="Times New Roman"/>
          <w:color w:val="auto"/>
          <w:sz w:val="30"/>
          <w:szCs w:val="30"/>
        </w:rPr>
        <w:br w:type="page"/>
      </w:r>
      <w:bookmarkStart w:id="217" w:name="_Toc18469"/>
      <w:r>
        <w:rPr>
          <w:rFonts w:hint="eastAsia" w:ascii="Times New Roman" w:hAnsi="Times New Roman"/>
          <w:color w:val="auto"/>
          <w:sz w:val="30"/>
          <w:szCs w:val="30"/>
        </w:rPr>
        <w:t>格式18：</w:t>
      </w:r>
      <w:r>
        <w:rPr>
          <w:rFonts w:ascii="Times New Roman" w:hAnsi="Times New Roman"/>
          <w:color w:val="auto"/>
          <w:sz w:val="30"/>
          <w:szCs w:val="30"/>
          <w:lang w:val="zh-CN"/>
        </w:rPr>
        <w:t>投标人认为在其他方面有必要说明的事项</w:t>
      </w:r>
      <w:bookmarkEnd w:id="208"/>
      <w:bookmarkEnd w:id="209"/>
      <w:bookmarkEnd w:id="217"/>
    </w:p>
    <w:p w14:paraId="5945E840">
      <w:pPr>
        <w:autoSpaceDE w:val="0"/>
        <w:autoSpaceDN w:val="0"/>
        <w:spacing w:line="360" w:lineRule="auto"/>
        <w:jc w:val="center"/>
        <w:rPr>
          <w:color w:val="auto"/>
          <w:kern w:val="0"/>
          <w:sz w:val="28"/>
          <w:szCs w:val="28"/>
          <w:lang w:val="zh-CN"/>
        </w:rPr>
      </w:pPr>
    </w:p>
    <w:p w14:paraId="619E40B5">
      <w:pPr>
        <w:autoSpaceDE w:val="0"/>
        <w:autoSpaceDN w:val="0"/>
        <w:spacing w:line="360" w:lineRule="auto"/>
        <w:jc w:val="center"/>
        <w:rPr>
          <w:b/>
          <w:bCs/>
          <w:color w:val="auto"/>
          <w:kern w:val="0"/>
          <w:sz w:val="28"/>
          <w:szCs w:val="28"/>
          <w:lang w:val="zh-CN"/>
        </w:rPr>
      </w:pPr>
      <w:r>
        <w:rPr>
          <w:b/>
          <w:bCs/>
          <w:color w:val="auto"/>
          <w:kern w:val="0"/>
          <w:sz w:val="28"/>
          <w:szCs w:val="28"/>
          <w:lang w:val="zh-CN"/>
        </w:rPr>
        <w:t>投标人认为在其他方面有必要说明的事项</w:t>
      </w:r>
    </w:p>
    <w:p w14:paraId="2B829AF0">
      <w:pPr>
        <w:autoSpaceDE w:val="0"/>
        <w:autoSpaceDN w:val="0"/>
        <w:spacing w:line="360" w:lineRule="auto"/>
        <w:jc w:val="center"/>
        <w:rPr>
          <w:color w:val="auto"/>
          <w:sz w:val="24"/>
        </w:rPr>
      </w:pPr>
    </w:p>
    <w:p w14:paraId="1944AB0D">
      <w:pPr>
        <w:spacing w:line="480" w:lineRule="auto"/>
        <w:ind w:firstLine="480" w:firstLineChars="200"/>
        <w:jc w:val="left"/>
        <w:rPr>
          <w:color w:val="auto"/>
          <w:sz w:val="24"/>
        </w:rPr>
      </w:pPr>
      <w:bookmarkStart w:id="218" w:name="_Toc29404"/>
      <w:bookmarkStart w:id="219" w:name="_Toc444715745"/>
      <w:r>
        <w:rPr>
          <w:rFonts w:hint="eastAsia"/>
          <w:color w:val="auto"/>
          <w:sz w:val="24"/>
          <w:lang w:eastAsia="zh-CN"/>
        </w:rPr>
        <w:t>投标人</w:t>
      </w:r>
      <w:r>
        <w:rPr>
          <w:rFonts w:hint="eastAsia"/>
          <w:color w:val="auto"/>
          <w:sz w:val="24"/>
        </w:rPr>
        <w:t>在参加本项目投标中根据招标文件的要求认为需要说明的事项。如没有说明事项，此项可忽略。（格式可自定）</w:t>
      </w:r>
    </w:p>
    <w:p w14:paraId="2970019B">
      <w:pPr>
        <w:pStyle w:val="15"/>
        <w:spacing w:line="360" w:lineRule="auto"/>
        <w:rPr>
          <w:rFonts w:ascii="Times New Roman" w:hAnsi="Times New Roman"/>
          <w:color w:val="auto"/>
        </w:rPr>
      </w:pPr>
      <w:r>
        <w:rPr>
          <w:rFonts w:ascii="Times New Roman" w:hAnsi="Times New Roman"/>
          <w:color w:val="auto"/>
          <w:lang w:val="zh-CN"/>
        </w:rPr>
        <w:br w:type="page"/>
      </w:r>
      <w:bookmarkStart w:id="220" w:name="OLE_LINK64"/>
      <w:bookmarkStart w:id="221" w:name="_Toc24727"/>
      <w:r>
        <w:rPr>
          <w:rFonts w:ascii="Times New Roman" w:hAnsi="Times New Roman"/>
          <w:color w:val="auto"/>
          <w:lang w:val="zh-CN"/>
        </w:rPr>
        <w:t>第五部分  采购项目要求及技术参数</w:t>
      </w:r>
      <w:bookmarkEnd w:id="218"/>
      <w:bookmarkEnd w:id="219"/>
      <w:bookmarkEnd w:id="220"/>
      <w:bookmarkEnd w:id="221"/>
    </w:p>
    <w:p w14:paraId="45178D02">
      <w:pPr>
        <w:rPr>
          <w:rFonts w:hint="eastAsia"/>
          <w:lang w:eastAsia="zh-CN"/>
        </w:rPr>
      </w:pPr>
    </w:p>
    <w:tbl>
      <w:tblPr>
        <w:tblStyle w:val="16"/>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9"/>
        <w:gridCol w:w="1244"/>
        <w:gridCol w:w="899"/>
        <w:gridCol w:w="486"/>
        <w:gridCol w:w="543"/>
        <w:gridCol w:w="5229"/>
      </w:tblGrid>
      <w:tr w14:paraId="2161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883" w:type="dxa"/>
            <w:gridSpan w:val="6"/>
            <w:tcBorders>
              <w:top w:val="nil"/>
              <w:left w:val="nil"/>
              <w:bottom w:val="nil"/>
              <w:right w:val="nil"/>
            </w:tcBorders>
            <w:noWrap w:val="0"/>
            <w:vAlign w:val="center"/>
          </w:tcPr>
          <w:p w14:paraId="797D766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乌兰县中小学课桌椅及电子屏等设备采购项目清单及参数（包一）</w:t>
            </w:r>
          </w:p>
        </w:tc>
      </w:tr>
      <w:tr w14:paraId="06EF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nil"/>
              <w:left w:val="nil"/>
              <w:bottom w:val="nil"/>
              <w:right w:val="nil"/>
            </w:tcBorders>
            <w:noWrap w:val="0"/>
            <w:vAlign w:val="center"/>
          </w:tcPr>
          <w:p w14:paraId="1DD9E189">
            <w:pPr>
              <w:jc w:val="center"/>
              <w:rPr>
                <w:rFonts w:hint="eastAsia" w:ascii="华文仿宋" w:hAnsi="华文仿宋" w:eastAsia="华文仿宋" w:cs="华文仿宋"/>
                <w:i w:val="0"/>
                <w:iCs w:val="0"/>
                <w:color w:val="000000"/>
                <w:sz w:val="24"/>
                <w:szCs w:val="24"/>
                <w:u w:val="none"/>
              </w:rPr>
            </w:pPr>
          </w:p>
        </w:tc>
        <w:tc>
          <w:tcPr>
            <w:tcW w:w="1245" w:type="dxa"/>
            <w:tcBorders>
              <w:top w:val="nil"/>
              <w:left w:val="nil"/>
              <w:bottom w:val="nil"/>
              <w:right w:val="nil"/>
            </w:tcBorders>
            <w:noWrap w:val="0"/>
            <w:vAlign w:val="center"/>
          </w:tcPr>
          <w:p w14:paraId="610A0C5A">
            <w:pPr>
              <w:jc w:val="center"/>
              <w:rPr>
                <w:rFonts w:hint="default" w:ascii="华文仿宋" w:hAnsi="华文仿宋" w:eastAsia="华文仿宋" w:cs="华文仿宋"/>
                <w:b/>
                <w:bCs/>
                <w:i w:val="0"/>
                <w:iCs w:val="0"/>
                <w:color w:val="000000"/>
                <w:sz w:val="36"/>
                <w:szCs w:val="36"/>
                <w:u w:val="none"/>
              </w:rPr>
            </w:pPr>
          </w:p>
        </w:tc>
        <w:tc>
          <w:tcPr>
            <w:tcW w:w="900" w:type="dxa"/>
            <w:tcBorders>
              <w:top w:val="nil"/>
              <w:left w:val="nil"/>
              <w:bottom w:val="nil"/>
              <w:right w:val="nil"/>
            </w:tcBorders>
            <w:noWrap w:val="0"/>
            <w:vAlign w:val="center"/>
          </w:tcPr>
          <w:p w14:paraId="5111DB67">
            <w:pPr>
              <w:jc w:val="center"/>
              <w:rPr>
                <w:rFonts w:hint="default" w:ascii="华文仿宋" w:hAnsi="华文仿宋" w:eastAsia="华文仿宋" w:cs="华文仿宋"/>
                <w:b/>
                <w:bCs/>
                <w:i w:val="0"/>
                <w:iCs w:val="0"/>
                <w:color w:val="000000"/>
                <w:sz w:val="36"/>
                <w:szCs w:val="36"/>
                <w:u w:val="none"/>
              </w:rPr>
            </w:pPr>
          </w:p>
        </w:tc>
        <w:tc>
          <w:tcPr>
            <w:tcW w:w="480" w:type="dxa"/>
            <w:tcBorders>
              <w:top w:val="nil"/>
              <w:left w:val="nil"/>
              <w:bottom w:val="nil"/>
              <w:right w:val="nil"/>
            </w:tcBorders>
            <w:noWrap w:val="0"/>
            <w:vAlign w:val="center"/>
          </w:tcPr>
          <w:p w14:paraId="3FB65439">
            <w:pPr>
              <w:jc w:val="center"/>
              <w:rPr>
                <w:rFonts w:hint="default" w:ascii="华文仿宋" w:hAnsi="华文仿宋" w:eastAsia="华文仿宋" w:cs="华文仿宋"/>
                <w:b/>
                <w:bCs/>
                <w:i w:val="0"/>
                <w:iCs w:val="0"/>
                <w:color w:val="000000"/>
                <w:sz w:val="36"/>
                <w:szCs w:val="36"/>
                <w:u w:val="none"/>
              </w:rPr>
            </w:pPr>
          </w:p>
        </w:tc>
        <w:tc>
          <w:tcPr>
            <w:tcW w:w="543" w:type="dxa"/>
            <w:tcBorders>
              <w:top w:val="nil"/>
              <w:left w:val="nil"/>
              <w:bottom w:val="nil"/>
              <w:right w:val="nil"/>
            </w:tcBorders>
            <w:noWrap w:val="0"/>
            <w:vAlign w:val="center"/>
          </w:tcPr>
          <w:p w14:paraId="3719E68D">
            <w:pPr>
              <w:jc w:val="center"/>
              <w:rPr>
                <w:rFonts w:hint="default" w:ascii="华文仿宋" w:hAnsi="华文仿宋" w:eastAsia="华文仿宋" w:cs="华文仿宋"/>
                <w:b/>
                <w:bCs/>
                <w:i w:val="0"/>
                <w:iCs w:val="0"/>
                <w:color w:val="000000"/>
                <w:sz w:val="36"/>
                <w:szCs w:val="36"/>
                <w:u w:val="none"/>
              </w:rPr>
            </w:pPr>
          </w:p>
        </w:tc>
        <w:tc>
          <w:tcPr>
            <w:tcW w:w="5235" w:type="dxa"/>
            <w:tcBorders>
              <w:top w:val="nil"/>
              <w:left w:val="nil"/>
              <w:bottom w:val="nil"/>
              <w:right w:val="nil"/>
            </w:tcBorders>
            <w:noWrap w:val="0"/>
            <w:vAlign w:val="center"/>
          </w:tcPr>
          <w:p w14:paraId="650BDCEE">
            <w:pPr>
              <w:jc w:val="center"/>
              <w:rPr>
                <w:rFonts w:hint="default" w:ascii="华文仿宋" w:hAnsi="华文仿宋" w:eastAsia="华文仿宋" w:cs="华文仿宋"/>
                <w:b/>
                <w:bCs/>
                <w:i w:val="0"/>
                <w:iCs w:val="0"/>
                <w:color w:val="000000"/>
                <w:sz w:val="36"/>
                <w:szCs w:val="36"/>
                <w:u w:val="none"/>
              </w:rPr>
            </w:pPr>
          </w:p>
        </w:tc>
      </w:tr>
      <w:tr w14:paraId="1151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CAB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968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项目学校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4BE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F0C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F97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18E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技术参数/规格型号</w:t>
            </w:r>
          </w:p>
        </w:tc>
      </w:tr>
      <w:tr w14:paraId="1AD1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9C3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6E14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乌兰县实验小学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54D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课桌椅</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AE0F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7B87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79C49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一、课桌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1、桌面：桌面尺寸≥600*400*18mm，采用E1级密度板注塑包边，四角圆角设计，桌面前端带有笔槽。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2、桌架：桌子立管采用≥20*50*1.2mm高频焊接椭圆管，桌子横拉杆采用≥20*50*1.0mm高频焊接椭圆管，桌子底脚采用≥20*50*1.2mm高频焊接椭圆管。均由全自动数控弯管推弯加工而成，富有流线感, 钢管焊接处采用二氧化碳保护焊接工艺，焊接表面波纹均匀，焊接处无夹渣、气孔、焊瘤，焊丝咬边和飞溅，无脱焊、虚焊和焊空的现象。各钢件经除锈、酸洗、磷化等工序，经防锈处理，外层采用聚酯环氧粉末采用静电喷塑。钢架部分符合GB/T3325-2017、GB/T10125-2021、QB/T3832-1999、QB/T3827-1999、GB/T1741-2020及《2024年家具及人造板产品抽样检验实施方案》的标准要求。乙酸盐雾试验(ASS试验)连续喷雾300h，金属表面镀（涂）层本身耐腐蚀等级10级，金属表面镀（涂）层对基体的保护等级10级；乙酸盐雾（AASS）24h，外观评级（R）：10级，保护评级（R）：10级。   塑粉符合GB 28007-2011《儿童家具通用技术条件》的要求，可迁移元素：可溶性铅≤9.5mg/kg、可溶性镉≤1.4mg/kg、可溶性铬≤1.7mg/kg、可溶性汞≤0.002mg/kg、可溶性锑≤0.006mg/kg、可溶性砷≤0.0007mg/kg、可溶性硒≤0.01mg/kg。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斗尺寸≥500*350*180mm，中间大片采用≥0.8mm冷轧板一次冲压成型，前沿卷边设计防刮手，桌斗升降片采用≥0.8mm冷轧板一次冲压成型，上宽≥320mm，斗高≥150mm，总高≥305mm，双排7孔升降，孔距≥30mm，两侧带有一体成型书包钩。桌斗底部设计有≥30*20*0.6mm几字型加强筋，增加桌斗承载。 冷轧钢板应符合GB/T 3325-2017《金属家具通用技术条件》、GB/T 35607-2017《绿色产品评价家具》的标准要求。焊接处应无夹渣、气孔、焊瘤、焊丝头、咬边、飞溅，焊接处表面波纹应均匀；铆接处应铆接应牢固，无漏铆、脱铆，铆钉应端正圆滑，无明显锤印；喷涂层应无漏喷、锈蚀和脱色、掉色现象，涂层应光滑均匀，色泽一致，应无流挂、疙瘩、皱皮、飞漆等缺陷。家具涂层可迁移元素：铅Pb、镉Cd、铬Cr、汞Hg、锑Sb、钡Ba、硒Se、砷AS，均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4、配件：升降中套、桌子脚套及书包钩均采用工程塑料一次注塑成型，无接缝无毛刺，表面光滑。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二、课椅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1、椅面：椅面尺寸≥400mm*360mm*18mm采用E1级密度板注塑包边；靠背尺寸≥400mm*170mm*18mm采用E1级密度板注塑包边。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椅架：椅子立管≥20*50*1.2mm高频焊接椭圆管，凳子升降片采用≥0.8mm冷轧板一次冲压成型，上宽≥178mm，总高≥186mm，双排5孔升降，孔距≥30mm，凳子横拉杆采用≥20*50*1.2mm高频焊接椭圆管，凳子底脚采用≥20*50*1.2mm高频焊接椭圆管。凳面底部设计有两条托管采用≥10*20*1.2优质高频焊接矩管。均由全自动数控弯管推弯加工而成，富有流线感, 钢管焊接处采用二氧化碳保护焊接工艺，焊接表面波纹均匀，焊接处无夹渣、气孔、焊瘤，焊丝咬边和飞溅，无脱焊、虚焊和焊空的现象。各钢件经除锈、酸洗、磷化等工序，经防锈处理，外层采用聚酯环氧粉末采用静电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3、配件：升降中套及桌子脚套均采用工程塑料一次注塑成型，无接缝无毛刺，表面光滑</w:t>
            </w:r>
          </w:p>
        </w:tc>
      </w:tr>
      <w:tr w14:paraId="1C5F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7"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AFAD2">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98D2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乌兰县民族中学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D04C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课桌椅</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54C5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A136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4F1ED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一、课桌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1、桌面：桌面尺寸≥600*400*18mm，采用E1级密度板注塑包边，四角圆角设计，桌面前端带有笔槽。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2、桌架：桌子立管采用≥20*50*1.2mm高频焊接椭圆管，桌子横拉杆采用≥20*50*1.0mm高频焊接椭圆管，桌子底脚采用≥20*50*1.2mm高频焊接椭圆管。均由全自动数控弯管推弯加工而成，富有流线感, 钢管焊接处采用二氧化碳保护焊接工艺，焊接表面波纹均匀，焊接处无夹渣、气孔、焊瘤，焊丝咬边和飞溅，无脱焊、虚焊和焊空的现象。各钢件经除锈、酸洗、磷化等工序，经防锈处理，外层采用聚酯环氧粉末采用静电喷塑。钢架部分符合GB/T3325-2017、GB/T10125-2021、QB/T3832-1999、QB/T3827-1999、GB/T1741-2020及《2024年家具及人造板产品抽样检验实施方案》的标准要求。乙酸盐雾试验(ASS试验)连续喷雾300h，金属表面镀（涂）层本身耐腐蚀等级10级，金属表面镀（涂）层对基体的保护等级10级；乙酸盐雾（AASS）24h，外观评级（R）：10级，保护评级（R）：10级。   塑粉符合GB 28007-2011《儿童家具通用技术条件》的要求，可迁移元素：可溶性铅≤9.5mg/kg、可溶性镉≤1.4mg/kg、可溶性铬≤1.7mg/kg、可溶性汞≤0.002mg/kg、可溶性锑≤0.006mg/kg、可溶性砷≤0.0007mg/kg、可溶性硒≤0.01mg/kg。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斗尺寸≥500*350*180mm，中间大片采用≥0.8mm冷轧板一次冲压成型，前沿卷边设计防刮手，桌斗升降片采用≥0.8mm冷轧板一次冲压成型，上宽≥320mm，斗高≥150mm，总高≥305mm，双排7孔升降，孔距≥30mm，两侧带有一体成型书包钩。桌斗底部设计有≥30*20*0.6mm几字型加强筋，增加桌斗承载。 冷轧钢板应符合GB/T 3325-2017《金属家具通用技术条件》、GB/T 35607-2017《绿色产品评价 家具》的标准要求。焊接处应无夹渣、气孔、焊瘤、焊丝头、咬边、飞溅，焊接处表面波纹应均匀；铆接处应铆接应牢固，无漏铆、脱铆，铆钉应端正圆滑，无明显锤印；喷涂层应无漏喷、锈蚀和脱色、掉色现象，涂层应光滑均匀，色泽一致，应无流挂、疙瘩、皱皮、飞漆等缺陷。家具涂层可迁移元素：铅Pb、镉Cd、铬Cr、汞Hg、锑Sb、钡Ba、硒Se、砷AS，均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4、配件：升降中套、桌子脚套及书包钩均采用工程塑料一次注塑成型，无接缝无毛刺，表面光滑。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二、课椅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1、椅面：椅面尺寸≥400mm*360mm*18mm采用E1级密度板注塑包边；靠背尺寸≥400mm*170mm*18mm采用E1级密度板注塑包边。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椅架：椅子立管≥20*50*1.2mm高频焊接椭圆管，凳子升降片采用≥0.8mm冷轧板一次冲压成型，上宽≥178mm，总高≥186mm，双排5孔升降，孔距≥30mm，凳子横拉杆采用≥20*50*1.2mm高频焊接椭圆管，凳子底脚采用≥20*50*1.2mm高频焊接椭圆管。凳面底部设计有两条托管采用≥10*20*1.2高频焊接矩管。均由全自动数控弯管推弯加工而成，富有流线感, 钢管焊接处采用二氧化碳保护焊接工艺，焊接表面波纹均匀，焊接处无夹渣、气孔、焊瘤，焊丝咬边和飞溅，无脱焊、虚焊和焊空的现象。各钢件经除锈、酸洗、磷化等工序，经防锈处理，外层采用聚酯环氧粉末采用静电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3、配件：升降中套及桌子脚套均采用工程塑料一次注塑成型，无接缝无毛刺，表面光滑。</w:t>
            </w:r>
          </w:p>
        </w:tc>
      </w:tr>
      <w:tr w14:paraId="16DA4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F04ED">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729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乌兰县新民小学（电脑桌椅）</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1C77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单人位电脑桌</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3B4F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3316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246B1E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尺寸：≥800*600*750（长*宽*高，单位mm）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基材：采用25mm厚E1级实木颗粒板，符合GB/T4897-2015、GB/T39600-2021、GB/T35601-2017、GB/T17657-2022、JC/T2039-2010、GB18580-2017及《2024年家具及人造板产品抽样检验实施方案》的标准要求。密度≥0.75g/cm³；静曲强度≥19.8Mpa；弹性模量≥3510Mpa；内胶合强度≥0.75Mpa；吸水厚度膨胀率（2h）≤1.5%；表面胶合强度≥1.45Mpa；甲醛释放量（1m³气候箱法）：未检出；挥发性有机化合物（72h）苯、甲苯、二甲苯、总挥发性有机化合物（TVOC）：未检出；抗细菌性能-抗细菌率（金黄色葡萄球菌）≥99.96%。桌面开过线圆孔，配线盒盖，方便走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2、饰面：采用三聚氰胺浸渍纸，双饰面。符合GB18584-2001、JC/T2039-2010及《2024年家具及人造板产品抽样检验实施方案》的标准要求。甲醛释放量：未检出；白色念球菌-抗菌性能：抗细菌率不小于99.97%。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封边条：采用PVC封边条，同色封边，易清洁、耐磨、耐烟酌、抗污染，经久耐用，造型美观。封边条应符合GB/T31402-2023、QB/T4463-2013及《2024年家具及人造板产品抽样检验实施方案》的标准要求。无龟裂、无鼓泡；磨30r后应无露底现象；耐开裂性达到1级；耐光色牢度（灰色样卡）：大于灰色样卡4级；有害物质限量：甲醛释放量，可迁移元素（可溶性重金属）铅（Pb）、镉（cd）、铬（Cr）、砷（As）、钡（Ba）、锑（Sb）、硒（Se）、汞（Hg），邻苯二甲酸酯（DBP、BBP、DEHP、DNOP、DINP、DIDP）的总量，氯乙烯单体，均未检出；鲍曼不动杆菌抗菌率≥99.96%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4、胶粘剂：符合HJ2541-2016《环境标志产品技术要求 胶粘剂》、GB18583-2008《室内装饰装修材料胶粘剂中有害物质限量》的标准要求。总挥发性有机物≤12g/L；游离甲醛检测结果：未检出；苯、甲苯+二甲苯检测结果：未检出。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桌脚钢架：“口”字造型桌脚，桌脚管采用≥50*15*1.0mm扁管一次弯管成型，桌脚底部含4个水平调整脚。钢管部分符合GB/T3325-2017、GB/T10125-2021、QB/T3832-1999、QB/T3827-1999、GB/T1741-2020及《2024年家具及人造板产品抽样检验实施方案》标准要求。管材无裂缝、叠缝，外露管口端面封闭；涂层无漏喷、锈蚀和脱色、掉色现象，涂层光滑均匀、色泽一致，无流挂、疙瘩、皱皮、飞漆等缺陷；防霉性能（黑曲霉）：耐霉菌性等级达到0级；乙酸盐雾试验(ASS试验)连续喷雾300h，金属表面镀（涂）层本身耐腐蚀等级10级，金属表面镀（涂）层对基体的保护等级10级；乙酸盐雾（AASS）24h，外观评级（R）：10级，保护评级（R）：10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6、背板、门板采用≥0.6mm，侧板采用≥0.8mm厚冷轧钢板折弯成型。侧板、背板冲长条状散热孔。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7、前框组件四周采用≥25*25*1.0mm方管焊接加强，带门，门带旋转锁具。封闭式电脑主机箱，预留加装电源插座空间，电脑主机横向在桌下靠后位置放置。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8、整体采用拆装结构，便于运输。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9、钢制品表面塑粉要求：应符合GB 18581-2020《木器涂料中有害物质限量》和HG/T 2006-2022《热固性和热塑性粉末涂料》的标准要求。铅笔硬度（内聚破坏中擦伤）≥4H；光泽/单位值≤7；总铅（Pb）含量≤12mg/kg；可溶性重金属含量：镉（cd）、铬（Cr）：未检出，汞（Hg）≤0.002mg/kg。</w:t>
            </w:r>
          </w:p>
        </w:tc>
      </w:tr>
      <w:tr w14:paraId="4F6C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912EF">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BBC4F">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CB75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方凳</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FEE8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3431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342882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1、规格：≥340mm*240mm*425mm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2、结构：钢木结构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凳面：凳面尺寸≥340*240mm、采用25mm厚实木颗粒板，符合GB/T4897-2015、GB/T39600-2021、GB/T35601-2017、GB/T17657-2022、JC/T2039-2010、GB18580-2017及《2024年家具及人造板产品抽样检验实施方案》的标准要求。密度≥0.75g/cm³；静曲强度≥19.8Mpa；弹性模量≥3510Mpa；内胶合强度≥0.75Mpa；吸水厚度膨胀率（2h）≤1.5%；表面胶合强度≥1.45Mpa；甲醛释放量（1m³气候箱法）：未检出；挥发性有机化合物（72h）苯、甲苯、二甲苯、总挥发性有机化合物（TVOC）：未检出；抗细菌性能-抗细菌率（金黄色葡萄球菌）≥99.96%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4、饰面：采用三聚氰胺浸渍纸，双饰面。符合GB18584-2001、JC/T2039-2010及《2024年家具及人造板产品抽样检验实施方案》的标准要求。甲醛释放量：未检出；白色念球菌-抗菌性能：抗细菌率不小于99.97%。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封边：采用PVC封边条，同色封边，抗污染。封边条应符合GB/T31402-2023、QB/T4463-2013及《2024年家具及人造板产品抽样检验实施方案》的标准要求。无龟裂、无鼓泡；磨30r后应无露底现象；耐开裂性达到1级；耐光色牢度（灰色样卡）：大于灰色样卡4级；有害物质限量：甲醛释放量，可迁移元素（可溶性重金属）铅（Pb）、镉（cd）、铬（Cr）、砷（As）、钡（Ba）、锑（Sb）、硒（Se）、汞（Hg），邻苯二甲酸酯（DBP、BBP、DEHP、DNOP、DINP、DIDP）的总量，氯乙烯单体，均未检出；鲍曼不动杆菌抗菌率≥99.96%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6、凳架：采用≥25*25*1.2mm 矩形管焊制而成，配脚套。钢管部分符合GB/T3325-2017、GB/T10125-2021、QB/T3832-1999、QB/T3827-1999、GB/T1741-2020及《2024年家具及人造板产品抽样检验实施方案》标准要求。管材无裂缝、叠缝，外露管口端面封闭；涂层无漏喷、锈蚀和脱色、掉色现象，涂层光滑均匀、色泽一致，无流挂、疙瘩、皱皮、飞漆等缺陷；防霉性能（黑曲霉）：耐霉菌性等级达到0级；乙酸盐雾试验(ASS试验)连续喷雾300h，金属表面镀（涂）层本身耐腐蚀等级10级，金属表面镀（涂）层对基体的保护等级10级；乙酸盐雾（AASS）24h，外观评级（R）：10级，保护评级（R）：10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7、喷涂工艺：凳架表面采用静电粉末喷涂工艺，粉末涂料符合GB 18581-2020《木器涂料中有害物质限量》和HG/T 2006-2022《热固性和热塑性粉末涂料》的标准要求。铅笔硬度（内聚破坏中擦伤）≥4H；光泽/单位值≤7；总铅（Pb）含量≤12mg/kg；可溶性重金属含量：镉（cd）、铬（Cr）：未检出，汞（Hg）≤0.002mg/kg。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8、脚垫：防滑，自堵安装。</w:t>
            </w:r>
          </w:p>
        </w:tc>
      </w:tr>
      <w:tr w14:paraId="4D9E4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04D6C">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046F2">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1E6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教师桌</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C4DE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CB56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094A4F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尺寸：≥1400*600*750（长*宽*高，单位mm）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基材：采用25mm厚E1级实木颗粒板，符合GB/T4897-2015、GB/T39600-2021、GB/T35601-2017、GB/T17657-2022、JC/T2039-2010、GB18580-2017及《2024年家具及人造板产品抽样检验实施方案》的标准要求。密度≥0.75g/cm³；静曲强度≥19.8Mpa；弹性模量≥3510Mpa；内胶合强度≥0.75Mpa；吸水厚度膨胀率（2h）≤1.5%；表面胶合强度≥1.45Mpa；甲醛释放量（1m³气候箱法）：未检出；挥发性有机化合物（72h）苯、甲苯、二甲苯、总挥发性有机化合物（TVOC）：未检出；抗细菌性能-抗细菌率（金黄色葡萄球菌）≥99.96%。桌面开过线圆孔，配线盒盖，方便走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2、饰面：采用三聚氰胺浸渍纸，双饰面。符合GB18584-2001、JC/T2039-2010及《2024年家具及人造板产品抽样检验实施方案》的标准要求。甲醛释放量：未检出；白色念球菌-抗菌性能：抗细菌率不小于99.97%。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封边条：采用PVC封边条，同色封边，抗污染。封边条应符合GB/T31402-2023、QB/T4463-2013及《2024年家具及人造板产品抽样检验实施方案》的标准要求。无龟裂、无鼓泡；磨30r后应无露底现象；耐开裂性达到1级；耐光色牢度（灰色样卡）：大于灰色样卡4级；有害物质限量：甲醛释放量，可迁移元素（可溶性重金属）铅（Pb）、镉（cd）、铬（Cr）、砷（As）、钡（Ba）、锑（Sb）、硒（Se）、汞（Hg），邻苯二甲酸酯（DBP、BBP、DEHP、DNOP、DINP、DIDP）的总量，氯乙烯单体，均未检出；鲍曼不动杆菌抗菌率≥99.96%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4、胶粘剂：符合HJ2541-2016《环境标志产品技术要求 胶粘剂》、GB18583-2008《室内装饰装修材料胶粘剂中有害物质限量》的标准要求。总挥发性有机物≤12g/L；游离甲醛检测结果：未检出；苯、甲苯+二甲苯检测结果：未检出。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桌脚钢架：“口”字造型桌脚，桌脚管采用≥30*60*1.2mm扁管一次弯管成型。钢管部分符合GB/T3325-2017、GB/T10125-2021、QB/T3832-1999、QB/T3827-1999、GB/T1741-2020及《2024年家具及人造板产品抽样检验实施方案》标准要求。管材无裂缝、叠缝，外露管口端面封闭；涂层无漏喷、锈蚀和脱色、掉色现象，涂层光滑均匀、色泽一致，无流挂、疙瘩、皱皮、飞漆等缺陷；防霉性能（黑曲霉）：耐霉菌性等级达到0级；乙酸盐雾试验(ASS试验)连续喷雾300h，金属表面镀（涂）层本身耐腐蚀等级10级，金属表面镀（涂）层对基体的保护等级10级；乙酸盐雾（AASS）24h，外观评级（R）：10级，保护评级（R）：10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6、桌下配置钢制主机柜，带散热孔，可放设备仪器等。配置木质键盘抽1个。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7、整体采用拆装结构，便于运输。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8、钢制品表面塑粉要求：应符合GB 18581-2020《木器涂料中有害物质限量》和HG/T 2006-2022《热固性和热塑性粉末涂料》的标准要求。铅笔硬度（内聚破坏中擦伤）≥4H；光泽/单位值≤7；总铅（Pb）含量≤12mg/kg；可溶性重金属含量：镉（cd）、铬（Cr）：未检出，汞（Hg）≤0.002mg/kg。</w:t>
            </w:r>
          </w:p>
        </w:tc>
      </w:tr>
      <w:tr w14:paraId="3E54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EEED5">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C378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4B76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3969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2E35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1CED0E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3"/>
                <w:color w:val="000000"/>
                <w:lang w:val="en-US" w:eastAsia="zh-CN" w:bidi="ar"/>
              </w:rPr>
              <w:t>1、教师椅尺寸：≥570*590*900mm</w:t>
            </w:r>
            <w:r>
              <w:rPr>
                <w:rStyle w:val="23"/>
                <w:color w:val="000000"/>
                <w:lang w:val="en-US" w:eastAsia="zh-CN" w:bidi="ar"/>
              </w:rPr>
              <w:br w:type="textWrapping"/>
            </w:r>
            <w:r>
              <w:rPr>
                <w:rStyle w:val="23"/>
                <w:color w:val="000000"/>
                <w:lang w:val="en-US" w:eastAsia="zh-CN" w:bidi="ar"/>
              </w:rPr>
              <w:t>2、背靠：工程料PP+纤维 。塑料家具中邻苯酸二甲酯（DBP、BBP、DEHP、DINP、DNOP、DIDP），均未检出；有害物质限量-重金属（铅、镉、铬、汞），均未检出。符合GB 28481-2012《塑料家具中有害物质限量》、HJ 2547-2016《环境标志产品技术要求家具》的要求。</w:t>
            </w:r>
            <w:r>
              <w:rPr>
                <w:rStyle w:val="23"/>
                <w:color w:val="000000"/>
                <w:lang w:val="en-US" w:eastAsia="zh-CN" w:bidi="ar"/>
              </w:rPr>
              <w:br w:type="textWrapping"/>
            </w:r>
            <w:r>
              <w:rPr>
                <w:rStyle w:val="23"/>
                <w:color w:val="000000"/>
                <w:lang w:val="en-US" w:eastAsia="zh-CN" w:bidi="ar"/>
              </w:rPr>
              <w:t>3、扶手：固定扶手。</w:t>
            </w:r>
            <w:r>
              <w:rPr>
                <w:rStyle w:val="23"/>
                <w:color w:val="000000"/>
                <w:lang w:val="en-US" w:eastAsia="zh-CN" w:bidi="ar"/>
              </w:rPr>
              <w:br w:type="textWrapping"/>
            </w:r>
            <w:r>
              <w:rPr>
                <w:rStyle w:val="23"/>
                <w:color w:val="000000"/>
                <w:lang w:val="en-US" w:eastAsia="zh-CN" w:bidi="ar"/>
              </w:rPr>
              <w:t>4、面料：网布、座布料。</w:t>
            </w:r>
            <w:r>
              <w:rPr>
                <w:rStyle w:val="23"/>
                <w:color w:val="000000"/>
                <w:lang w:val="en-US" w:eastAsia="zh-CN" w:bidi="ar"/>
              </w:rPr>
              <w:br w:type="textWrapping"/>
            </w:r>
            <w:r>
              <w:rPr>
                <w:rStyle w:val="23"/>
                <w:color w:val="000000"/>
                <w:lang w:val="en-US" w:eastAsia="zh-CN" w:bidi="ar"/>
              </w:rPr>
              <w:t xml:space="preserve">  网布无异味，抗引燃特性（阴燃的香烟）达到阻燃I级，符合GB17927.1-2011《软体家具 床垫和沙发 抗引燃特性的评定 第1部分：阴燃的香烟》的要求。甲醛含量，未检出；PH值达到5.8。染色牢度（耐水、耐酸、耐碱、耐干摩擦），变色达到5级，沾色达到5级；符合GB 18401-2010《国家纺织产品基本安全技术规范》的标准要求。防霉性能-黄曲霉达到0级，符合GB/T24346-2009的要求。</w:t>
            </w:r>
            <w:r>
              <w:rPr>
                <w:rStyle w:val="23"/>
                <w:color w:val="000000"/>
                <w:lang w:val="en-US" w:eastAsia="zh-CN" w:bidi="ar"/>
              </w:rPr>
              <w:br w:type="textWrapping"/>
            </w:r>
            <w:r>
              <w:rPr>
                <w:rStyle w:val="23"/>
                <w:color w:val="000000"/>
                <w:lang w:val="en-US" w:eastAsia="zh-CN" w:bidi="ar"/>
              </w:rPr>
              <w:t xml:space="preserve">  布料无异味；PH值-A类达到5.7。座布需符合GB/T24346-2009、GB17927.1-2011、GB18401-2010及《2024年家具及人造板产品抽样检验实施方案》的标准要求。染色牢度-耐水：变色5级，沾色5级；染色牢度-耐酸汗渍：变色5级，沾色5级；染色牢度-耐碱汗渍：变色5级，沾色5级；染色牢度-耐干摩擦：5级；染色牢度-耐唾液：变色5级，沾色5级。甲醛含量-A类，未检出。抗引燃特性-阴燃的香烟，达到阻燃I级；防霉性能-黄曲霉达到0级。</w:t>
            </w:r>
            <w:r>
              <w:rPr>
                <w:rStyle w:val="23"/>
                <w:color w:val="000000"/>
                <w:lang w:val="en-US" w:eastAsia="zh-CN" w:bidi="ar"/>
              </w:rPr>
              <w:br w:type="textWrapping"/>
            </w:r>
            <w:r>
              <w:rPr>
                <w:rStyle w:val="23"/>
                <w:color w:val="000000"/>
                <w:lang w:val="en-US" w:eastAsia="zh-CN" w:bidi="ar"/>
              </w:rPr>
              <w:t>5、坐垫：高回弹海绵，无严重污渍，外观颜色基本均匀。符合GB/T6343-2009、GB/T10802-2023、QB/T2280-2016、GB17927.1-2011、GB18587-2001及《2024年家具及人造板产品抽样检验实施方案》的标准要求。不应有尺寸大于6mm的对穿孔和尺寸大于10mm的气孔。65%/25%压陷比≥4.2；75%压缩永久变形≤1.6%；回弹率≥60%；拉伸强度≥184 KPa；断裂伸长率≥259%；撕裂强度≥6.2N/cm；抗引燃特性-阴燃的香烟，达到阻燃I级；甲醛释放量≤0.034mg/㎡h；TVOC未检出；40%压陷硬度达到205N。</w:t>
            </w:r>
            <w:r>
              <w:rPr>
                <w:rStyle w:val="23"/>
                <w:color w:val="000000"/>
                <w:lang w:val="en-US" w:eastAsia="zh-CN" w:bidi="ar"/>
              </w:rPr>
              <w:br w:type="textWrapping"/>
            </w:r>
            <w:r>
              <w:rPr>
                <w:rStyle w:val="23"/>
                <w:color w:val="000000"/>
                <w:lang w:val="en-US" w:eastAsia="zh-CN" w:bidi="ar"/>
              </w:rPr>
              <w:t>6、气杆：黑色气杆。气压棒需符合GB/T3325-2017、GB/T29525-2013、QB/T2280-2016及《2024年家具及人造板产品抽样检验实施方案》的标准要求。涂层应无漏喷、锈蚀和脱色、掉色现象，涂层光滑均匀、色泽一致，无流挂、疙瘩、皱皮、飞漆等缺陷。气弹簧锁定在任意位置，经72h常温储存后，活塞杆不应产生位移。经高低温性能试验后的气弹簧，再经6*10</w:t>
            </w:r>
            <w:r>
              <w:rPr>
                <w:rStyle w:val="24"/>
                <w:rFonts w:eastAsia="宋体"/>
                <w:color w:val="000000"/>
                <w:lang w:val="en-US" w:eastAsia="zh-CN" w:bidi="ar"/>
              </w:rPr>
              <w:t>⁴</w:t>
            </w:r>
            <w:r>
              <w:rPr>
                <w:rStyle w:val="23"/>
                <w:color w:val="000000"/>
                <w:lang w:val="en-US" w:eastAsia="zh-CN" w:bidi="ar"/>
              </w:rPr>
              <w:t>次循环寿命（当行程≤60mm时，按实际行程；当行程＞60mm时，按60mm行程）试验后，公称力Fa的总衰减量不大于1.9%。</w:t>
            </w:r>
            <w:r>
              <w:rPr>
                <w:rStyle w:val="23"/>
                <w:color w:val="000000"/>
                <w:lang w:val="en-US" w:eastAsia="zh-CN" w:bidi="ar"/>
              </w:rPr>
              <w:br w:type="textWrapping"/>
            </w:r>
            <w:r>
              <w:rPr>
                <w:rStyle w:val="23"/>
                <w:color w:val="000000"/>
                <w:lang w:val="en-US" w:eastAsia="zh-CN" w:bidi="ar"/>
              </w:rPr>
              <w:t>7、椅脚：黑色五星PP脚。</w:t>
            </w:r>
            <w:r>
              <w:rPr>
                <w:rStyle w:val="23"/>
                <w:color w:val="000000"/>
                <w:lang w:val="en-US" w:eastAsia="zh-CN" w:bidi="ar"/>
              </w:rPr>
              <w:br w:type="textWrapping"/>
            </w:r>
            <w:r>
              <w:rPr>
                <w:rStyle w:val="23"/>
                <w:color w:val="000000"/>
                <w:lang w:val="en-US" w:eastAsia="zh-CN" w:bidi="ar"/>
              </w:rPr>
              <w:t>8、椅轮：黑色PU轮，轮面光洁，无裂痕、伤痕、毛边，转动灵活无卡滞、松脱。脚轮符合GB/T3325-2017、GB/T10125-2021、GB/T31402-2023、QB/T4765-2014、QB/T3827-1999、QB/T3832-1999及《2024年家具及人造板产品抽样检验实施方案》的标准要求。脚轮零部件之间装配牢固，轮轴不随车轮转动。抗冲击性：试验后，脚轮的零部件不应出现分离和松动，脚轮的滚动、旋转和制动等功能不应受到损伤。动载荷：试验后，脚轮的零部件不应出现分离和松动，脚轮的滚动、旋转和制动等功能不应受到损伤。滚动阻力≤18。乙酸盐雾（ASS）试验连续喷雾300h，镀（涂）层本身的耐腐蚀顶级：10级，镀（涂）层对基体的保护等级：10级。乙酸盐雾（AASS）24h，镀（涂）层本身的耐腐蚀顶级：10级，镀（涂）层对基体的保护等级：10级。抗菌性能值（鲍曼不动杆菌）达到3.6。抑菌率（鲍曼不动杆菌）达到99.98%。</w:t>
            </w:r>
          </w:p>
        </w:tc>
      </w:tr>
      <w:tr w14:paraId="1FAF2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A81F5">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nil"/>
              <w:right w:val="single" w:color="000000" w:sz="4" w:space="0"/>
            </w:tcBorders>
            <w:noWrap w:val="0"/>
            <w:vAlign w:val="center"/>
          </w:tcPr>
          <w:p w14:paraId="212D7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乌兰县第二中学（LED电子屏）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7548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显示系统（户外)</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5F2A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约14</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D3FB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72515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1.LED显示屏为保证有效提高信号传输、直流供电稳定性，镀金厚度≥50μ；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2.LED显示屏依据GB/T5169.16-2017标准进行测试，PCB板（主板、模组等）、单元塑料面板料（面罩等）及单元整体防火阻燃满足V-0等级要求级；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3.LED显示屏具备现场屏体开关机次数及使用时长记录，以及对现场温湿度的监测反馈，并形成数据保存周期为100天以上，并可在控制软件端提取数据，保证用户实时了解现场屏体及使用环境情况；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1.LED封装形式：SMD1415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2.物理点间距：2.5mm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3.分辨率：160000点/m²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4.国产优质铜线/高刷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5.发光点颜色组合：1R1G1B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6.模组分辨率：128×64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7.模组尺寸（宽×高）（mm）：320×160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8.箱体分辨率：384×384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9.箱体尺寸（宽×高）（mm）：960×960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10.箱体重量：≤30Kg/m²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11.工作电压：DC+3.8V~+5V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1.最佳视距：≥7.5m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2.水平视角：≥170°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3.垂直视角：≥170°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4.维护方式：后维护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5.显示卡：DVI/HDMI/DP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6.视频信号：兼容PAL/NTSC/SECAM制式,支持S-Video；VGA；RGB；CompoSiteVideo；SDI；DVI；RF；RGBHV；YUV；YC等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7.控制方式：同步控制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8.驱动器件：恒流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9.刷新频率：≥3840Hz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10.换帧频率：≥60Hz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11.扫描方式：16S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12.亮度：≥5000CD/m²（可调）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13.灰度/颜色：281万亿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14.对比度：≥10000：1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15.衰减率（工作三年）：≤15%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16.亮度调节方式：软件0到255无级调节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17.平均无故障时间：≥20000H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18.寿命：≥100000H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19.杂点率：≤1/100000且无连续失控点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20.软件：专业LED显示屏系统节目编制软件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21.环境温度：存储-35℃~+85℃，工作－20℃~+50℃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22.环境湿度：10%~80%无凝结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23.工作电压（AC）：220V±10%/50Hz或者110V±10%/60Hz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24.平均功耗：≤300W/m²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25.峰值功耗：≤1000W/m²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26.安装箱体规格：简易钣金箱体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27.颜色均匀性：≥99%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28.防护等级：正面IP65</w:t>
            </w:r>
          </w:p>
        </w:tc>
      </w:tr>
      <w:tr w14:paraId="2A472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84C1F">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582F91E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505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发送盒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1B8C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8B59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47171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控制设备，具备强大的视频信号接收、拼接和处理能力，最大可接收1920*1200像素的高清数字信号，支持HDMI、DVI等数字接口，多路信号间无缝切换，具备一系列丰富实用的功能，提供灵活的屏幕控制和高品质的图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1.最大带载260万像素，最大宽度4096像素，最大高度2560像素；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2.具备最大输入分辨率1920×1200@60Hz，支持控制范围内自定义分辨率设置；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3.具备对视频信号任意切换，裁剪，拼接，缩放；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4.具备画面偏移；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5.具备独立音频输入；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6.具备HDCP高带宽数字内容保护技术；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7.具备亮度和色温调节；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8.具备USB接口控制或级联；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9.具备低亮高灰，能有效地保持低亮下灰阶的完整并完美显示；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1.HDMI 1.4×1：最大支持输入分辨率1920×1200@60Hz，支持自定义分辨率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2.DVI×2：最大支持输入分辨率1920×1200@60Hz，支持自定义分辨率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3.AUDIO IN×1：音频输入，搭配多功能卡使用（选配）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4.Port×4：RJ45，4路千兆网口输出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5.USB IN×1：USB输入，连接电脑，用于调试参数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6.USB OUT×1：USB输出，用于设备之间级联控制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7.工作电源：AC100V~240V，50/60Hz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8.设备尺寸：约482.6mm×262.0mm×44.0mm（长×宽×高）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9.设备净重：约2.0Kg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10.额定功率：10W</w:t>
            </w:r>
          </w:p>
        </w:tc>
      </w:tr>
      <w:tr w14:paraId="2BD7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9D187">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22F9D0D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64D2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收发器</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DAC9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2332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30CCF4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采用分布反馈式激光器，单模双芯工作方式，数据传输速率高达2.5Gb/s，传输距离15千米，采用双工LC光纤接口，传输多源数据包，支持热插拔，无需任何驱动，连接即可使用。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1.分布反馈式激光器。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2.单模双芯工作方式。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3.数据传输速率高达2.5Gb/s。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4.传输距离15千米。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5.采用双工LC光纤接口，传输多源数据包。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6.支持热插拔，无需任何驱动，连接即可使用。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7.采用保障眼睛安全的设计，达到了激光一级标准。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1.尺寸（mm）：约128.5×99.6×28.3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2.工作电压：DC5V/2A</w:t>
            </w:r>
          </w:p>
        </w:tc>
      </w:tr>
      <w:tr w14:paraId="6A044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0D39D">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228F7B34">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6260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配电柜20KW</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7500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99ED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188EA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PLC作为控制单元，配以上位机软件对负载输出进行灵活控制，使用时可通过上位机监控画面进行点动控制，同时可通过软件的定时功能实现“无人值守”式工作，提升了产品的智能性，能适应各种复杂运用场景。可对接中控，实现集中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1.具备过流、短路、断路、过载、浪涌等全方位电气保护措施；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2.具备实体按键、手持遥控器、电脑远控等多种控制方式，快捷方便，实体按键和手持遥控器仅对整个电箱同时上下电，其中手持遥控器在空旷距离下控制距离可达800米；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3.具备单台、集群管理功能，采用RS485 有线以太网等多种远程通信端口，在局域网内任意一台电脑进行控制；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4.具备设置4组开关时间，支持每天定时通电和断电功能，设定完成后系统自动循环，满足不同场合的管理需求；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5.具备通过PLC软件实现实时温度、湿度监测，实时烟雾监测，高温、高湿、烟雾告警自动断电；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6.具备触发告警后，电脑自动强制弹屏提示，PLC模块、电脑蜂鸣器长鸣等多种告警方式；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7.具备继电器回路整体上下电，也可通过PLC软件单独控制每个接触器的上下电；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8.内置避雷器，具有避雷防雷功能，B级防雷；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9.内置10A-16A备用三孔万能插座；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1.额定功率：20KW，输出路数：6路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2.输入电压：三相五线制AC380V±10％，频率50Hz±5％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3.输出电压：单相220VAC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4.交流接触器：（额定电流32A）*2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5.额定电流：33.34A，主断路器电流：63A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6.控制方式：PLC远程控制+手动控制+定时控制+中控控制+遥控控制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7.温度测量范围：-40~+85℃，±0.3℃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8.湿度测量范围：0~100%RH，±2%RH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9.烟雾探头：红外线光电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10.工作环境湿度：0%—95%RH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11.工作环境温度：‐10℃~+80℃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12.外壳防护等级：IP30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13.箱体尺寸（高*宽*厚）：约500mm*400mm*160mm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14.设备重量：≤13Kg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15.设备材质：冷扎钢加烤漆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16.安装方式：壁挂式</w:t>
            </w:r>
          </w:p>
        </w:tc>
      </w:tr>
      <w:tr w14:paraId="12F2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8BC64">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06B9D094">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38D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7407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1F85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0D47F6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单冷1.5P，带自动记忆上电功能</w:t>
            </w:r>
          </w:p>
        </w:tc>
      </w:tr>
      <w:tr w14:paraId="0B6B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B9A8E">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3AB50ED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C801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轴流风机</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043D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E030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0CBA07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1）规格不大于480mm*480mm；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2）输入电压：220V；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3）转速1350r/min。</w:t>
            </w:r>
          </w:p>
        </w:tc>
      </w:tr>
      <w:tr w14:paraId="5C30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3CDE1">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7156ED1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5C7F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8CB2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A6AC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3824F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室内钢结构设计,采用Q235B国标材料，最终以施工图纸为准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尺寸：约8.42*4.9m与5*3.08m</w:t>
            </w:r>
          </w:p>
        </w:tc>
      </w:tr>
      <w:tr w14:paraId="5F558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54C58">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07A7E63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1814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资源主机</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08E6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CFFB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1D508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1.CPU：≥I7-14700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2.主板：因特尔600系列及以上商用芯片组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3.内存：≥16GB DDR4 3200MHz 内存，提供2个内存槽位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4.显卡：集成显卡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5.声卡：集成声卡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6.硬盘：≥1TB M.2 NVME SSD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7.网卡：集成10/100/1000M以太网卡；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8.扩展槽：1个PCI-E*16、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9.键盘、鼠标：USB原厂防水键盘、抗菌鼠标；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10.接口：≥6个USB接口、1*VGA接口、1*HDMI接口（VGA非转接）；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11.显示器：≥23.8英寸屏，1920*1080全高清分辨率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12.电源：≥ 260W 节能电源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13.预装正版操作系统</w:t>
            </w:r>
          </w:p>
        </w:tc>
      </w:tr>
      <w:tr w14:paraId="2C9C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E1114">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7E41831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4BE6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显示系统（户内)</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2194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约40</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1BA7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4EA2C5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1.LED显示屏灯珠采用表贴三合一铜线封装；LED封装形式：SMD1515黑灯；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2.LED显示屏采用≤1.86mm点间距；分辨率：288906点/m²;模组分辨率：172×86;箱体分辨率：344×258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3.LED显示屏采用CNC一体成型压铸铝箱体；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4.LED显示屏单元箱体宽度为640mm，高度为480mm，含显示模组厚度≤31.5mm；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显示屏模组采用无塑料底壳套件设计，压铸铝箱体与PCB线路板直接接触，PCB线路板边缘直接接触压铸箱四边接触面可提高导热性能，相比带塑胶套件底壳能够更好地解决色彩漂移问题，并保证因导热而影响屏体加速老化、减少使用寿命等现象，产品在正常播放视频状态下点亮5分钟后的产品表面温度升幅≤5℃，点亮10分钟后其温度升幅≤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LED显示屏单元模组与单元箱体之间采用工业级精密无线连接器，具备微调纠偏能力，连接更稳定，以模组为单位可对整屏拼缝进行精细调节，避免模组间因拼缝产生亮暗线效果，箱体内部看不到信号排线、低压电源线，可带电直接插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7.LED显示屏采用非接触式磁悬浮前维护设计，可正面拆卸模组、接收卡、电源等低压器件，具备热插拔能力；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8.LED显示屏符合等同或优于IP5X防护等级；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9.LED显示屏箱体底部采用定位柱凸台设计，可有效的避免在安装及搬运过程中避免模组与地面接触导致磕碰掉灯现象；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LED显示屏为了保障现场安装屏体的水平角度、垂直角度、平整度、提高客户的最终观看体验，LED箱体内部具备水平、垂直检测模块，现场可直观的对水平、垂直角度进行校正，保障项目施工过程中LED箱体结构安装的水平度、垂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11.LED显示屏开关电源具备PFC功能，功率因素≥0.95，电源效率≥91%@25℃，并具有过流、短路、过压、欠压的保护功能；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12.LED显示屏亮度可达到200-800CD/m²，可通过配套软件0-100%调节，设置亮度定时调节；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LED显示屏对比度≥10000：1；LED显示屏杂点率≤1/100000且无连续失控点；LED显示屏亮度均匀性≥99%；LED显示色度均匀性±0.001Cx,Cy之内；LED显示屏像素中心距相对偏差≤1%；LED显示屏观看水平/垂直视角≥175°；LED显示屏平均故障恢复时间（MTTR）≤2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14.LED显示屏刷新频率≥4200Hz，可通过配套控制软件调节刷新率设置选项；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15.LED显示屏色温100K-20000K连续可调，可设冷色、暖色、标准等多档白场调节,色温为8500K时，100%、75%、50%、25%四档电平白场调节色温误差≤100K；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16.LED显示屏峰值功耗为≤500W/㎡；LED显示屏平均功耗为≤125W/㎡；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LED显示屏为防止金属离子迁移、线路短路现象，PCB采用FR-4四层板同等级或更高材料，PCB导线更宽、导线间距和过孔间距更大，能更好的杜绝模块黑屏、显示异常、灯珠缺色、毛毛虫等现象，表面沉金处理，板厚≥1.6mm，铜厚≥1盎司，TG≥150℃，PCB板表面具备防潮/防尘/防静电/抗氧化，防霉等级≤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18.LED显示屏依据GB/T 5169.16-2017标准，测试温度在650℃，时间30秒，样品燃烧火焰或熔融物应该在灼热丝测试结束后30秒内熄灭，并且样品燃烧的火焰或熔融物滴落时不能使下方的测试纸燃烧，（PCB板、线材、电源、连接件）阻燃等级达到V-0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19.LED显示屏符合EMCCLASSB抗干扰能力，要求运行稳定不受外界各射频电磁场的干扰；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20.LED显示屏箱体背面带测试按键，可实现红、绿、蓝、白四种单色显示，横扫、竖扫等方式扫描显示，无需拆掉箱体正面模组在箱体内部按键才能进行此种测试功能；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21.LED显示屏具备单电源漏电电流≤0.3mA，杜绝多个电源形成的漏电电流对上级电箱造成跳闸等风险；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22.LED显示屏具备低蓝光模式，可在控制软件中选择30%、40%、70%三挡调节显示屏蓝光输出；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1.最佳视距：≥5.5m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2.水平视角：≥175°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3.垂直视角：≥175°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4.维护方式：前维护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5.控制方式：同步控制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6.驱动器件：恒流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7.刷新频率：≥4200Hz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8.换帧频率：≥60Hz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9.扫描方式：58S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10.亮度：200-800CD/m²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11.灰度等级：12/14/16/18bit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12.对比度：≥10000:1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13.衰减率（工作三年）：≤15%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14.亮度调节方式：通过配套软件0-100％调节；支持自动/手动，支持设置亮度定时调节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15.平均无故障时间：≥20000H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16.寿命：≥100000H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17.杂点率：≤1/100000且无连续失控点</w:t>
            </w:r>
          </w:p>
        </w:tc>
      </w:tr>
      <w:tr w14:paraId="34E6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0A2DD1">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54C0A19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6D12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专业主控</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C0D8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AF81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1E63BE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1.具备带载面积≥1300万像素，宽度≥16384点，高度≥8192点；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2.具备输入分辨率≥4096×2160@60Hz，支持控制范围内自定义分辨率设置；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3.具备对视频信号任意切换，裁剪，拼接，缩放；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4.具备≥6画面显示，位置、大小可自由调节；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5.具备独立音频输入和音频输出及HDMI和DP音频解析输出；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6.具备亮度和色温调节；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7.具备精确颜色管理，调整显示屏色域；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8.具备视频同步锁相技术；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9.具备≥1路HDMI 2.0输入接口，≥1路DP 1.2输入接口，≥2路HDMI 1.4输入接口，≥2路DVI输入接口，≥1路音频输入接口；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10.具备≥20路网口输出接口，≥1路音频输出接口；</w:t>
            </w:r>
          </w:p>
        </w:tc>
      </w:tr>
      <w:tr w14:paraId="5E6E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0FCCB">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19D9F492">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0BC9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配电柜30kW</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AF8F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346E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5D4892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1.额定功率：≥30kW，输出路数：≥9路；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2.输入电压：三相五线制AC380V±10%，频率50Hz±5%；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3.输出电压：单相220VAC；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4.具备过流、短路、断路、过载、浪涌电气保护措施；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5.具备实体按键、手持遥控器、电脑远控多种控制方式；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6.具备单台、集群管理功能，采用RS485有线以太网远程通信端口，在局域网内任意一台电脑进行控制；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7.具备设置≥4组开关时间，支持每天定时通电和断电功能；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8.具备通过PLC软件实现实时温度、湿度监测，实时烟雾监测，高温、高湿、烟雾告警自动断电；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9.具备触发告警后，电脑自动强制弹屏提示，PLC模块、电脑蜂鸣器长鸣多种告警方式；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10.具备继电器回路整体上下电，也可通过PLC软件单独控制每个接触器的上下电；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11.内置避雷器，具有避雷防雷功能；</w:t>
            </w:r>
          </w:p>
        </w:tc>
      </w:tr>
      <w:tr w14:paraId="14FC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CBDD2">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0D9B9833">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857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施工与辅材</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8A2E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9F27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52857E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动力电缆、电源线与布线等所有辅材。</w:t>
            </w:r>
          </w:p>
        </w:tc>
      </w:tr>
      <w:tr w14:paraId="72C7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83" w:type="dxa"/>
            <w:gridSpan w:val="6"/>
            <w:tcBorders>
              <w:top w:val="single" w:color="000000" w:sz="4" w:space="0"/>
              <w:left w:val="single" w:color="000000" w:sz="4" w:space="0"/>
              <w:bottom w:val="single" w:color="000000" w:sz="4" w:space="0"/>
              <w:right w:val="single" w:color="000000" w:sz="4" w:space="0"/>
            </w:tcBorders>
            <w:noWrap w:val="0"/>
            <w:vAlign w:val="center"/>
          </w:tcPr>
          <w:p w14:paraId="035649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0C54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83" w:type="dxa"/>
            <w:gridSpan w:val="6"/>
            <w:tcBorders>
              <w:top w:val="nil"/>
              <w:left w:val="nil"/>
              <w:bottom w:val="nil"/>
              <w:right w:val="nil"/>
            </w:tcBorders>
            <w:noWrap w:val="0"/>
            <w:vAlign w:val="center"/>
          </w:tcPr>
          <w:p w14:paraId="0DE91B2F">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p>
        </w:tc>
      </w:tr>
    </w:tbl>
    <w:p w14:paraId="12CEFC3B">
      <w:pPr>
        <w:rPr>
          <w:rFonts w:hint="eastAsia"/>
          <w:lang w:eastAsia="zh-CN"/>
        </w:rPr>
      </w:pPr>
    </w:p>
    <w:p w14:paraId="5E63518E">
      <w:pPr>
        <w:rPr>
          <w:rFonts w:hint="eastAsia"/>
          <w:lang w:eastAsia="zh-CN"/>
        </w:rPr>
      </w:pPr>
    </w:p>
    <w:p w14:paraId="6E3568D4">
      <w:pPr>
        <w:rPr>
          <w:rFonts w:hint="eastAsia"/>
          <w:lang w:eastAsia="zh-CN"/>
        </w:rPr>
      </w:pPr>
    </w:p>
    <w:p w14:paraId="504D6ECB">
      <w:pPr>
        <w:rPr>
          <w:rFonts w:hint="eastAsia"/>
          <w:lang w:eastAsia="zh-CN"/>
        </w:rPr>
      </w:pPr>
    </w:p>
    <w:p w14:paraId="496FF3E8">
      <w:pPr>
        <w:rPr>
          <w:rFonts w:hint="eastAsia"/>
          <w:lang w:eastAsia="zh-CN"/>
        </w:rPr>
      </w:pPr>
    </w:p>
    <w:p w14:paraId="6DBEDD70">
      <w:pPr>
        <w:rPr>
          <w:rFonts w:hint="eastAsia"/>
          <w:lang w:eastAsia="zh-CN"/>
        </w:rPr>
      </w:pPr>
    </w:p>
    <w:p w14:paraId="58C724BA">
      <w:pPr>
        <w:rPr>
          <w:rFonts w:hint="eastAsia"/>
          <w:lang w:eastAsia="zh-CN"/>
        </w:rPr>
      </w:pPr>
    </w:p>
    <w:p w14:paraId="0F6BA4DE">
      <w:pPr>
        <w:rPr>
          <w:rFonts w:hint="eastAsia"/>
          <w:lang w:eastAsia="zh-CN"/>
        </w:rPr>
      </w:pPr>
    </w:p>
    <w:p w14:paraId="7739FB1B">
      <w:pPr>
        <w:rPr>
          <w:rFonts w:hint="eastAsia"/>
          <w:lang w:eastAsia="zh-CN"/>
        </w:rPr>
      </w:pPr>
    </w:p>
    <w:p w14:paraId="69FE041C">
      <w:pPr>
        <w:rPr>
          <w:rFonts w:hint="eastAsia"/>
          <w:lang w:eastAsia="zh-CN"/>
        </w:rPr>
      </w:pPr>
    </w:p>
    <w:p w14:paraId="4A8ED6DC">
      <w:pPr>
        <w:rPr>
          <w:rFonts w:hint="eastAsia"/>
          <w:lang w:eastAsia="zh-CN"/>
        </w:rPr>
      </w:pPr>
    </w:p>
    <w:p w14:paraId="6EF3A16A">
      <w:pPr>
        <w:rPr>
          <w:rFonts w:hint="eastAsia"/>
          <w:lang w:eastAsia="zh-CN"/>
        </w:rPr>
      </w:pPr>
    </w:p>
    <w:p w14:paraId="2BEC4841">
      <w:pPr>
        <w:rPr>
          <w:rFonts w:hint="eastAsia"/>
          <w:lang w:eastAsia="zh-CN"/>
        </w:rPr>
      </w:pPr>
    </w:p>
    <w:p w14:paraId="42B605CC">
      <w:pPr>
        <w:rPr>
          <w:rFonts w:hint="eastAsia"/>
          <w:lang w:eastAsia="zh-CN"/>
        </w:rPr>
      </w:pPr>
    </w:p>
    <w:p w14:paraId="1D2EE499">
      <w:pPr>
        <w:rPr>
          <w:rFonts w:hint="eastAsia"/>
          <w:lang w:eastAsia="zh-CN"/>
        </w:rPr>
      </w:pPr>
    </w:p>
    <w:p w14:paraId="0370FFB0">
      <w:pPr>
        <w:rPr>
          <w:rFonts w:hint="eastAsia"/>
          <w:lang w:eastAsia="zh-CN"/>
        </w:rPr>
      </w:pPr>
    </w:p>
    <w:p w14:paraId="53ADC2E0">
      <w:pPr>
        <w:rPr>
          <w:rFonts w:hint="eastAsia"/>
          <w:lang w:eastAsia="zh-CN"/>
        </w:rPr>
      </w:pPr>
    </w:p>
    <w:p w14:paraId="0473BC23">
      <w:pPr>
        <w:rPr>
          <w:rFonts w:hint="eastAsia"/>
          <w:lang w:eastAsia="zh-CN"/>
        </w:rPr>
      </w:pPr>
    </w:p>
    <w:p w14:paraId="3B813B94">
      <w:pPr>
        <w:rPr>
          <w:rFonts w:hint="eastAsia"/>
          <w:lang w:eastAsia="zh-CN"/>
        </w:rPr>
      </w:pPr>
    </w:p>
    <w:p w14:paraId="770B6AE7">
      <w:pPr>
        <w:rPr>
          <w:rFonts w:hint="eastAsia"/>
          <w:lang w:eastAsia="zh-CN"/>
        </w:rPr>
      </w:pPr>
    </w:p>
    <w:p w14:paraId="22A8A655">
      <w:pPr>
        <w:rPr>
          <w:rFonts w:hint="eastAsia"/>
          <w:lang w:eastAsia="zh-CN"/>
        </w:rPr>
      </w:pPr>
    </w:p>
    <w:p w14:paraId="1A60BF61">
      <w:pPr>
        <w:rPr>
          <w:rFonts w:hint="eastAsia"/>
          <w:lang w:eastAsia="zh-CN"/>
        </w:rPr>
      </w:pPr>
    </w:p>
    <w:p w14:paraId="18DD08CC">
      <w:pPr>
        <w:rPr>
          <w:rFonts w:hint="eastAsia"/>
          <w:lang w:eastAsia="zh-CN"/>
        </w:rPr>
      </w:pPr>
    </w:p>
    <w:p w14:paraId="06DDA087">
      <w:pPr>
        <w:rPr>
          <w:rFonts w:hint="eastAsia"/>
          <w:lang w:eastAsia="zh-CN"/>
        </w:rPr>
      </w:pPr>
    </w:p>
    <w:p w14:paraId="6AA93C43">
      <w:pPr>
        <w:rPr>
          <w:rFonts w:hint="eastAsia"/>
          <w:lang w:eastAsia="zh-CN"/>
        </w:rPr>
      </w:pPr>
    </w:p>
    <w:p w14:paraId="1892D549">
      <w:pPr>
        <w:rPr>
          <w:rFonts w:hint="eastAsia"/>
          <w:lang w:eastAsia="zh-CN"/>
        </w:rPr>
      </w:pPr>
    </w:p>
    <w:p w14:paraId="158F73F2">
      <w:pPr>
        <w:rPr>
          <w:rFonts w:hint="eastAsia"/>
          <w:lang w:eastAsia="zh-CN"/>
        </w:rPr>
      </w:pPr>
    </w:p>
    <w:p w14:paraId="5329936A">
      <w:pPr>
        <w:rPr>
          <w:rFonts w:hint="eastAsia"/>
          <w:lang w:eastAsia="zh-CN"/>
        </w:rPr>
      </w:pPr>
    </w:p>
    <w:p w14:paraId="761A2EFB">
      <w:pPr>
        <w:rPr>
          <w:rFonts w:hint="eastAsia"/>
          <w:lang w:eastAsia="zh-CN"/>
        </w:rPr>
      </w:pPr>
    </w:p>
    <w:p w14:paraId="24982326">
      <w:pPr>
        <w:rPr>
          <w:rFonts w:hint="eastAsia"/>
          <w:lang w:eastAsia="zh-CN"/>
        </w:rPr>
      </w:pPr>
    </w:p>
    <w:tbl>
      <w:tblPr>
        <w:tblStyle w:val="16"/>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2"/>
        <w:gridCol w:w="616"/>
        <w:gridCol w:w="816"/>
        <w:gridCol w:w="620"/>
        <w:gridCol w:w="586"/>
        <w:gridCol w:w="5540"/>
      </w:tblGrid>
      <w:tr w14:paraId="6FDE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8610" w:type="dxa"/>
            <w:gridSpan w:val="6"/>
            <w:tcBorders>
              <w:top w:val="nil"/>
              <w:left w:val="nil"/>
              <w:bottom w:val="nil"/>
              <w:right w:val="nil"/>
            </w:tcBorders>
            <w:noWrap w:val="0"/>
            <w:vAlign w:val="center"/>
          </w:tcPr>
          <w:p w14:paraId="2FC9DEF6">
            <w:pPr>
              <w:keepNext w:val="0"/>
              <w:keepLines w:val="0"/>
              <w:widowControl/>
              <w:suppressLineNumbers w:val="0"/>
              <w:jc w:val="center"/>
              <w:textAlignment w:val="center"/>
              <w:rPr>
                <w:rFonts w:hint="default" w:ascii="宋体" w:hAnsi="宋体" w:eastAsia="宋体" w:cs="宋体"/>
                <w:b/>
                <w:bCs/>
                <w:i w:val="0"/>
                <w:iCs w:val="0"/>
                <w:color w:val="000000"/>
                <w:sz w:val="44"/>
                <w:szCs w:val="44"/>
                <w:u w:val="none"/>
                <w:lang w:val="en-US"/>
              </w:rPr>
            </w:pPr>
            <w:r>
              <w:rPr>
                <w:rFonts w:hint="eastAsia" w:ascii="宋体" w:hAnsi="宋体" w:eastAsia="宋体" w:cs="宋体"/>
                <w:b/>
                <w:bCs/>
                <w:i w:val="0"/>
                <w:iCs w:val="0"/>
                <w:color w:val="000000"/>
                <w:kern w:val="0"/>
                <w:sz w:val="44"/>
                <w:szCs w:val="44"/>
                <w:u w:val="none"/>
                <w:lang w:val="en-US" w:eastAsia="zh-CN" w:bidi="ar"/>
              </w:rPr>
              <w:t>乌兰县中小学巡课系统及平安校园智能监控系统设备采购项目清单及参数（包</w:t>
            </w:r>
            <w:r>
              <w:rPr>
                <w:rFonts w:hint="eastAsia" w:ascii="宋体" w:hAnsi="宋体" w:cs="宋体"/>
                <w:b/>
                <w:bCs/>
                <w:i w:val="0"/>
                <w:iCs w:val="0"/>
                <w:color w:val="000000"/>
                <w:kern w:val="0"/>
                <w:sz w:val="44"/>
                <w:szCs w:val="44"/>
                <w:u w:val="none"/>
                <w:lang w:val="en-US" w:eastAsia="zh-CN" w:bidi="ar"/>
              </w:rPr>
              <w:t>二</w:t>
            </w:r>
            <w:r>
              <w:rPr>
                <w:rFonts w:hint="eastAsia" w:ascii="宋体" w:hAnsi="宋体" w:eastAsia="宋体" w:cs="宋体"/>
                <w:b/>
                <w:bCs/>
                <w:i w:val="0"/>
                <w:iCs w:val="0"/>
                <w:color w:val="000000"/>
                <w:kern w:val="0"/>
                <w:sz w:val="44"/>
                <w:szCs w:val="44"/>
                <w:u w:val="none"/>
                <w:lang w:val="en-US" w:eastAsia="zh-CN" w:bidi="ar"/>
              </w:rPr>
              <w:t>）</w:t>
            </w:r>
          </w:p>
        </w:tc>
      </w:tr>
      <w:tr w14:paraId="6E86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2" w:type="dxa"/>
            <w:tcBorders>
              <w:top w:val="nil"/>
              <w:left w:val="nil"/>
              <w:bottom w:val="nil"/>
              <w:right w:val="nil"/>
            </w:tcBorders>
            <w:noWrap w:val="0"/>
            <w:vAlign w:val="center"/>
          </w:tcPr>
          <w:p w14:paraId="0F63BAFF">
            <w:pPr>
              <w:jc w:val="center"/>
              <w:rPr>
                <w:rFonts w:hint="eastAsia" w:ascii="华文仿宋" w:hAnsi="华文仿宋" w:eastAsia="华文仿宋" w:cs="华文仿宋"/>
                <w:i w:val="0"/>
                <w:iCs w:val="0"/>
                <w:color w:val="000000"/>
                <w:sz w:val="24"/>
                <w:szCs w:val="24"/>
                <w:u w:val="none"/>
              </w:rPr>
            </w:pPr>
          </w:p>
        </w:tc>
        <w:tc>
          <w:tcPr>
            <w:tcW w:w="616" w:type="dxa"/>
            <w:tcBorders>
              <w:top w:val="nil"/>
              <w:left w:val="nil"/>
              <w:bottom w:val="nil"/>
              <w:right w:val="nil"/>
            </w:tcBorders>
            <w:noWrap w:val="0"/>
            <w:vAlign w:val="center"/>
          </w:tcPr>
          <w:p w14:paraId="1D2D6702">
            <w:pPr>
              <w:jc w:val="center"/>
              <w:rPr>
                <w:rFonts w:hint="default" w:ascii="华文仿宋" w:hAnsi="华文仿宋" w:eastAsia="华文仿宋" w:cs="华文仿宋"/>
                <w:b/>
                <w:bCs/>
                <w:i w:val="0"/>
                <w:iCs w:val="0"/>
                <w:color w:val="000000"/>
                <w:sz w:val="36"/>
                <w:szCs w:val="36"/>
                <w:u w:val="none"/>
              </w:rPr>
            </w:pPr>
          </w:p>
        </w:tc>
        <w:tc>
          <w:tcPr>
            <w:tcW w:w="816" w:type="dxa"/>
            <w:tcBorders>
              <w:top w:val="nil"/>
              <w:left w:val="nil"/>
              <w:bottom w:val="nil"/>
              <w:right w:val="nil"/>
            </w:tcBorders>
            <w:noWrap w:val="0"/>
            <w:vAlign w:val="center"/>
          </w:tcPr>
          <w:p w14:paraId="1DD99235">
            <w:pPr>
              <w:jc w:val="center"/>
              <w:rPr>
                <w:rFonts w:hint="default" w:ascii="华文仿宋" w:hAnsi="华文仿宋" w:eastAsia="华文仿宋" w:cs="华文仿宋"/>
                <w:b/>
                <w:bCs/>
                <w:i w:val="0"/>
                <w:iCs w:val="0"/>
                <w:color w:val="000000"/>
                <w:sz w:val="36"/>
                <w:szCs w:val="36"/>
                <w:u w:val="none"/>
              </w:rPr>
            </w:pPr>
          </w:p>
        </w:tc>
        <w:tc>
          <w:tcPr>
            <w:tcW w:w="620" w:type="dxa"/>
            <w:tcBorders>
              <w:top w:val="nil"/>
              <w:left w:val="nil"/>
              <w:bottom w:val="nil"/>
              <w:right w:val="nil"/>
            </w:tcBorders>
            <w:noWrap w:val="0"/>
            <w:vAlign w:val="center"/>
          </w:tcPr>
          <w:p w14:paraId="685CEA3C">
            <w:pPr>
              <w:jc w:val="center"/>
              <w:rPr>
                <w:rFonts w:hint="default" w:ascii="华文仿宋" w:hAnsi="华文仿宋" w:eastAsia="华文仿宋" w:cs="华文仿宋"/>
                <w:b/>
                <w:bCs/>
                <w:i w:val="0"/>
                <w:iCs w:val="0"/>
                <w:color w:val="000000"/>
                <w:sz w:val="36"/>
                <w:szCs w:val="36"/>
                <w:u w:val="none"/>
              </w:rPr>
            </w:pPr>
          </w:p>
        </w:tc>
        <w:tc>
          <w:tcPr>
            <w:tcW w:w="586" w:type="dxa"/>
            <w:tcBorders>
              <w:top w:val="nil"/>
              <w:left w:val="nil"/>
              <w:bottom w:val="nil"/>
              <w:right w:val="nil"/>
            </w:tcBorders>
            <w:noWrap w:val="0"/>
            <w:vAlign w:val="center"/>
          </w:tcPr>
          <w:p w14:paraId="2F974E90">
            <w:pPr>
              <w:jc w:val="center"/>
              <w:rPr>
                <w:rFonts w:hint="default" w:ascii="华文仿宋" w:hAnsi="华文仿宋" w:eastAsia="华文仿宋" w:cs="华文仿宋"/>
                <w:b/>
                <w:bCs/>
                <w:i w:val="0"/>
                <w:iCs w:val="0"/>
                <w:color w:val="000000"/>
                <w:sz w:val="36"/>
                <w:szCs w:val="36"/>
                <w:u w:val="none"/>
              </w:rPr>
            </w:pPr>
          </w:p>
        </w:tc>
        <w:tc>
          <w:tcPr>
            <w:tcW w:w="5540" w:type="dxa"/>
            <w:tcBorders>
              <w:top w:val="nil"/>
              <w:left w:val="nil"/>
              <w:bottom w:val="nil"/>
              <w:right w:val="nil"/>
            </w:tcBorders>
            <w:noWrap w:val="0"/>
            <w:vAlign w:val="center"/>
          </w:tcPr>
          <w:p w14:paraId="466D5C51">
            <w:pPr>
              <w:jc w:val="center"/>
              <w:rPr>
                <w:rFonts w:hint="eastAsia" w:ascii="宋体" w:hAnsi="宋体" w:eastAsia="宋体" w:cs="宋体"/>
                <w:i w:val="0"/>
                <w:iCs w:val="0"/>
                <w:color w:val="000000"/>
                <w:sz w:val="18"/>
                <w:szCs w:val="18"/>
                <w:u w:val="none"/>
              </w:rPr>
            </w:pPr>
          </w:p>
        </w:tc>
      </w:tr>
      <w:tr w14:paraId="78B9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04873C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3E863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项目学校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FE61C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01FC2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16EC1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27E05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r>
      <w:tr w14:paraId="6FD0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198493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D9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乌兰县第二中学（巡课系统）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AD41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AI巡课系统</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DF31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516C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8411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1、AI巡课分析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1）系统通过教室部署的AI智能分析录播主机针对课表上课、课堂纪律等开展实时分析。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2、课表上课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1）支持针对教师是否存在缺课、脱岗、拖堂等情况进行实时分析；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2）支持针对课堂学生到课率、抬头率、前排就坐率、背坐率、趴桌率等进行实时分析。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2、实时巡课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1）支持用户通过网页查看、检索学校的教室列表，支持自定义选择教室开展教学场景实时巡课，巡课画面支持1、4、9、16分屏呈现，支持全屏巡课，巡课画面间隔时间支持5s、10s、15s、20s、30s自定义设置；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2）支持巡课分屏记忆功能，巡课过程用户离开巡课页面开展其他操作后再次切回时，巡课分屏保持不变；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3）支持巡课界面的教室分屏画面呈现对应教室的教室信息、教师信息、AI课堂分析的正常及异常指标数量、AI预警条数等；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4）支持进入教室详情页时，页面在呈现该教室巡课画面的同时在画面下方自动呈现教室内AI分析终端接入的其它视频画面，实现教室全方位无死角巡视；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5）支持在教室详情页查看该教室的AI预警取证信息、巡课截图及巡课评价数据等；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AI预警取证部分查看该教室预警总览信息，包括课表上课及课堂纪律的各类指标的正常和异常状态、预警条数，支持针对“严重”、“一般”及“提示”各级预警级别自动抓取课堂违纪图片，支持用户基于预警信息手动添加、修改或删除备注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7）支持基于系统预设巡课评价量表针对课堂教学过程进行人工评价。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3、数据看板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1）支持查看当日汇总数据，如课程数、学生数、教师数、预警课程数、预警数、平均预警数、百节课预警率；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2）支持查看实时课堂列表，快速浏览实时课堂数据；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3）支持查看实时预警，及时了解当日不同级别（严重、一般、提示）的预警统计情况及预警内容，支持查看预警课程详情；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4）支持查看当日不同预警指标出现的预警次数排行及预警等级分布情况；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5）支持查看当日教师出现预警的情况分布；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6）支持按学科查看当日不同预警等级的预警数量分布情况；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7）支持查看所选时间周期下的汇总数据，如课程数、学生数、教师数、预警课程数、预警数、预警课程数占比、预警教师数、百节课预警率等；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8）支持查看所选时间周期下的预警类型分布情况；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9）支持查看所选时间周期下的不同预警指标下百节课预警率分布情况；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10）支持查看所选时间周期下的教师预警次数分布及老师预警课堂数分布列表；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11）支持查看所选时间周期下按时间维度查看预警数量的变化趋势；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12）支持查看所选时间周期下按学科查看不同预警级别的预警数分布情况。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1）支持系统管理员自定义设置巡课评价量表；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2）支持基于AI智能分析录播主机分析的AI课堂数据，管理员可以自定义启用或禁用任意AI预警指标，启用的指标类型才会在巡课业务中预警和统计，未启用时则不预警；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3）课表上课预警指标包含迟到、早退/中途离岗、拖堂等，支持依据迟到、早退/中途离岗、拖堂的时长设置“严重”、“一般”及“提示”三级预警级别、支持自定义设置各级预警的时长指标；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4）课堂纪律预警指标包括课堂学生到课率、抬头率、前排就坐率、背坐率、趴桌率等，支持依据各类数据的课堂占比设置“严重”、“一般”及“提示”三级预警级别、支持自定义设置各级预警的时长指标；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5）支持课堂巡课过程中先启用后禁用AI预警指标的情况，已产生的AI预警数据不受影响，仍可正常显示和统计；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6）支持自动统计系统巡课记录数据。</w:t>
            </w:r>
          </w:p>
        </w:tc>
      </w:tr>
      <w:tr w14:paraId="6165A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F608D">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4010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EC9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5D34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9F64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6BEFFB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1.类型：机架式。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2.处理器：不低于英特尔 至强 银牌 4210处理器（10内核、20线程，主频2.20GHz，13.75MB缓存）*2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3.内存：不低于16GB RDIMM DDR4 ECC Register内存 *4。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4.RAID卡：1块PCIe RAID卡(2GB缓存)，支持RAID 0/1/10/5/6。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5.硬盘：64TB企业级热插拔SATA硬盘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6.网卡：2个千兆网口。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7.电源：550W白金电源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8.操作系统：预装服务器版操作系统。</w:t>
            </w:r>
          </w:p>
        </w:tc>
      </w:tr>
      <w:tr w14:paraId="70D1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0C75A">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5624E">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8ADA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Ai巡课及学情分析终端设备</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7B28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22A4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7383B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终端配置要求：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1.采用嵌入式架构，集成音视频信号采集、录制、直播、AI分析等功能于一体；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2.采用双4K摄像头及AI分析模块内置集成一体化设计；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内置2个≥1/2.8英寸CMOS成像器件，全景镜头视场角为110°，远景镜头的视场角为70°，有效像素均≥829万（3840×2160）；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3.内置摄像模块支持同时完成≥2路不同区域视频画面采集，且输出质量均支持3840×2160分辨率；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4.支持电子快门及数字降噪功能；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5.视频编码码率支持1Mbps～32Mbps可调；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6.采用AAC音频编码方式，音频采样率至少支持48KHz；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7.支持≥3路视频信号同步录制，包含教师全景、学生全景及教学大屏信号，录像模式支持轮循覆盖；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8.内置≥5路10/100/1000Mbps自适应网口，包含≥4路POE网口及≥1路千兆上行网口；内置≥1路Line In接口、≥1路DC 5V弱电输出接口；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9.内嵌AI分析模块，处理器及AI芯片核心数≥6核，≥2GB内存，≥128GB存储空间；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10.支持TCP/IP、RTSP、HTTP、FTP、MQTT等网络协议，支持IPv4和IPv6双栈网络通信协议；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11.支持主机直接上云，无需配置独立的代理服务器或者映射公网IP地址，支持直接接入公有云平台实现录制、直播、AI分析等；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内置POE网口支持为摄像机进行供电，通过以太网双绞线即可实现摄像机视频信号、控制信号及供电电源复合一起传输；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内置RST按钮，支持一键恢复出厂地址。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2、内置AI模块：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支持内置AI模块的功能自诊断，提供实时分析和人脸训练两种运行模式，支持通过平台远程控制AI模块运行模式切换；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12.支持通过网页浏览器访问内置AI模块，查看教师和学生实时分析界面，实现教师及学生检测及行为分析，并可生成课堂分析报告；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13.支持实时显示AI分析模块处理器、内存、硬盘使用率、温度信息，支持对分析状态、网络及视频通断状态进行检测；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支持自定义设置时间服务器地址，自动同步系统时间；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支持设定课程分析计划后自动执行分析，支持教师讲授、板书、巡视、师生互动、学生听讲、举手、读写、应答、生生互动等行为分析；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14.支持自定义配置AI分析模块网络信息、教师区摄像机及学生区摄像机网络视频流信息，自定义设置教师摄像机和学生摄像机分析的区域范围；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支持音量状态及分析时长监控，支持≥9种行为分析的自定义显示控制；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系统调试过程，自定义开关师生头部识别框、开关课堂行为百分比信息呈现、开关系统自动框选的学生分析范围等，支持以多种颜色进行识别行为的分类标记，支持课堂教学场景VGA画面状态监测；支持自动生成系统运行日志。</w:t>
            </w:r>
          </w:p>
        </w:tc>
      </w:tr>
      <w:tr w14:paraId="5E03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C05B5">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D1B7BB">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E307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终端配套系统软件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21DA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0252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23703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支持对设备的录制编码、帧率、IP地址、内置时间、视频输出、互动功能等参数进行设置；可添加管理用户的基本信息并设定其管理权限；可完成系统的“重启、关闭、恢复出厂设置”。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支持本地导播和web远程导播两种导播方式，两种导播方式中设置操作及相关信息一致；支持云台控制、画中画设置、特效切换、台标字幕及片头片尾设置、录播开始、暂停、停止等设置操作。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支持电影模式、资源模式及“电影+资源”模式三种直播模式，其中资源模式最多支持6路视频图像，“电影+资源”模式最多支持7路视频图像，包含6路资源模式视频图像及1路电影模式视频图像；直播是采用Flash Player进行播放，支持多用户操作；支持标准的RTMP直播协议，可推送到FMS服务器进行大规模的直播观看；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支持单流单画面的电影模式、多流多画面的资源模式以及单流多画面的“电影+资源”模式，可以单独录制也可以同时录制；支持在同一设备完成6路视频同时录制，所生成文件在同一文件夹。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独立的页面可以显示系统当前的录像模式、录像状态、录像时间、直播状态、磁盘空间信息、视频源是否启用等信息，此页面亦包含电影模式画面、2路教学大屏信号及4路SDI视频信号的分辨率、录制编码、录制帧率、I帧间隔及直播地址等信息，满足管理人员基于一个页面即可查询到上述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支持在电影画面中添加台标、字幕，可以插入片头、片尾；支持台标更换及台标位置选择；支持图片、视频等格式文件的片头片尾，支持片头片尾时间选择：1-5s；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可以提供多种画中画模式，支持提供15种已设定好的画中画模式，如大小、左右、平铺、三分屏、四分屏、全景等画中画模式，支持交换功能，方便画面快速对调；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支持直切、擦除、覆盖、推拉模式的特效，每种模式提供8种特效；系统亦具备提供4种不同上述方式的特效，所有特效为系统自带，无须手动定义；特效的过渡时间支持设定为0.5S、0.8S、1.0S、1.2S。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可以提供预编辑录制窗口和录制窗口，录制时辅助人员可在预编辑窗口完成对视频的编辑，如添加字幕、台标、设置画中画等，设置完成后可直接推送到直播/电影模式窗口，进行录制及直播。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只需要一根VGA或HDMI线缆即可完成教师机画面采集与侦测，无需安装辅助软件。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录像文件支持设置对应的学年学期、课程名称、学校院系、授课地点、学校代码、学科名称、授课教师、开课时间、授课年级、授课课时及课程描述等教学信息。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具备录像管理功能，支持显示已有文件的列表，并进行点播、下载、修改属性、删除等操作；录制后的视频可支持自动上传云平台个人空间且自动删除本地文件；支持磁盘格式化、磁盘满载后不录制或覆盖。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4路摄像机云台控制，可对摄像机进行上下左右、变倍、聚焦、光圈控制，系统针对每路摄像机均提供5种固定位变焦，用户可以直接调用，无需手动调节；每个摄像机可设置8个预置位；摄像机光圈和聚焦设置提供手动和自动设置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跟踪功能支持自动、手动及半自动三种跟踪模式；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具备POC供电功能是否启用的总开关和5路摄像机的POC供电功能的独立开关设置。</w:t>
            </w:r>
          </w:p>
        </w:tc>
      </w:tr>
      <w:tr w14:paraId="3F43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CCFBE">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ACE5D">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F2CC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高清4K教师摄像机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FF7B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861E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55BC1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此摄像机为教师摄像机，支持录播、软跟和课堂分析使用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支持网络和SDI两种方式录播、跟踪.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提供教师摄像头*1；其中教师摄像头镜头水平视场角≥ 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一体化集成设计，支持4K超高清，最大可提供4K@30fps图像编码输出，同时向下兼容1080p，720p等分辨率。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内置图像识别与跟踪算法。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全景画面镜头支持视角上下调节。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全景画面支持畸变矫正功能。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全景画面与特写画面必须采用相同图像传感器和图像处理器，确保两者图像输出亮度、颜色、风格等保持一致。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整机接口:≥1路RJ45；≥1路SDI。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支持POE有线网络供电，只需要1路网线，即可同时输出特写和全景两路画面。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传感器尺寸：≥CMOS 1/2.5英寸。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有效像素不低于829万。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扫描方式：逐行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支持自动白平衡、支持背光补偿。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支持2D&amp;3D数字降噪，信噪比≥55dB。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支持H.264、H.265、MJPEG 视频编码格式，且H.264和H.265 都具有High Profile 编码能力。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主码流分辨率：3840x2160, 1920x1080, 1280x720, 1024x576。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辅码流分辨率：1920x1080, 720x576, 720x480, 320x240。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视频码率：128Kbps ~ 20480Kbps。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帧率：50Hz: 1fps ~ 50fps, 60Hz: 1fps ~ 60fps。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网络流传输协议：TCP/IP, HTTP, RTSP, RTMP, Onvif, DHCP。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输入电压：DC 12V/PoE（IEEE802.3af）。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4K高清摄像机内嵌智能跟踪算法，无需单独安装定位跟踪主机及其他任何辅助拍摄设备，即可实现跟踪定位控制功能。</w:t>
            </w:r>
          </w:p>
        </w:tc>
      </w:tr>
      <w:tr w14:paraId="293B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917E2">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33150">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1632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矩阵话筒</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BF2C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C2D3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3CC38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采用嵌入式架构，国产品牌处理器芯片设计；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支持麦克风阵列，内置≥7个拾音麦，远距离清晰拾音，拾音距离≥8米；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支持教师在教室更大范围内自由走动，教室内学生发言都可被拾取；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采用盲波束形成技术，自动对准发言人，语音智能跟踪和语音增强，自适应声场环境，抗干扰；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内置音频处理单元，无需额外机柜放置机架式音频处理器；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内置多重音频算法，自动增益控制，智能抑制环境声学混响，降低环境噪声，消除回声和抑制啸叫；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针对异地互动教学场景，师生可以互相听到对方来自远端清晰的语音，双讲无压制；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灵敏度：≥-26dBFS；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信噪比：≥64dB（A）；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采样率：≥32K采样，高清宽带音频；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具备≥2路3.5mm线性音频输出接口，≥1路3.5mm线性音频输入接口；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具备≥1路支持UAC协议的USB即插即用接口，支持音频数据通信、软件升级和参数配置；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支持数字音频和模拟音频双模应用。</w:t>
            </w:r>
          </w:p>
        </w:tc>
      </w:tr>
      <w:tr w14:paraId="3391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D09B03">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0C864">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7CBA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41B1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AA2C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67FB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1.交换容量：≥256Gbps；包转发率：≥60Mpps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2.具备≥8口10/100/1000BASE-T电口(PoE)、≥2个10/100/1000BASE-T电口；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3.链路聚合：支持；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4.供电方式：外置单电源；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5.空载功耗：≤3W；满载功耗：≤65W；PoE：Port 1≤60W，Port2-8≤30W，总功率≤60W；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6.散热方式：无风扇，自然散热；</w:t>
            </w:r>
          </w:p>
        </w:tc>
      </w:tr>
      <w:tr w14:paraId="1C1A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3B43D">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895B4">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497D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施工及辅助线材</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4EB3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3B30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556E4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系统实施所需的所有音视频线缆、以太网双绞线、接头、插线板等辅料</w:t>
            </w:r>
          </w:p>
        </w:tc>
      </w:tr>
      <w:tr w14:paraId="4BC4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0" w:hRule="atLeast"/>
        </w:trPr>
        <w:tc>
          <w:tcPr>
            <w:tcW w:w="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E096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97F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乌兰县第二中学（平安校园智能监控系统）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3A9B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智能红外网络球机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21EA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ABB7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63B86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1.传感器类型：≥1/2.8英寸CMOS；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2.像素需≥400万；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3.最低照度：彩色：≤0.005lux@F1.6 黑白：≤0.0005lux@F1.60Lux(红外灯开启)；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4.补光距离：≥150m（红外）；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5.镜头焦距变化范围不得小于5mm～125mm；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6.光学变倍：≥25倍；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7.支持周界防范功能：支持绊线入侵；支持区域入侵；支持穿越围栏；支持徘徊检测；支持物品遗留；支持物品搬移；支持快速移动；支持停车检测；支持人员聚集；支持人车分类报警；支持联动跟踪；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8.支持人脸检测功能：支持人脸检测；支持抓拍；支持人脸增强；支持人脸抠图区域可设：人脸，单寸照；支持实时抓拍，质量优先二种抓拍策略；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9.支持声警戒功能：共计≥16条语音报警内容，支持自定义语音内容导入；声音：高/中/低；持续时间可设置：5-30秒；（提供与球机同等数量扬声器）；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10.支持电子防抖功能、电子透雾功能；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11.网络接口：≥1个（内置RJ-45网口，支持10M/100M网络数据）；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12.音频输入：≥1路；音频输出：≥1路；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13.报警输入：≥2路；报警输出：≥1路；</w:t>
            </w:r>
          </w:p>
        </w:tc>
      </w:tr>
      <w:tr w14:paraId="600C2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6276C">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CF8F5">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F320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C09E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94EB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8446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2.承重：≥7.0kg；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4.材质：铝合金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5、与设备同一品牌</w:t>
            </w:r>
          </w:p>
        </w:tc>
      </w:tr>
      <w:tr w14:paraId="74B9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6A2E9">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C7A99">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10C1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枪型网络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CD0B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E05C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5C200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1.传感器类型：≥1/3英寸CMOS；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2.像素需≥400万；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3.最低照度：≤0.01lux（彩色模式）；≤0.001lux（黑白模式）；0lux（补光灯开启）；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4.补光距离：≥50m（红外）；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5.镜头类型：定焦；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6.智能编码：H.264:支持;H.265:支持;；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7.内置MIC：支持；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8.报警事件：网络断开;IP冲突;非法访问;动态检测;视频遮挡;音频异常侦测;安全异常；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9.需支持DC12V/PoE供电方式；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10.防护等级：≥IP67；</w:t>
            </w:r>
          </w:p>
        </w:tc>
      </w:tr>
      <w:tr w14:paraId="7B57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BE176">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4C256">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AB31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枪机壁装支架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78B1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37FC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280FE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2.承重：≥1.0kg；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4.可选倾角：竖直：≥-60°～0°；旋转角度：水平：≥0°～360°；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5.材质：铝合金</w:t>
            </w:r>
          </w:p>
        </w:tc>
      </w:tr>
      <w:tr w14:paraId="65074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D3F85">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7D342">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1E9E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枪型网络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AD27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F754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66AF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1.传感器类型：≥1/3英寸CMOS；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2.像素需≥400万；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3.最低照度：≤0.01lux（彩色模式）；≤0.001lux（黑白模式）；0lux（补光灯开启）；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4.最大补光距离：≥50m（红外）；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5.镜头类型：电动变焦；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6.镜头焦距变化范围不得小于2.7mm～13.5mm；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7.支持通用行为分析功能：绊线入侵；区域入侵；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8.智能编码：H.264：支持；H.265：支持；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9.内置≥1个MIC；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报警事件：无SD卡；SD卡空间不足；SD卡出错；网络断开；IP冲突；非法访问；动态检测；视频遮挡；绊线入侵；区域入侵；音频异常侦测；电压检测；安全异常；虚焦侦测；快速移动；物品遗留；物品搬移；徘徊检测；人员聚集；停车检测；SM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11.支持DC12V/PoE供电方式；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12.防护等级：≥IP67；</w:t>
            </w:r>
          </w:p>
        </w:tc>
      </w:tr>
      <w:tr w14:paraId="1BDB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A1871">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F1018">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4775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71E9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ACF3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53DB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2.承重：≥1.0kg；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4.可选倾角：竖直：≥-60°～0°；旋转角度：水平：≥0°～360°；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5.材质：铝合金</w:t>
            </w:r>
          </w:p>
        </w:tc>
      </w:tr>
      <w:tr w14:paraId="2044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CCC09">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EE2158">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C296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半球网络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076D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97B0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20931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1.传感器类型：≥1/3英寸CMOS；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2.像素需≥400万；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3.最低照度：≤0.01lux（彩色模式）；≤0.001lux（黑白模式）；0lux（补光灯开启）；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4.最大补光距离：≥50m（红外）；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5.镜头类型：定焦；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6.智能编码：H.264:支持;H.265:支持;；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7.内置MIC：支持；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8.报警事件：网络断开;IP冲突;非法访问;动态检测;视频遮挡;音频异常侦测;安全异常；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9.需支持DC12V/PoE供电方式；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10.防护等级：≥IP67；</w:t>
            </w:r>
          </w:p>
        </w:tc>
      </w:tr>
      <w:tr w14:paraId="66E2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674E7">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A8F6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59D9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周界智能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枪型网络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87F6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7D8A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9850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1.采用不低于200万像素1/2.8英寸CMOS图像传感器;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2.最大可输出3路≥200万（1920× 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最大补光距离：≥100m（红外）；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周界防范：绊线入侵；区域入侵；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最低照度：通道1-3：≤0.001lux（彩色模式）；≤0.0001lux（黑白模式）；0lux（补光灯开启）；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内置MIC：支持，内置双MIC；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内置扬声器：支持，内置≥1个扬声器；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支持长距离周界检测，人、车目标检测纵深≥100米；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白天天气晴朗无遮挡，可对5m-120m处的人和机动车目标进行检测夜晚天气晴朗无遮挡，补光灯开启后，可对5m-110m处的人和机动车目标进行检测；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音频输入：≥1路；音频输出：≥1路；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报警输入：≥2路；报警输出：≥2路；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支持DC12V/PoE供电方式；</w:t>
            </w:r>
          </w:p>
        </w:tc>
      </w:tr>
      <w:tr w14:paraId="04C59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000FA">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94E40">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4365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交换机1</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605C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BCBD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3211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3.需具备≥8个10/100/1000BASE-T电口(PoE)、≥2个10/100/1000BASE-T电口；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4.链路聚合：支持；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5.供电方式：外置单电源；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6.空载功耗：≤3W；满载功耗：≤65W；PoE：Port 1≤60W，Port2-8≤30W，总功率≤60W；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7.散热方式：无风扇，自然散热；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支持在交换机前面板查看POE功率的使用率。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具有永久POE功能,重启后终端供电不停。</w:t>
            </w:r>
          </w:p>
        </w:tc>
      </w:tr>
      <w:tr w14:paraId="76E1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A63F4">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EEAD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1100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交换机2</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F045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6D21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7B1DA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3.业务端口：需具备≥16个10/100/1000BASE-T电口(PoE)、≥2个10/100/1000BASE-T电口、≥2个1000BASE-X SFP端口；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4.链路聚合：支持；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5.设备管理：WEB管理、APP管理；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6.空载功耗：≤6W；满载功耗：≤265W；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7.PoE：Port 1-2≤90W，Port 3-16≤30W，总功率≤240W；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8.散热方式：内置风扇散热；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9.安装方式：桌面式、机架式安装；</w:t>
            </w:r>
          </w:p>
        </w:tc>
      </w:tr>
      <w:tr w14:paraId="3774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2ACC5">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E0527">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158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56AC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8E07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D62B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1.设备需提供10/100/1000BASE-T电口≥24个，10G SFP+光口≥4个；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2.交换容量：≥7.56Tbps，包转发率：≥396Mpps；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3.支持VLAN：802.1Q VLAN、端口VLAN、QinQ、Voice VLAN、协议VLAN、MAC 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4.支持链路聚合：静态、动态链路聚合；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5.支持生成树STP/RSTP/MSTP，支持RRPP/ERPS；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6.支持虚拟化堆叠技术；</w:t>
            </w:r>
          </w:p>
        </w:tc>
      </w:tr>
      <w:tr w14:paraId="3901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8B145">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59ADB">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EC95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光纤收发器（发送端）</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7328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4E80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3E0FD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1.网络接口：具备≥1个1Gbps光口(FC)、≥1个10/100/1000Mbps自协商以太网口(RJ-45)；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2.光纤类型：单模单纤；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3.波长：1310nm发送,1550nm接收；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4.光传输距离：≤20km；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5.安装方式：桌面、集成机箱、壁挂安装；</w:t>
            </w:r>
          </w:p>
        </w:tc>
      </w:tr>
      <w:tr w14:paraId="7D61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DB6F8">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B0968">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807F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光纤收发器（接收端）</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9831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57F1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7CE9E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1.网络接口：具备≥1个1Gbps光口(FC)、≥1个10/100/1000Mbps自协商以太网口(RJ-45)；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2.光纤类型：单模单纤；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3.发送端/接收端：接收端；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4.波长：1550nm发送,1310nm接收；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5.光传输距离：≤20km；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6.安装方式：桌面、集成机箱、壁挂安装；</w:t>
            </w:r>
          </w:p>
        </w:tc>
      </w:tr>
      <w:tr w14:paraId="338C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90253">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03DC6">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ABFD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网络视频存储服务器</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3328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3B5A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16CA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1.主处理器：64位高性能八核处理器；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2.高速缓存：≥8GB（内存）；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3.支持≥512路（1024Mbps）前端接入、存储，同时≥400路（800Mbps)转发，≥32路（64Mbps）网络回放；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4.硬盘接口：≥24个；SATA；单盘最大支持24TB，支持热插拔；支持CMR、SMR；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5.2个10/100/1000/2500Mbps自适应以太网电口，≥2个10/100/1000Mbps自适应以太网电口；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USB接口：前面板≥2个USB 2.0；后面板≥2个USB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7.安装方式：机架式安装；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8.可将指定时间段和指定录像类型(报警、事件、定时等)的录像文件进行回传,支持每日自动定时回传；</w:t>
            </w:r>
          </w:p>
        </w:tc>
      </w:tr>
      <w:tr w14:paraId="56EF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6E63B">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23D3E">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0C1F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995D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1D0F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881C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1.单盘容量：20TB；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2.缓存：512MB；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3.转速：7200RPM；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4.硬盘接口：SATA</w:t>
            </w:r>
          </w:p>
        </w:tc>
      </w:tr>
      <w:tr w14:paraId="72E2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8265D">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1FAC2">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6E8B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液晶拼接显示单元</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1B1A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7B6B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663EB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1.产品尺寸：≥55英寸；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2.双边拼缝：≤3.5mm；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3.最高支持1920*1080高清显示；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4.亮度：≥500cd/m2；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5.视角：≥178°(水平)/ 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6.输入接口：VGA(D-Sub) ≥1、CVBS(BNC) ≥2、DVI-D≥1、HDMI≥1、RS232(RJ45) ≥1、USB（升级和多媒体）≥1；</w:t>
            </w:r>
          </w:p>
        </w:tc>
      </w:tr>
      <w:tr w14:paraId="79A6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2977D">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43D6F">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6674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液压支架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5D12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E2C1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334A1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1.产品尺寸：≥55吋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2.液晶拼接屏 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3.维护方式：前维护液压系统架构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4.产品材质：铁质</w:t>
            </w:r>
          </w:p>
        </w:tc>
      </w:tr>
      <w:tr w14:paraId="0606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2DFDA">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73E6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887A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C6D8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34B3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76A0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15M高清线缆</w:t>
            </w:r>
          </w:p>
        </w:tc>
      </w:tr>
      <w:tr w14:paraId="5ED3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14DF3">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4B5955">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ECB0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090E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E670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0368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1.支持≥2路HDMI信号输入接口；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2.支持≥4路HDMI信号输出接口；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3.支持≥2路32MP@25fps /≥ 7路12MP@25fps / ≥10路8MP@25fps / ≥14路6MP@25fps / ≥18路5MP@25fps /≥ 28路3MP@25fps /≥ 36路1080p @30fps /≥144路D1@30fps同时解码；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4.支持自定义分辨率输出，支持小间距LED对接；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5.支持1个10M/100M/1000M自适应以太网接口；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6.支持通过快捷键将信号源推送至大屏的任意的窗口。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7.支持设置指定电脑允许的接管范围和窗口，除此之外的电脑内容不予以显示。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8.支持通过鼠标调整鹰眼地图中区域框大小或者鼠标滚轮缩放，可改变相应的电视墙主窗口显示区域大小；拖动鹰眼地图中区域框位置，可改变相应的电视墙主窗口显示区域。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网络接口：≥1个RJ-45 10M/100M/1000M自适应以太网口；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USB接口：≥3个USB 接口(前面板1个，后面板2个)；</w:t>
            </w:r>
          </w:p>
        </w:tc>
      </w:tr>
      <w:tr w14:paraId="664E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A5A58">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15F75">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D1B2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管理系统</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3CE9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D642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E2DA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一、主要功能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视频监控：支持窗口分割、浏览/抓图、轮巡、鱼眼模式、音频和对讲；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二、性能规格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1、接入性能：视频支持≥600路，支持性能扩展；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2、软件性能：管理角色支持≥10000个，管理用户支持≥1000个，支持用户并发≥100个；电视墙上墙路数≥64个，上墙轮询路数≥128个；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1、处理器：1颗CPU，2核4线程，3.0GHz；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2、硬盘：配置≥1块128G SSD固态硬盘, ≥1块4T机械硬盘,机械硬盘单盘最大支持企业级24T；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3、内存：≥32G内存（2根16GB DDR4 SODIMM 内存条）；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4、接口：前置≥2个USB2.0接口、后置≥2个USB3.0接口；≥1个RS-232接口（后置，用于调试及透传串口数据）、≥1个VGA接口、≥2个HDMI接口；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配置≥4个超高速智能调节静音风扇；</w:t>
            </w:r>
          </w:p>
        </w:tc>
      </w:tr>
      <w:tr w14:paraId="43F0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286CE">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F5E21">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EA75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D570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C61D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26481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品牌六类网线、2*1电源线、PVC管、水晶头、光纤等满足全部设备正常使用的相关辅材</w:t>
            </w:r>
          </w:p>
        </w:tc>
      </w:tr>
      <w:tr w14:paraId="33AD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7D247DC7">
            <w:pPr>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3552C7B">
            <w:pPr>
              <w:jc w:val="center"/>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62AD4D9">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B169490">
            <w:pPr>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34FC075">
            <w:pPr>
              <w:jc w:val="center"/>
              <w:rPr>
                <w:rFonts w:hint="eastAsia" w:ascii="宋体" w:hAnsi="宋体" w:eastAsia="宋体" w:cs="宋体"/>
                <w:i w:val="0"/>
                <w:iCs w:val="0"/>
                <w:color w:val="000000"/>
                <w:sz w:val="18"/>
                <w:szCs w:val="18"/>
                <w:u w:val="none"/>
              </w:rPr>
            </w:pP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AFC4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C6E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0" w:hRule="atLeast"/>
        </w:trPr>
        <w:tc>
          <w:tcPr>
            <w:tcW w:w="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461E82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02C9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乌兰县第一中学（巡课系统）</w:t>
            </w:r>
          </w:p>
        </w:tc>
        <w:tc>
          <w:tcPr>
            <w:tcW w:w="816" w:type="dxa"/>
            <w:tcBorders>
              <w:top w:val="single" w:color="000000" w:sz="4" w:space="0"/>
              <w:left w:val="nil"/>
              <w:bottom w:val="single" w:color="000000" w:sz="4" w:space="0"/>
              <w:right w:val="single" w:color="000000" w:sz="4" w:space="0"/>
            </w:tcBorders>
            <w:noWrap w:val="0"/>
            <w:vAlign w:val="center"/>
          </w:tcPr>
          <w:p w14:paraId="510AE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AI巡课系统</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AD04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CEB1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226F1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1、AI巡课分析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1）系统通过教室部署的AI智能分析录播主机针对课表上课、课堂纪律等开展实时分析。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2、课表上课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1）支持针对教师是否存在缺课、脱岗、拖堂等情况进行实时分析；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2）支持针对课堂学生到课率、抬头率、前排就坐率、背坐率、趴桌率等进行实时分析。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2、实时巡课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1）支持用户通过网页查看、检索学校的教室列表，支持自定义选择教室开展教学场景实时巡课，巡课画面支持1、4、9、16分屏呈现，支持全屏巡课，巡课画面间隔时间支持5s、10s、15s、20s、30s自定义设置；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2）支持巡课分屏记忆功能，巡课过程用户离开巡课页面开展其他操作后再次切回时，巡课分屏保持不变；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3）支持巡课界面的教室分屏画面呈现对应教室的教室信息、教师信息、AI课堂分析的正常及异常指标数量、AI预警条数等；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4）支持进入教室详情页时，页面在呈现该教室巡课画面的同时在画面下方自动呈现教室内AI分析终端接入的其它视频画面，实现教室全方位无死角巡视；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5）支持在教室详情页查看该教室的AI预警取证信息、巡课截图及巡课评价数据等；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AI预警取证部分查看该教室预警总览信息，包括课表上课及课堂纪律的各类指标的正常和异常状态、预警条数，支持针对“严重”、“一般”及“提示”各级预警级别自动抓取课堂违纪图片，支持用户基于预警信息手动添加、修改或删除备注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7）支持基于系统预设巡课评价量表针对课堂教学过程进行人工评价。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3、数据看板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1）支持查看当日汇总数据，如课程数、学生数、教师数、预警课程数、预警数、平均预警数、百节课预警率；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2）支持查看实时课堂列表，快速浏览实时课堂数据；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3）支持查看实时预警，及时了解当日不同级别（严重、一般、提示）的预警统计情况及预警内容，支持查看预警课程详情；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4）支持查看当日不同预警指标出现的预警次数排行及预警等级分布情况；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5）支持查看当日教师出现预警的情况分布；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6）支持按学科查看当日不同预警等级的预警数量分布情况；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7）支持查看所选时间周期下的汇总数据，如课程数、学生数、教师数、预警课程数、预警数、预警课程数占比、预警教师数、百节课预警率等；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8）支持查看所选时间周期下的预警类型分布情况；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9）支持查看所选时间周期下的不同预警指标下百节课预警率分布情况；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10）支持查看所选时间周期下的教师预警次数分布及老师预警课堂数分布列表；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11）支持查看所选时间周期下按时间维度查看预警数量的变化趋势；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12）支持查看所选时间周期下按学科查看不同预警级别的预警数分布情况。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1）支持系统管理员自定义设置巡课评价量表；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2）支持基于AI智能分析录播主机分析的AI课堂数据，管理员可以自定义启用或禁用任意AI预警指标，启用的指标类型才会在巡课业务中预警和统计，未启用时则不预警；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3）课表上课预警指标包含迟到、早退/中途离岗、拖堂等，支持依据迟到、早退/中途离岗、拖堂的时长设置“严重”、“一般”及“提示”三级预警级别、支持自定义设置各级预警的时长指标；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4）课堂纪律预警指标包括课堂学生到课率、抬头率、前排就坐率、背坐率、趴桌率等，支持依据各类数据的课堂占比设置“严重”、“一般”及“提示”三级预警级别、支持自定义设置各级预警的时长指标；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5）支持课堂巡课过程中先启用后禁用AI预警指标的情况，已产生的AI预警数据不受影响，仍可正常显示和统计；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6）支持自动统计系统巡课记录数据。</w:t>
            </w:r>
          </w:p>
        </w:tc>
      </w:tr>
      <w:tr w14:paraId="3DB5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4D233">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68E6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noWrap/>
            <w:vAlign w:val="center"/>
          </w:tcPr>
          <w:p w14:paraId="35C61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F34E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4463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69E7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1.类型：机架式。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2.处理器：不低于英特尔 至强 银牌 4210处理器（10内核、20线程，主频2.20GHz，13.75MB缓存）*2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3.内存：不低于16GB RDIMM DDR4 ECC Register内存 *4。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4.RAID卡：1块PCIe RAID卡(2GB缓存)，支持RAID 0/1/10/5/6。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5.硬盘：64TB企业级热插拔SATA硬盘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6.网卡：2个千兆网口。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7.电源：550W白金电源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8.操作系统：预装服务器版操作系统。</w:t>
            </w:r>
          </w:p>
        </w:tc>
      </w:tr>
      <w:tr w14:paraId="3A78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C5EE0">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2BC1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7168F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Ai巡课及学情分析终端设备</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22DC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CBC5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370AD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终端配置要求：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1.采用嵌入式架构，集成音视频信号采集、录制、直播、AI分析等功能于一体；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2.采用双4K摄像头及AI分析模块内置集成一体化设计；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内置2个≥1/2.8英寸CMOS成像器件，全景镜头视场角为110°，远景镜头的视场角为70°，有效像素均≥829万（3840×2160）；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3.内置摄像模块支持同时完成≥2路不同区域视频画面采集，且输出质量均支持3840×2160分辨率；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4.支持电子快门及数字降噪功能；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5.视频编码码率支持1Mbps～32Mbps可调；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6.采用AAC音频编码方式，音频采样率至少支持48KHz；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7.支持≥3路视频信号同步录制，包含教师全景、学生全景及教学大屏信号，录像模式支持轮循覆盖；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8.内置≥5路10/100/1000Mbps自适应网口，包含≥4路POE网口及≥1路千兆上行网口；内置≥1路Line In接口、≥1路DC 5V弱电输出接口；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9.内嵌AI分析模块，处理器及AI芯片核心数≥6核，≥2GB内存，≥128GB存储空间；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10.支持TCP/IP、RTSP、HTTP、FTP、MQTT等网络协议，支持IPv4和IPv6双栈网络通信协议；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11.支持主机直接上云，无需配置独立的代理服务器或者映射公网IP地址，支持直接接入公有云平台实现录制、直播、AI分析等；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内置POE网口支持为摄像机进行供电，通过以太网双绞线即可实现摄像机视频信号、控制信号及供电电源复合一起传输；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内置RST按钮，支持一键恢复出厂地址。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2、内置AI模块：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支持内置AI模块的功能自诊断，提供实时分析和人脸训练两种运行模式，支持通过平台远程控制AI模块运行模式切换；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12.支持通过网页浏览器访问内置AI模块，查看教师和学生实时分析界面，实现教师及学生检测及行为分析，并可生成课堂分析报告；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13.支持实时显示AI分析模块处理器、内存、硬盘使用率、温度信息，支持对分析状态、网络及视频通断状态进行检测；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支持自定义设置时间服务器地址，自动同步系统时间；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支持设定课程分析计划后自动执行分析，支持教师讲授、板书、巡视、师生互动、学生听讲、举手、读写、应答、生生互动等行为分析；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14.支持自定义配置AI分析模块网络信息、教师区摄像机及学生区摄像机网络视频流信息，自定义设置教师摄像机和学生摄像机分析的区域范围；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支持音量状态及分析时长监控，支持≥9种行为分析的自定义显示控制；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支持系统调试过程，自定义开关师生头部识别框、开关课堂行为百分比信息呈现、开关系统自动框选的学生分析范围等，支持以多种颜色进行识别行为的分类标记，支持课堂教学场景VGA画面状态监测；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支持自动生成系统运行日志。</w:t>
            </w:r>
          </w:p>
        </w:tc>
      </w:tr>
      <w:tr w14:paraId="7DE3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4550D">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346E00">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00261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终端配套系统软件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8080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23A4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649FD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支持对设备的录制编码、帧率、IP地址、内置时间、视频输出、互动功能等参数进行设置；可添加管理用户的基本信息并设定其管理权限；可完成系统的“重启、关闭、恢复出厂设置”。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支持本地导播和web远程导播两种导播方式，两种导播方式中设置操作及相关信息一致；支持云台控制、画中画设置、特效切换、台标字幕及片头片尾设置、录播开始、暂停、停止等设置操作。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支持电影模式、资源模式及“电影+资源”模式三种直播模式，其中资源模式最多支持6路视频图像，“电影+资源”模式最多支持7路视频图像，包含6路资源模式视频图像及1路电影模式视频图像；直播是采用Flash Player进行播放，支持多用户操作；支持标准的RTMP直播协议，可推送到FMS服务器进行大规模的直播观看；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支持单流单画面的电影模式、多流多画面的资源模式以及单流多画面的“电影+资源”模式，可以单独录制也可以同时录制；支持在同一设备完成6路视频同时录制，所生成文件在同一文件夹。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独立的页面可以显示系统当前的录像模式、录像状态、录像时间、直播状态、磁盘空间信息、视频源是否启用等信息，此页面亦包含电影模式画面、2路教学大屏信号及4路SDI视频信号的分辨率、录制编码、录制帧率、I帧间隔及直播地址等信息，满足管理人员基于一个页面即可查询到上述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支持在电影画面中添加台标、字幕，可以插入片头、片尾；支持台标更换及台标位置选择；支持图片、视频等格式文件的片头片尾，支持片头片尾时间选择：1-5s；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可以提供多种画中画模式，支持提供15种已设定好的画中画模式，如大小、左右、平铺、三分屏、四分屏、全景等画中画模式，支持交换功能，方便画面快速对调；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支持直切、擦除、覆盖、推拉模式的特效，每种模式提供8种特效；系统亦具备提供4种不同上述方式的特效，所有特效为系统自带，无须手动定义；特效的过渡时间支持设定为0.5S、0.8S、1.0S、1.2S。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可以提供预编辑录制窗口和录制窗口，录制时辅助人员可在预编辑窗口完成对视频的编辑，如添加字幕、台标、设置画中画等，设置完成后可直接推送到直播/电影模式窗口，进行录制及直播。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只需要一根VGA或HDMI线缆即可完成教师机画面采集与侦测，无需安装辅助软件。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录像文件支持设置对应的学年学期、课程名称、学校院系、授课地点、学校代码、学科名称、授课教师、开课时间、授课年级、授课课时及课程描述等教学信息。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具备录像管理功能，支持显示已有文件的列表，并进行点播、下载、修改属性、删除等操作；录制后的视频可支持自动上传云平台个人空间且自动删除本地文件；支持磁盘格式化、磁盘满载后不录制或覆盖。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4路摄像机云台控制，可对摄像机进行上下左右、变倍、聚焦、光圈控制，系统针对每路摄像机均提供5种固定位变焦，用户可以直接调用，无需手动调节；每个摄像机可设置8个预置位；摄像机光圈和聚焦设置提供手动和自动设置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跟踪功能支持自动、手动及半自动三种跟踪模式；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具备POC供电功能是否启用的总开关和5路摄像机的POC供电功能的独立开关设置。</w:t>
            </w:r>
          </w:p>
        </w:tc>
      </w:tr>
      <w:tr w14:paraId="0A05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C5C18C">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AABC0">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06E01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高清4K教师摄像机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9C1B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676D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5AD54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此摄像机为教师摄像机，支持录播、软跟和课堂分析使用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支持网络和SDI两种方式录播、跟踪.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提供教师摄像头*1；其中教师摄像头镜头水平视场角≥ 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一体化集成设计，支持4K超高清，最大可提供4K@30fps图像编码输出，同时向下兼容1080p，720p等分辨率。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内置图像识别与跟踪算法。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全景画面镜头支持视角上下调节。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全景画面支持畸变矫正功能。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全景画面与特写画面必须采用相同图像传感器和图像处理器，确保两者图像输出亮度、颜色、风格等保持一致。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整机接口:≥1路RJ45；≥1路SDI。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支持POE有线网络供电，只需要1路网线，即可同时输出特写和全景两路画面。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传感器尺寸：≥CMOS 1/2.5英寸。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有效像素不低于829万。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扫描方式：逐行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支持自动白平衡、支持背光补偿。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支持2D&amp;3D数字降噪，信噪比≥55dB。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支持H.264、H.265、MJPEG 视频编码格式，且H.264和H.265 都具有High Profile 编码能力。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主码流分辨率：3840x2160, 1920x1080, 1280x720, 1024x576。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辅码流分辨率：1920x1080, 720x576, 720x480, 320x240。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视频码率：128Kbps ~ 20480Kbps。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帧率：50Hz: 1fps ~ 50fps, 60Hz: 1fps ~ 60fps。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网络流传输协议：TCP/IP, HTTP, RTSP, RTMP, Onvif, DHCP。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输入电压：DC 12V/PoE（IEEE802.3af）。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4K高清摄像机内嵌智能跟踪算法，无需单独安装定位跟踪主机及其他任何辅助拍摄设备，即可实现跟踪定位控制功能。</w:t>
            </w:r>
          </w:p>
        </w:tc>
      </w:tr>
      <w:tr w14:paraId="4F6E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A8CD8">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DE3A6">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36034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矩阵话筒</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FA59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1D5D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6239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采用嵌入式架构，国产品牌处理器芯片设计；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支持麦克风阵列，内置≥7个拾音麦，远距离清晰拾音，拾音距离≥8米；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支持教师在教室更大范围内自由走动，教室内学生发言都可被拾取；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采用盲波束形成技术，自动对准发言人，语音智能跟踪和语音增强，自适应声场环境，抗干扰；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内置音频处理单元，无需额外机柜放置机架式音频处理器；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内置多重音频算法，自动增益控制，智能抑制环境声学混响，降低环境噪声，消除回声和抑制啸叫；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针对异地互动教学场景，师生可以互相听到对方来自远端清晰的语音，双讲无压制；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灵敏度：≥-26dBFS；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信噪比：≥64dB（A）；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采样率：≥32K采样，高清宽带音频；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具备≥2路3.5mm线性音频输出接口，≥1路3.5mm线性音频输入接口；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具备≥1路支持UAC协议的USB即插即用接口，支持音频数据通信、软件升级和参数配置；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支持数字音频和模拟音频双模应用。</w:t>
            </w:r>
          </w:p>
        </w:tc>
      </w:tr>
      <w:tr w14:paraId="6967E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16C7F">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5853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75E42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B3C0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4872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610CB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1.交换容量：≥256Gbps；包转发率：≥60Mpps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2.具备≥8口10/100/1000BASE-T电口(PoE)、≥2个10/100/1000BASE-T电口；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3.链路聚合：支持；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4.供电方式：外置单电源；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5.空载功耗：≤3W；满载功耗：≤65W；PoE：Port 1≤60W，Port2-8≤30W，总功率≤60W；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6.散热方式：无风扇，自然散热；</w:t>
            </w:r>
          </w:p>
        </w:tc>
      </w:tr>
      <w:tr w14:paraId="3B0E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AA4F0">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36EBB">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63193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施工及辅助线材</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36A3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21C4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58A2B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系统实施所需的所有音视频线缆、以太网双绞线、接头、插线板等辅料</w:t>
            </w:r>
          </w:p>
        </w:tc>
      </w:tr>
      <w:tr w14:paraId="5BF8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5634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7BDDB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乌兰县第一中学（平安校园智能监控系统）</w:t>
            </w:r>
          </w:p>
        </w:tc>
        <w:tc>
          <w:tcPr>
            <w:tcW w:w="816" w:type="dxa"/>
            <w:tcBorders>
              <w:top w:val="single" w:color="000000" w:sz="4" w:space="0"/>
              <w:left w:val="nil"/>
              <w:bottom w:val="single" w:color="000000" w:sz="4" w:space="0"/>
              <w:right w:val="single" w:color="000000" w:sz="4" w:space="0"/>
            </w:tcBorders>
            <w:noWrap w:val="0"/>
            <w:vAlign w:val="center"/>
          </w:tcPr>
          <w:p w14:paraId="08471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智能红外网络球机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8295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6B8D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70D0D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1.传感器类型：≥1/2.8英寸CMOS；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2.像素需≥400万；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3.最低照度：彩色：≤0.005lux@F1.6 黑白：≤0.0005lux@F1.60Lux(红外灯开启)；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4.补光距离：≥150m（红外）；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5.镜头焦距变化范围不得小于5mm～125mm；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6.光学变倍：≥25倍；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7.支持周界防范功能：支持绊线入侵；支持区域入侵；支持穿越围栏；支持徘徊检测；支持物品遗留；支持物品搬移；支持快速移动；支持停车检测；支持人员聚集；支持人车分类报警；支持联动跟踪；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8.支持人脸检测功能：支持人脸检测；支持抓拍；支持人脸增强；支持人脸抠图区域可设：人脸，单寸照；支持实时抓拍，质量优先二种抓拍策略；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9.支持声警戒功能：共计≥16条语音报警内容，支持自定义语音内容导入；声音：高/中/低；持续时间可设置：5-30秒；（提供与球机同等数量扬声器）；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10.支持电子防抖功能、电子透雾功能；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11.网络接口：≥1个（内置RJ-45网口，支持10M/100M网络数据）；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12.音频输入：≥1路；音频输出：≥1路；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13.报警输入：≥2路；报警输出：≥1路；</w:t>
            </w:r>
          </w:p>
        </w:tc>
      </w:tr>
      <w:tr w14:paraId="7A0E4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33B59">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A508D">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02C18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F287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E2B5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A9AA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2.承重：≥7.0kg；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5、与设备同一品牌</w:t>
            </w:r>
          </w:p>
        </w:tc>
      </w:tr>
      <w:tr w14:paraId="1C9F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9BB9A">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6BF1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62A3B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枪型网络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79FA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85CA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2D81C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1.传感器类型：≥1/3英寸CMOS；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2.像素需≥400万；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3.最低照度：≤0.01lux（彩色模式）；≤0.001lux（黑白模式）；0lux（补光灯开启）；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4.补光距离：≥50m（红外）；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5.镜头类型：定焦；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6.智能编码：H.264:支持;H.265:支持;；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7.内置MIC：支持；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8.报警事件：网络断开;IP冲突;非法访问;动态检测;视频遮挡;音频异常侦测;安全异常；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9.需支持DC12V/PoE供电方式；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10.防护等级：≥IP67；</w:t>
            </w:r>
          </w:p>
        </w:tc>
      </w:tr>
      <w:tr w14:paraId="48F3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7DFD0">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04EB1">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4309E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7493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8281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7AF7C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2.承重：≥1.0kg；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4.可选倾角：竖直：≥-60°～0°；旋转角度：水平：≥0°～360°；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5.材质：铝合金</w:t>
            </w:r>
          </w:p>
        </w:tc>
      </w:tr>
      <w:tr w14:paraId="0062C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D95F4">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3AA6E8">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26A31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半球网络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0F64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6BA4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A6DA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1.传感器类型：≥1/3英寸CMOS；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2.像素需≥400万；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3.最低照度：≤0.01lux（彩色模式）；≤0.001lux（黑白模式）；0lux（补光灯开启）；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4.最大补光距离：≥50m（红外）；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5.镜头类型：定焦；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6.智能编码：H.264:支持;H.265:支持;；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7.内置MIC：支持；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8.报警事件：网络断开；IP冲突；非法访问；动态检测；视频遮挡；音频异常侦测；安全异常；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9.需支持DC12V/PoE供电方式；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10.防护等级：≥IP67；</w:t>
            </w:r>
          </w:p>
        </w:tc>
      </w:tr>
      <w:tr w14:paraId="14FF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9D0EE">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D2A21">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3EFD8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周界智能枪型网络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B328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79EA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37F80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1.采用不低于200万像素1/2.8英寸CMOS图像传感器;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2.最大可输出3路≥200万（1920× 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最大补光距离：≥100m（红外）；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周界防范：绊线入侵；区域入侵；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最低照度：通道1-3：≤0.001lux（彩色模式）；≤0.0001lux（黑白模式）；0lux（补光灯开启）；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内置MIC：支持，内置双MIC；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内置扬声器：支持，内置≥1个扬声器；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支持长距离周界检测，人、车目标检测纵深≥100米；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白天天气晴朗无遮挡，可对5m-120m处的人和机动车目标进行检测夜晚天气晴朗无遮挡，补光灯开启后，可对5m-110m处的人和机动车目标进行检测；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音频输入：≥1路；音频输出：≥1路；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报警输入：≥2路；报警输出：≥2路；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支持DC12V/PoE供电方式；</w:t>
            </w:r>
          </w:p>
        </w:tc>
      </w:tr>
      <w:tr w14:paraId="5FA32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03B6C">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0A1E7">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45B6A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交换机1</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119B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F98F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77405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3.需具备≥8个10/100/1000BASE-T电口(PoE)、≥2个10/100/1000BASE-T电口；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4.链路聚合：支持；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5.供电方式：外置单电源；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6.空载功耗：≤3W；满载功耗：≤65W；PoE：Port 1≤60W，Port2-8≤30W，总功率≤60W；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7.散热方式：无风扇，自然散热；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支持在交换机前面板查看POE功率的使用率。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具有永久POE功能,重启后终端供电不停。</w:t>
            </w:r>
          </w:p>
        </w:tc>
      </w:tr>
      <w:tr w14:paraId="0114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98BD34">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815E0">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5EE4E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交换机2</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296A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D2D8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5F5F6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3.业务端口：需具备≥16个10/100/1000BASE-T电口(PoE)、≥2个10/100/1000BASE-T电口、≥2个1000BASE-X SFP端口；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4.链路聚合：支持；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5.设备管理：WEB管理、APP管理；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6.空载功耗：≤6W；满载功耗：≤265W；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7.PoE：Port 1-2≤90W，Port 3-16≤30W，总功率≤240W；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8.散热方式：内置风扇散热；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9.安装方式：桌面式、机架式安装；</w:t>
            </w:r>
          </w:p>
        </w:tc>
      </w:tr>
      <w:tr w14:paraId="780B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973E8">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3D5F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6E17C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交换机3</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B08D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B5C3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7892D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3.业务端口：需具备≥24个10/100/1000BASE-T电口(PoE)、≥2个10/100/1000BASE-T电口、≥2个1000BASE-X SFP端口；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4.链路聚合：支持；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5.设备管理：WEB管理、APP管理；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6.空载功耗：≤6W；满载功耗：≤265W；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7.PoE：Port 1-2≤90W，Port 3-24≤30W，总功率≤240W；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8.散热方式：内置风扇散热；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9.安装方式：桌面式、机架式安装；</w:t>
            </w:r>
          </w:p>
        </w:tc>
      </w:tr>
      <w:tr w14:paraId="5C7D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C2896">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C714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3B0F1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3274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1492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EE1D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1.设备需提供10/100/1000BASE-T电口≥24个，10G SFP+光口≥4个；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2.交换容量：≥7.56Tbps，包转发率：≥396Mpps；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3.需支持VLAN：802.1Q VLAN、端口VLAN、QinQ、Voice VLAN、协议VLAN、MAC 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4.支持链路聚合：静态、动态链路聚合；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5.支持生成树STP/RSTP/MSTP，支持RRPP/ERPS；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6.支持虚拟化堆叠技术；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需提供≥1个业务扩展槽位，可扩展1G/2.5G/5G/40G端口；</w:t>
            </w:r>
          </w:p>
        </w:tc>
      </w:tr>
      <w:tr w14:paraId="3640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264FA">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EE317">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43BD7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光纤收发器（发送端）</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8707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A881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313FA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1.网络接口：具备≥1个1Gbps光口(FC)、≥1个10/100/1000Mbps自协商以太网口(RJ-45)；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2.光纤类型：单模单纤；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3.波长：1310nm发送,1550nm接收；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4.光传输距离：≤20km；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5.安装方式：桌面、集成机箱、壁挂安装；</w:t>
            </w:r>
          </w:p>
        </w:tc>
      </w:tr>
      <w:tr w14:paraId="11F8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3A024">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F4917">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7C8C3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光纤收发器（接收端）</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4795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0507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F180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1.网络接口：具备≥1个1Gbps光口(FC)、≥1个10/100/1000Mbps自协商以太网口(RJ-45)；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2.光纤类型：单模单纤；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3.发送端/接收端：接收端；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4.波长：1550nm发送,1310nm接收；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5.光传输距离：≤20km；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6.安装方式：桌面、集成机箱、壁挂安装；</w:t>
            </w:r>
          </w:p>
        </w:tc>
      </w:tr>
      <w:tr w14:paraId="18FE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081F3">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D9900">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66F1B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网络视频存储服务器</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5F38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E591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530A2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1.主处理器：64位高性能双核处理器；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2.高速缓存：标配≥8GB（内存），可扩展至≥64GB；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3.支持≥450路（1024Mbps）前端接入、存储、转发，≥32路（64Mbps）网络回放；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4.硬盘接口：≥60个；SATA，SAS；单盘最大支持24TB，支持热插拔；支持CMR，SMR；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USB接口：≥4个，≥2个前置USB2.0接口；≥2个后置USB3.0接口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6.可在客户端界面查看数据重构状态，样机的磁盘或节点离线并重新插回后，可在界面显示离线磁盘或节点的数据重构过程，离线前数据不丢失；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7.可将指定选择时间段和指定录像类型（报警、事件、定时等）的录像文件进行回传，支持每日自动定时回传；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8.设备可接入双音轨，可同时或分别播放左右音轨;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9.设备支持硬盘错误灯提示功能。当系统检查到硬盘损坏、坏块太多、读写大量异常或者无法获取硬盘信息等问题，硬盘会被定义为错误盘，通过用户界面硬盘位标识为红色，硬件上硬盘灯也显示为红色长亮。</w:t>
            </w:r>
          </w:p>
        </w:tc>
      </w:tr>
      <w:tr w14:paraId="6263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67258">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8793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28350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6C8E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4BCD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3BCA4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1.单盘容量：20TB；  2.缓存：512MB；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3.转速：7200RPM；  4.硬盘接口：SATA</w:t>
            </w:r>
          </w:p>
        </w:tc>
      </w:tr>
      <w:tr w14:paraId="1B32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74AD3">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FF170">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shd w:val="clear" w:color="auto" w:fill="FFFFFF"/>
            <w:noWrap w:val="0"/>
            <w:vAlign w:val="center"/>
          </w:tcPr>
          <w:p w14:paraId="06D48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液晶拼接显示单元</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6E6D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B815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A951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1.产品尺寸：≥55寸；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2.双边拼缝：≤3.5mm；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最高支持1920*1080高清显示；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4.亮度：≥500cd/m2；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5.视角：≥178°(水平)/ 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6.输入接口：VGA(D-Sub) ≥1、CVBS(BNC) ≥2、DVI-D≥1、HDMI≥1、RS232(RJ45) ≥1、USB（升级和多媒体）≥1；</w:t>
            </w:r>
          </w:p>
        </w:tc>
      </w:tr>
      <w:tr w14:paraId="31E8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A0D25">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116346">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3E923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液压支架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DB98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33C9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7EC6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1.产品尺寸：≥55吋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2.液晶拼接屏 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3.维护方式：前维护液压系统架构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4.产品材质：铁质</w:t>
            </w:r>
          </w:p>
        </w:tc>
      </w:tr>
      <w:tr w14:paraId="3148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81344">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D0BF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185DE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9FAB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5254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57EA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15M高清线缆</w:t>
            </w:r>
          </w:p>
        </w:tc>
      </w:tr>
      <w:tr w14:paraId="64B1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973D1">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4F3D5E">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7EC9A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0FC5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0BE6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2D2F5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1.支持≥2路HDMI信号输入接口；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2.支持≥4路HDMI信号输出接口；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3.支持≥2路32MP@25fps /≥ 7路12MP@25fps / ≥10路8MP@25fps / ≥14路6MP@25fps / ≥18路5MP@25fps /≥ 28路3MP@25fps /≥ 36路1080p @30fps /≥144路D1@30fps同时解码；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4.支持自定义分辨率输出，支持小间距LED对接；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5.支持1个10M/100M/1000M自适应以太网接口；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6.支持通过快捷键将信号源推送至大屏的任意的窗口。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7.支持设置指定电脑允许的接管范围和窗口，除此之外的电脑内容不予以显示。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8.支持通过鼠标调整鹰眼地图中区域框大小或者鼠标滚轮缩放，可改变相应的电视墙主窗口显示区域大小；拖动鹰眼地图中区域框位置，可改变相应的电视墙主窗口显示区域。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网络接口：≥1个RJ-45 10M/100M/1000M自适应以太网口；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USB接口：≥3个USB 接口(前面板1个，后面板2个)；</w:t>
            </w:r>
          </w:p>
        </w:tc>
      </w:tr>
      <w:tr w14:paraId="75E4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BF9D2">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9A58B">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6EFC6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管理系统</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0C6A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DCAF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57DDF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一、业务功能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视频监控：支持窗口分割、浏览/抓图、轮巡、鱼眼模式、音频和对讲；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二、性能规格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1、接入性能：视频支持≥600路，支持性能扩展；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2、软件性能：管理角色支持≥10000个，管理用户支持≥1000个，支持用户并发≥100个；电视墙上墙路数≥64个，上墙轮询路数≥128个；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1、处理器：1颗CPU，2核4线程，3.0GHz；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2、硬盘：配置≥1块128G SSD固态硬盘, ≥1块4T机械硬盘,机械硬盘单盘最大支持企业级24T；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3、内存：≥32G内存（2根16GB DDR4 SODIMM 内存条）；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4、接口：前置≥2个USB2.0接口、后置≥2个USB3.0接口；≥1个RS-232接口（后置，用于调试及透传串口数据）、≥1个VGA接口、≥2个HDMI接口；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配置≥4个超高速智能调节静音风扇；</w:t>
            </w:r>
          </w:p>
        </w:tc>
      </w:tr>
      <w:tr w14:paraId="0110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D23CA">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5A99A1">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109A2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8769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DC36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E5B7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品牌六类室外网线、2*1电源线、PVC管、水晶头、光纤等满足全部设备正常使用相关辅材等。</w:t>
            </w:r>
          </w:p>
        </w:tc>
      </w:tr>
    </w:tbl>
    <w:p w14:paraId="7B02F28B">
      <w:pPr>
        <w:rPr>
          <w:rFonts w:hint="eastAsia"/>
          <w:lang w:eastAsia="zh-CN"/>
        </w:rPr>
      </w:pPr>
    </w:p>
    <w:p w14:paraId="390B9DB3">
      <w:pPr>
        <w:rPr>
          <w:rFonts w:hint="eastAsia"/>
          <w:lang w:eastAsia="zh-CN"/>
        </w:rPr>
      </w:pPr>
    </w:p>
    <w:p w14:paraId="3E0B84C8">
      <w:pPr>
        <w:rPr>
          <w:rFonts w:hint="eastAsia"/>
          <w:lang w:eastAsia="zh-CN"/>
        </w:rPr>
      </w:pPr>
    </w:p>
    <w:p w14:paraId="308A5235">
      <w:pPr>
        <w:rPr>
          <w:rFonts w:hint="eastAsia"/>
          <w:lang w:eastAsia="zh-CN"/>
        </w:rPr>
      </w:pPr>
    </w:p>
    <w:p w14:paraId="78CB57A1">
      <w:pPr>
        <w:rPr>
          <w:rFonts w:hint="eastAsia"/>
          <w:lang w:eastAsia="zh-CN"/>
        </w:rPr>
      </w:pPr>
    </w:p>
    <w:p w14:paraId="35123E5B">
      <w:pPr>
        <w:rPr>
          <w:rFonts w:hint="eastAsia"/>
          <w:lang w:eastAsia="zh-CN"/>
        </w:rPr>
      </w:pPr>
    </w:p>
    <w:p w14:paraId="7E3491D3">
      <w:pPr>
        <w:rPr>
          <w:rFonts w:hint="eastAsia"/>
          <w:lang w:eastAsia="zh-CN"/>
        </w:rPr>
      </w:pPr>
    </w:p>
    <w:p w14:paraId="4CB4B369">
      <w:pPr>
        <w:rPr>
          <w:rFonts w:hint="eastAsia"/>
          <w:lang w:eastAsia="zh-CN"/>
        </w:rPr>
      </w:pPr>
    </w:p>
    <w:p w14:paraId="3B2163D9">
      <w:pPr>
        <w:rPr>
          <w:rFonts w:hint="eastAsia"/>
          <w:lang w:eastAsia="zh-CN"/>
        </w:rPr>
      </w:pPr>
    </w:p>
    <w:p w14:paraId="2152392C">
      <w:pPr>
        <w:rPr>
          <w:rFonts w:hint="eastAsia"/>
          <w:lang w:eastAsia="zh-CN"/>
        </w:rPr>
      </w:pPr>
    </w:p>
    <w:p w14:paraId="22DE3A03">
      <w:pPr>
        <w:rPr>
          <w:rFonts w:hint="eastAsia"/>
          <w:lang w:eastAsia="zh-CN"/>
        </w:rPr>
      </w:pPr>
    </w:p>
    <w:p w14:paraId="3C4C8AF2">
      <w:pPr>
        <w:rPr>
          <w:rFonts w:hint="eastAsia"/>
          <w:lang w:eastAsia="zh-CN"/>
        </w:rPr>
      </w:pPr>
    </w:p>
    <w:p w14:paraId="7581218E">
      <w:pPr>
        <w:rPr>
          <w:rFonts w:hint="eastAsia"/>
          <w:lang w:eastAsia="zh-CN"/>
        </w:rPr>
      </w:pPr>
    </w:p>
    <w:p w14:paraId="66FF8314">
      <w:pPr>
        <w:rPr>
          <w:rFonts w:hint="eastAsia"/>
          <w:lang w:eastAsia="zh-CN"/>
        </w:rPr>
      </w:pPr>
    </w:p>
    <w:p w14:paraId="206B03BF">
      <w:pPr>
        <w:rPr>
          <w:rFonts w:hint="eastAsia"/>
          <w:lang w:eastAsia="zh-CN"/>
        </w:rPr>
      </w:pPr>
    </w:p>
    <w:p w14:paraId="7EFCC98C">
      <w:pPr>
        <w:rPr>
          <w:rFonts w:hint="eastAsia"/>
          <w:lang w:eastAsia="zh-CN"/>
        </w:rPr>
      </w:pPr>
    </w:p>
    <w:p w14:paraId="10B31EA1">
      <w:pPr>
        <w:rPr>
          <w:rFonts w:hint="eastAsia"/>
          <w:lang w:eastAsia="zh-CN"/>
        </w:rPr>
      </w:pPr>
    </w:p>
    <w:p w14:paraId="1394F4FD">
      <w:pPr>
        <w:rPr>
          <w:rFonts w:hint="eastAsia"/>
          <w:lang w:eastAsia="zh-CN"/>
        </w:rPr>
      </w:pPr>
    </w:p>
    <w:p w14:paraId="4C554870">
      <w:pPr>
        <w:rPr>
          <w:rFonts w:hint="eastAsia"/>
          <w:lang w:eastAsia="zh-CN"/>
        </w:rPr>
      </w:pPr>
    </w:p>
    <w:p w14:paraId="67F223B3">
      <w:pPr>
        <w:rPr>
          <w:rFonts w:hint="eastAsia"/>
          <w:lang w:eastAsia="zh-CN"/>
        </w:rPr>
      </w:pPr>
    </w:p>
    <w:p w14:paraId="486E8EE2">
      <w:pPr>
        <w:rPr>
          <w:rFonts w:hint="eastAsia"/>
          <w:lang w:eastAsia="zh-CN"/>
        </w:rPr>
      </w:pPr>
    </w:p>
    <w:p w14:paraId="3E80AC60">
      <w:pPr>
        <w:rPr>
          <w:rFonts w:hint="eastAsia"/>
          <w:lang w:eastAsia="zh-CN"/>
        </w:rPr>
      </w:pPr>
    </w:p>
    <w:p w14:paraId="0C7F37C9">
      <w:pPr>
        <w:rPr>
          <w:rFonts w:hint="eastAsia"/>
          <w:lang w:eastAsia="zh-CN"/>
        </w:rPr>
      </w:pPr>
    </w:p>
    <w:p w14:paraId="6E077B5E">
      <w:pPr>
        <w:rPr>
          <w:rFonts w:hint="eastAsia"/>
          <w:lang w:eastAsia="zh-CN"/>
        </w:rPr>
      </w:pPr>
    </w:p>
    <w:p w14:paraId="401824C2">
      <w:pPr>
        <w:rPr>
          <w:rFonts w:hint="eastAsia"/>
          <w:lang w:eastAsia="zh-CN"/>
        </w:rPr>
      </w:pPr>
    </w:p>
    <w:p w14:paraId="1611F063">
      <w:pPr>
        <w:rPr>
          <w:rFonts w:hint="eastAsia"/>
          <w:lang w:eastAsia="zh-CN"/>
        </w:rPr>
      </w:pPr>
    </w:p>
    <w:p w14:paraId="6BCE4A02">
      <w:pPr>
        <w:rPr>
          <w:rFonts w:hint="eastAsia"/>
          <w:lang w:eastAsia="zh-CN"/>
        </w:rPr>
      </w:pPr>
    </w:p>
    <w:p w14:paraId="42533CDD">
      <w:pPr>
        <w:rPr>
          <w:rFonts w:hint="eastAsia"/>
          <w:lang w:eastAsia="zh-CN"/>
        </w:rPr>
      </w:pPr>
    </w:p>
    <w:p w14:paraId="3A833AC8">
      <w:pPr>
        <w:rPr>
          <w:rFonts w:hint="eastAsia"/>
          <w:lang w:eastAsia="zh-CN"/>
        </w:rPr>
      </w:pPr>
    </w:p>
    <w:p w14:paraId="53B8172B">
      <w:pPr>
        <w:rPr>
          <w:rFonts w:hint="eastAsia"/>
          <w:lang w:eastAsia="zh-CN"/>
        </w:rPr>
      </w:pPr>
    </w:p>
    <w:p w14:paraId="1C075158">
      <w:pPr>
        <w:rPr>
          <w:rFonts w:hint="eastAsia"/>
          <w:lang w:eastAsia="zh-CN"/>
        </w:rPr>
      </w:pPr>
    </w:p>
    <w:p w14:paraId="608A379D">
      <w:pPr>
        <w:rPr>
          <w:rFonts w:hint="eastAsia"/>
          <w:lang w:eastAsia="zh-CN"/>
        </w:rPr>
      </w:pPr>
    </w:p>
    <w:p w14:paraId="59B92576">
      <w:pPr>
        <w:rPr>
          <w:rFonts w:hint="eastAsia"/>
          <w:lang w:eastAsia="zh-CN"/>
        </w:rPr>
      </w:pPr>
    </w:p>
    <w:p w14:paraId="144E94F2">
      <w:pPr>
        <w:rPr>
          <w:rFonts w:hint="eastAsia"/>
          <w:lang w:eastAsia="zh-CN"/>
        </w:rPr>
      </w:pPr>
    </w:p>
    <w:p w14:paraId="0A797015">
      <w:pPr>
        <w:rPr>
          <w:rFonts w:hint="eastAsia"/>
          <w:lang w:eastAsia="zh-CN"/>
        </w:rPr>
      </w:pPr>
    </w:p>
    <w:p w14:paraId="0BE9CC0D">
      <w:pPr>
        <w:rPr>
          <w:rFonts w:hint="eastAsia"/>
          <w:lang w:eastAsia="zh-CN"/>
        </w:rPr>
      </w:pPr>
      <w:bookmarkStart w:id="222" w:name="_GoBack"/>
      <w:bookmarkEnd w:id="222"/>
    </w:p>
    <w:p w14:paraId="1A33AE66">
      <w:pPr>
        <w:rPr>
          <w:rFonts w:hint="eastAsia"/>
          <w:lang w:eastAsia="zh-CN"/>
        </w:rPr>
      </w:pPr>
    </w:p>
    <w:p w14:paraId="4366C13D">
      <w:pPr>
        <w:rPr>
          <w:rFonts w:hint="eastAsia"/>
          <w:lang w:eastAsia="zh-CN"/>
        </w:rPr>
      </w:pPr>
    </w:p>
    <w:p w14:paraId="3416EEC8">
      <w:pPr>
        <w:rPr>
          <w:rFonts w:hint="eastAsia"/>
          <w:lang w:eastAsia="zh-CN"/>
        </w:rPr>
      </w:pPr>
    </w:p>
    <w:tbl>
      <w:tblPr>
        <w:tblStyle w:val="16"/>
        <w:tblW w:w="89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7"/>
        <w:gridCol w:w="1317"/>
        <w:gridCol w:w="883"/>
        <w:gridCol w:w="517"/>
        <w:gridCol w:w="533"/>
        <w:gridCol w:w="5284"/>
      </w:tblGrid>
      <w:tr w14:paraId="57BD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931" w:type="dxa"/>
            <w:gridSpan w:val="6"/>
            <w:tcBorders>
              <w:top w:val="nil"/>
              <w:left w:val="nil"/>
              <w:bottom w:val="nil"/>
              <w:right w:val="nil"/>
            </w:tcBorders>
            <w:noWrap w:val="0"/>
            <w:vAlign w:val="center"/>
          </w:tcPr>
          <w:p w14:paraId="71CEEA65">
            <w:pPr>
              <w:keepNext w:val="0"/>
              <w:keepLines w:val="0"/>
              <w:widowControl/>
              <w:suppressLineNumbers w:val="0"/>
              <w:jc w:val="center"/>
              <w:textAlignment w:val="center"/>
              <w:rPr>
                <w:rFonts w:hint="default" w:ascii="宋体" w:hAnsi="宋体" w:eastAsia="宋体" w:cs="宋体"/>
                <w:b/>
                <w:bCs/>
                <w:i w:val="0"/>
                <w:iCs w:val="0"/>
                <w:color w:val="000000"/>
                <w:sz w:val="44"/>
                <w:szCs w:val="44"/>
                <w:u w:val="none"/>
                <w:lang w:val="en-US"/>
              </w:rPr>
            </w:pPr>
            <w:r>
              <w:rPr>
                <w:rFonts w:hint="eastAsia" w:ascii="宋体" w:hAnsi="宋体" w:eastAsia="宋体" w:cs="宋体"/>
                <w:b/>
                <w:bCs/>
                <w:i w:val="0"/>
                <w:iCs w:val="0"/>
                <w:color w:val="000000"/>
                <w:kern w:val="0"/>
                <w:sz w:val="44"/>
                <w:szCs w:val="44"/>
                <w:u w:val="none"/>
                <w:lang w:val="en-US" w:eastAsia="zh-CN" w:bidi="ar"/>
              </w:rPr>
              <w:t>乌兰县中小学校园应急数字广播系统及设备采购项目清单及参数（包</w:t>
            </w:r>
            <w:r>
              <w:rPr>
                <w:rFonts w:hint="eastAsia" w:ascii="宋体" w:hAnsi="宋体" w:cs="宋体"/>
                <w:b/>
                <w:bCs/>
                <w:i w:val="0"/>
                <w:iCs w:val="0"/>
                <w:color w:val="000000"/>
                <w:kern w:val="0"/>
                <w:sz w:val="44"/>
                <w:szCs w:val="44"/>
                <w:u w:val="none"/>
                <w:lang w:val="en-US" w:eastAsia="zh-CN" w:bidi="ar"/>
              </w:rPr>
              <w:t>三</w:t>
            </w:r>
            <w:r>
              <w:rPr>
                <w:rFonts w:hint="eastAsia" w:ascii="宋体" w:hAnsi="宋体" w:eastAsia="宋体" w:cs="宋体"/>
                <w:b/>
                <w:bCs/>
                <w:i w:val="0"/>
                <w:iCs w:val="0"/>
                <w:color w:val="000000"/>
                <w:kern w:val="0"/>
                <w:sz w:val="44"/>
                <w:szCs w:val="44"/>
                <w:u w:val="none"/>
                <w:lang w:val="en-US" w:eastAsia="zh-CN" w:bidi="ar"/>
              </w:rPr>
              <w:t>）</w:t>
            </w:r>
          </w:p>
        </w:tc>
      </w:tr>
      <w:tr w14:paraId="5387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7" w:type="dxa"/>
            <w:tcBorders>
              <w:top w:val="nil"/>
              <w:left w:val="nil"/>
              <w:bottom w:val="nil"/>
              <w:right w:val="nil"/>
            </w:tcBorders>
            <w:noWrap w:val="0"/>
            <w:vAlign w:val="center"/>
          </w:tcPr>
          <w:p w14:paraId="774CFCB2">
            <w:pPr>
              <w:jc w:val="center"/>
              <w:rPr>
                <w:rFonts w:hint="eastAsia" w:ascii="华文仿宋" w:hAnsi="华文仿宋" w:eastAsia="华文仿宋" w:cs="华文仿宋"/>
                <w:i w:val="0"/>
                <w:iCs w:val="0"/>
                <w:color w:val="000000"/>
                <w:sz w:val="24"/>
                <w:szCs w:val="24"/>
                <w:u w:val="none"/>
              </w:rPr>
            </w:pPr>
          </w:p>
        </w:tc>
        <w:tc>
          <w:tcPr>
            <w:tcW w:w="1317" w:type="dxa"/>
            <w:tcBorders>
              <w:top w:val="nil"/>
              <w:left w:val="nil"/>
              <w:bottom w:val="nil"/>
              <w:right w:val="nil"/>
            </w:tcBorders>
            <w:noWrap w:val="0"/>
            <w:vAlign w:val="center"/>
          </w:tcPr>
          <w:p w14:paraId="61F3988C">
            <w:pPr>
              <w:jc w:val="center"/>
              <w:rPr>
                <w:rFonts w:hint="default" w:ascii="华文仿宋" w:hAnsi="华文仿宋" w:eastAsia="华文仿宋" w:cs="华文仿宋"/>
                <w:b/>
                <w:bCs/>
                <w:i w:val="0"/>
                <w:iCs w:val="0"/>
                <w:color w:val="000000"/>
                <w:sz w:val="36"/>
                <w:szCs w:val="36"/>
                <w:u w:val="none"/>
              </w:rPr>
            </w:pPr>
          </w:p>
        </w:tc>
        <w:tc>
          <w:tcPr>
            <w:tcW w:w="883" w:type="dxa"/>
            <w:tcBorders>
              <w:top w:val="nil"/>
              <w:left w:val="nil"/>
              <w:bottom w:val="nil"/>
              <w:right w:val="nil"/>
            </w:tcBorders>
            <w:noWrap w:val="0"/>
            <w:vAlign w:val="center"/>
          </w:tcPr>
          <w:p w14:paraId="5E8125A0">
            <w:pPr>
              <w:jc w:val="center"/>
              <w:rPr>
                <w:rFonts w:hint="default" w:ascii="华文仿宋" w:hAnsi="华文仿宋" w:eastAsia="华文仿宋" w:cs="华文仿宋"/>
                <w:b/>
                <w:bCs/>
                <w:i w:val="0"/>
                <w:iCs w:val="0"/>
                <w:color w:val="000000"/>
                <w:sz w:val="36"/>
                <w:szCs w:val="36"/>
                <w:u w:val="none"/>
              </w:rPr>
            </w:pPr>
          </w:p>
        </w:tc>
        <w:tc>
          <w:tcPr>
            <w:tcW w:w="517" w:type="dxa"/>
            <w:tcBorders>
              <w:top w:val="nil"/>
              <w:left w:val="nil"/>
              <w:bottom w:val="nil"/>
              <w:right w:val="nil"/>
            </w:tcBorders>
            <w:noWrap w:val="0"/>
            <w:vAlign w:val="center"/>
          </w:tcPr>
          <w:p w14:paraId="32FE4269">
            <w:pPr>
              <w:jc w:val="center"/>
              <w:rPr>
                <w:rFonts w:hint="default" w:ascii="华文仿宋" w:hAnsi="华文仿宋" w:eastAsia="华文仿宋" w:cs="华文仿宋"/>
                <w:b/>
                <w:bCs/>
                <w:i w:val="0"/>
                <w:iCs w:val="0"/>
                <w:color w:val="000000"/>
                <w:sz w:val="36"/>
                <w:szCs w:val="36"/>
                <w:u w:val="none"/>
              </w:rPr>
            </w:pPr>
          </w:p>
        </w:tc>
        <w:tc>
          <w:tcPr>
            <w:tcW w:w="533" w:type="dxa"/>
            <w:tcBorders>
              <w:top w:val="nil"/>
              <w:left w:val="nil"/>
              <w:bottom w:val="nil"/>
              <w:right w:val="nil"/>
            </w:tcBorders>
            <w:noWrap w:val="0"/>
            <w:vAlign w:val="center"/>
          </w:tcPr>
          <w:p w14:paraId="15C0F973">
            <w:pPr>
              <w:jc w:val="center"/>
              <w:rPr>
                <w:rFonts w:hint="default" w:ascii="华文仿宋" w:hAnsi="华文仿宋" w:eastAsia="华文仿宋" w:cs="华文仿宋"/>
                <w:b/>
                <w:bCs/>
                <w:i w:val="0"/>
                <w:iCs w:val="0"/>
                <w:color w:val="000000"/>
                <w:sz w:val="36"/>
                <w:szCs w:val="36"/>
                <w:u w:val="none"/>
              </w:rPr>
            </w:pPr>
          </w:p>
        </w:tc>
        <w:tc>
          <w:tcPr>
            <w:tcW w:w="5284" w:type="dxa"/>
            <w:tcBorders>
              <w:top w:val="nil"/>
              <w:left w:val="nil"/>
              <w:bottom w:val="nil"/>
              <w:right w:val="nil"/>
            </w:tcBorders>
            <w:noWrap w:val="0"/>
            <w:vAlign w:val="center"/>
          </w:tcPr>
          <w:p w14:paraId="16F60B3F">
            <w:pPr>
              <w:jc w:val="center"/>
              <w:rPr>
                <w:rFonts w:hint="eastAsia" w:ascii="宋体" w:hAnsi="宋体" w:eastAsia="宋体" w:cs="宋体"/>
                <w:i w:val="0"/>
                <w:iCs w:val="0"/>
                <w:color w:val="000000"/>
                <w:sz w:val="18"/>
                <w:szCs w:val="18"/>
                <w:u w:val="none"/>
              </w:rPr>
            </w:pPr>
          </w:p>
        </w:tc>
      </w:tr>
      <w:tr w14:paraId="4A18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025162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3AF73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项目学校</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7491B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29D66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63408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7D723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r>
      <w:tr w14:paraId="05A44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3BFE2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317" w:type="dxa"/>
            <w:vMerge w:val="restart"/>
            <w:tcBorders>
              <w:top w:val="single" w:color="000000" w:sz="4" w:space="0"/>
              <w:left w:val="single" w:color="000000" w:sz="4" w:space="0"/>
              <w:bottom w:val="single" w:color="000000" w:sz="4" w:space="0"/>
              <w:right w:val="single" w:color="000000" w:sz="4" w:space="0"/>
            </w:tcBorders>
            <w:noWrap/>
            <w:vAlign w:val="center"/>
          </w:tcPr>
          <w:p w14:paraId="62DA18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乌兰县第二中学（校园应急广播系统）</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564F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网络广播系统主机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A66C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3A18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7A6C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1、主板芯片：≥Q670芯片组；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2、CPU：≥Intel Core i7-13700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3、内存：≥16GB，4个内存插槽，最大支持128G；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4、硬盘：≥256GB M.2 PCIe NVMe SSD+1T SATA；支持2个SATA 3.5吋机械硬盘，支持1个M.2 NVMe 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5、显卡：集成显卡；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6、插槽：≥1个 M.2 NVMe ,1 个 PCIe x16, 2 个 PCIe x4（x1 link）,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7、网卡：集成10/100/1000M自适应网卡；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8、接口：前置接口：USB（4个）：2个USB3.2 Gen1 Type-A 、2个USB3.2 Gen2 Type-A  Type-C（1个）：1个USB3.2 Gen1 Type-C （支持关机充电，15W），三合一读卡器、模拟音频接口：立体声+麦克风。后置接口：USB（4个）：4个 USB2.0 Type-A，板载视频接口：DP1.4+HDMI1.4+VGA，千兆网口。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9、键盘/鼠标：USB键盘鼠标与主机相匹配；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10、电源：≥500W电源；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11、机箱：不大于17L，支持免工具拆卸。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12、操作系统：预装正版操作系统;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13、显示器：与主机同品牌≥ 23.8寸</w:t>
            </w:r>
          </w:p>
        </w:tc>
      </w:tr>
      <w:tr w14:paraId="75F6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D3F8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E074B5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74D0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网络广播主控软件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2C85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B7DC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5E8E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广播系统控制的核心软件。2、无需互联网静态IP地址即可与IP广播管理平台主控软件互联。3、注册方式以USB加密狗硬件注册方式。4、系统服务器软件，支持双向通讯设备的权限分配，网络冗余、即时性音频应急保障备份、推送备份和定压备份设定。5、自动音乐打铃；作息时间表季节调整；自动预开电源，播放结束自动关闭。6、支持单点播放：可以对任意单点、组群、分区或全部广播。7、领导网上讲话：远程对全区、分区、分组讲话；8、语音实时采播：能够将自用电台、录音机卡座、CD播放器、MP3播放器、麦克风等节目实时采播实时压缩成高音质数据流存储到服务器，并可按要求同时转播到指定的广播终端，用于播放外接设备广播及广播通知等，能与电源时序器联动，实现在定时或实时采播任务中打开十六路电源时序器的任意一路或数路受控电源口。9、支持独立考试模式，与应急保障主机配合实现双重保障；10、结合网络报警主机接收报警信号，在服务器软件上预先设置报警模式，即可进行报警联动功能。11、支持LED显示推送：以手动或自动的方式实时、定时发布文本信息。12、支持同时监控≥5个视频终端的画面，支持对任意指定视频终端的视频录制、存储。13、具备声光指示及报警模式：支持常规任务、特殊任务及报警任务以声光同步的方式输出。满足特殊教育等多种特殊场合使用。不同的任务可以指定不同的灯光。14、具备自动增益功能：内置自主算法、自主技术的DSP处理模式，能自动识别和区分终端环境噪声和正常的广播内容，自动根据环境噪声自动增减广播增益。同时保证声音的清晰度和强度。15、具备一键巡检功能，可以在30秒内快速检查所有网络音箱的声音品质是否符合播音要求，自动以警示图标形式显示故障终端，可保存所有终端的检测数据，作为核查依据。</w:t>
            </w:r>
          </w:p>
        </w:tc>
      </w:tr>
      <w:tr w14:paraId="2BA0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887771">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98BE42D">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2E5B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B10C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6D91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E15F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1、木制箱体。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2、内置1路网络硬件音频解码模块，实现网络化传输16位C 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3、带本地线路输入1组，音量可调；话筒输入1路，音量可调；带1路线路输出。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4、预留2.4 G天线接口，可选配2.4 G接收模块，可实现本地语音扩声。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5、可选配信息推送功能，系统崩溃或网络瘫痪后，也可以独立执行定时任务，保证系统的平稳运行。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7、传输速率 ：10/100Mbps。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8、灵敏度：9 0 d B ±3 d 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9、内置数字功放：≥2*15W/8Ω。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10、单元规格：4.5吋宽频扬声器单元×1；2.75吋高音扬声器单元×1。</w:t>
            </w:r>
          </w:p>
        </w:tc>
      </w:tr>
      <w:tr w14:paraId="1F56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EC51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B6CA01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2007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B21D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6055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0314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1、标准机架式超薄1U设计，配置机架安装挂件，黑色机箱，铝合金面板。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2、音频输出：立体声（R/L），5.1声道，同轴，光纤。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3、视频输出：S端子，高清（HDMI），分量（Y Cb/Pb Cr/ Pr），VGA。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4、支持断电记忆续播功能、选时及循环播放功能、电子相册功能。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5、超强的纠错能力，电子抗震技术让播放更流畅 ，高清视频输出HDMI（支持1080P）画质。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6、USB播放功能支持WAV、MP3等各种无损格式。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7、具有蓝牙接收功能、FM收音功能，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8、全面兼容DVD/VCD/EVD/SVCD/CD/HDCD/MP3/WAV/JPEG/DVD±R/DVD±RW/CD-G等不同格式碟片。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9、机器前面板具有物理按键功能：播放/暂停、停止、下一曲、上一曲、快进、快退、出仓/进仓、FM/蓝牙、选时、重复、声道、返回、标题、数字直选等。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10、配置全功能遥控器，操作方便。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11、输入电源：AC220V/50Hz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12、最大消耗功率：25W</w:t>
            </w:r>
          </w:p>
        </w:tc>
      </w:tr>
      <w:tr w14:paraId="3BE5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A486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ECB9E7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B86D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F503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16E6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4B98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XLR接口），2组立体声输入（XLR接口），1组立体声RCA输入，1组返回输入（2路 6.35接口）1路USB输入；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2、8路插入点（6.35接口）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3、两组立体声输出，2路编组输出，2路辅助输出，1路立体声监听输出，1路立体声耳机输出，1组立体声录音输出；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6、每路话放带低切功能；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10、主输出7段图示均衡器；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11、14个60mm行程推子；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14、频率响应：20Hz～20kHz（±1dB）；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15、总谐波失真：≤0.05%@0dBu，1kHz；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16、信噪比≥95dB；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17、话筒增益≥70dB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18、线路增益≥58dB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20、最大输出电平≥18dBu；</w:t>
            </w:r>
          </w:p>
        </w:tc>
      </w:tr>
      <w:tr w14:paraId="6192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0AF4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6A48FB2">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D905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B955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D542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A72C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1、换能方式：电容式；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2、频率响应：70Hz-12KHz；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3、灵敏度：-29dB±3dB；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4、指向性： 心形单指向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 114dB；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6、咪杆与底座采用旋转式卡侬连接；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7、咪杆长度≥400mm；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8、供电:  两节五号（AA）电池或幻像48V。</w:t>
            </w:r>
          </w:p>
        </w:tc>
      </w:tr>
      <w:tr w14:paraId="66E0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7C2CC">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778601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4C2B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网络寻呼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686D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9E4B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F822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1、桌面话筒式设计，带7英寸LCD液晶显示屏；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2、支持双向对讲功能：双向终端之间实现两两双向对讲；一键接收求助、对讲功能，实现快速连接；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3、支持免提通话和接收广播；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4、具有30个一键呼叫触控按钮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5、支持一路本地线路输入，1路话筒输入，一路音频辅助输出；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7、内置扬声器输出阻抗&amp;功率：8Ω，5W；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9、信噪比：&gt;75dB；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12、总谐波失真：≤1%。</w:t>
            </w:r>
          </w:p>
        </w:tc>
      </w:tr>
      <w:tr w14:paraId="5A13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35E2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43995D8">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7767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电源控制器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DF5C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3D5D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90CA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2、16路电源输出。时序开关控制，顺序开启，反序关闭。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3、时序控制增加控制口，短路信号输入，可将时序开关外接。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4、可按键单独开启和关闭每一路电源输出；一个RS232串口和两个RS422数据接口。提供电源裸线端子接入市电。根据任务需求自动打开和关闭，实现无人化自动值守。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5、时序间隔时间：1秒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6、单路最大电源电流：10A；16路电源总电流：40A。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7、硬件接口：RS232控制口×1；RS422数据接口×2。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8、适用电压：220V±10%</w:t>
            </w:r>
          </w:p>
        </w:tc>
      </w:tr>
      <w:tr w14:paraId="7C4A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FEFE8">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F6A02A4">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1566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5FAD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1114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9D2A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3、具有3路话筒（TRS6.35）输入、3路线路输入，1组录音输出，其中话筒、线路独立音量调节以及话筒高、低音独立调节功能，Mic1-3具有+48V幻像供电选择开关，Mic1具有默音可调功能。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4、总音量调节。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6、输出功率：150W（100V定压输出）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7、输入灵敏度 ：线路（L+R）：150mV±30mV     话筒：（17mv±5mv）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8、音调调节 (低频:100Hz ±10dB（±2dB）, 高频:10KHz ±8dB（±2dB））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9、频率响应：100Hz~16kHz (+2/-6dB)；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10、总谐波失真：80Hz-16KHz≤1%；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11、信噪比：话筒 ≥55 dB （A计权）  线路 ≥76 dB（A计权）。</w:t>
            </w:r>
          </w:p>
        </w:tc>
      </w:tr>
      <w:tr w14:paraId="3AD3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5E3E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2C98F1B">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F580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2B2D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0754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F680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1、内置1路网络硬件音频解码模块，支持TCP/IP、UDP、IGMP(组播)协议，实现网络化传输16位CD音质的音频信号，可远程调整音量和IP地址。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2、带本地话筒和线路扩音功能，且话筒、线路音量单独可调，带默音功能。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3、带有24V信号和短路信号报警输入接口。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4、一路话筒输入、一组线路信号输入、一组线路信号输出。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5、带优先级切换功能，可以自主选择网络信号优先或网络和本地信号混音输出。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6、带USB接口，接入U盘后，用于播放本地节目。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7、支持四线制和三线制消防强切，内置24V强切电源。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8、带短路输出，可实现外部设备联动控制。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9、可选配信息推送功能，系统崩溃或网络瘫痪后，也可以自动执行任务，保证系统的平稳运行。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11、支持协议：ARP、UDP、TCP/IP、ICMP、IGMP(组播)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12、网络输入接口：RJ45×1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13、音频输出口：RCA×2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14、本地音频输入口：RCA×2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15、外接功放输出电源插座：（10A）×1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16、本地扩声话筒输入口：TRS×1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17、报警输入接口：短路、24V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18、短路输出接口：1个                                      </w:t>
            </w:r>
          </w:p>
        </w:tc>
      </w:tr>
      <w:tr w14:paraId="0545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892AA">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9DD9F2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C687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一拖二无线麦克风</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8173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152F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1B75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1、采用金属机箱，具有坚固的结构、散热及隔离谐波干扰。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2、RF高动态范围及第三代中频电路，大幅提升互不干扰的频道数及抗干扰特性。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3、预设群组，第1-4组预设16个互不干扰频率，第5－8预设24个互不干扰频率，第U组为用户自定义组，最多可提供2000频率供客户自定义选择使用。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4、采用天线分集式接收及数字导音，杂音锁定双重静音控制，接收距离远，消除接收断音及不稳的缺失。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5、黑色金属面板，LED段码显示器，可同时显示群组、频率、电池电量、静音位准、电子音量等相关信息；LED灯柱显示RF/AF强度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6、采用飞梭旋钮取代传统复杂的按键。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7、天线接口采用50Ω/TNC，保持天线可靠连接的同时。并支持天线环路输出，支持8套同型产品射频级联。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8、各频道可单独或混合输出，可切换两段输出的音量，具有MIC/LINE输出开关：LINE比MIC输出约大10dBu。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9、天线座提供强波器偏压，可以连接天线系统，增加接收距离及稳定的接收效果。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10、100-240V,内置AC电源板。保持系统稳定，且支持AC电源环路输出。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1、载波频段: UHF530-690.000MHZ（常规：640.000MHZ-690.000MHZ）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2、单机频带宽度 :50 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3、单机频道数量：2000个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4、频率间隔：25KHz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5、音频灵敏度: -48±3dB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6、综合S/N比 : &gt;100dB(A)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7、指向性频响曲线：300-2000Hz≤-8dB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8、综合T.H.D. :&lt;0.5%@1kHz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9、频率响应 : 65Hz-15kHz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10、天线：50Ω/TNC，支持天线环路输出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11、发射器拾音头：动圈式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12、发射器供电方式：两节AA充电电池，带充电器。</w:t>
            </w:r>
          </w:p>
        </w:tc>
      </w:tr>
      <w:tr w14:paraId="672E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353F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54A7F0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77C7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6A3F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DAF0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AABB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4、灵敏度：89dB；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5、频率响应：110Hz-18KHz；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6、喇叭单元：LF:4"×3；HF:号角高音；</w:t>
            </w:r>
          </w:p>
        </w:tc>
      </w:tr>
      <w:tr w14:paraId="6021B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C7781">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3FB33D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1774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0432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B40A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219F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2、专业的表面处理工艺，防水防锈，全天候设计，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3、选用防水单元，室内外均宜。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4、配有安装支架。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7、支持协议：TCP/IP,UDP,IGMP(组播)。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10、传输速率：10/100Mbps。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11、额定功率：50W。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12、灵敏度：89dB（±3dB）。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13、频率响应：110Hz-18KHz。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14、喇叭单元：LF:4"×4；HF：3"×1。</w:t>
            </w:r>
          </w:p>
        </w:tc>
      </w:tr>
      <w:tr w14:paraId="25054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3FCB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6E34269">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B3E4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线性阵列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扬声器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DD0D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25F2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662F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1、两分频线阵音箱；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2、箱体全部采用木工板制作；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3、表面喷涂黑色聚脲漆；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4、箱体采用机械式快速释放插销，实现箱体与箱体之间的快速连接；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5、箱体采用三点悬挂，保证箱体间的最佳耦合所需的角度，悬挂可调角度0º、2º、4º、6º、8º、10º；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6、金属防护网，4mm六边形透声孔，内衬防尘透声网。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3、特性灵敏度：100dB；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4、连续声压级：127dB；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5、最大声压级：133dB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6、额定频率范围：75～19000Hz；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7、中低音扬声器：LF：10"×2；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8、高音扬声器：HF：1.75"×2；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9、覆盖角度（H×V）：100°×10°；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10、输入接口：航空插头；</w:t>
            </w:r>
          </w:p>
        </w:tc>
      </w:tr>
      <w:tr w14:paraId="283F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969B1">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33BE3F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2975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线阵列低音音箱</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51E59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ign w:val="center"/>
          </w:tcPr>
          <w:p w14:paraId="62BEF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FB43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1、线阵低音音箱；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2、箱体全部采用木工板制作；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3、表面喷涂黑色水性聚脲漆；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4、箱体采用机械式快速释放插销，实现箱体与箱体之间的快速连接；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5、箱体采用三点悬挂系统；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6、金属防护网，4mm六边形透声孔，内衬防尘透声网。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2、额定功率：800W；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3、最大功率：3200W；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4、特性灵敏度：98dB；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5、连续声压级：127dB；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6、最大声压级：133dB；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7、额定频率范围：35～500Hz；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8、低音扬声器：LF：18"×1；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9、输入接口：航空插头；</w:t>
            </w:r>
          </w:p>
        </w:tc>
      </w:tr>
      <w:tr w14:paraId="52FE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46AF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7B454B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3EE6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5646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7874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A5FD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XLR接口），2组立体声输入（XLR接口），1组立体声RCA输入，1组返回输入（2路 6.35接口）1路USB输入，蓝牙输入，8路插入点；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2、2组立体声输出，4路编组输出，3路辅助输出，1路立体声监听输出，1路立体声耳机输出，1组立体声录音输出 (RCA插座)；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5、每路单通道带低切、压限器；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6、第7、8两路支持反馈抑制功能；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7、支持蓝牙接收功能及USB播放；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8、支持多解码播放功能；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10、单通道输入支持三段均衡（中频带参量EQ），主输出7段图示均衡，立体声输入三段均衡；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11、采用17个100mm行程推子；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1、频率响应：20Hz～20kHz ±1dB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2、总谐波失真：≤0.05%@4dBu，1kHz；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3、串音：＞60dB；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4、增益：MIC:＞70dB，LINE：＞58dB；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6、最大输出电平：≥16dBu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7、等效输入噪声：≥122dB</w:t>
            </w:r>
          </w:p>
        </w:tc>
      </w:tr>
      <w:tr w14:paraId="7C7B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5B09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26A3DFF">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0771F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4BA7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56C6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EAD5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1、24-bit DSP技术，高性能AD/DA，人性化设计。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2、3输入6输出,多种分频模式。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3、输入输出音量调节，范围从-40dB到+12dB， 最小步进0.1dB。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4、3进6出每个输入/输出通道有7/7段参数均衡(PEQ),每段参数均衡(PEQ)有参数(Parametric)，Low-Shelf 6dB,Low-Shelf 12dB，High-Shelf 6dB，High-Shelf 12dB多种EQ类型选择。每段EQ可设置为全通滤波器，频率范围19.7Hz~20.2kHz；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5、参数均衡(PEQ)频率范围从19.7Hz到21.9kHz,增益范围从-30dB到+15dB,带宽范围从0.017到4.75倍频程(Oct)。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6、分频功能，FIR滤波器和IIR滤波器二选一。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7、FIR滤波器类型:平直、HP、LP、BP，Order: 64、96、114，频率范围: 397~21900Hz；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8、高通、低通滤波器，每个滤波器有多种斜率和类型供选择，滤波器斜率有: -12dB , -24dB，-36dB， (3进6出2进4出机型支持- 48dB)。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9、每个输入/输出通道可设置最长延时达1000.00ms，带延时开关。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10、每个输出通道均有压缩器，可调节各压缩器的门限值，压缩比，上冲时间和释放时间，关闭硬拐点/5级软拐点可调。每个输出通道均有Peak Limiter功能， 有效保护音箱。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11、每个输出通道带相位反转功能。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12、通道复制功能，令调节更省便。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13、多通道链接功能，可同时设置多个通道参数。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14、段输入/输出电平显示LED。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15、静音显示LED灯，按键指示LED灯。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16、开关电源: AC 90V~ 250V, 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17、频率响应：20Hz～20kHz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18、总谐波失真(1kHz)：≤0.01%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19、信噪比（A计权）：≥105dB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21、最大输出电平：≥18dBu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22、动态范围：≥113dB；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23、串音：≥100dB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24、增益差：≤0.5dB</w:t>
            </w:r>
          </w:p>
        </w:tc>
      </w:tr>
      <w:tr w14:paraId="073F6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ED02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D40A7F4">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B578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线阵功放</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A032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8831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2551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1、输出功率：2x1200W/8Ω 2x1800W/4Ω；桥接：3600W/8Ω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2、频率响应：20Hz~20kHz +1，-3dB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3、总谐波失真(1kHz)：≤0.1%；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4、输入灵敏度(±10%)：0dBu(775mV)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5、输入阻抗(典型值)：平衡 20KΩ，非平衡 10KΩ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6、信噪比(A计权)：≥100dB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7、串音衰减(1kHz)：≥70dB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8、增益差：≤1dB；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9、阻尼系数：≥250；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10、最大功率消耗：4400W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11、电源适应范围：交流~110-242V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12、灵敏度选择：0dB/2dB/4dB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13、工作模式选择：立体声/并接/桥接</w:t>
            </w:r>
          </w:p>
        </w:tc>
      </w:tr>
      <w:tr w14:paraId="5ED6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687E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58E986C8">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E9CB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有源对数周期天线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8767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2C0F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2476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1、采用对数周期偶极振子阵列，能够在面向所需的覆盖区域时提供最佳接收效果。集成式放大器具有28档位增益设置，用于补偿同轴缆线的插入损失。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2、配有内螺纹用于安装。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3、可与无线接收机和天线分配器搭配使用，该天线为有源对数周期天线，需要接收机能够提供 8–12 伏直流偏压。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4、天线为单指向性天线。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2、步进增益 总增益量：0 ─ 18dB ±2dB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3、步进衰减 总衰减量：0 ─ 9dB  ±2dB 步进量：±1dB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4、天线阻抗 :50Ω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5、天线增益：3-5dB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6、驻波比：≤2.5:1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7、接收模式(3 dB 波束宽度)：65°（垂直角）,120°(水平面）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8、连接插座 :TNC母座×1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9、电流消耗 :约60mA/DC 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 :TNC母座须提供偏压电源DC 6—10V</w:t>
            </w:r>
          </w:p>
        </w:tc>
      </w:tr>
      <w:tr w14:paraId="507D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A5246">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62141E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8067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C183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EC7A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277F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1、2英寸彩色液晶屏，显示当前电压、时间、通道状态；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2、定时开关机功能，内置时钟芯片，可设定日期、时间；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3、8组设备开关场景数据保存/调用；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4、支持多台设备级联控制，级联状态可自动检测及设置；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5、配置RS232接口，支持外部中控设备控制；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6、可实现远程集中控制，每台设备自带设备编码ID检测和设置；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7、支持面板Lock锁定功能，防止误操作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8、内置高性能滤波器，有效防止市电对设备干扰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9、采用新国标电源插座，安全有保障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1、可控电源路数： 8路（另有2路辅助通道）；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2、每路可控时间： 0～999秒；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3、通道额定输出电流：1-4路10A，5-8路16A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4、辅助通道输出电流：10A(不受时序控制）；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5、整机额定总输出电流： 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6、工作电压:AC 180V～AC 240V，50Hz/60Hz</w:t>
            </w:r>
          </w:p>
        </w:tc>
      </w:tr>
      <w:tr w14:paraId="0DAC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038D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524E2A8">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66E2A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三开门机柜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ACD5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5D1D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4736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尺寸：宽≥600mm,深≥600mm，高≥637mm, 防尘、防潮、防震</w:t>
            </w:r>
          </w:p>
        </w:tc>
      </w:tr>
      <w:tr w14:paraId="02226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EA59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EA7D6E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9BE3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C4D5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2154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F04F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5、频率响应：70Hz-19KHz（±15%）；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6、喇叭单元：LF:6.5"×3；HF：3"×1；</w:t>
            </w:r>
          </w:p>
        </w:tc>
      </w:tr>
      <w:tr w14:paraId="5977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FA26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68AE27F">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73E6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合并式定压功率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7A7E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D3CE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DFDC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2.MP3解码模块支持USB/Bluetooth播放功能,音量独立可调。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组(6路)线路输入，1路录音输出，1路消防信号输入。其中3路话筒音量、3组线路音量独立调节，话筒高、低音独立调节功能，3路话筒具有+48V幻像供电选择开关，话筒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4.具有1路短路报警强切接口，1路24V报警强切接口。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5.6分区输出：可通过面板旋钮独立控制各分区音量；可通过面板按键独立控制各分区通断。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6.采用100V定压输出、70V定压输出、定阻输出三种输出方式。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7.1路RS485接口：可通过RS485传输温度、电压、电流等参数，可以通过RS485进行远程开关功放模块电源。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8.可选配网络广播模块、物联网模块。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9.网络音频信号优先或混音可选。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10.输出功率：700W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11.线路输入灵敏度（L+R）：150mV±30mV。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12.话筒输入灵敏度：13mV±5mV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13.话筒音调：低音100Hz、高音10KHz ±10dB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14.频率响应：100Hz~16KHz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15.信噪比：话筒 ≥55dB（A计权），线路：≥76dB（A计权）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16.过载源电动势：≥14dB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17.功放输出调整率：400Hz &lt; 2V，4000Hz &lt; 2.5V</w:t>
            </w:r>
          </w:p>
        </w:tc>
      </w:tr>
      <w:tr w14:paraId="6E40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90D5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89667A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F298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无源对数周期天线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8FA9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35E3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top"/>
          </w:tcPr>
          <w:p w14:paraId="1AEAC1D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1、采用对数周期偶极振子阵列，能够在面向所需的覆盖区域时提供最佳接收效果。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2、配有内螺纹用于安装，可将该天线固定在话筒支架上，也可将其悬挂在天花板上，或者使用集成式可旋转适配器固定在墙壁上。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3、可与无线接收机和天线分配器搭配使用，该天线为无源对数周期天线，无需偏压输入。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4、天线为单指向性天线，对需要特定方位使用的环境有非常好的效果。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2、天线阻抗 :50Ω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3、天线增益：3-5dB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4、驻波比：≤2.5:1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5、接收模式(3 dB 波束宽度)：65°（垂直角）,120°(水平面）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6、连接插座 :TNC母座×1</w:t>
            </w:r>
          </w:p>
        </w:tc>
      </w:tr>
      <w:tr w14:paraId="5C85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C201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45CFCB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4427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B0A4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1D83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2E9B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1.适用于500MHz ─850MHz频段外接天线，搭配可调增益信号放大、衰减线路，可根据实际使用环境调整增益大小。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2、配置电源适配器，能提供放大器内建放大线路的电源，也能为远端外接天线放大器供电，使长距离的天线缆线能实现多级增益调节。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3.搭配锌合金外壳的优异散热特性，达到持续稳定的电路特性与DC8V的输出电压。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2、系统阻抗 :50 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3、外接电源输入: 12 ～18V DC / min. 350mA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4、电源稳压输出 :8V DC / max. 250mA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5、电流消耗 :约60mA/12V DC Input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6、连接座:TNC插座×2，2.0 mm DC插座×1</w:t>
            </w:r>
          </w:p>
        </w:tc>
      </w:tr>
      <w:tr w14:paraId="5560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06AB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00CB2B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A162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合并式定压功率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EA51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D99E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FC9A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2.MP3解码模块支持USB/Bluetooth播放功能,音量独立可调。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组(6路)线路输入，1路录音输出，1路消防信号输入。其中3路话筒音量、3组线路音量独立调节，话筒高、低音独立调节功能，3路话筒具有+48V幻像供电选择开关，话筒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4.具有1路短路报警强切接口，1路24V报警强切接口。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5.6分区输出：可通过面板旋钮独立控制各分区音量；可通过面板按键独立控制各分区通断。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6.采用100V定压输出、70V定压输出、定阻输出三种输出方式。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7.1路RS485接口：可通过RS485传输温度、电压、电流等参数，可以通过RS485进行远程开关功放模块电源。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8.可选配网络广播模块、物联网模块。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9.网络音频信号优先或混音可选。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10.输出功率：1300W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11.线路输入灵敏度（L+R）：150mV±30mV。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12.话筒输入灵敏度：13mV±5mV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13.话筒音调：低音100Hz、高音10KHz ±10dB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14.频率响应：100Hz~16KHz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15.信噪比：话筒 ≥55dB（A计权），线路：≥76dB（A计权）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16.过载源电动势：≥14dB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17.功放输出调整率：400Hz &lt; 2V，4000Hz &lt; 2.5V</w:t>
            </w:r>
          </w:p>
        </w:tc>
      </w:tr>
      <w:tr w14:paraId="638D4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6365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00F730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3105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操场防水音柱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B209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2AFD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2BC5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6、喇叭单元：LF:6.5"×4；HF：3"×2；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7、扬声器单元通过IP56防水等级认证。</w:t>
            </w:r>
          </w:p>
        </w:tc>
      </w:tr>
      <w:tr w14:paraId="6521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B7CD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CE55B5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4838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数字音频采集器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C9FF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D857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5798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1、将音频输入接口输入的音频编码为采样率≥48K的高品质音频流，并通过IP广播系统将音频流传送到指定的IP广播终端进行播放。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2、面板带USB接口、SD卡接口，支持MP3\WAV\WMA格式的音乐播放。带5个工业金属控制按键，支持播放\暂停、上一曲\下一曲、循环、音源模式切换等功能操作。支持红外遥控功能（遥控器选配）。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3、面板带12个可定义的快捷键，可将采集的信号快速的放给指定的区域或全区。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4、面板带双液晶显示屏。5、受控电源接口≥6路。其中4路能分别与四组立体声线路输入对应；2路能在有采集任务是受控打开，外接其他扩展设备。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6、φ6.35话筒接口≥2路。每路均带48V幻像电源开关，每路的高低音调节、音量调节单独可控；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7、话筒2带默音调节功能；话筒1“想讲就讲”模式，话筒插入或开机，可快速实现全区讲话或语音广播。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8、立体声信号输入≥4组，每一路的音量单独可调；四组线路输入可单独进行音采集，也可以选择音乐播放模块的信号、话筒信号与线路输入进行混音。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9、信号输出≥2组，可连接有源监听音箱和外扩功放。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11、信噪比：≥70dB</w:t>
            </w:r>
          </w:p>
        </w:tc>
      </w:tr>
      <w:tr w14:paraId="3EA1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15C7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BE1288D">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4B09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无源对数周期天线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F7B3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C4FC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EA06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UHF频段窄频无源户外防水天线。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窄带平板天线，具有⾼增益、指向特性；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密封性能可靠，防风、防水、耐高低温性能优异；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频率范围：530MHz-590MHz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增益：6±1dBi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驻波：≦2.5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接头型号：N-K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工作温度：-15-55℃</w:t>
            </w:r>
          </w:p>
        </w:tc>
      </w:tr>
      <w:tr w14:paraId="78370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2C3F6">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351569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0756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FCEE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A988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D3D1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交换容量≥336Gbps，包转发率≥78Mpps；24个10/100/1000Mbps自适应电口，4个SFP千兆光口；支持VLAN、ACL、端口镜像、端口聚合等功能</w:t>
            </w:r>
          </w:p>
        </w:tc>
      </w:tr>
      <w:tr w14:paraId="1AE5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D0FA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66E52B0">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B003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6922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63C3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5B80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尺寸：≥600*600*1600(mm) 加厚铁皮机柜</w:t>
            </w:r>
          </w:p>
        </w:tc>
      </w:tr>
      <w:tr w14:paraId="69E12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8BA6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63895C7">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A5E4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0529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B141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E6DB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尺寸：≥600*600*1200(mm) 不锈钢材料，防水、防尘、防潮</w:t>
            </w:r>
          </w:p>
        </w:tc>
      </w:tr>
      <w:tr w14:paraId="100A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F961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F8642F7">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00B7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辅材、管材附件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A1A7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F7CE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756F0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设备安装所需的各类线材、管材等</w:t>
            </w:r>
          </w:p>
        </w:tc>
      </w:tr>
      <w:tr w14:paraId="0F42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8CE0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72B6F3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7B46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378C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1BF4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044E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综合布线、音箱安装调试等</w:t>
            </w:r>
          </w:p>
        </w:tc>
      </w:tr>
      <w:tr w14:paraId="173D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566C56EA"/>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B455D10"/>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53B4DD2"/>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7141926"/>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E078728"/>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CBFD971"/>
        </w:tc>
      </w:tr>
      <w:tr w14:paraId="4EFE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39D31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317" w:type="dxa"/>
            <w:vMerge w:val="restart"/>
            <w:tcBorders>
              <w:top w:val="single" w:color="000000" w:sz="4" w:space="0"/>
              <w:left w:val="single" w:color="000000" w:sz="4" w:space="0"/>
              <w:bottom w:val="single" w:color="000000" w:sz="4" w:space="0"/>
              <w:right w:val="single" w:color="000000" w:sz="4" w:space="0"/>
            </w:tcBorders>
            <w:noWrap/>
            <w:vAlign w:val="center"/>
          </w:tcPr>
          <w:p w14:paraId="6DCE05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乌兰县第四中学（校园应急广播系统）</w:t>
            </w:r>
          </w:p>
        </w:tc>
        <w:tc>
          <w:tcPr>
            <w:tcW w:w="883" w:type="dxa"/>
            <w:tcBorders>
              <w:top w:val="single" w:color="000000" w:sz="4" w:space="0"/>
              <w:left w:val="nil"/>
              <w:bottom w:val="single" w:color="000000" w:sz="4" w:space="0"/>
              <w:right w:val="single" w:color="000000" w:sz="4" w:space="0"/>
            </w:tcBorders>
            <w:noWrap w:val="0"/>
            <w:vAlign w:val="center"/>
          </w:tcPr>
          <w:p w14:paraId="69F73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系统主机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22ED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07B2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3BB5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1、主板芯片：≥Q670芯片组；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2、CPU：≥Intel Core i7-13700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3、内存：≥16GB，4个内存插槽，最大支持128G；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4、硬盘：≥256GB M.2 PCIe NVMe SSD+1T SATA；支持2个SATA 3.5吋机械硬盘，支持1个M.2 NVMe 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5、显卡：≥集成显卡；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6、插槽：≥1个 M.2 NVMe ,1 个 PCIe x16, 2 个 PCIe x4（x1 link）,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7、网卡：集成10/100/1000M自适应网卡；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8、接口：前置接口：USB（4个）：2个USB3.2 Gen1 Type-A 、2个USB3.2 Gen2 Type-A  Type-C（1个）：1个USB3.2 Gen1 Type-C （支持关机充电，15W），三合一读卡器、模拟音频接口：立体声+麦克风。后置接口：USB（4个）：4个 USB2.0 Type-A，板载视频接口：DP1.4+HDMI1.4+VGA，千兆网口。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9、键盘/鼠标：USB键盘鼠标与主机相匹配；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10、电源：≥500W电源；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11、机箱：不大于17L，支持免工具拆卸。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12、操作系统：预装正版操作系统;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13、显示器：与主机同品牌≥ 23.8寸</w:t>
            </w:r>
          </w:p>
        </w:tc>
      </w:tr>
      <w:tr w14:paraId="56E3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0C07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07A838F">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D9F6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主控软件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0BF1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ED99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3C89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广播系统控制的核心软件。2、无需互联网静态IP地址即可与IP广播管理平台主控软件互联。3、注册方式以USB加密狗硬件注册方式。4、系统服务器软件，支持双向通讯设备的权限分配，网络冗余、即时性音频应急保障备份、推送备份和定压备份设定。5、自动音乐打铃；作息时间表季节调整；自动预开电源，播放结束自动关闭。6、支持单点播放：可以对任意单点、组群、分区或全部广播。7、领导网上讲话：远程对全区、分区、分组讲话；8、语音实时采播：能够将自用电台、录音机卡座、CD播放器、MP3播放器、麦克风等节目实时采播实时压缩成高音质数据流存储到服务器，并可按要求同时转播到指定的广播终端，用于播放外接设备广播及广播通知等，能与电源时序器联动，实现在定时或实时采播任务中打开十六路电源时序器的任意一路或数路受控电源口。9、支持独立考试模式，与应急保障主机配合实现双重保障；10、结合网络报警主机接收报警信号，在服务器软件上预先设置报警模式，即可进行报警联动功能。11、支持LED显示推送：以手动或自动的方式实时、定时发布文本信息。12、支持同时监控≥5个视频终端的画面，支持对任意指定视频终端的视频录制、存储。13、具备声光指示及报警模式：支持常规任务、特殊任务及报警任务以声光同步的方式输出。满足特殊教育等多种特殊场合使用。不同的任务可以指定不同的灯光。14、具备自动增益功能：内置自主算法、自主技术的DSP处理模式，能自动识别和区分终端环境噪声和正常的广播内容，自动根据环境噪声自动增减广播增益。同时保证声音的清晰度和强度。15、具备一键巡检功能，可以在30秒内快速检查所有网络音箱的声音品质是否符合播音要求，自动以警示图标形式显示故障终端，可保存所有终端的检测数据，作为核查依据。</w:t>
            </w:r>
          </w:p>
        </w:tc>
      </w:tr>
      <w:tr w14:paraId="3B180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0884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AB60CFD">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BB4C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609E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A94F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nil"/>
              <w:left w:val="single" w:color="000000" w:sz="4" w:space="0"/>
              <w:bottom w:val="single" w:color="000000" w:sz="4" w:space="0"/>
              <w:right w:val="single" w:color="000000" w:sz="4" w:space="0"/>
            </w:tcBorders>
            <w:noWrap w:val="0"/>
            <w:vAlign w:val="center"/>
          </w:tcPr>
          <w:p w14:paraId="4AB87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1、木质箱体一体化壁挂式设计；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2、两路受控的24V输出接口；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3、内置D类数字功放，不少于2×15W功率输出(8欧定阻)输出；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4、本地线路输入一路，音量可调；话筒输入一路，音量、高低音可调，线路输出1路，1个USB接口，可用于U盘播音；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5、内置时钟芯片,与服务器联网，可自动、定时校时；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6、内置网络硬件音频解码模块，支持TCP/IP、UDP、IGMP (组播)协议,可远程调整音量和IP地址；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7、可选配信息推送功能，系统崩溃或网络瘫痪后，也可以独立执行定时任务，保证系统的平稳运行；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8、LED指示灯分别指示电源输入、功放通断状态；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9、支持音频和100V定压应急保障功能，组成网络信号的双重保障功能；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10、标准RJ45网络接口，有以太网口的地方即可接入，支持跨网段和跨路由；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11、支持远程固件升级；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12、频率响应：40Hz～18KHz (线路)；100Hz～16KHz (话筒)；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13、灵敏度：90dB±3dB；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14、接口：RJ45≥1，定压保障接口：PHONIX≥1，应急音频保障接口：PHONIX ≥1，功放输出通道：PHONIX≥1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15、支持协议：ARP、UDP、TCP / IP、ICMP、IGMP (组播)；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16、线路频率响应：40Hz～18000Hz(士2dB)，话筒频率响应：100Hz～16000Hz(±3dB)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18、传输速率：10/100 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19、单元规格：≤5吋宽频扬声器×1；≤3吋高音扬声器×1；</w:t>
            </w:r>
          </w:p>
        </w:tc>
      </w:tr>
      <w:tr w14:paraId="55A10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AD115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11BACF2">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DAA5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B6F5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01DF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59EDC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1、标准机架式超薄1U设计，配置机架安装挂件，黑色机箱，铝合金面板。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2、音频输出：立体声（R/L），5.1声道，同轴，光纤。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3、视频输出：S端子，高清（HDMI），分量（Y Cb/Pb Cr/ Pr），VGA。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4、支持断电记忆续播功能、选时及循环播放功能、电子相册功能。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5、超强的纠错能力，电子抗震技术让播放更流畅 ，高清视频输出HDMI（支持1080P）画质。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6、USB播放功能支持WAV、MP3等各种无损格式。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7、具有蓝牙接收功能、FM收音功能，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8、全面兼容DVD/VCD/EVD/SVCD/CD/HDCD/MP3/WAV/JPEG/DVD±R/DVD±RW/CD-G等不同格式碟片。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9、机器前面板具有物理按键功能：播放/暂停、停止、下一曲、上一曲、快进、快退、出仓/进仓、FM/蓝牙、选时、重复、声道、返回、标题、数字直选等。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10、配置全功能遥控器，操作方便。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11、输入电源：AC220V/50Hz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12、最大消耗功率：25W</w:t>
            </w:r>
          </w:p>
        </w:tc>
      </w:tr>
      <w:tr w14:paraId="32F5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6"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BC313">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1A9FEA9">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CA41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63CE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C265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143A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XLR接口），2组立体声输入（XLR接口），1组立体声RCA输入，1组返回输入（2路 6.35接口）1路USB输入；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2、8路插入点（6.35接口）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3、两组立体声输出，2路编组输出，2路辅助输出，1路立体声监听输出，1路立体声耳机输出，1组立体声录音输出；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6、每路话放带低切功能；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10、主输出7段图示均衡器；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11、14个60mm行程推子；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14、频率响应：20Hz～20kHz（±1dB）；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15、总谐波失真：≤0.05%@0dBu，1kHz；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16、信噪比≥95dB；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17、话筒增益≥70dB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18、线路增益≥58dB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20、最大输出电平≥18dBu；</w:t>
            </w:r>
          </w:p>
        </w:tc>
      </w:tr>
      <w:tr w14:paraId="3A6B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B3693">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2DBD619">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50E6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F1D0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AE59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735A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1、换能方式：电容式；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2、频率响应：70Hz-12KHz；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3、灵敏度：-29dB±3dB；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4、指向性： 心形单指向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 114dB；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6、咪杆与底座采用旋转式卡侬连接；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7、咪杆长度≥400mm；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8、供电:  两节五号（AA）电池或幻像48V。</w:t>
            </w:r>
          </w:p>
        </w:tc>
      </w:tr>
      <w:tr w14:paraId="3C40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6CFD2">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1680B8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1021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网络寻呼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27CE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06C2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DE79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1、桌面话筒式设计，带7英寸LCD液晶显示屏；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2、支持双向对讲功能：双向终端之间实现两两双向对讲；一键接收求助、对讲功能，实现快速连接；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3、支持免提通话和接收广播；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4、具有30个一键呼叫触控按钮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5、支持一路本地线路输入，1路话筒输入，一路音频辅助输出；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7、内置扬声器输出阻抗&amp;功率：8Ω，5W；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9、信噪比：&gt;75dB；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12、总谐波失真：≤1%。</w:t>
            </w:r>
          </w:p>
        </w:tc>
      </w:tr>
      <w:tr w14:paraId="1335C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7220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DBDB17F">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F90C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电源控制器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5AAD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665A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FD1F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2、16路电源输出。时序开关控制，顺序开启，反序关闭。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3、时序控制增加控制口，短路信号输入，可将时序开关外接。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4、可按键单独开启和关闭每一路电源输出；一个RS232串口和两个RS422数据接口。提供电源裸线端子接入市电。根据任务需求自动打开和关闭，实现无人化自动值守。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5、时序间隔时间：1秒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6、单路最大电源电流：10A；16路电源总电流：40A。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7、硬件接口：RS232控制口×1；RS422数据接口×2。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8、适用电压：220V±10%</w:t>
            </w:r>
          </w:p>
        </w:tc>
      </w:tr>
      <w:tr w14:paraId="284D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DFCA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D79C23D">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816D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BA97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CD6A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8779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1、木制箱体。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2、内置1路网络硬件音频解码模块，实现网络化传输16位C 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3、带本地线路输入1组，音量可调；话筒输入1路，音量可调；带1路线路输出。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4、预留2.4 G天线接口，可选配2.4 G接收模块，可实现本地语音扩声。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5、可选配信息推送功能，系统崩溃或网络瘫痪后，也可以独立执行定时任务，保证系统的平稳运行。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7、传输速率 ：10/100Mbps。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8、灵敏度：9 0 d B ±3 d 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9、内置数字功放：≥2*15W/8Ω。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10、单元规格：4.5吋宽频扬声器单元×1；2.75吋高音扬声器单元×1。</w:t>
            </w:r>
          </w:p>
        </w:tc>
      </w:tr>
      <w:tr w14:paraId="33B0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9F67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95FD9A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6964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FD1B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5B3E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8B34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2、专业的表面处理工艺，防水防锈，全天候设计，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3、选用防水单元，室内外均宜。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4、配有安装支架。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7、支持协议：TCP/IP,UDP,IGMP(组播)。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10、传输速率：10/100Mbps。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11、额定功率：50W。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12、灵敏度：89dB（±3dB）。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13、频率响应：110Hz-18KHz。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14、喇叭单元：LF:4"×4；HF：3"×1。</w:t>
            </w:r>
          </w:p>
        </w:tc>
      </w:tr>
      <w:tr w14:paraId="3AE4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D0F4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B2B350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9ABA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0514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33C9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EDB4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1、两分频线阵音箱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2、箱体全部采用优质胶合板材制作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3、表面喷涂黑色聚脲漆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4、箱体采用机械式快速释放插销，实现箱体与箱体之间的快速连接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5、箱体采用三点悬挂，保证箱体间的最佳耦合所需的角度，悬挂可调角度0º、2º、4º、6º、8º、10º；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6、金属防护网，8mm六边形透声孔，内衬防尘透声网。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2、额定功率(RMS)：300W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3、AES功率：350W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4、特性灵敏度：99dB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5、连续声压级：123dB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6、最大声压级：129dB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7、额定频率范围：60～20000Hz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8、中低音扬声器：LF：10"×1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9、高音扬声器：HF：1.35"×2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10、覆盖角度（H×V）：100°×10°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11、输入接口：NL4MP×2</w:t>
            </w:r>
          </w:p>
        </w:tc>
      </w:tr>
      <w:tr w14:paraId="28E1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43698">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4D45B4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92DC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线阵列低音音箱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A570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C19E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5698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1、线阵低音音箱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2、箱体全部采用木工板制作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3、表面喷涂黑色水性聚脲漆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4、低音采用长冲程大功率单元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5、箱体采用机械式快速释放插销，实现箱体与箱体之间的快速连接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6、箱体采用三点悬挂系统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7、金属防护网，8mm六边形透声孔，内衬防尘透声网。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2、额定功率(RMS)：800W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3、特性灵敏度：99dB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4、连续声压级：128dB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5、最大声压级：134dB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6、额定频率范围：40～500Hz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7、低音扬声器：LF：18"×1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8、输入接口：NL4MP×2</w:t>
            </w:r>
          </w:p>
        </w:tc>
      </w:tr>
      <w:tr w14:paraId="68C4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0494C">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1A87CEA">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874F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F18D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09BF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7004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1、输出功率：2x1200W/8Ω 2x1800W/4Ω；桥接：3600W/8Ω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2、频率响应：20Hz~20kHz +1，-3dB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3、总谐波失真(1kHz)：≤0.1%；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4、输入灵敏度(±10%)：0dBu(775mV)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5、输入阻抗(典型值)：平衡 20KΩ，非平衡 10KΩ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6、信噪比(A计权)：≥100dB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7、串音衰减(1kHz)：≥70dB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8、增益差：≤1dB；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9、阻尼系数：≥250；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10、最大功率消耗：4400W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11、电源适应范围：交流~110-242V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12、灵敏度选择：0dB/2dB/4dB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13、工作模式选择：立体声/并接/桥接</w:t>
            </w:r>
          </w:p>
        </w:tc>
      </w:tr>
      <w:tr w14:paraId="59F5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9C15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BE4F930">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C7FC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6612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6BDC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D89A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XLR接口），2组立体声输入（XLR接口），1组立体声RCA输入，1组返回输入（2路 6.35接口）1路USB输入，蓝牙输入，8路插入点；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2、2组立体声输出，4路编组输出，3路辅助输出，1路立体声监听输出，1路立体声耳机输出，1组立体声录音输出 (RCA插座)；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5、每路单通道带低切、压限器；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6、第7、8两路支持反馈抑制功能；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7、支持蓝牙接收功能及USB播放；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8、支持多解码播放功能；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10、单通道输入支持三段均衡（中频带参量EQ），主输出7段图示均衡，立体声输入三段均衡；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11、采用17个100mm行程推子；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1、频率响应：20Hz～20kHz ±1dB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2、总谐波失真：≤0.05%@4dBu，1kHz；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3、串音：＞60dB；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4、增益：MIC:＞70dB，LINE：＞58dB；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6、最大输出电平：≥16dBu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7、等效输入噪声：≥122dB</w:t>
            </w:r>
          </w:p>
        </w:tc>
      </w:tr>
      <w:tr w14:paraId="4553B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4EDDE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5388A34">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A67C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49FF4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ign w:val="center"/>
          </w:tcPr>
          <w:p w14:paraId="40356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5A2C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1、24-bit DSP技术，高性能AD/DA。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2、3输入6输出，多种分频模式。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3、输入输出音量调节，范围从-40dB到+12dB，最小步进0.1dB。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4、3进6出每个输入/输出通道有7/7段参数均衡(PEQ)，每段参数均衡(PEQ)有参数(Parametric)，Low-Shelf 6dB，Low-Shelf 12dB，High-Shelf 6dB，High-Shelf 12dB多种EQ类型选择。每段EQ可设置为全通滤波器，频率范围19.7Hz~21.9kHz；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5、参数均衡(PEQ)频率范围从19.7Hz到21.9kHz，增益范围从-30dB到+15dB，带宽范围从0.017到4.75倍频程(Oct)。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6、高通、低通滤波器，每个滤波器有多种斜率和类型供选择，滤波器斜率有：-12dB，-24dB，-36dB，-48dB。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7、每个输入/输出通道可设置最长延时达1000.00ms，带延时开关。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8、每个输出通道均有压缩器，可调节各压缩器的门限值，压缩比，上冲时间和释放时间，关闭硬拐点/5级软拐点可调。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9、每个输出通道带相位反转功能。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10、通道复制功能，令调节更省便。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11、多通道链接功能，可同时设置多个通道参数。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12、直观友好的用户界面，USB、网络Ethernet等多种方式与上位上位机连接。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13、LCD显示屏，显示设备IP、当前预设、当前调整参数、设备ID。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14、7段输入/输出电平显示LED。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15、静音显示LED灯，按键指示LED灯。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16、开关电源：AC 90V~250V，50Hz/60Hz。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1、频率响应：20Hz～20kHz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2、总谐波失真(1kHz)：≤0.02%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3、信噪比（A计权）：≥113dB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4、最大输入电平：≥19dBu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5、最大输出电平：≥19dBu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6、动态范围：≥113dB；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7、串音：≥100dB</w:t>
            </w:r>
          </w:p>
        </w:tc>
      </w:tr>
      <w:tr w14:paraId="1716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A290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4A36E9A">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94EA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一拖二无线麦克风</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1892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FE77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965B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1、采用金属机箱，具有坚固的结构、散热及隔离谐波干扰。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2、RF高动态范围及第三代中频电路，大幅提升互不干扰的频道数及抗干扰特性。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3、预设群组，第1-4组预设16个互不干扰频率，第5－8预设24个互不干扰频率，第U组为用户自定义组，最多可提供2000频率供客户自定义选择使用。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4、采用天线分集式接收及数字导音，杂音锁定双重静音控制，接收距离远，消除接收断音及不稳的缺失。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5、黑色金属面板，LED段码显示器，可同时显示群组、频率、电池电量、静音位准、电子音量等相关信息；LED灯柱显示RF/AF强度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6、采用飞梭旋钮取代传统复杂的按键。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7、天线接口采用50Ω/TNC，保持天线可靠连接的同时。并支持天线环路输出，支持8套同型产品射频级联。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8、各频道可单独或混合输出，可切换两段输出的音量，具有MIC/LINE输出开关：LINE比MIC输出约大10dBu。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9、天线座提供强波器偏压，可以连接天线系统，增加接收距离及稳定的接收效果。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10、100-240V,内置AC电源板。保持系统稳定，且支持AC电源环路输出。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1、载波频段: UHF530-690.000MHZ（常规：640.000MHZ-690.000MHZ）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2、单机频带宽度 :50 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3、单机频道数量：2000个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4、频率间隔：25KHz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5、音频灵敏度: -48±3dB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6、综合S/N比 : &gt;100dB(A)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7、指向性频响曲线：300-2000Hz≤-8dB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8、综合T.H.D. :&lt;0.5%@1kHz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9、频率响应 : 65Hz-15kHz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10、天线：50Ω/TNC，支持天线环路输出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11、发射器拾音头：动圈式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12、发射器供电方式：两节AA充电电池，带充电器</w:t>
            </w:r>
          </w:p>
        </w:tc>
      </w:tr>
      <w:tr w14:paraId="13DA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0EFC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FB874E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5308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有源对数周期天线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0CC8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5039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BCA5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1、采用对数周期偶极振子阵列，能够在面向所需的覆盖区域时提供最佳接收效果。集成式放大器具有28档位增益设置，用于补偿同轴缆线的插入损失。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2、配有内螺纹用于安装。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3、可与无线接收机和天线分配器搭配使用，该天线为有源对数周期天线，需要接收机能够提供 8–12 伏直流偏压。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4、天线为单指向性天线。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2、步进增益 总增益量：0 ─ 18dB ±2dB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3、步进衰减 总衰减量：0 ─ 9dB  ±2dB 步进量：±1dB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4、天线阻抗 :50Ω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5、天线增益：3-5dB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6、驻波比：≤2.5:1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7、接收模式(3 dB 波束宽度)：65°（垂直角）,120°(水平面）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8、连接插座 :TNC母座×1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9、电流消耗 :约60mA/DC 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 :TNC母座须提供偏压电源DC 6—10V</w:t>
            </w:r>
          </w:p>
        </w:tc>
      </w:tr>
      <w:tr w14:paraId="6BC2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9112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D7D143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E8B8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2441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CB9C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33F5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1、2英寸彩色液晶屏，显示当前电压、时间、通道状态；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2、定时开关机功能，内置时钟芯片，可设定日期、时间；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3、8组设备开关场景数据保存/调用；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4、支持多台设备级联控制，级联状态可自动检测及设置；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5、配置RS232接口，支持外部中控设备控制；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6、可实现远程集中控制，每台设备自带设备编码ID检测和设置；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7、支持面板Lock锁定功能，防止误操作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8、内置高性能滤波器，有效防止市电对设备干扰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9、采用新国标电源插座，安全有保障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1、可控电源路数： 8路（另有2路辅助通道）；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2、每路可控时间： 0～999秒；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3、通道额定输出电流：1-4路10A，5-8路16A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4、辅助通道输出电流：10A(不受时序控制）；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5、整机额定总输出电流： 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6、工作电压:AC 180V～AC 240V，50Hz/60Hz</w:t>
            </w:r>
          </w:p>
        </w:tc>
      </w:tr>
      <w:tr w14:paraId="228B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7B772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5F472F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04BC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三开门机柜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B6DA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421B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0EFF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尺寸：宽≥600mm,深≥600mm，高≥637mm，防尘、防潮、防震</w:t>
            </w:r>
          </w:p>
        </w:tc>
      </w:tr>
      <w:tr w14:paraId="6AEDF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95E6C">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BD1875A">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9FF2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D4F2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61E4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E012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5、频率响应：70Hz-19KHz（±15%）；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6、喇叭单元：LF:6.5"×3；HF：3"×1；</w:t>
            </w:r>
          </w:p>
        </w:tc>
      </w:tr>
      <w:tr w14:paraId="0C08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8310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D9FC254">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nil"/>
              <w:right w:val="single" w:color="000000" w:sz="4" w:space="0"/>
            </w:tcBorders>
            <w:noWrap w:val="0"/>
            <w:vAlign w:val="center"/>
          </w:tcPr>
          <w:p w14:paraId="7C184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合并式定压功率放大器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F19F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5E14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8459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2.MP3解码模块支持USB/Bluetooth播放功能,音量独立可调。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组(6路)线路输入，1路录音输出，1路消防信号输入。其中3路话筒音量、3组线路音量独立调节，话筒高、低音独立调节功能，3路话筒具有+48V幻像供电选择开关，话筒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4.具有1路短路报警强切接口，1路24V报警强切接口。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5.6分区输出：可通过面板旋钮独立控制各分区音量；可通过面板按键独立控制各分区通断。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6.采用100V定压输出、70V定压输出、定阻输出三种输出方式。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7.1路RS485接口：可通过RS485传输温度、电压、电流等参数，可以通过RS485进行远程开关功放模块电源。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8.可选配网络广播模块、物联网模块。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9.网络音频信号优先或混音可选。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10.输出功率：700W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11.线路输入灵敏度（L+R）：150mV±30mV。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12.话筒输入灵敏度：13mV±5mV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13.话筒音调：低音100Hz、高音10KHz ±10dB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14.频率响应：100Hz~16KHz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15.信噪比：话筒 ≥55dB（A计权），线路：≥76dB（A计权）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16.过载源电动势：≥14dB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17.功放输出调整率：400Hz &lt; 2V，4000Hz &lt; 2.5V</w:t>
            </w:r>
          </w:p>
        </w:tc>
      </w:tr>
      <w:tr w14:paraId="7D38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22A6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2C382C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AA35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1214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71F0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B37B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1、内置1路网络硬件音频解码模块，支持TCP/IP、UDP、IGMP(组播)协议，实现网络化传输16位CD音质的音频信号，可远程调整音量和IP地址。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2、带本地话筒和线路扩音功能，且话筒、线路音量单独可调，带默音功能。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3、带有24V信号和短路信号报警输入接口。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4、一路话筒输入、一组线路信号输入、一组线路信号输出。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5、带优先级切换功能，可以自主选择网络信号优先或网络和本地信号混音输出。6、带USB接口，接入U盘后，用于播放本地节目。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7、支持四线制和三线制消防强切，内置24V强切电源。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8、带短路输出，可实现外部设备联动控制。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9、可选配信息推送功能，系统崩溃或网络瘫痪后，也可以自动执行任务，保证系统的平稳运行。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11、支持协议：ARP、UDP、TCP/IP、ICMP、IGMP(组播)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12、网络输入接口：RJ45×1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13、音频输出口：RCA×2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14、本地音频输入口：RCA×2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15、外接功放输出电源插座：（10A）×1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16、本地扩声话筒输入口：TRS×1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17、报警输入接口：短路、24V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18、短路输出接口：1个</w:t>
            </w:r>
          </w:p>
        </w:tc>
      </w:tr>
      <w:tr w14:paraId="1A0F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5037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18E2BC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BF61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合并式定压功率放大器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E19B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4E91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505B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2.MP3解码模块支持USB/Bluetooth播放功能,音量独立可调。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组(6路)线路输入，1路录音输出，1路消防信号输入。其中3路话筒音量、3组线路音量独立调节，话筒高、低音独立调节功能，3路话筒具有+48V幻像供电选择开关，话筒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4.具有1路短路报警强切接口，1路24V报警强切接口。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5.6分区输出：可通过面板旋钮独立控制各分区音量；可通过面板按键独立控制各分区通断。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6.采用100V定压输出、70V定压输出、定阻输出三种输出方式。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7.1路RS485接口：可通过RS485传输温度、电压、电流等参数，可以通过RS485进行远程开关功放模块电源。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8.可选配网络广播模块、物联网模块。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9.网络音频信号优先或混音可选。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10.输出功率：1300W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11.线路输入灵敏度（L+R）：150mV±30mV。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12.话筒输入灵敏度：13mV±5mV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13.话筒音调：低音100Hz、高音10KHz ±10dB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14.频率响应：100Hz~16KHz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15.信噪比：话筒 ≥55dB（A计权），线路：≥76dB（A计权）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16.过载源电动势：≥14dB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17.功放输出调整率：400Hz &lt; 2V，4000Hz &lt; 2.5V</w:t>
            </w:r>
          </w:p>
        </w:tc>
      </w:tr>
      <w:tr w14:paraId="11F6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B043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5A86031D">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CCA7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操场防水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1B43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61B9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top"/>
          </w:tcPr>
          <w:p w14:paraId="2DE972B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6、喇叭单元：LF:6.5"×4；HF：3"×2；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7、扬声器单元通过IP56防水等级认证。</w:t>
            </w:r>
          </w:p>
        </w:tc>
      </w:tr>
      <w:tr w14:paraId="1547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D273A">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DBFF61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2A15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采集器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4A6D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EA0D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F601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1、将音频输入接口输入的音频编码为采样率≥48K的高品质音频流，并通过IP广播系统将音频流传送到指定的IP广播终端进行播放。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2、面板带USB接口、SD卡接口，支持MP3\WAV\WMA格式的音乐播放。带5个工业金属控制按键，支持播放\暂停、上一曲\下一曲、循环、音源模式切换等功能操作。支持红外遥控功能（遥控器选配）。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3、面板带12个可定义的快捷键，可将采集的信号快速的放给指定的区域或全区。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4、面板带双液晶显示屏。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5、受控电源接口≥6路。其中4路能分别与四组立体声线路输入对应；2路能在有采集任务是受控打开，外接其他扩展设备。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φ6.35话筒接口≥2路。每路均带48V幻像电源开关，每路的高低音调节、音量调节单独可控；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7、话筒2带默音调节功能；话筒1“想讲就讲”模式，话筒插入或开机，可快速实现全区讲话或语音广播。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8、立体声信号输入≥4组，每一路的音量单独可调；四组线路输入可单独进行音采集，也可以选择音乐播放模块的信号、话筒信号与线路输入进行混音。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9、信号输出≥2组，可连接有源监听音箱和外扩功放。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11、信噪比：≥70dB</w:t>
            </w:r>
          </w:p>
        </w:tc>
      </w:tr>
      <w:tr w14:paraId="09E3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D07FA">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13AB01A">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19EAA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无源对数周期天线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F8BC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B2BC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96C2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UHF频段窄频无源户外防水天线。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窄带平板天线，具有⾼增益、指向特性；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密封性能可靠，防风、防水、耐高低温性能优异；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频率范围：530MHz-590MHz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增益：6±1dBi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驻波：≦2.5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接头型号：N-K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工作温度：-15-55℃</w:t>
            </w:r>
          </w:p>
        </w:tc>
      </w:tr>
      <w:tr w14:paraId="06B9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3"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F23D3">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A25EAD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A8C1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DC6E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7F69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F947D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1.适用于500MHz ─850MHz频段外接天线，搭配可调增益信号放大、衰减线路，用户可根据实际使用环境调整增益大小。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2、配置电源适配器，能提供放大器内建放大线路的电源，也能为远端外接天线放大器供电，使长距离的天线缆线能实现多级增益调节。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3.搭配锌合金外壳的优异散热特性，达到持续稳定的电路特性与DC 8V的输出电压。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2、步进增益 总增益量：0 ～ +18dB±2dB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3、步进衰减 总衰减量：0 ～ 9dB±2dB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4、系统阻抗 :50 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5、外接电源输入: 12 ～18V DC / min. 350mA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6、电源稳压输出 :8V DC / max. 250mA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7、电流消耗 :约60mA/12V DC Input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8、连接座:TNC插座×2，2.0 mm DC插座×1</w:t>
            </w:r>
          </w:p>
        </w:tc>
      </w:tr>
      <w:tr w14:paraId="77F2C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7AED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05CFFE8">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179B4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8AF2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8D48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EFF3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交换容量≥336Gbps，包转发率≥78Mpps；24个10/100/1000Mbps自适应电口，4个SFP千兆光口；支持VLAN、ACL、端口镜像、端口聚合等功能</w:t>
            </w:r>
          </w:p>
        </w:tc>
      </w:tr>
      <w:tr w14:paraId="6808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E6F5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A6253D8">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C059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DEF9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7A83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9D30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尺寸：≥600*600*1600(mm) 加厚铁皮机柜</w:t>
            </w:r>
          </w:p>
        </w:tc>
      </w:tr>
      <w:tr w14:paraId="0526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51131A">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FCA764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86AA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A110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9563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9C49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尺寸：≥600*600*1200(mm) 不锈钢材料，防水、防尘、防潮</w:t>
            </w:r>
          </w:p>
        </w:tc>
      </w:tr>
      <w:tr w14:paraId="3DAA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9A9A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EB3370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B4C9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辅材、管材附件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201C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6331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5471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设备安装所需的各类线材、管材等</w:t>
            </w:r>
          </w:p>
        </w:tc>
      </w:tr>
      <w:tr w14:paraId="3EF9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319A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A66346E">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50D8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F6E7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82EB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40586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综合布线、音箱安装调试等</w:t>
            </w:r>
          </w:p>
        </w:tc>
      </w:tr>
      <w:tr w14:paraId="575D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78BBACA9"/>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476022F"/>
        </w:tc>
        <w:tc>
          <w:tcPr>
            <w:tcW w:w="883" w:type="dxa"/>
            <w:tcBorders>
              <w:top w:val="single" w:color="000000" w:sz="4" w:space="0"/>
              <w:left w:val="nil"/>
              <w:bottom w:val="single" w:color="000000" w:sz="4" w:space="0"/>
              <w:right w:val="single" w:color="000000" w:sz="4" w:space="0"/>
            </w:tcBorders>
            <w:noWrap w:val="0"/>
            <w:vAlign w:val="center"/>
          </w:tcPr>
          <w:p w14:paraId="52920026"/>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4AF1FB9"/>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CB3C9E2"/>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C5875CB"/>
        </w:tc>
      </w:tr>
      <w:tr w14:paraId="7291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57286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317" w:type="dxa"/>
            <w:vMerge w:val="restart"/>
            <w:tcBorders>
              <w:top w:val="single" w:color="000000" w:sz="4" w:space="0"/>
              <w:left w:val="single" w:color="000000" w:sz="4" w:space="0"/>
              <w:bottom w:val="single" w:color="000000" w:sz="4" w:space="0"/>
              <w:right w:val="single" w:color="000000" w:sz="4" w:space="0"/>
            </w:tcBorders>
            <w:noWrap/>
            <w:vAlign w:val="center"/>
          </w:tcPr>
          <w:p w14:paraId="05AEB8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乌兰县实验小学（校园应急广播系统）</w:t>
            </w:r>
          </w:p>
        </w:tc>
        <w:tc>
          <w:tcPr>
            <w:tcW w:w="883" w:type="dxa"/>
            <w:tcBorders>
              <w:top w:val="single" w:color="000000" w:sz="4" w:space="0"/>
              <w:left w:val="nil"/>
              <w:bottom w:val="single" w:color="000000" w:sz="4" w:space="0"/>
              <w:right w:val="single" w:color="000000" w:sz="4" w:space="0"/>
            </w:tcBorders>
            <w:noWrap w:val="0"/>
            <w:vAlign w:val="center"/>
          </w:tcPr>
          <w:p w14:paraId="30DBF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系统主机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4936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9D05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11AB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1、主板芯片：≥Q670芯片组；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2、CPU：≥Intel Core i7-13700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3、内存：≥16GB，4个内存插槽，最大支持128G；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4、硬盘：≥256GB M.2 PCIe NVMe SSD+1T SATA；支持2个SATA 3.5吋机械硬盘，支持1个M.2 NVMe 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5、显卡：≥集成显卡；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6、插槽：≥1个 M.2 NVMe ,1 个 PCIe x16, 2 个 PCIe x4（x1 link）,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7、网卡：集成10/100/1000M自适应网卡；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8、接口：前置接口：USB（4个）：2个USB3.2 Gen1 Type-A 、2个USB3.2 Gen2 Type-A  Type-C（1个）：1个USB3.2 Gen1 Type-C （支持关机充电，15W），三合一读卡器、模拟音频接口：立体声+麦克风。后置接口：USB（4个）：4个 USB2.0 Type-A，板载视频接口：DP1.4+HDMI1.4+VGA，千兆网口。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9、键盘/鼠标：USB键盘鼠标与主机相匹配；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10、电源：≥500W电源；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11、机箱：不大于17L，支持免工具拆卸。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12、操作系统：预装正版操作系统;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13、显示器：与主机同品牌≥ 23.8寸</w:t>
            </w:r>
          </w:p>
        </w:tc>
      </w:tr>
      <w:tr w14:paraId="6BCC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7F9A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A1BA3FD">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478F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主控软件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5F45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CF13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805E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广播系统控制的核心软件。2、无需互联网静态IP地址即可与IP广播管理平台主控软件互联。3、注册方式以USB加密狗硬件注册方式。4、系统服务器软件，支持双向通讯设备的权限分配，网络冗余、即时性音频应急保障备份、推送备份和定压备份设定。5、自动音乐打铃；作息时间表季节调整；自动预开电源，播放结束自动关闭。6、支持单点播放：可以对任意单点、组群、分区或全部广播。7、领导网上讲话：远程对全区、分区、分组讲话；8、语音实时采播：能够将自用电台、录音机卡座、CD播放器、MP3播放器、麦克风等节目实时采播实时压缩成高音质数据流存储到服务器，并可按要求同时转播到指定的广播终端，用于播放外接设备广播及广播通知等，能与电源时序器联动，实现在定时或实时采播任务中打开十六路电源时序器的任意一路或数路受控电源口。9、支持独立考试模式，与应急保障主机配合实现双重保障；10、结合网络报警主机接收报警信号，在服务器软件上预先设置报警模式，即可进行报警联动功能。11、支持LED显示推送：以手动或自动的方式实时、定时发布文本信息。12、支持同时监控≥5个视频终端的画面，支持对任意指定视频终端的视频录制、存储。13、具备声光指示及报警模式：支持常规任务、特殊任务及报警任务以声光同步的方式输出。满足特殊教育等多种特殊场合使用。不同的任务可以指定不同的灯光。14、具备自动增益功能：内置自主算法、自主技术的DSP处理模式，能自动识别和区分终端环境噪声和正常的广播内容，自动根据环境噪声自动增减广播增益。同时保证声音的清晰度和强度。15、具备一键巡检功能，可以在30秒内快速检查所有网络音箱的声音品质是否符合播音要求，自动以警示图标形式显示故障终端，可保存所有终端的检测数据，作为核查依据。</w:t>
            </w:r>
          </w:p>
        </w:tc>
      </w:tr>
      <w:tr w14:paraId="4FB0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8891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8A51E88">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715D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74D8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56FB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nil"/>
              <w:left w:val="single" w:color="000000" w:sz="4" w:space="0"/>
              <w:bottom w:val="single" w:color="000000" w:sz="4" w:space="0"/>
              <w:right w:val="single" w:color="000000" w:sz="4" w:space="0"/>
            </w:tcBorders>
            <w:noWrap w:val="0"/>
            <w:vAlign w:val="center"/>
          </w:tcPr>
          <w:p w14:paraId="4507B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1、木质箱体一体化壁挂式设计；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2、两路受控的24V输出接口；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3、内置D类数字功放，不少于2×15W功率输出(8欧定阻)输出；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4、本地线路输入一路，音量可调；话筒输入一路，音量、高低音可调，线路输出1路，1个USB接口，可用于U盘播音；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5、内置时钟芯片,与服务器联网，可自动、定时校时；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6、内置网络硬件音频解码模块，支持TCP/IP、UDP、IGMP (组播)协议,可远程调整音量和IP地址；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7、可选配信息推送功能，系统崩溃或网络瘫痪后，也可以独立执行定时任务，保证系统的平稳运行；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8、LED指示灯分别指示电源输入、功放通断状态；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9、支持音频和100V定压应急保障功能，组成网络信号的双重保障功能；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10、标准RJ45网络接口，有以太网口的地方即可接入，支持跨网段和跨路由；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11、支持远程固件升级；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12、频率响应：40Hz～18KHz (线路)；100Hz～16KHz (话筒)；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13、灵敏度：90dB±3dB；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14、接口：RJ45≥1，定压保障接口：PHONIX≥1，应急音频保障接口：PHONIX ≥1，功放输出通道：PHONIX≥1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15、支持协议：ARP、UDP、TCP / IP、ICMP、IGMP (组播)；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16、线路频率响应：40Hz～18000Hz(士2dB)，话筒频率响应：100Hz～16000Hz(±3dB)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18、传输速率：10/100 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19、单元规格：≤5吋宽频扬声器×1；≤3吋高音扬声器×1；</w:t>
            </w:r>
          </w:p>
        </w:tc>
      </w:tr>
      <w:tr w14:paraId="7974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0EF4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3011542">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B482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7AB9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90D6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6EE7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1、标准机架式超薄1U设计，配置机架安装挂件，黑色机箱，铝合金面板。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2、音频输出：立体声（R/L），5.1声道，同轴，光纤。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3、视频输出：S端子，高清（HDMI），分量（Y Cb/Pb Cr/ Pr），VGA。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4、支持断电记忆续播功能、选时及循环播放功能、电子相册功能。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5、超强的纠错能力，电子抗震技术让播放更流畅 ，高清视频输出HDMI（支持1080P）画质。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6、USB播放功能支持WAV、MP3等各种无损格式。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7、具有蓝牙接收功能、FM收音功能，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8、全面兼容DVD/VCD/EVD/SVCD/CD/HDCD/MP3/WAV/JPEG/DVD±R/DVD±RW/CD-G等不同格式碟片。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9、机器前面板具有物理按键功能：播放/暂停、停止、下一曲、上一曲、快进、快退、出仓/进仓、FM/蓝牙、选时、重复、声道、返回、标题、数字直选等。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10、配置全功能遥控器。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11、输入电源：AC220V/50Hz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12、最大消耗功率：25W</w:t>
            </w:r>
          </w:p>
        </w:tc>
      </w:tr>
      <w:tr w14:paraId="386E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59F3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6A18B2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6F5E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51E8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1E04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1D22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XLR接口），2组立体声输入（XLR接口），1组立体声RCA输入，1组返回输入（2路 6.35接口）1路USB输入；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2、8路插入点（6.35接口）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3、两组立体声输出，2路编组输出，2路辅助输出，1路立体声监听输出，1路立体声耳机输出，1组立体声录音输出；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6、每路话放带低切功能；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10、主输出7段图示均衡器；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11、14个60mm行程推子；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14、频率响应：20Hz～20kHz（±1dB）；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15、总谐波失真：≤0.05%@0dBu，1kHz；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16、信噪比≥95dB；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17、话筒增益≥70dB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18、线路增益≥58dB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20、最大输出电平≥18dBu；</w:t>
            </w:r>
          </w:p>
        </w:tc>
      </w:tr>
      <w:tr w14:paraId="40055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7A32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2184D0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7625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E167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A96C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342F7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1、换能方式：电容式；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2、频率响应：70Hz-12KHz；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3、灵敏度：-29dB±3dB；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4、指向性： 心形单指向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 114dB；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6、咪杆与底座采用旋转式卡侬连接；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7、咪杆长度≥400mm；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8、供电：两节五号（AA）电池或幻像48V。</w:t>
            </w:r>
          </w:p>
        </w:tc>
      </w:tr>
      <w:tr w14:paraId="4656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4B7D2">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12A00CF">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DA34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网络寻呼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73A8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FB1C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D70AE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1、桌面话筒式设计，带7英寸LCD液晶显示屏；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2、支持双向对讲功能：双向终端之间实现两两双向对讲；一键接收求助、对讲功能，实现快速连接；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3、支持免提通话和接收广播；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4、具有30个一键呼叫触控按钮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5、支持一路本地线路输入，1路话筒输入，一路音频辅助输出；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7、内置扬声器输出阻抗&amp;功率：8Ω，5W；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9、信噪比：&gt;75dB；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12、总谐波失真：≤1%。</w:t>
            </w:r>
          </w:p>
        </w:tc>
      </w:tr>
      <w:tr w14:paraId="1946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1BE3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DB68247">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0F82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电源控制器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C65F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BD5F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1864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2、16路电源输出。时序开关控制，顺序开启，反序关闭。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3、时序控制增加控制口，短路信号输入，可将时序开关外接。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4、可按键单独开启和关闭每一路电源输出；一个RS232串口和两个RS422数据接口。提供电源裸线端子接入市电。根据任务需求自动打开和关闭，实现无人化自动值守。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5、时序间隔时间：1秒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6、单路最大电源电流：10A；16路电源总电流：40A。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7、硬件接口：RS232控制口×1；RS422数据接口×2。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8、适用电压：220V±10%</w:t>
            </w:r>
          </w:p>
        </w:tc>
      </w:tr>
      <w:tr w14:paraId="46DF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BBF0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50E51AA">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E631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0A7A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A844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B3FF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1、木制箱体。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2、内置1路网络硬件音频解码模块，实现网络化传输16位C 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3、带本地线路输入1组，音量可调；话筒输入1路，音量可调；带1路线路输出。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4、预留2.4 G天线接口，可选配2.4 G接收模块，可实现本地语音扩声。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5、可选配信息推送功能，系统崩溃或网络瘫痪后，也可以独立执行定时任务，保证系统的平稳运行。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7、传输速率 ：10/100Mbps。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8、灵敏度：9 0 d B ±3 d 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9、内置数字功放：≥2*15W/8Ω。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10、单元规格：4.5吋宽频扬声器单元×1；2.75吋高音扬声器单元×1。</w:t>
            </w:r>
          </w:p>
        </w:tc>
      </w:tr>
      <w:tr w14:paraId="4A7E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DADB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85B36E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92FE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8CE4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8E35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1E90A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2、专业的表面处理工艺，防水防锈，全天候设计，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3、选用防水单元，室内外均宜。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4、配有安装支架。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6、支持协议：TCP/IP,UDP,IGMP(组播)。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9、传输速率：10/100Mbps。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10、额定功率：50W。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11、灵敏度：89dB（±3dB）。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12、频率响应：110Hz-18KHz。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13、喇叭单元：LF:4"×4；HF：3"×1。</w:t>
            </w:r>
          </w:p>
        </w:tc>
      </w:tr>
      <w:tr w14:paraId="3949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16753">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F4DA66E">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C2F5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B6F0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265D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71A8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5、频率响应：70Hz-19KHz（±15%）；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6、喇叭单元：LF:6.5"×3；HF：3"×1；</w:t>
            </w:r>
          </w:p>
        </w:tc>
      </w:tr>
      <w:tr w14:paraId="4592B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CCE3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693EEDA">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F901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合并式定压功率放大器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2491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5828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92B1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2.MP3解码模块支持USB/Bluetooth播放功能,音量独立可调。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组(6路)线路输入，1路录音输出，1路消防信号输入。其中3路话筒音量、3组线路音量独立调节，话筒高、低音独立调节功能，3路话筒具有+48V幻像供电选择开关，话筒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4.具有1路短路报警强切接口，1路24V报警强切接口。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5.6分区输出：可通过面板旋钮独立控制各分区音量；可通过面板按键独立控制各分区通断。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6.采用100V定压输出、70V定压输出、定阻输出三种输出方式。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7.1路RS485接口：可通过RS485传输温度、电压、电流等参数，可以通过RS485进行远程开关功放模块电源。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8.可选配网络广播模块、物联网模块。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9.网络音频信号优先或混音可选。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10.输出功率：1300W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11.线路输入灵敏度（L+R）：150mV±30mV。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12.话筒输入灵敏度：13mV±5mV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13.话筒音调：低音100Hz、高音10KHz ±10dB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14.频率响应：100Hz~16KHz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15.信噪比：话筒 ≥55dB（A计权），线路：≥76dB（A计权）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16.过载源电动势：≥14dB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17.功放输出调整率：400Hz &lt; 2V，4000Hz &lt; 2.5V</w:t>
            </w:r>
          </w:p>
        </w:tc>
      </w:tr>
      <w:tr w14:paraId="6562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5B053">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0A93D1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6D76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37F5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1FE5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D2C9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1、内置1路网络硬件音频解码模块，支持TCP/IP、UDP、IGMP(组播)协议，实现网络化传输16位CD音质的音频信号，可远程调整音量和IP地址。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2、带本地话筒和线路扩音功能，且话筒、线路音量单独可调，带默音功能。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3、带有24V信号和短路信号报警输入接口。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4、一路话筒输入、一组线路信号输入、一组线路信号输出。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5、带优先级切换功能，可以自主选择网络信号优先或网络和本地信号混音输出。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6、带USB接口，接入U盘后，用于播放本地节目。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7、支持四线制和三线制消防强切，内置24V强切电源。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8、带短路输出，可实现外部设备联动控制。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9、可选配信息推送功能，系统崩溃或网络瘫痪后，也可以自动执行任务，保证系统的平稳运行。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11、支持协议：ARP、UDP、TCP/IP、ICMP、IGMP(组播)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12、网络输入接口：RJ45×1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13、音频输出口：RCA×2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14、本地音频输入口：RCA×2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15、外接功放输出电源插座：（10A）×1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16、本地扩声话筒输入口：TRS×1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17、报警输入接口：短路、24V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18、短路输出接口：1个</w:t>
            </w:r>
          </w:p>
        </w:tc>
      </w:tr>
      <w:tr w14:paraId="68FC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090C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68B2F30">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80C2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操场防水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A5A8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7088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8A64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6、喇叭单元：LF:6.5"×4；HF：3"×2；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7、扬声器单元通过IP56防水等级认证。</w:t>
            </w:r>
          </w:p>
        </w:tc>
      </w:tr>
      <w:tr w14:paraId="2F61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3F0B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F964A2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869C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采集器</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7BFD7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ign w:val="center"/>
          </w:tcPr>
          <w:p w14:paraId="55F89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11FE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1、将音频输入接口输入的音频编码为采样率≥48K的高品质音频流，并通过IP广播系统将音频流传送到指定的IP广播终端进行播放。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2、面板带USB接口、SD卡接口，支持MP3\WAV\WMA格式的音乐播放。带5个工业金属控制按键，支持播放\暂停、上一曲\下一曲、循环、音源模式切换等功能操作。支持红外遥控功能（遥控器选配）。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3、面板带12个可定义的快捷键，可将采集的信号快速的放给指定的区域或全区。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4、面板带双液晶显示屏。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5、受控电源接口≥6路。其中4路能分别与四组立体声线路输入对应；2路能在有采集任务是受控打开，外接其他扩展设备。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6、φ6.35话筒接口≥2路。每路均带48V幻像电源开关，每路的高低音调节、音量调节单独可控；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7、话筒2带默音调节功能；话筒1“想讲就讲”模式，话筒插入或开机，可快速实现全区讲话或语音广播。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7、立体声信号输入≥4组，每一路的音量单独可调；四组线路输入可单独进行音采集，也可以选择音乐播放模块的信号、话筒信号与线路输入进行混音。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8、信号输出≥2组，可连接有源监听音箱和外扩功放。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10、信噪比：≥70dB</w:t>
            </w:r>
          </w:p>
        </w:tc>
      </w:tr>
      <w:tr w14:paraId="6F8F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DD916">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59CCCDCF">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1BFD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4DCE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92EA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84EBF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1、额定阻抗：LF：8Ω+8Ω HF：8Ω+8Ω；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2、额定功率(RMS)：≥LF：580W+580W HF：190W+190W；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3、最大功率(RMS)：LF：4600W HF：1500W；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4、特性灵敏度：≥LF：99dB HF：106dB；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5、连续声压级：≥LF：129dB HF：132dB；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6、最大声压级：≥LF：135dB HF：138dB；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7、额定频率范围：≥70～19000Hz；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8、低音扬声器：≤LF：10"×4；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9、高音扬声器：≤HF：3"×4；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10、覆盖角度（H×V）：90°×50°；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11、输入接口：NL4MP×4；</w:t>
            </w:r>
          </w:p>
        </w:tc>
      </w:tr>
      <w:tr w14:paraId="6D84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3578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904621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ign w:val="center"/>
          </w:tcPr>
          <w:p w14:paraId="78442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3F2E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D2B2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FB30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1、不少于10路模拟输入（6路Mic，2组RCA），1路USB输入；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2、不小于7寸电容触摸屏1024x600分辨率；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3、不少于9个100mm电动推子；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4、中英文界面随时切换无需重启；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5、内置USB录音、放音功能；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6、USB播放器可以识别中文歌曲名；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7、不少于6个通道独立的反馈抑制器；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8、不少于Ethenet接口；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9、支持第三方控制协议 TCP/IP、RS-232控制指令；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10、不少于2个DCA；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11、支持PC、Android、IOS端控制，实时数据同步；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12、支持修改设备位置、设备描述、IP地址、掩码地址和APP登录密码；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13、内置效果器模块；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14、可通过网络或者U盘进行系统升级；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15、每个输入通道不少于4段参量均衡、噪声门、反馈抑制器、高低通、压缩、反相；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16、每个输出通道不少于8段参量均衡、高低通、压缩、反相；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17、输出不少于：2路主输出、4路BUS、1路HeadPhone(L/R)、2路监听；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18、不少于4个BUS混音总线，可选择推子前、推子后（PRE/POST）；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19、支持不少于100组场景预设功能，可从USB存储器或电脑导出、导入，便于数据备份；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20、不少于100个PEQ模式存储；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21、内置信号发生器：正弦波、粉红噪声、白噪声；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22、通道参数拷贝功能，相同的通道快速复制数据；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23、接线方式：平衡式输入、输出卡侬；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24、不少于8个推子编组、4个静音编组；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25、通道名称可自定义；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26、不少于3个自定义快捷键；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1、频率响应：20Hz～20kHz（-2dB，+0.5dB）；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2、总谐波失真：≤0.2%@4dBu，20Hz～20kHz；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3、信噪比：≥100dB；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4、最大输入电平：≥14dBu；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5、最大输出电平：≥14dBu；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6、串音：≤-100dB；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7、增益：≥70dB；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8、底噪：≤-90dBu；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9、电压适应范围：AC 110V~242V,50/60Hz；</w:t>
            </w:r>
          </w:p>
        </w:tc>
      </w:tr>
      <w:tr w14:paraId="49A7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D2452">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2E1221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2CB0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883F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77EA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F262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1、24-bit DSP技术，高性能AD/DA。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2、3输入6输出,多种分频模式。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3、输入输出音量调节，范围从-40dB到+12dB， 最小步进0.1dB。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4、3进6出每个输入/输出通道有7/7段参数均衡(PEQ),每段参数均衡(PEQ)有参数(Parametric)，Low-Shelf 6dB,Low-Shelf 12dB，High-Shelf 6dB，High-Shelf 12dB多种EQ类型选择。每段EQ可设置为全通滤波器，频率范围19.7Hz~20.2kHz；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5、参数均衡(PEQ)频率范围从19.7Hz到21.9kHz,增益范围从-30dB到+15dB,带宽范围从0.017到4.75倍频程(Oct)。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6、分频功能，FIR滤波器和IIR滤波器二选一。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7、FIR滤波器类型:平直、HP、LP、BP，Order: 64、96、114，频率范围: 397~21900Hz；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8、高通、低通滤波器，每个滤波器有多种斜率和类型供选择，滤波器斜率有：-12dB,-24dB，-36dB，(3进6出2进4出机型支持-48dB),滤波器类波器类型有。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9、每个输入/输出通道可设置最长延时达1000.00ms，带延时开关。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10、每个输出通道均有压缩器，可调节各压缩器的门限值，压缩比，上冲时间和释放时间，关闭硬拐点/5级软拐点可调。每个输出通道均有Peak Limiter功能，有效保护音箱。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11、每个输出通道带相位反转功能。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12、通道复制功能，令调节更省便。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13、多通道链接功能，可同时设置多个通道参数。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14、段输入/输出电平显示LED。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15、静音显示LED灯，按键指示LED灯。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16、开关电源: AC 90V~ 250V, 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17、频率响应：20Hz～20kHz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18、总谐波失真(1kHz)：≤0.01%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19、信噪比（A计权）：≥105dB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21、最大输出电平：≥18dBu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22、动态范围：≥113dB；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23、串音：≥100dB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24、增益差：≤0.5dB</w:t>
            </w:r>
          </w:p>
        </w:tc>
      </w:tr>
      <w:tr w14:paraId="5361B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85911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C23DBBB">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FC2F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1301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0853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E3CE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功放类型：D类、TD类或H类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1、保护功能：电源欠压保护、开机延时保护、功放输出直流保护、过热保护、温度功率控制、过载功率控制等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2、额定功率：2×1500W/8Ω，2×2550W/4Ω，1×3000W/16Ω桥接，1×5100W/8Ω桥接；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3、RMS输出电压≥109V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4、频率响应：20Hz～20kHz（±0.5dB）；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5、总谐波失真：≤0.03%；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7、输入灵敏度：32/35/38/41dB(可选)；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8、阻尼系数（8Ω，200Hz以下）≥500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9、串音抑制≥85dB；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10、电压适应范围：AC90V～260V，50/60Hz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11.产品性能符合SJ/T10406-2016标准；通过安全性抗电测试耐压试验高压1.5kV(10mA)下冲击60s无损坏，3kV(10mA)下冲击60s无飞弧或击穿；通过接地电阻≤0.1Ω，25A下冲击60s，外壳对电源插头接地端测试；</w:t>
            </w:r>
          </w:p>
        </w:tc>
      </w:tr>
      <w:tr w14:paraId="0537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34F1C">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08F7A8F">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086D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2130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351B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7819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功放类型：D类、TD类或H类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1、保护功能：电源欠压保护、开机延时保护、功放输出直流保护、过热保护、温度功率控制、过载功率控制等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2、额定功率：2×600W/8Ω，2×1020W/4Ω， 1×1200W/16Ω桥接，，1×2040W/8Ω桥接；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3、额定RMS输出电压≥69V；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4、频率响应：20Hz～20kHz（±0.5dB）；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5、总谐波失真：≤0.03%；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7、输入灵敏度：29/32/35/38dB；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8、阻尼系数（8Ω，200Hz以下）≥500；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9、串音抑制≥85dB；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10、电压适应范围：AC90V～260V，50/60Hz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11.产品性能符合SJ/T10406-2016标准；通过安全性抗电测试耐压试验高压1.5kV(10mA)下冲击60s无损坏，3kV(10mA)下冲击60s无飞弧或击穿；通过接地电阻≤0.1Ω，25A下冲击60s，外壳对电源插头接地端测试；</w:t>
            </w:r>
          </w:p>
        </w:tc>
      </w:tr>
      <w:tr w14:paraId="3213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9041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F24FF4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nil"/>
              <w:right w:val="single" w:color="000000" w:sz="4" w:space="0"/>
            </w:tcBorders>
            <w:noWrap/>
            <w:vAlign w:val="center"/>
          </w:tcPr>
          <w:p w14:paraId="0E0B7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402F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1445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CBF9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1、不少于8路可控电源（国标五孔插座）、2路长通电源（国标五孔插座）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2、单通道最大输出电流不小于10A；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3、额定总输出电源不小于30A；内置30A电源滤波器；总电源带空气开关；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4、针对不同设备启动时间，每路电源开关时间支持0-999秒设定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5、前面板带市电电压显示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6、支持过压、欠压保护设置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7、支持上电自启功能，并可实现定时开关机设置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8、不少于8组用户存储模式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9、设备自带编码ID检测和设置，支持系统级联，可级联不少于255台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10、控制接口不少于1路RS232、1路线路控制、级联输入输出、1路USB。</w:t>
            </w:r>
          </w:p>
        </w:tc>
      </w:tr>
      <w:tr w14:paraId="2C40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7"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93DCA">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6DCF9C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B380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一拖二无线麦克风</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40AF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2955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24EF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1、采用金属机箱，具有坚固的结构、散热及隔离谐波干扰。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2、RF高动态范围及第三代中频电路，大幅提升互不干扰的频道数及抗干扰特性。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3、预设群组，第1-4组预设16个互不干扰频率，第5－8预设24个互不干扰频率，第U组为用户自定义组，最多可提供2000频率供客户自定义选择使用。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4、采用天线分集式接收及数字导音，杂音锁定双重静音控制，接收距离远，消除接收断音及不稳的缺失。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5、黑色金属面板，LED段码显示器，可同时显示群组、频率、电池电量、静音位准、电子音量等相关信息；LED灯柱显示RF/AF强度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6、采用飞梭旋钮取代传统复杂的按键。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7、天线接口采用50Ω/TNC，保持天线可靠连接的同时。并支持天线环路输出，支持8套同型产品射频级联。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8、各频道可单独或混合输出，可切换两段输出的音量，具有MIC/LINE输出开关：LINE比MIC输出约大10dBu。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9、天线座提供强波器偏压，可以连接天线系统，增加接收距离及稳定的接收效果。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10、100-240V,内置AC电源板。保持系统稳定，且支持AC电源环路输出。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1、载波频段: UHF530-690.000MHZ（常规：640.000MHZ-690.000MHZ）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2、单机频带宽度 :50 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3、单机频道数量：2000个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4、频率间隔：25KHz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5、音频灵敏度: -48±3dB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6、综合S/N比 : &gt;100dB(A)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7、指向性频响曲线：300-2000Hz≤-8dB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8、综合T.H.D. :&lt;0.5%@1kHz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9、频率响应 : 65Hz-15kHz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10、天线：50Ω/TNC，支持天线环路输出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11、发射器拾音头：动圈式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12、发射器供电方式：两节AA充电电池，带充电器</w:t>
            </w:r>
          </w:p>
        </w:tc>
      </w:tr>
      <w:tr w14:paraId="298F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C9006">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82A90EE">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E225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无源对数周期天线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C668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56CD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9FF9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UHF频段窄频无源户外防水天线。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窄带平板天线，具有⾼增益、指向特性；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密封性能可靠，防风、防水、耐高低温性能优异；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频率范围：530MHz-590MHz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增益：6±1dBi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驻波：≦2.5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接头型号：N-K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工作温度：-15-55℃</w:t>
            </w:r>
          </w:p>
        </w:tc>
      </w:tr>
      <w:tr w14:paraId="1355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1598C">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152454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E869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5275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540A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top"/>
          </w:tcPr>
          <w:p w14:paraId="4F78439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1.适用于500MHz ─850MHz频段外接天线，搭配可调增益信号放大、衰减线路，用户可根据实际使用环境调整增益大小。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2、配置电源适配器，能提供放大器内建放大线路的电源，也能为远端外接天线放大器供电，使长距离的天线缆线能实现多级增益调节。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3.搭配锌合金外壳的优异散热特性，达到持续稳定的电路特性与DC 8 V的输出电压。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2、步进增益 总增益量：0 ～ +18dB±2dB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3、步进衰减 总衰减量：0 ～ 9dB±2dB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4、系统阻抗 :50 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5、外接电源输入： 12 ～18V DC / min. 350mA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6、电源稳压输出：8V DC / max. 250mA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7、电流消耗：约60mA/12V DC Input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8、连接座：TNC插座×2，2.0 mm DC插座×1</w:t>
            </w:r>
          </w:p>
        </w:tc>
      </w:tr>
      <w:tr w14:paraId="3493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433FC">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50CD694">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3387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三开门机柜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E96C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5E57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3278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尺寸：宽≥600mm、深≥600mm、高≥637mm，防尘、防潮、防震</w:t>
            </w:r>
          </w:p>
        </w:tc>
      </w:tr>
      <w:tr w14:paraId="63DF7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23771">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8A9860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F19D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305F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4EA5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E128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交换容量≥336Gbps，包转发率≥78Mpps；24个10/100/1000Mbps自适应电口，4个SFP千兆光口；支持VLAN、ACL、端口镜像、端口聚合等功能</w:t>
            </w:r>
          </w:p>
        </w:tc>
      </w:tr>
      <w:tr w14:paraId="2B3F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1D07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882B1A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B7CA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8FC4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E545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8BA67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尺寸：≥600*600*1600(mm)，加厚铁皮机柜</w:t>
            </w:r>
          </w:p>
        </w:tc>
      </w:tr>
      <w:tr w14:paraId="2941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AE692">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4300A2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0804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1C4C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2061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02FC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尺寸：≥600*600*1200(mm)，不锈钢材质，具备防水、防尘、防潮</w:t>
            </w:r>
          </w:p>
        </w:tc>
      </w:tr>
      <w:tr w14:paraId="0644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C381C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CDC815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55DF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辅材、管材附件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EA54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3F3A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480E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设备安装所需的各类线材、管材等</w:t>
            </w:r>
          </w:p>
        </w:tc>
      </w:tr>
      <w:tr w14:paraId="330E1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57FCA">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10C851E">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296B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4C36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C0F2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563C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综合布线、音箱安装调试等</w:t>
            </w:r>
          </w:p>
        </w:tc>
      </w:tr>
      <w:tr w14:paraId="6EB8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6A6EB408">
            <w:pPr>
              <w:jc w:val="center"/>
              <w:rPr>
                <w:rFonts w:hint="eastAsia" w:ascii="宋体" w:hAnsi="宋体" w:eastAsia="宋体" w:cs="宋体"/>
                <w:i w:val="0"/>
                <w:iCs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8FECE1A">
            <w:pPr>
              <w:jc w:val="center"/>
              <w:rPr>
                <w:rFonts w:hint="eastAsia" w:ascii="宋体" w:hAnsi="宋体" w:eastAsia="宋体" w:cs="宋体"/>
                <w:i w:val="0"/>
                <w:iCs w:val="0"/>
                <w:color w:val="000000"/>
                <w:sz w:val="18"/>
                <w:szCs w:val="18"/>
                <w:u w:val="none"/>
              </w:rPr>
            </w:pPr>
          </w:p>
        </w:tc>
        <w:tc>
          <w:tcPr>
            <w:tcW w:w="883" w:type="dxa"/>
            <w:tcBorders>
              <w:top w:val="single" w:color="000000" w:sz="4" w:space="0"/>
              <w:left w:val="nil"/>
              <w:bottom w:val="single" w:color="000000" w:sz="4" w:space="0"/>
              <w:right w:val="single" w:color="000000" w:sz="4" w:space="0"/>
            </w:tcBorders>
            <w:noWrap w:val="0"/>
            <w:vAlign w:val="center"/>
          </w:tcPr>
          <w:p w14:paraId="7AD9437B">
            <w:pPr>
              <w:jc w:val="center"/>
              <w:rPr>
                <w:rFonts w:hint="eastAsia" w:ascii="宋体" w:hAnsi="宋体" w:eastAsia="宋体" w:cs="宋体"/>
                <w:i w:val="0"/>
                <w:iCs w:val="0"/>
                <w:color w:val="000000"/>
                <w:sz w:val="18"/>
                <w:szCs w:val="18"/>
                <w:u w:val="none"/>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F973CB7">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7044B10">
            <w:pPr>
              <w:jc w:val="center"/>
              <w:rPr>
                <w:rFonts w:hint="eastAsia" w:ascii="宋体" w:hAnsi="宋体" w:eastAsia="宋体" w:cs="宋体"/>
                <w:i w:val="0"/>
                <w:iCs w:val="0"/>
                <w:color w:val="000000"/>
                <w:sz w:val="18"/>
                <w:szCs w:val="18"/>
                <w:u w:val="none"/>
              </w:rPr>
            </w:pP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F5E5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4E04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EA407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3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C668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乌兰县新民小学（校园应急数字广播系统）</w:t>
            </w:r>
          </w:p>
        </w:tc>
        <w:tc>
          <w:tcPr>
            <w:tcW w:w="883" w:type="dxa"/>
            <w:tcBorders>
              <w:top w:val="single" w:color="000000" w:sz="4" w:space="0"/>
              <w:left w:val="nil"/>
              <w:bottom w:val="single" w:color="000000" w:sz="4" w:space="0"/>
              <w:right w:val="single" w:color="000000" w:sz="4" w:space="0"/>
            </w:tcBorders>
            <w:noWrap w:val="0"/>
            <w:vAlign w:val="center"/>
          </w:tcPr>
          <w:p w14:paraId="6866F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系统主机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FFC7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D280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F031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1、主板芯片：≥Q670芯片组；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2、CPU：≥Intel Core i7-13700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3、内存：≥16GB，4个内存插槽，最大支持128G；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4、硬盘：≥256GB M.2 PCIe NVMe SSD+1T SATA；支持2个SATA 3.5吋机械硬盘，支持1个M.2 NVMe 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5、显卡：≥集成显卡；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6、插槽：≥1个 M.2 NVMe ,1 个 PCIe x16, 2 个 PCIe x4（x1 link）,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7、网卡：集成10/100/1000M自适应网卡；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8、接口：前置接口：USB（4个）：2个USB3.2 Gen1 Type-A 、2个USB3.2 Gen2 Type-A  Type-C（1个）：1个USB3.2 Gen1 Type-C （支持关机充电，15W），三合一读卡器、模拟音频接口：立体声+麦克风。后置接口：USB（4个）：4个 USB2.0 Type-A，板载视频接口：DP1.4+HDMI1.4+VGA，千兆网口。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9、键盘/鼠标：USB键盘鼠标与主机相匹配；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10、电源：≥500W电源；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11、机箱：不大于17L，支持免工具拆卸。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12、操作系统：预装正版操作系统;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13、显示器：与主机同品牌≥ 23.8寸</w:t>
            </w:r>
          </w:p>
        </w:tc>
      </w:tr>
      <w:tr w14:paraId="169B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1036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00EB7">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F933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主控软件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E52C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39E8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6CCB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广播系统控制的核心软件。2、无需互联网静态IP地址即可与IP广播管理平台主控软件互联。3、注册方式以USB加密狗硬件注册方式。4、系统服务器软件，支持双向通讯设备的权限分配，网络冗余、即时性音频应急保障备份、推送备份和定压备份设定。5、自动音乐打铃；作息时间表季节调整；自动预开电源，播放结束自动关闭。6、支持单点播放：可以对任意单点、组群、分区或全部广播。7、领导网上讲话：远程对全区、分区、分组讲话；8、语音实时采播：能够将自用电台、录音机卡座、CD播放器、MP3播放器、麦克风等节目实时采播实时压缩成高音质数据流存储到服务器，并可按要求同时转播到指定的广播终端，用于播放外接设备广播及广播通知等，能与电源时序器联动，实现在定时或实时采播任务中打开十六路电源时序器的任意一路或数路受控电源口。9、支持独立考试模式，与应急保障主机配合实现双重保障；10、结合网络报警主机接收报警信号，在服务器软件上预先设置报警模式，即可进行报警联动功能。11、支持LED显示推送：以手动或自动的方式实时、定时发布文本信息。12、支持同时监控≥5个视频终端的画面，支持对任意指定视频终端的视频录制、存储。13、具备声光指示及报警模式：支持常规任务、特殊任务及报警任务以声光同步的方式输出。满足特殊教育等多种特殊场合使用。不同的任务可以指定不同的灯光。14、具备自动增益功能：内置自主算法、自主技术的DSP处理模式，能自动识别和区分终端环境噪声和正常的广播内容，自动根据环境噪声自动增减广播增益。同时保证声音的清晰度和强度。15、具备一键巡检功能，可以在30秒内快速检查所有网络音箱的声音品质是否符合播音要求，自动以警示图标形式显示故障终端，可保存所有终端的检测数据，作为核查依据。</w:t>
            </w:r>
          </w:p>
        </w:tc>
      </w:tr>
      <w:tr w14:paraId="1AD8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DD678">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5851F">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6005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9A07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4D4D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45C8F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1、木质箱体一体化壁挂式设计；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2、两路受控的24V输出接口；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3、内置D类数字功放，不少于2×15W功率输出(8欧定阻)输出；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4、本地线路输入一路，音量可调；话筒输入一路，音量、高低音可调，线路输出1路，1个USB接口，可用于U盘播音；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5、内置时钟芯片,与服务器联网，可自动、定时校时；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6、内置网络硬件音频解码模块，支持TCP/IP、UDP、IGMP (组播)协议,可远程调整音量和IP地址；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7、可选配信息推送功能，系统崩溃或网络瘫痪后，也可以独立执行定时任务，保证系统的平稳运行；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8、LED指示灯分别指示电源输入、功放通断状态；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9、支持音频和100V定压应急保障功能，组成网络信号的双重保障功能；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10、标准RJ45网络接口，有以太网口的地方即可接入，支持跨网段和跨路由；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11、支持远程固件升级；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12、频率响应：40Hz～18KHz (线路)；100Hz～16KHz (话筒)；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13、灵敏度：90dB±3dB；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14、接口：RJ45≥1，定压保障接口：PHONIX≥1，应急音频保障接口：PHONIX ≥1，功放输出通道：PHONIX≥1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15、支持协议：ARP、UDP、TCP / IP、ICMP、IGMP (组播)；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16、线路频率响应：40Hz～18000Hz(士2dB)，话筒频率响应：100Hz～16000Hz(±3dB)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18、传输速率：10/100 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19、单元规格：≤5吋宽频扬声器×1；≤3吋高音扬声器×1；</w:t>
            </w:r>
          </w:p>
        </w:tc>
      </w:tr>
      <w:tr w14:paraId="68B11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B7CE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99B0D">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4866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7E9D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AD3D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071C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1、标准机架式超薄1U设计，配置机架安装挂件，黑色机箱，铝合金面板。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2、音频输出：立体声（R/L），5.1声道，同轴，光纤。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3、视频输出：S端子，高清（HDMI），分量（Y Cb/Pb Cr/ Pr），VGA。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4、支持断电记忆续播功能、选时及循环播放功能、电子相册功能。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5、超强的纠错能力，电子抗震技术让播放更流畅 ，高清视频输出HDMI（支持1080P）画质。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6、USB播放功能支持WAV、MP3等各种无损格式。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7、具有蓝牙接收功能、FM收音功能，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8、全面兼容DVD/VCD/EVD/SVCD/CD/HDCD/MP3/WAV/JPEG/DVD±R/DVD±RW/CD-G等不同格式碟片。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9、机器前面板具有物理按键功能：播放/暂停、停止、下一曲、上一曲、快进、快退、出仓/进仓、FM/蓝牙、选时、重复、声道、返回、标题、数字直选等。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10、配置全功能遥控器，操作方便。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11、输入电源：AC220V/50Hz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12、最大消耗功率：25W</w:t>
            </w:r>
          </w:p>
        </w:tc>
      </w:tr>
      <w:tr w14:paraId="3264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D9A5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4DCA6">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E8B1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43F8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4DAA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62E0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XLR接口），2组立体声输入（XLR接口），1组立体声RCA输入，1组返回输入（2路 6.35接口）1路USB输入；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2、8路插入点（6.35接口）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3、两组立体声输出，2路编组输出，2路辅助输出，1路立体声监听输出，1路立体声耳机输出，1组立体声录音输出；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6、每路话放带低切功能；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9、主输出7段图示均衡器；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10、14个60mm行程推子；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13、频率响应：20Hz～20kHz（±1dB）；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14、总谐波失真：≤0.05%@0dBu，1kHz；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16、话筒增益≥70dB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18、线路增益≥58dB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20、最大输出电平≥18dBu；</w:t>
            </w:r>
          </w:p>
        </w:tc>
      </w:tr>
      <w:tr w14:paraId="6A01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E2E2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C39FC">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0D4F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B8F5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31F5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4169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1、换能方式：电容式；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2、频率响应：70Hz-12KHz；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3、灵敏度：-29dB±3dB；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4、指向性： 心形单指向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 114dB；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6、咪杆与底座采用旋转式卡侬连接；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7、咪杆长度≥400mm；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8、供电： 两节五号（AA）电池或幻像48V。</w:t>
            </w:r>
          </w:p>
        </w:tc>
      </w:tr>
      <w:tr w14:paraId="1C0C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547E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EC023D">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9484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网络寻呼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E9DF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214E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2D9E9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1、桌面话筒式设计，带7英寸LCD液晶显示屏；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2、支持双向对讲功能：双向终端之间实现两两双向对讲；一键接收求助、对讲功能，实现快速连接；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3、支持免提通话和接收广播；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4、具有30个一键呼叫触控按钮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5、支持一路本地线路输入，1路话筒输入，一路音频辅助输出；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7、内置扬声器输出阻抗&amp;功率：8Ω，5W；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9、信噪比：&gt;75dB；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12、总谐波失真：≤1%。         </w:t>
            </w:r>
          </w:p>
        </w:tc>
      </w:tr>
      <w:tr w14:paraId="4F98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454F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2B743">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C116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电源控制器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C8EA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52A1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550C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2、16路电源输出。时序开关控制，顺序开启，反序关闭。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3、时序控制增加控制口，短路信号输入，可将时序开关外接。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4、可按键单独开启和关闭每一路电源输出；一个RS232串口和两个RS422数据接口。提供电源裸线端子接入市电。根据任务需求自动打开和关闭，实现无人化自动值守。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5、时序间隔时间：1秒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6、单路最大电源电流：10A；16路电源总电流：40A。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7、硬件接口：RS232控制口×1；RS422数据接口×2。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8、适用电压：220V±10%</w:t>
            </w:r>
          </w:p>
        </w:tc>
      </w:tr>
      <w:tr w14:paraId="3684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2AA5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BF853">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F1A9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BA45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9B2B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A8B5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1、木制箱体。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2、内置1路网络硬件音频解码模块，实现网络化传输16位C 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3、带本地线路输入1组，音量可调；话筒输入1路，音量可调；带1路线路输出。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4、预留2.4 G天线接口，可选配2.4 G接收模块，可实现本地语音扩声。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5、可选配信息推送功能，系统崩溃或网络瘫痪后，也可以独立执行定时任务，保证系统的平稳运行。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7、传输速率 ：10/100Mbps。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8、灵敏度：9 0 d B ±3 d 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9、内置数字功放：≥2*15W/8Ω。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10、单元规格：4.5吋宽频扬声器单元×1；2.75吋高音扬声器单元×1。</w:t>
            </w:r>
          </w:p>
        </w:tc>
      </w:tr>
      <w:tr w14:paraId="2F14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1F4DC">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F5BEA">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8206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77DC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5F78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4329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5、频率响应：70Hz-19KHz（±15%）；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6、喇叭单元：LF:6.5"×3；HF：3"×1；</w:t>
            </w:r>
          </w:p>
        </w:tc>
      </w:tr>
      <w:tr w14:paraId="4BE0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D0A6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16F1A">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F743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合并式定压功率放大器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8D82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693C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2A58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2.MP3解码模块支持USB/Bluetooth播放功能,音量独立可调。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组(6路)线路输入，1路录音输出，1路消防信号输入。其中3路话筒音量、3组线路音量独立调节，话筒高、低音独立调节功能，3路话筒具有+48V幻像供电选择开关，话筒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4.具有1路短路报警强切接口，1路24V报警强切接口。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5.6分区输出：可通过面板旋钮独立控制各分区音量；可通过面板按键独立控制各分区通断。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6.采用100V定压输出、70V定压输出、定阻输出三种输出方式。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7.1路RS485接口：可通过RS485传输温度、电压、电流等参数，可以通过RS485进行远程开关功放模块电源。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8.可选配网络广播模块、物联网模块。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9.网络音频信号优先或混音可选。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10.输出功率：700W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11.线路输入灵敏度（L+R）：150mV±30mV。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12.话筒输入灵敏度：13mV±5mV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13.话筒音调：低音100Hz、高音10KHz ±10dB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14.频率响应：100Hz~16KHz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15.信噪比：话筒 ≥55dB（A计权），线路：≥76dB（A计权）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16.过载源电动势：≥14dB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17.功放输出调整率：400Hz &lt; 2V，4000Hz &lt; 2.5V</w:t>
            </w:r>
          </w:p>
        </w:tc>
      </w:tr>
      <w:tr w14:paraId="312E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F7C9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58473">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shd w:val="clear" w:color="auto" w:fill="FFFFFF"/>
            <w:noWrap w:val="0"/>
            <w:vAlign w:val="center"/>
          </w:tcPr>
          <w:p w14:paraId="3EC64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0216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F8AB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FF42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1、内置1路网络硬件音频解码模块，支持TCP/IP、UDP、IGMP(组播)协议，实现网络化传输16位CD音质的音频信号，可远程调整音量和IP地址。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2、带本地话筒和线路扩音功能，且话筒、线路音量单独可调，带默音功能。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3、带有24V信号和短路信号报警输入接口。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4、一路话筒输入、一组线路信号输入、一组线路信号输出。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5、带优先级切换功能，可以自主选择网络信号优先或网络和本地信号混音输出。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6、带USB接口，接入U盘后，用于播放本地节目。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7、支持四线制和三线制消防强切，内置24V强切电源。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8、带短路输出，可实现外部设备联动控制。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9、可选配信息推送功能，系统崩溃或网络瘫痪后，也可以自动执行任务，保证系统的平稳运行。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11、支持协议：ARP、UDP、TCP/IP、ICMP、IGMP(组播)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12、网络输入接口：RJ45×1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13、音频输出口：RCA×2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14、本地音频输入口：RCA×2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15、外接功放输出电源插座：（10A）×1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16、本地扩声话筒输入口：TRS×1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17、报警输入接口：短路、24V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18、短路输出接口：1个</w:t>
            </w:r>
          </w:p>
        </w:tc>
      </w:tr>
      <w:tr w14:paraId="1E014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7"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8E15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92F38">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3D5D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一拖二无线麦克风</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9CA5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7557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4662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1、采用金属机箱，具有坚固的结构、散热及隔离谐波干扰。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2、RF高动态范围及第三代中频电路，大幅提升互不干扰的频道数及抗干扰特性。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3、预设群组，第1-4组预设16个互不干扰频率，第5－8预设24个互不干扰频率，第U组为用户自定义组，最多可提供2000频率供客户自定义选择使用。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4、采用天线分集式接收及数字导音，杂音锁定双重静音控制，接收距离远，消除接收断音及不稳的缺失。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5、黑色金属面板，LED段码显示器，可同时显示群组、频率、电池电量、静音位准、电子音量等相关信息；LED灯柱显示RF/AF强度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6、采用飞梭旋钮取代传统复杂的按键。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7、天线接口采用50Ω/TNC，保持天线可靠连接的同时。并支持天线环路输出，支持8套同型产品射频级联。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8、各频道可单独或混合输出，可切换两段输出的音量，具有MIC/LINE输出开关：LINE比MIC输出约大10dBu。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9、天线座提供强波器偏压，可以连接天线系统，增加接收距离及稳定的接收效果。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10、100-240V,内置AC电源板。保持系统稳定，且支持AC电源环路输出。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1、载波频段: UHF530-690.000MHZ（常规：640.000MHZ-690.000MHZ）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2、单机频带宽度 :50 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3、单机频道数量：2000个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4、频率间隔：25KHz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5、音频灵敏度: -48±3dB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6、综合S/N比 : &gt;100dB(A)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7、指向性频响曲线：300-2000Hz≤-8dB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8、综合T.H.D. :&lt;0.5%@1kHz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9、频率响应 : 65Hz-15kHz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10、天线：50Ω/TNC，支持天线环路输出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11、发射器拾音头：动圈式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12、发射器供电方式：两节AA充电电池，带充电器</w:t>
            </w:r>
          </w:p>
        </w:tc>
      </w:tr>
      <w:tr w14:paraId="41AA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1DB6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BA566">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A5BA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无源对数周期天线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A01C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181C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A272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UHF频段窄频无源户外防水天线。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窄带平板天线，具有⾼增益、指向特性；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密封性能可靠，防风、防水、耐高低温性能优异；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频率范围：530MHz-590MHz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增益：6±1dBi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驻波：≦2.5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接头型号：N-K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工作温度：-15-55℃</w:t>
            </w:r>
          </w:p>
        </w:tc>
      </w:tr>
      <w:tr w14:paraId="2F67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966D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A79DF">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10A6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9A43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8D4E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D8E4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1.适用于500MHz ─850MHz频段外接天线，搭配可调增益信号放大、衰减线路，可根据实际使用环境调整增益大小。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2、配置电源适配器，能提供放大器内建放大线路的电源，也能为远端外接天线放大器供电，使长距离的天线缆线能实现多级增益调节。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3.搭配锌合金外壳的优异散热特性，达到持续稳定的电路特性与DC8V的输出电压。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2、系统阻抗 :50 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3、外接电源输入: 12 ～18V DC / min. 350mA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4、电源稳压输出 :8V DC / max. 250mA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5、电流消耗 :约60mA/12V DC Input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6、连接座:TNC插座×2，2.0 mm DC插座×1</w:t>
            </w:r>
          </w:p>
        </w:tc>
      </w:tr>
      <w:tr w14:paraId="10F2D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805D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68721">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A770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线性阵列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扬声器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A17D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CF8B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CB6E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1、两分频线阵音箱；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2、箱体全部采用木工板制作；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3、表面喷涂黑色聚脲漆；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4、箱体采用机械式快速释放插销，实现箱体与箱体之间的快速连接；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5、箱体采用三点悬挂，保证箱体间的最佳耦合所需的角度，悬挂可调角度0º、2º、4º、6º、8º、10º；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6、金属防护网，4mm六边形透声孔，内衬防尘透声网。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3、特性灵敏度：100dB；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4、连续声压级：127dB；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5、最大声压级：133dB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6、额定频率范围：75～19000Hz；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7、中低音扬声器：LF：10"×2；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8、高音扬声器：HF：1.75"×2；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9、覆盖角度（H×V）：100°×10°；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10、输入接口：航空插头；</w:t>
            </w:r>
          </w:p>
        </w:tc>
      </w:tr>
      <w:tr w14:paraId="453C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2D2B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5C712">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79AC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线阵列低音音箱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EB41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327D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0B43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1、线阵低音音箱；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2、箱体全部采用木工板制作；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3、表面喷涂黑色水性聚脲漆；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4、箱体采用机械式快速释放插销，实现箱体与箱体之间的快速连接；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5、箱体采用三点悬挂系统；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6、金属防护网，4mm六边形透声孔，内衬防尘透声网。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2、额定功率：800W；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3、最大功率：3200W；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4、特性灵敏度：98dB；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5、连续声压级：127dB；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6、最大声压级：133dB；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7、额定频率范围：35～500Hz；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8、低音扬声器：LF：18"×1；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9、输入接口：航空插头；</w:t>
            </w:r>
          </w:p>
        </w:tc>
      </w:tr>
      <w:tr w14:paraId="01AA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E7D6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9686A">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11F66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E4D6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FC60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9DB0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1、模拟输入：14路MIC/LINE，2路LINE；数字输入：2组立体声（1组光纤，1组同轴）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2、2路主输出、6路编组输出、2路辅助输出、1组立体声监听输出、1组AES数字立体声输出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3、7寸触摸屏，1024×600分辨率，中英文界面随时切换无需重启；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4、内置USB录音、放音功能，USB播放器可以识别中文歌曲名；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5、内置14个通道独立的反馈抑制器，集成音箱管理器；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6、支持RS232、TCP/IP协议，便于第三方中控控制；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7、13个100mm行程的高精密电动推子；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8、可通过网络或U盘进行系统升级；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9、输入通道具有4段参量均衡、噪声门、反馈抑制器、高低通、压缩、反相；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10、输出通道具有8段参量均衡、高低通、压缩、反相、延时器；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11、支持100组场景预设功能，可导出、导入USB存储器，便于数据备份；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12、内置信号发生器：正弦波、粉红噪声、白噪声；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13、通道参数拷贝功能，相同的通道快速复制数据；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14、支持2个DCA分组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15、支持通道名称自定义；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16、可安装在标准19英寸机柜内；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17、支持PC端，Android端及IOS端控制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18、可选配开通数据同步镜像热备份功能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19、内置2路效果总线，可任意分配输入、输出通道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1、频率响应：20Hz～20kHz（±1dB）；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2、总谐波失真：≤0.005%@4dBu，1kHz；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3、信噪比(A计权)：≥105dB；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4、串音：≥85dB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5、增益：≥68dB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7、最大输出电平：≥18dBu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8、底噪≤-90dBu</w:t>
            </w:r>
          </w:p>
        </w:tc>
      </w:tr>
      <w:tr w14:paraId="64F6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1D5B1">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556A0">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8734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8361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CA29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5ED1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1、24-bit DSP技术，高性能AD/DA。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2、3输入6输出,多种分频模式。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3、输入输出音量调节，范围从-40dB到+12dB， 最小步进0.1dB。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4、3进6出每个输入/输出通道有7/7段参数均衡(PEQ),每段参数均衡(PEQ)有参数(Parametric)，Low-Shelf 6dB,Low-Shelf 12dB，High-Shelf 6dB，High-Shelf 12dB多种EQ类型选择。每段EQ可设置为全通滤波器，频率范围19.7Hz~20.2kHz；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5、参数均衡(PEQ)频率范围从19.7Hz到21.9kHz,增益范围从-30dB到+15dB,带宽范围从0.017到4.75倍频程(Oct)。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6、分频功能，FIR滤波器和IIR滤波器二选一。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7、FIR滤波器类型:平直、HP、LP、BP，Order: 64、96、114，频率范围: 397~21900Hz；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8、高通、低通滤波器，每个滤波器有多种斜率和类型供选择，滤波器斜率有: -12dB , -24dB，-36dB， (3进6出2进4出机型支持- 48dB)。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9、每个输入/输出通道可设置最长延时达1000.00ms，带延时开关。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10、每个输出通道均有压缩器，可调节各压缩器的门限值，压缩比，上冲时间和释放时间，关闭硬拐点/5级软拐点可调。每个输出通道均有Peak Limiter功能， 有效保护音箱。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11、每个输出通道带相位反转功能。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12、通道复制功能，令调节更省便。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13、多通道链接功能，可同时设置多个通道参数。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14、段输入/输出电平显示LED。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15、静音显示LED灯，按键指示LED灯。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16、开关电源: AC 90V~ 250V, 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17、频率响应：20Hz～20kHz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18、总谐波失真(1kHz)：≤0.01%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19、信噪比（A计权）：≥105dB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21、最大输出电平：≥18dBu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22、动态范围：≥113dB；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23、串音：≥100dB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24、增益差：≤0.5dB</w:t>
            </w:r>
          </w:p>
        </w:tc>
      </w:tr>
      <w:tr w14:paraId="402F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9B316">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50819">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19617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线阵功放</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C4B0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FD4A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0CDD8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1、多环路调控技术，拥有出色的技术指标；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2、针对低阻抗、大电流专门设计的功率转换技术，令功放拥有超高的效率和出色的稳定性；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3、开关电源采用有源和软开关技术，并针对音频功率放大器做了优化设计，能适应恶劣的电网环境，为功放提供持续澎湃的动力。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4、全球适用的先进开关模式电源技术，尽可能小的尺寸提供可靠的最高级别功率和动态余量。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5、主动功率因数校正技术，降低电网的负荷，同时提供极广的电源运行范围，可在AC90～260VAC，50/60Hz电压范围内正常工作；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6、采用自适应调试D类功率放大电路；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7、保护功能：电源欠压保护、开机延时保护、功放输出直流保护、过热保护、温度功率控制、过载功率控制等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1、额定功率：2×1200W/8Ω，2×2240W/4Ω，1×2400W/16Ω桥接，1×4080W/8Ω桥接；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2、频率响应：20Hz～20kHz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3、总谐波失真(1kHz)：≤0.03%；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4、信噪比(A计权)：≥105dB；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5、输入灵敏度：32/35/38/41dB(可选)；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6、输入阻抗：平衡20KΩ，非平衡10KΩ；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7、串音(1kHz)：≥85dB；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8、声道增益差：≤0.5dB；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9、电压适应范围：AC90V～260V，50/60Hz；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10、尺寸(mm)：≥483(W)×44(H)×424(D)</w:t>
            </w:r>
          </w:p>
        </w:tc>
      </w:tr>
      <w:tr w14:paraId="0B2F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E663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3D033">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F344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有源对数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FE5C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2918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A42E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1、采用对数周期偶极振子阵列，能够在面向所需的覆盖区域时提供最佳接收效果。集成式放大器具有28档位增益设置，用于补偿同轴缆线的插入损失。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2、配有内螺纹用于安装。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3、可与无线接收机和天线分配器搭配使用，该天线为有源对数周期天线，需要接收机能够提供 8–12 伏直流偏压。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4、天线为单指向性天线。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2、步进增益 总增益量：0 ─ 18dB ±2dB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3、步进衰减 总衰减量：0 ─ 9dB  ±2dB 步进量：±1dB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4、天线阻抗 :50Ω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5、天线增益：3-5dB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6、驻波比：≤2.5:1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7、接收模式(3 dB 波束宽度)：65°（垂直角）,120°(水平面）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8、连接插座 :TNC母座×1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9、电流消耗 :约60mA/DC 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 :TNC母座须提供偏压电源DC 6—10V</w:t>
            </w:r>
          </w:p>
        </w:tc>
      </w:tr>
      <w:tr w14:paraId="24F5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CC826">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494EF">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3607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E722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E988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C1C4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1、2英寸彩色液晶屏，显示当前电压、时间、通道状态；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2、定时开关机功能，内置时钟芯片，可设定日期、时间；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3、8组设备开关场景数据保存/调用；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4、支持多台设备级联控制，级联状态可自动检测及设置；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5、配置RS232接口，支持外部中控设备控制；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6、可实现远程集中控制，每台设备自带设备编码ID检测和设置；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7、支持面板Lock锁定功能，防止误操作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8、内置高性能滤波器，有效防止市电对设备干扰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9、采用新国标电源插座，安全有保障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1、可控电源路数： 8路（另有2路辅助通道）；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2、每路可控时间： 0～999秒；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3、通道额定输出电流：1-4路10A，5-8路16A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4、辅助通道输出电流：10A(不受时序控制）；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5、整机额定总输出电流： 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6、工作电压:AC 180V～AC 240V，50Hz/60Hz</w:t>
            </w:r>
          </w:p>
        </w:tc>
      </w:tr>
      <w:tr w14:paraId="5009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85B53">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E1F6A">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shd w:val="clear" w:color="auto" w:fill="FFFFFF"/>
            <w:noWrap w:val="0"/>
            <w:vAlign w:val="center"/>
          </w:tcPr>
          <w:p w14:paraId="2C166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三开门机柜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9993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F2DD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BFE3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尺寸：宽≥600mm,深≥600mm，高≥637mm，防尘、防潮、防震</w:t>
            </w:r>
          </w:p>
        </w:tc>
      </w:tr>
      <w:tr w14:paraId="0327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7CA8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436D9">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F240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合并式定压功率放大器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1D0A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3B9C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6BA3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2.MP3解码模块支持USB/Bluetooth播放功能,音量独立可调。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组(6路)线路输入，1路录音输出，1路消防信号输入。其中3路话筒音量、3组线路音量独立调节，话筒高、低音独立调节功能，3路话筒具有+48V幻像供电选择开关，话筒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4.具有1路短路报警强切接口，1路24V报警强切接口。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5.6分区输出：可通过面板旋钮独立控制各分区音量；可通过面板按键独立控制各分区通断。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6.采用100V定压输出、70V定压输出、定阻输出三种输出方式。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7.1路RS485接口：可通过RS485传输温度、电压、电流等参数，可以通过RS485进行远程开关功放模块电源。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8.可选配网络广播模块、物联网模块。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9.网络音频信号优先或混音可选。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10.输出功率：1300W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11.线路输入灵敏度（L+R）：150mV±30mV。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12.话筒输入灵敏度：13mV±5mV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13.话筒音调：低音100Hz、高音10KHz ±10dB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14.频率响应：100Hz~16KHz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15.信噪比：话筒 ≥55dB（A计权），线路：≥76dB（A计权）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16.过载源电动势：≥14dB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17.功放输出调整率：400Hz &lt; 2V，4000Hz &lt; 2.5V</w:t>
            </w:r>
          </w:p>
        </w:tc>
      </w:tr>
      <w:tr w14:paraId="74E5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5E556">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F67DA">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5590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操场防水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751E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E1C9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6D9B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6、喇叭单元：LF:6.5"×4；HF：3"×2；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7、扬声器单元通过IP56防水等级认证。</w:t>
            </w:r>
          </w:p>
        </w:tc>
      </w:tr>
      <w:tr w14:paraId="0BF7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4911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3F177">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72B7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采集器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B1D5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E9A1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1DF3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1、将音频输入接口输入的音频编码为采样率≥48K的高品质音频流，并通过IP广播系统将音频流传送到指定的IP广播终端进行播放。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2、面板带USB接口、SD卡接口，支持MP3\WAV\WMA格式的音乐播放。带5个工业金属控制按键，支持播放\暂停、上一曲\下一曲、循环、音源模式切换等功能操作。支持红外遥控功能（遥控器选配）。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3、面板带12个可定义的快捷键，可将采集的信号快速的放给指定的区域或全区。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4、面板带双液晶显示屏。5、受控电源接口≥6路。其中4路能分别与四组立体声线路输入对应；2路能在有采集任务是受控打开，外接其他扩展设备。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5、φ6.35话筒接口≥2路。每路均带48V幻像电源开关，每路的高低音调节、音量调节单独可控；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6、话筒2带默音调节功能；话筒1“想讲就讲”模式，话筒插入或开机，可快速实现全区讲话或语音广播。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7、立体声信号输入≥4组，每一路的音量单独可调；四组线路输入可单独进行音采集，也可以选择音乐播放模块的信号、话筒信号与线路输入进行混音。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8、信号输出≥2组，可连接有源监听音箱和外扩功放。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10、信噪比：≥70dB</w:t>
            </w:r>
          </w:p>
        </w:tc>
      </w:tr>
      <w:tr w14:paraId="6F06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54B58">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1E429">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79C9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B64C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35F4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8569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交换容量≥336Gbps，包转发率≥78Mpps；24个10/100/1000Mbps自适应电口，4个SFP千兆光口；支持VLAN、ACL、端口镜像、端口聚合等功能</w:t>
            </w:r>
          </w:p>
        </w:tc>
      </w:tr>
      <w:tr w14:paraId="1B31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8A3E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D676F">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DE3A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5A26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539C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D537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尺寸：≥600*600*1600(mm)  加厚铁皮机柜</w:t>
            </w:r>
          </w:p>
        </w:tc>
      </w:tr>
      <w:tr w14:paraId="1991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C1891">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0BE81">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E2F3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1F1D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6E01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753AE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尺寸：≥600*600*1200(mm)  不锈钢材料，防水、防尘、防潮</w:t>
            </w:r>
          </w:p>
        </w:tc>
      </w:tr>
      <w:tr w14:paraId="4E64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204D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23A5A">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23AA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辅材、管材附件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E1A5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7138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62A2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设备安装所需的各类线材、管材等</w:t>
            </w:r>
          </w:p>
        </w:tc>
      </w:tr>
      <w:tr w14:paraId="48B2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5ED7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8BB32">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7474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FDE2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CE1E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B05C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综合布线、音箱安装调试等</w:t>
            </w:r>
          </w:p>
        </w:tc>
      </w:tr>
    </w:tbl>
    <w:p w14:paraId="5E347F89">
      <w:pPr>
        <w:rPr>
          <w:rFonts w:hint="eastAsia"/>
          <w:lang w:eastAsia="zh-CN"/>
        </w:rPr>
      </w:pPr>
    </w:p>
    <w:p w14:paraId="1A64124B">
      <w:pPr>
        <w:rPr>
          <w:rFonts w:hint="eastAsia"/>
          <w:lang w:eastAsia="zh-CN"/>
        </w:rPr>
      </w:pPr>
    </w:p>
    <w:p w14:paraId="5E2EC410">
      <w:pPr>
        <w:rPr>
          <w:rFonts w:hint="eastAsia"/>
          <w:lang w:eastAsia="zh-CN"/>
        </w:rPr>
      </w:pPr>
    </w:p>
    <w:p w14:paraId="7016CD4C">
      <w:pPr>
        <w:rPr>
          <w:rFonts w:hint="eastAsia"/>
          <w:lang w:eastAsia="zh-CN"/>
        </w:rPr>
      </w:pPr>
    </w:p>
    <w:p w14:paraId="55227C7F">
      <w:pPr>
        <w:rPr>
          <w:rFonts w:hint="eastAsia"/>
          <w:lang w:eastAsia="zh-CN"/>
        </w:rPr>
      </w:pPr>
    </w:p>
    <w:p w14:paraId="27C8376C">
      <w:pPr>
        <w:rPr>
          <w:rFonts w:hint="eastAsia"/>
          <w:lang w:eastAsia="zh-CN"/>
        </w:rPr>
      </w:pPr>
    </w:p>
    <w:p w14:paraId="4E41B246">
      <w:pPr>
        <w:rPr>
          <w:rFonts w:hint="eastAsia"/>
          <w:lang w:eastAsia="zh-CN"/>
        </w:rPr>
      </w:pPr>
    </w:p>
    <w:p w14:paraId="78F76278">
      <w:pPr>
        <w:rPr>
          <w:rFonts w:hint="eastAsia"/>
          <w:lang w:eastAsia="zh-CN"/>
        </w:rPr>
      </w:pPr>
    </w:p>
    <w:p w14:paraId="5A75A755">
      <w:pPr>
        <w:rPr>
          <w:rFonts w:hint="eastAsia"/>
          <w:lang w:eastAsia="zh-CN"/>
        </w:rPr>
      </w:pPr>
    </w:p>
    <w:p w14:paraId="069C7ED2">
      <w:pPr>
        <w:rPr>
          <w:rFonts w:hint="eastAsia"/>
          <w:lang w:eastAsia="zh-CN"/>
        </w:rPr>
      </w:pPr>
    </w:p>
    <w:p w14:paraId="726F1666">
      <w:pPr>
        <w:rPr>
          <w:rFonts w:hint="eastAsia"/>
          <w:lang w:eastAsia="zh-CN"/>
        </w:rPr>
      </w:pPr>
    </w:p>
    <w:p w14:paraId="4874E6AD">
      <w:pPr>
        <w:rPr>
          <w:rFonts w:hint="eastAsia"/>
          <w:lang w:eastAsia="zh-CN"/>
        </w:rPr>
      </w:pPr>
    </w:p>
    <w:p w14:paraId="398F4F2C">
      <w:pPr>
        <w:rPr>
          <w:rFonts w:hint="eastAsia"/>
          <w:lang w:eastAsia="zh-CN"/>
        </w:rPr>
      </w:pPr>
    </w:p>
    <w:p w14:paraId="49672234">
      <w:pPr>
        <w:rPr>
          <w:rFonts w:hint="eastAsia"/>
          <w:lang w:eastAsia="zh-CN"/>
        </w:rPr>
      </w:pPr>
    </w:p>
    <w:p w14:paraId="19073F82">
      <w:pPr>
        <w:rPr>
          <w:rFonts w:hint="eastAsia"/>
          <w:lang w:eastAsia="zh-CN"/>
        </w:rPr>
      </w:pPr>
    </w:p>
    <w:p w14:paraId="0375274D">
      <w:pPr>
        <w:rPr>
          <w:rFonts w:hint="eastAsia"/>
          <w:lang w:eastAsia="zh-CN"/>
        </w:rPr>
      </w:pPr>
    </w:p>
    <w:p w14:paraId="49BA161A">
      <w:pPr>
        <w:rPr>
          <w:rFonts w:hint="eastAsia"/>
          <w:lang w:eastAsia="zh-CN"/>
        </w:rPr>
      </w:pPr>
    </w:p>
    <w:p w14:paraId="3228F798"/>
    <w:sectPr>
      <w:footerReference r:id="rId5" w:type="even"/>
      <w:pgSz w:w="11906" w:h="16838"/>
      <w:pgMar w:top="1440" w:right="1440" w:bottom="1440" w:left="1440" w:header="851" w:footer="992" w:gutter="0"/>
      <w:pgBorders w:display="notFirstPage" w:offsetFrom="page">
        <w:top w:val="none" w:sz="0" w:space="0"/>
        <w:left w:val="none" w:sz="0" w:space="0"/>
        <w:bottom w:val="none" w:sz="0" w:space="0"/>
        <w:right w:val="none" w:sz="0" w:space="0"/>
      </w:pgBorders>
      <w:pgNumType w:start="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天天" w:date="2025-07-10T16:08:00Z" w:initials="">
    <w:p w14:paraId="5DEC8E1B">
      <w:pPr>
        <w:pStyle w:val="4"/>
        <w:rPr>
          <w:rFonts w:hint="default" w:eastAsia="宋体"/>
          <w:lang w:val="en-US" w:eastAsia="zh-CN"/>
        </w:rPr>
      </w:pPr>
      <w:r>
        <w:rPr>
          <w:rFonts w:hint="eastAsia"/>
          <w:lang w:val="en-US" w:eastAsia="zh-CN"/>
        </w:rPr>
        <w:t>建议后加每个包的限价（如包一30万）</w:t>
      </w:r>
    </w:p>
  </w:comment>
  <w:comment w:id="1" w:author="天天" w:date="2025-07-10T16:08:00Z" w:initials="">
    <w:p w14:paraId="73FAE35A">
      <w:pPr>
        <w:pStyle w:val="4"/>
        <w:rPr>
          <w:rFonts w:hint="default" w:eastAsia="宋体"/>
          <w:lang w:val="en-US" w:eastAsia="zh-CN"/>
        </w:rPr>
      </w:pPr>
      <w:r>
        <w:rPr>
          <w:rFonts w:hint="eastAsia"/>
          <w:lang w:val="en-US" w:eastAsia="zh-CN"/>
        </w:rPr>
        <w:t>建议后加每个包的限价（如包一30万）</w:t>
      </w:r>
    </w:p>
  </w:comment>
  <w:comment w:id="2" w:author="wy" w:date="2025-06-25T10:14:00Z" w:initials="">
    <w:p w14:paraId="2BDF3EDD">
      <w:pPr>
        <w:pStyle w:val="4"/>
        <w:rPr>
          <w:rFonts w:hint="default"/>
          <w:lang w:val="en-US"/>
        </w:rPr>
      </w:pPr>
      <w:r>
        <w:rPr>
          <w:rFonts w:hint="eastAsia"/>
          <w:lang w:val="en-US" w:eastAsia="zh-CN"/>
        </w:rPr>
        <w:t>建议依据《</w:t>
      </w:r>
      <w:r>
        <w:rPr>
          <w:rFonts w:hint="eastAsia"/>
        </w:rPr>
        <w:t>中华人民共和国招标投标法（2017修正）</w:t>
      </w:r>
      <w:r>
        <w:rPr>
          <w:rFonts w:hint="eastAsia"/>
          <w:lang w:val="en-US" w:eastAsia="zh-CN"/>
        </w:rPr>
        <w:t>》</w:t>
      </w:r>
      <w:r>
        <w:rPr>
          <w:rFonts w:hint="eastAsia"/>
        </w:rPr>
        <w:t>第二十四条</w:t>
      </w:r>
      <w:r>
        <w:rPr>
          <w:rFonts w:hint="eastAsia"/>
          <w:lang w:eastAsia="zh-CN"/>
        </w:rPr>
        <w:t>：“</w:t>
      </w:r>
      <w:r>
        <w:rPr>
          <w:rFonts w:hint="eastAsia"/>
        </w:rPr>
        <w:t>招标人应当确定投标人编制投标文件所需要的合理时间；但是，依法必须进行招标的项目，自招标文件开始发出之日起至投标人提交投标文件截止之日止，最短不得少于二十日。</w:t>
      </w:r>
      <w:r>
        <w:rPr>
          <w:rFonts w:hint="eastAsia"/>
          <w:lang w:eastAsia="zh-CN"/>
        </w:rPr>
        <w:t>”</w:t>
      </w:r>
      <w:r>
        <w:rPr>
          <w:rFonts w:hint="eastAsia"/>
          <w:lang w:val="en-US" w:eastAsia="zh-CN"/>
        </w:rPr>
        <w:t>之规定，确定合理的投标时间。</w:t>
      </w:r>
    </w:p>
  </w:comment>
  <w:comment w:id="3" w:author="wy" w:date="2025-06-25T10:33:00Z" w:initials="">
    <w:p w14:paraId="7A7E17B9">
      <w:pPr>
        <w:pStyle w:val="4"/>
        <w:rPr>
          <w:rFonts w:hint="default" w:eastAsia="宋体"/>
          <w:lang w:val="en-US" w:eastAsia="zh-CN"/>
        </w:rPr>
      </w:pPr>
      <w:r>
        <w:rPr>
          <w:rFonts w:hint="eastAsia"/>
          <w:lang w:val="en-US" w:eastAsia="zh-CN"/>
        </w:rPr>
        <w:t>依据《中华人民共和国招标投标法实施条例（2019修订）》第二十二条：“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之规定，招标人收到应当自异议收到之日起3日内作出答复，建议修改。</w:t>
      </w:r>
    </w:p>
  </w:comment>
  <w:comment w:id="4" w:author="天天" w:date="2025-07-10T16:13:00Z" w:initials="">
    <w:p w14:paraId="4E9D9241">
      <w:pPr>
        <w:pStyle w:val="4"/>
        <w:rPr>
          <w:rFonts w:hint="default" w:eastAsia="宋体"/>
          <w:lang w:val="en-US" w:eastAsia="zh-CN"/>
        </w:rPr>
      </w:pPr>
      <w:r>
        <w:rPr>
          <w:rFonts w:hint="eastAsia"/>
          <w:lang w:val="en-US" w:eastAsia="zh-CN"/>
        </w:rPr>
        <w:t>根据参数内容多少扣  建议扣2分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EC8E1B" w15:done="0"/>
  <w15:commentEx w15:paraId="73FAE35A" w15:done="0"/>
  <w15:commentEx w15:paraId="2BDF3EDD" w15:done="0"/>
  <w15:commentEx w15:paraId="7A7E17B9" w15:done="0"/>
  <w15:commentEx w15:paraId="4E9D92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1D2DD">
    <w:pPr>
      <w:pStyle w:val="12"/>
      <w:framePr w:wrap="around" w:vAnchor="text" w:hAnchor="margin" w:xAlign="center" w:y="1"/>
      <w:rPr>
        <w:rStyle w:val="18"/>
      </w:rPr>
    </w:pPr>
    <w:r>
      <w:fldChar w:fldCharType="begin"/>
    </w:r>
    <w:r>
      <w:rPr>
        <w:rStyle w:val="18"/>
      </w:rPr>
      <w:instrText xml:space="preserve">PAGE  </w:instrText>
    </w:r>
    <w:r>
      <w:fldChar w:fldCharType="end"/>
    </w:r>
  </w:p>
  <w:p w14:paraId="075650F5">
    <w:pPr>
      <w:pStyle w:val="12"/>
    </w:pPr>
  </w:p>
  <w:p w14:paraId="4C786B1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center"/>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00000006"/>
    <w:multiLevelType w:val="multilevel"/>
    <w:tmpl w:val="0000000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40CF13D4"/>
    <w:multiLevelType w:val="multilevel"/>
    <w:tmpl w:val="40CF13D4"/>
    <w:lvl w:ilvl="0" w:tentative="0">
      <w:start w:val="1"/>
      <w:numFmt w:val="decimal"/>
      <w:lvlText w:val="%1."/>
      <w:lvlJc w:val="left"/>
      <w:pPr>
        <w:tabs>
          <w:tab w:val="left" w:pos="425"/>
        </w:tabs>
        <w:ind w:left="425" w:hanging="425"/>
      </w:pPr>
      <w:rPr>
        <w:rFonts w:hint="eastAsia"/>
      </w:rPr>
    </w:lvl>
    <w:lvl w:ilvl="1" w:tentative="0">
      <w:start w:val="1"/>
      <w:numFmt w:val="decimal"/>
      <w:pStyle w:val="2"/>
      <w:lvlText w:val="%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天天">
    <w15:presenceInfo w15:providerId="WPS Office" w15:userId="3434170594"/>
  </w15:person>
  <w15:person w15:author="wy">
    <w15:presenceInfo w15:providerId="None" w15:userId="w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C7D37"/>
    <w:rsid w:val="3FF73512"/>
    <w:rsid w:val="427A164D"/>
    <w:rsid w:val="69AF1A5D"/>
    <w:rsid w:val="6FBA70FD"/>
    <w:rsid w:val="77F34DFB"/>
    <w:rsid w:val="7BEF86FB"/>
    <w:rsid w:val="7EE585D0"/>
    <w:rsid w:val="7FFAD64C"/>
    <w:rsid w:val="CEDDCDF5"/>
    <w:rsid w:val="D57C7B03"/>
    <w:rsid w:val="DF7E4750"/>
    <w:rsid w:val="F56ED43E"/>
    <w:rsid w:val="FDE0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numPr>
        <w:ilvl w:val="1"/>
        <w:numId w:val="1"/>
      </w:numPr>
      <w:snapToGrid w:val="0"/>
      <w:spacing w:line="360" w:lineRule="auto"/>
      <w:outlineLvl w:val="1"/>
    </w:pPr>
    <w:rPr>
      <w:rFonts w:ascii="宋体"/>
      <w:sz w:val="28"/>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annotation text"/>
    <w:basedOn w:val="1"/>
    <w:qFormat/>
    <w:uiPriority w:val="99"/>
    <w:pPr>
      <w:jc w:val="left"/>
    </w:pPr>
  </w:style>
  <w:style w:type="paragraph" w:styleId="5">
    <w:name w:val="Body Text"/>
    <w:basedOn w:val="1"/>
    <w:next w:val="6"/>
    <w:qFormat/>
    <w:uiPriority w:val="1"/>
    <w:pPr>
      <w:spacing w:after="120"/>
    </w:p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9">
    <w:name w:val="Body Text Indent"/>
    <w:basedOn w:val="1"/>
    <w:next w:val="10"/>
    <w:qFormat/>
    <w:uiPriority w:val="0"/>
    <w:pPr>
      <w:tabs>
        <w:tab w:val="left" w:pos="2160"/>
      </w:tabs>
      <w:ind w:left="2159" w:leftChars="1028" w:firstLine="1"/>
    </w:pPr>
    <w:rPr>
      <w:rFonts w:ascii="宋体" w:hAnsi="宋体"/>
      <w:szCs w:val="21"/>
    </w:rPr>
  </w:style>
  <w:style w:type="paragraph" w:styleId="10">
    <w:name w:val="Body Text First Indent 2"/>
    <w:basedOn w:val="9"/>
    <w:next w:val="1"/>
    <w:qFormat/>
    <w:uiPriority w:val="0"/>
    <w:pPr>
      <w:ind w:firstLine="420" w:firstLineChars="200"/>
    </w:pPr>
    <w:rPr>
      <w:rFonts w:ascii="Times New Roman" w:hAnsi="Times New Roman" w:cs="Times New Roman"/>
      <w:sz w:val="20"/>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toc 1"/>
    <w:basedOn w:val="1"/>
    <w:next w:val="1"/>
    <w:qFormat/>
    <w:uiPriority w:val="39"/>
    <w:pPr>
      <w:tabs>
        <w:tab w:val="right" w:leader="dot" w:pos="8296"/>
      </w:tabs>
      <w:jc w:val="left"/>
    </w:pPr>
  </w:style>
  <w:style w:type="paragraph" w:styleId="14">
    <w:name w:val="Subtitle"/>
    <w:basedOn w:val="1"/>
    <w:next w:val="1"/>
    <w:link w:val="22"/>
    <w:qFormat/>
    <w:uiPriority w:val="0"/>
    <w:pPr>
      <w:spacing w:before="240" w:after="60" w:line="312" w:lineRule="auto"/>
      <w:jc w:val="center"/>
      <w:outlineLvl w:val="1"/>
    </w:pPr>
    <w:rPr>
      <w:rFonts w:ascii="Calibri Light" w:hAnsi="Calibri Light"/>
      <w:b/>
      <w:bCs/>
      <w:kern w:val="28"/>
      <w:sz w:val="32"/>
      <w:szCs w:val="32"/>
    </w:rPr>
  </w:style>
  <w:style w:type="paragraph" w:styleId="15">
    <w:name w:val="Title"/>
    <w:basedOn w:val="1"/>
    <w:next w:val="1"/>
    <w:link w:val="21"/>
    <w:qFormat/>
    <w:uiPriority w:val="0"/>
    <w:pPr>
      <w:spacing w:before="240" w:after="60"/>
      <w:jc w:val="center"/>
      <w:outlineLvl w:val="0"/>
    </w:pPr>
    <w:rPr>
      <w:rFonts w:ascii="Cambria" w:hAnsi="Cambria"/>
      <w:b/>
      <w:bCs/>
      <w:sz w:val="36"/>
      <w:szCs w:val="32"/>
    </w:rPr>
  </w:style>
  <w:style w:type="character" w:styleId="18">
    <w:name w:val="page number"/>
    <w:qFormat/>
    <w:uiPriority w:val="0"/>
  </w:style>
  <w:style w:type="paragraph" w:customStyle="1" w:styleId="19">
    <w:name w:val="无列表1"/>
    <w:semiHidden/>
    <w:qFormat/>
    <w:uiPriority w:val="0"/>
    <w:rPr>
      <w:rFonts w:ascii="Calibri" w:hAnsi="Calibri" w:eastAsia="宋体" w:cs="Times New Roman"/>
      <w:sz w:val="21"/>
      <w:szCs w:val="22"/>
      <w:lang w:val="en-US" w:eastAsia="zh-CN" w:bidi="ar-SA"/>
    </w:rPr>
  </w:style>
  <w:style w:type="paragraph" w:customStyle="1" w:styleId="20">
    <w:name w:val="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字符"/>
    <w:link w:val="15"/>
    <w:qFormat/>
    <w:uiPriority w:val="0"/>
    <w:rPr>
      <w:rFonts w:ascii="Cambria" w:hAnsi="Cambria"/>
      <w:b/>
      <w:bCs/>
      <w:sz w:val="36"/>
      <w:szCs w:val="32"/>
    </w:rPr>
  </w:style>
  <w:style w:type="character" w:customStyle="1" w:styleId="22">
    <w:name w:val="副标题 字符"/>
    <w:link w:val="14"/>
    <w:qFormat/>
    <w:uiPriority w:val="0"/>
    <w:rPr>
      <w:rFonts w:ascii="Calibri Light" w:hAnsi="Calibri Light"/>
      <w:b/>
      <w:bCs/>
      <w:kern w:val="28"/>
      <w:sz w:val="32"/>
      <w:szCs w:val="32"/>
    </w:rPr>
  </w:style>
  <w:style w:type="character" w:customStyle="1" w:styleId="23">
    <w:name w:val="font81"/>
    <w:basedOn w:val="17"/>
    <w:qFormat/>
    <w:uiPriority w:val="0"/>
    <w:rPr>
      <w:rFonts w:hint="eastAsia" w:ascii="宋体" w:hAnsi="宋体" w:eastAsia="宋体" w:cs="宋体"/>
      <w:color w:val="000000"/>
      <w:sz w:val="18"/>
      <w:szCs w:val="18"/>
      <w:u w:val="none"/>
    </w:rPr>
  </w:style>
  <w:style w:type="character" w:customStyle="1" w:styleId="24">
    <w:name w:val="font111"/>
    <w:basedOn w:val="17"/>
    <w:qFormat/>
    <w:uiPriority w:val="0"/>
    <w:rPr>
      <w:rFonts w:hint="default" w:ascii="Times New Roman" w:hAnsi="Times New Roman" w:cs="Times New Roman"/>
      <w:color w:val="000000"/>
      <w:sz w:val="18"/>
      <w:szCs w:val="18"/>
      <w:u w:val="none"/>
    </w:rPr>
  </w:style>
  <w:style w:type="character" w:customStyle="1" w:styleId="25">
    <w:name w:val="font13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133</Pages>
  <Words>2614</Words>
  <Characters>3026</Characters>
  <Lines>0</Lines>
  <Paragraphs>0</Paragraphs>
  <TotalTime>41</TotalTime>
  <ScaleCrop>false</ScaleCrop>
  <LinksUpToDate>false</LinksUpToDate>
  <CharactersWithSpaces>3159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2025-07-12T17:52:00Z</dcterms:created>
  <dc:creator>Administrator</dc:creator>
  <cp:lastModifiedBy>Administrator</cp:lastModifiedBy>
  <dcterms:modified xsi:type="dcterms:W3CDTF">2025-07-14T09:17:43Z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eyJoZGlkIjoiYmQ1NGYzZWFiMjExNjg0NzE0NTQzOGU3YjZiYjg4YTMiLCJ1c2VySWQiOiI0NTcxNTMxNDkifQ==</vt:lpwstr>
  </property>
  <property fmtid="{D5CDD505-2E9C-101B-9397-08002B2CF9AE}" pid="4" name="ICV">
    <vt:lpwstr>AC9C9804AFE443D0BCFB99315775EEFC_12</vt:lpwstr>
  </property>
</Properties>
</file>