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720" w:lineRule="auto"/>
        <w:ind w:firstLine="0" w:firstLineChars="0"/>
        <w:rPr>
          <w:rFonts w:ascii="宋体" w:hAnsi="宋体" w:eastAsia="宋体" w:cs="宋体"/>
          <w:b/>
          <w:sz w:val="24"/>
          <w:szCs w:val="24"/>
          <w:highlight w:val="none"/>
          <w:lang w:val="zh-CN"/>
        </w:rPr>
      </w:pPr>
    </w:p>
    <w:p>
      <w:pPr>
        <w:autoSpaceDE w:val="0"/>
        <w:autoSpaceDN w:val="0"/>
        <w:adjustRightInd w:val="0"/>
        <w:spacing w:line="720" w:lineRule="auto"/>
        <w:ind w:firstLine="0" w:firstLineChars="0"/>
        <w:rPr>
          <w:rFonts w:ascii="宋体" w:hAnsi="宋体" w:eastAsia="宋体" w:cs="宋体"/>
          <w:b/>
          <w:sz w:val="24"/>
          <w:szCs w:val="24"/>
          <w:highlight w:val="none"/>
          <w:lang w:val="zh-CN"/>
        </w:rPr>
      </w:pPr>
    </w:p>
    <w:p>
      <w:pPr>
        <w:pStyle w:val="13"/>
        <w:ind w:firstLine="420"/>
        <w:rPr>
          <w:highlight w:val="none"/>
          <w:lang w:val="zh-CN"/>
        </w:rPr>
      </w:pPr>
    </w:p>
    <w:p>
      <w:pPr>
        <w:pStyle w:val="24"/>
        <w:spacing w:before="0" w:after="0" w:line="360" w:lineRule="auto"/>
        <w:ind w:left="0" w:leftChars="0" w:firstLine="0" w:firstLineChars="0"/>
        <w:jc w:val="center"/>
        <w:rPr>
          <w:rFonts w:ascii="宋体" w:hAnsi="宋体"/>
          <w:sz w:val="96"/>
          <w:highlight w:val="none"/>
        </w:rPr>
      </w:pPr>
      <w:bookmarkStart w:id="0" w:name="_Toc449568588"/>
      <w:bookmarkStart w:id="1" w:name="_Toc9256"/>
      <w:bookmarkStart w:id="2" w:name="_Toc17340"/>
      <w:bookmarkStart w:id="3" w:name="_Toc10494"/>
      <w:bookmarkStart w:id="4" w:name="_Toc27517"/>
      <w:r>
        <w:rPr>
          <w:rFonts w:hint="eastAsia" w:ascii="宋体" w:hAnsi="宋体"/>
          <w:sz w:val="96"/>
          <w:highlight w:val="none"/>
        </w:rPr>
        <w:t>竞争性磋商文件</w:t>
      </w:r>
      <w:bookmarkEnd w:id="0"/>
      <w:bookmarkEnd w:id="1"/>
      <w:bookmarkEnd w:id="2"/>
    </w:p>
    <w:p>
      <w:pPr>
        <w:adjustRightInd w:val="0"/>
        <w:spacing w:line="360" w:lineRule="auto"/>
        <w:jc w:val="center"/>
        <w:textAlignment w:val="baseline"/>
        <w:rPr>
          <w:rFonts w:ascii="宋体" w:hAnsi="宋体"/>
          <w:sz w:val="36"/>
          <w:szCs w:val="36"/>
          <w:highlight w:val="none"/>
        </w:rPr>
      </w:pPr>
    </w:p>
    <w:p>
      <w:pPr>
        <w:adjustRightInd w:val="0"/>
        <w:spacing w:line="360" w:lineRule="auto"/>
        <w:jc w:val="center"/>
        <w:textAlignment w:val="baseline"/>
        <w:rPr>
          <w:rFonts w:ascii="宋体" w:hAnsi="宋体"/>
          <w:sz w:val="36"/>
          <w:szCs w:val="36"/>
          <w:highlight w:val="none"/>
        </w:rPr>
      </w:pPr>
    </w:p>
    <w:p>
      <w:pPr>
        <w:adjustRightInd w:val="0"/>
        <w:spacing w:line="360" w:lineRule="auto"/>
        <w:jc w:val="center"/>
        <w:textAlignment w:val="baseline"/>
        <w:rPr>
          <w:rFonts w:ascii="宋体" w:hAnsi="宋体"/>
          <w:sz w:val="36"/>
          <w:szCs w:val="36"/>
          <w:highlight w:val="none"/>
        </w:rPr>
      </w:pPr>
    </w:p>
    <w:p>
      <w:pPr>
        <w:adjustRightInd w:val="0"/>
        <w:spacing w:line="360" w:lineRule="auto"/>
        <w:jc w:val="center"/>
        <w:textAlignment w:val="baseline"/>
        <w:rPr>
          <w:rFonts w:ascii="宋体" w:hAnsi="宋体"/>
          <w:sz w:val="36"/>
          <w:szCs w:val="36"/>
          <w:highlight w:val="none"/>
        </w:rPr>
      </w:pPr>
    </w:p>
    <w:p>
      <w:pPr>
        <w:widowControl/>
        <w:adjustRightInd w:val="0"/>
        <w:snapToGrid w:val="0"/>
        <w:spacing w:line="480" w:lineRule="auto"/>
        <w:ind w:left="0" w:leftChars="0" w:firstLine="0" w:firstLineChars="0"/>
        <w:jc w:val="left"/>
        <w:textAlignment w:val="baseline"/>
        <w:rPr>
          <w:rFonts w:hint="eastAsia" w:ascii="宋体" w:hAnsi="宋体" w:cs="Arial"/>
          <w:b/>
          <w:kern w:val="0"/>
          <w:sz w:val="32"/>
          <w:szCs w:val="32"/>
          <w:highlight w:val="none"/>
          <w:lang w:eastAsia="zh-CN"/>
        </w:rPr>
      </w:pPr>
    </w:p>
    <w:p>
      <w:pPr>
        <w:widowControl/>
        <w:adjustRightInd w:val="0"/>
        <w:snapToGrid w:val="0"/>
        <w:spacing w:line="480" w:lineRule="auto"/>
        <w:ind w:left="2249" w:leftChars="0" w:hanging="2249" w:hangingChars="700"/>
        <w:jc w:val="left"/>
        <w:textAlignment w:val="baseline"/>
        <w:outlineLvl w:val="0"/>
        <w:rPr>
          <w:rFonts w:hint="eastAsia" w:ascii="宋体" w:hAnsi="宋体" w:cs="Arial"/>
          <w:b/>
          <w:kern w:val="0"/>
          <w:sz w:val="32"/>
          <w:szCs w:val="32"/>
          <w:highlight w:val="none"/>
          <w:lang w:eastAsia="zh-CN"/>
        </w:rPr>
      </w:pPr>
      <w:bookmarkStart w:id="5" w:name="_Toc14312"/>
      <w:bookmarkStart w:id="6" w:name="_Toc30404"/>
      <w:r>
        <w:rPr>
          <w:rFonts w:hint="eastAsia" w:ascii="宋体" w:hAnsi="宋体" w:cs="Arial"/>
          <w:b/>
          <w:kern w:val="0"/>
          <w:sz w:val="32"/>
          <w:szCs w:val="32"/>
          <w:highlight w:val="none"/>
          <w:lang w:eastAsia="zh-CN"/>
        </w:rPr>
        <w:t>采购项目名称：</w:t>
      </w:r>
      <w:bookmarkEnd w:id="5"/>
      <w:bookmarkEnd w:id="6"/>
      <w:bookmarkStart w:id="7" w:name="_Toc16190"/>
      <w:r>
        <w:rPr>
          <w:rFonts w:hint="eastAsia" w:ascii="宋体" w:hAnsi="宋体" w:cs="Arial"/>
          <w:b/>
          <w:kern w:val="0"/>
          <w:sz w:val="32"/>
          <w:szCs w:val="32"/>
          <w:highlight w:val="none"/>
          <w:lang w:eastAsia="zh-CN"/>
        </w:rPr>
        <w:t>德令哈市城区供水管网老化更新项目编制初步设计及可行性研究报告（第二次）</w:t>
      </w:r>
    </w:p>
    <w:p>
      <w:pPr>
        <w:widowControl/>
        <w:adjustRightInd w:val="0"/>
        <w:snapToGrid w:val="0"/>
        <w:spacing w:line="480" w:lineRule="auto"/>
        <w:ind w:left="0" w:leftChars="0" w:firstLine="0" w:firstLineChars="0"/>
        <w:jc w:val="left"/>
        <w:textAlignment w:val="baseline"/>
        <w:outlineLvl w:val="0"/>
        <w:rPr>
          <w:rFonts w:hint="default" w:ascii="宋体" w:hAnsi="宋体" w:cs="Arial"/>
          <w:b/>
          <w:kern w:val="0"/>
          <w:sz w:val="32"/>
          <w:szCs w:val="32"/>
          <w:highlight w:val="none"/>
          <w:lang w:val="en-US" w:eastAsia="zh-CN"/>
        </w:rPr>
      </w:pPr>
      <w:bookmarkStart w:id="8" w:name="_Toc1183"/>
      <w:r>
        <w:rPr>
          <w:rFonts w:hint="eastAsia" w:ascii="宋体" w:hAnsi="宋体" w:cs="Arial"/>
          <w:b/>
          <w:kern w:val="0"/>
          <w:sz w:val="32"/>
          <w:szCs w:val="32"/>
          <w:highlight w:val="none"/>
          <w:lang w:eastAsia="zh-CN"/>
        </w:rPr>
        <w:t>采购项目编号：</w:t>
      </w:r>
      <w:bookmarkEnd w:id="7"/>
      <w:bookmarkEnd w:id="8"/>
      <w:r>
        <w:rPr>
          <w:rFonts w:hint="eastAsia" w:ascii="宋体" w:hAnsi="宋体" w:cs="Arial"/>
          <w:b/>
          <w:kern w:val="0"/>
          <w:sz w:val="32"/>
          <w:szCs w:val="32"/>
          <w:highlight w:val="none"/>
          <w:lang w:eastAsia="zh-CN"/>
        </w:rPr>
        <w:t>城建招标磋商（服务）2023-083（第二次）</w:t>
      </w:r>
    </w:p>
    <w:p>
      <w:pPr>
        <w:widowControl/>
        <w:adjustRightInd w:val="0"/>
        <w:snapToGrid w:val="0"/>
        <w:spacing w:line="480" w:lineRule="auto"/>
        <w:ind w:left="0" w:leftChars="0" w:firstLine="0" w:firstLineChars="0"/>
        <w:jc w:val="left"/>
        <w:textAlignment w:val="baseline"/>
        <w:outlineLvl w:val="0"/>
        <w:rPr>
          <w:rFonts w:hint="eastAsia" w:ascii="宋体" w:hAnsi="宋体" w:cs="Arial"/>
          <w:b/>
          <w:kern w:val="0"/>
          <w:sz w:val="32"/>
          <w:szCs w:val="32"/>
          <w:highlight w:val="none"/>
          <w:lang w:eastAsia="zh-CN"/>
        </w:rPr>
      </w:pPr>
      <w:bookmarkStart w:id="9" w:name="_Toc13749"/>
      <w:bookmarkStart w:id="10" w:name="_Toc18185"/>
      <w:r>
        <w:rPr>
          <w:rFonts w:hint="eastAsia" w:ascii="宋体" w:hAnsi="宋体" w:cs="Arial"/>
          <w:b/>
          <w:kern w:val="0"/>
          <w:sz w:val="32"/>
          <w:szCs w:val="32"/>
          <w:highlight w:val="none"/>
          <w:lang w:eastAsia="zh-CN"/>
        </w:rPr>
        <w:t>采</w:t>
      </w:r>
      <w:r>
        <w:rPr>
          <w:rFonts w:hint="eastAsia" w:ascii="宋体" w:hAnsi="宋体" w:cs="Arial"/>
          <w:b/>
          <w:kern w:val="0"/>
          <w:sz w:val="32"/>
          <w:szCs w:val="32"/>
          <w:highlight w:val="none"/>
          <w:lang w:val="en-US" w:eastAsia="zh-CN"/>
        </w:rPr>
        <w:t xml:space="preserve"> </w:t>
      </w:r>
      <w:r>
        <w:rPr>
          <w:rFonts w:hint="eastAsia" w:ascii="宋体" w:hAnsi="宋体" w:cs="Arial"/>
          <w:b/>
          <w:kern w:val="0"/>
          <w:sz w:val="32"/>
          <w:szCs w:val="32"/>
          <w:highlight w:val="none"/>
          <w:lang w:eastAsia="zh-CN"/>
        </w:rPr>
        <w:t>购  单 位：</w:t>
      </w:r>
      <w:bookmarkEnd w:id="9"/>
      <w:bookmarkEnd w:id="10"/>
      <w:bookmarkStart w:id="11" w:name="_Toc20686"/>
      <w:bookmarkStart w:id="12" w:name="_Toc1226"/>
      <w:r>
        <w:rPr>
          <w:rFonts w:hint="eastAsia" w:ascii="宋体" w:hAnsi="宋体" w:cs="Arial"/>
          <w:b/>
          <w:kern w:val="0"/>
          <w:sz w:val="32"/>
          <w:szCs w:val="32"/>
          <w:highlight w:val="none"/>
          <w:lang w:eastAsia="zh-CN"/>
        </w:rPr>
        <w:t>德令哈市重点项目服务中心</w:t>
      </w:r>
    </w:p>
    <w:p>
      <w:pPr>
        <w:widowControl/>
        <w:adjustRightInd w:val="0"/>
        <w:snapToGrid w:val="0"/>
        <w:spacing w:line="480" w:lineRule="auto"/>
        <w:ind w:left="0" w:leftChars="0" w:firstLine="0" w:firstLineChars="0"/>
        <w:jc w:val="left"/>
        <w:textAlignment w:val="baseline"/>
        <w:outlineLvl w:val="0"/>
        <w:rPr>
          <w:rFonts w:hint="eastAsia" w:ascii="宋体" w:hAnsi="宋体" w:eastAsia="宋体"/>
          <w:b/>
          <w:bCs/>
          <w:sz w:val="32"/>
          <w:szCs w:val="32"/>
          <w:highlight w:val="none"/>
          <w:lang w:val="en-US" w:eastAsia="zh-CN"/>
        </w:rPr>
      </w:pPr>
      <w:r>
        <w:rPr>
          <w:rFonts w:ascii="宋体" w:hAnsi="宋体"/>
          <w:b/>
          <w:bCs/>
          <w:sz w:val="32"/>
          <w:szCs w:val="32"/>
          <w:highlight w:val="none"/>
        </w:rPr>
        <w:t>采购代理机构</w:t>
      </w:r>
      <w:r>
        <w:rPr>
          <w:rFonts w:hint="eastAsia" w:ascii="宋体" w:hAnsi="宋体"/>
          <w:b/>
          <w:bCs/>
          <w:sz w:val="32"/>
          <w:szCs w:val="32"/>
          <w:highlight w:val="none"/>
        </w:rPr>
        <w:t>：</w:t>
      </w:r>
      <w:r>
        <w:rPr>
          <w:rFonts w:hint="eastAsia" w:ascii="宋体" w:hAnsi="宋体"/>
          <w:b/>
          <w:bCs/>
          <w:sz w:val="32"/>
          <w:szCs w:val="32"/>
          <w:highlight w:val="none"/>
          <w:lang w:eastAsia="zh-CN"/>
        </w:rPr>
        <w:t>德令哈城乡建设综合开发有限公司</w:t>
      </w:r>
      <w:bookmarkEnd w:id="11"/>
      <w:bookmarkEnd w:id="12"/>
    </w:p>
    <w:p>
      <w:pPr>
        <w:widowControl/>
        <w:adjustRightInd w:val="0"/>
        <w:snapToGrid w:val="0"/>
        <w:spacing w:line="360" w:lineRule="auto"/>
        <w:ind w:left="2681" w:leftChars="194" w:hanging="2274" w:hangingChars="708"/>
        <w:jc w:val="left"/>
        <w:textAlignment w:val="baseline"/>
        <w:rPr>
          <w:rFonts w:ascii="宋体" w:hAnsi="宋体"/>
          <w:b/>
          <w:bCs/>
          <w:sz w:val="32"/>
          <w:szCs w:val="32"/>
          <w:highlight w:val="none"/>
        </w:rPr>
      </w:pPr>
    </w:p>
    <w:p>
      <w:pPr>
        <w:adjustRightInd w:val="0"/>
        <w:spacing w:line="360" w:lineRule="auto"/>
        <w:jc w:val="center"/>
        <w:textAlignment w:val="baseline"/>
        <w:rPr>
          <w:rFonts w:ascii="宋体" w:hAnsi="宋体"/>
          <w:b/>
          <w:bCs/>
          <w:sz w:val="32"/>
          <w:szCs w:val="32"/>
          <w:highlight w:val="none"/>
        </w:rPr>
      </w:pPr>
      <w:r>
        <w:rPr>
          <w:rFonts w:hint="eastAsia" w:ascii="宋体" w:hAnsi="宋体"/>
          <w:b/>
          <w:bCs/>
          <w:sz w:val="32"/>
          <w:szCs w:val="32"/>
          <w:highlight w:val="none"/>
          <w:lang w:val="en-US" w:eastAsia="zh-CN"/>
        </w:rPr>
        <w:t>2024</w:t>
      </w:r>
      <w:r>
        <w:rPr>
          <w:rFonts w:hint="eastAsia" w:ascii="宋体" w:hAnsi="宋体"/>
          <w:b/>
          <w:bCs/>
          <w:sz w:val="32"/>
          <w:szCs w:val="32"/>
          <w:highlight w:val="none"/>
        </w:rPr>
        <w:t>年</w:t>
      </w:r>
      <w:r>
        <w:rPr>
          <w:rFonts w:hint="eastAsia" w:ascii="宋体" w:hAnsi="宋体"/>
          <w:b/>
          <w:bCs/>
          <w:sz w:val="32"/>
          <w:szCs w:val="32"/>
          <w:highlight w:val="none"/>
          <w:lang w:val="en-US" w:eastAsia="zh-CN"/>
        </w:rPr>
        <w:t>01</w:t>
      </w:r>
      <w:r>
        <w:rPr>
          <w:rFonts w:hint="eastAsia" w:ascii="宋体" w:hAnsi="宋体"/>
          <w:b/>
          <w:bCs/>
          <w:sz w:val="32"/>
          <w:szCs w:val="32"/>
          <w:highlight w:val="none"/>
        </w:rPr>
        <w:t>月</w:t>
      </w:r>
    </w:p>
    <w:p>
      <w:pPr>
        <w:pStyle w:val="18"/>
        <w:spacing w:before="0" w:after="0" w:line="360" w:lineRule="auto"/>
        <w:jc w:val="left"/>
        <w:outlineLvl w:val="9"/>
        <w:rPr>
          <w:rFonts w:hint="eastAsia" w:ascii="宋体" w:hAnsi="宋体"/>
          <w:highlight w:val="none"/>
          <w:lang w:val="en-US" w:eastAsia="zh-CN"/>
        </w:rPr>
      </w:pPr>
      <w:r>
        <w:rPr>
          <w:rFonts w:ascii="宋体" w:hAnsi="宋体"/>
          <w:highlight w:val="none"/>
        </w:rPr>
        <w:br w:type="page"/>
      </w:r>
      <w:r>
        <w:rPr>
          <w:rFonts w:hint="eastAsia" w:ascii="宋体" w:hAnsi="宋体"/>
          <w:highlight w:val="none"/>
          <w:lang w:val="en-US" w:eastAsia="zh-CN"/>
        </w:rPr>
        <w:t xml:space="preserve">      </w:t>
      </w:r>
    </w:p>
    <w:sdt>
      <w:sdtPr>
        <w:rPr>
          <w:rFonts w:ascii="宋体" w:hAnsi="宋体" w:eastAsia="宋体" w:cstheme="minorBidi"/>
          <w:sz w:val="21"/>
          <w:szCs w:val="22"/>
          <w:highlight w:val="none"/>
          <w:lang w:val="en-US" w:eastAsia="zh-CN" w:bidi="ar-SA"/>
        </w:rPr>
        <w:id w:val="147472565"/>
        <w15:color w:val="DBDBDB"/>
        <w:docPartObj>
          <w:docPartGallery w:val="Table of Contents"/>
          <w:docPartUnique/>
        </w:docPartObj>
      </w:sdtPr>
      <w:sdtEndPr>
        <w:rPr>
          <w:rFonts w:ascii="宋体" w:hAnsi="宋体" w:eastAsia="宋体" w:cstheme="minorBidi"/>
          <w:sz w:val="21"/>
          <w:szCs w:val="22"/>
          <w:highlight w:val="none"/>
          <w:lang w:val="en-US" w:eastAsia="zh-CN" w:bidi="ar-SA"/>
        </w:rPr>
      </w:sdtEndPr>
      <w:sdtContent>
        <w:p>
          <w:pPr>
            <w:spacing w:before="0" w:beforeLines="0" w:after="0" w:afterLines="0" w:line="240" w:lineRule="auto"/>
            <w:ind w:left="0" w:leftChars="0" w:right="0" w:rightChars="0" w:firstLine="0" w:firstLineChars="0"/>
            <w:jc w:val="center"/>
            <w:rPr>
              <w:rFonts w:hint="eastAsia" w:ascii="宋体" w:hAnsi="宋体" w:eastAsia="宋体" w:cs="宋体"/>
              <w:sz w:val="44"/>
              <w:szCs w:val="48"/>
              <w:highlight w:val="none"/>
            </w:rPr>
          </w:pPr>
          <w:r>
            <w:rPr>
              <w:rFonts w:hint="eastAsia" w:ascii="宋体" w:hAnsi="宋体" w:eastAsia="宋体" w:cs="宋体"/>
              <w:sz w:val="44"/>
              <w:szCs w:val="48"/>
              <w:highlight w:val="none"/>
            </w:rPr>
            <w:t>目录</w:t>
          </w:r>
        </w:p>
        <w:p>
          <w:pPr>
            <w:pStyle w:val="17"/>
            <w:tabs>
              <w:tab w:val="right" w:leader="underscore" w:pos="8926"/>
            </w:tabs>
          </w:pPr>
          <w:r>
            <w:rPr>
              <w:rFonts w:hint="eastAsia" w:ascii="宋体" w:hAnsi="宋体" w:eastAsia="宋体" w:cs="宋体"/>
              <w:highlight w:val="none"/>
            </w:rPr>
            <w:fldChar w:fldCharType="begin"/>
          </w:r>
          <w:r>
            <w:rPr>
              <w:rFonts w:hint="eastAsia" w:ascii="宋体" w:hAnsi="宋体" w:eastAsia="宋体" w:cs="宋体"/>
              <w:highlight w:val="none"/>
            </w:rPr>
            <w:instrText xml:space="preserve">TOC \o "1-1" \h \u </w:instrText>
          </w:r>
          <w:r>
            <w:rPr>
              <w:rFonts w:hint="eastAsia" w:ascii="宋体" w:hAnsi="宋体" w:eastAsia="宋体" w:cs="宋体"/>
              <w:highlight w:val="none"/>
            </w:rPr>
            <w:fldChar w:fldCharType="separate"/>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_Toc9256 </w:instrText>
          </w:r>
          <w:r>
            <w:rPr>
              <w:rFonts w:hint="eastAsia" w:ascii="宋体" w:hAnsi="宋体" w:eastAsia="宋体" w:cs="宋体"/>
              <w:highlight w:val="none"/>
            </w:rPr>
            <w:fldChar w:fldCharType="separate"/>
          </w:r>
          <w:r>
            <w:rPr>
              <w:rFonts w:hint="eastAsia" w:ascii="宋体" w:hAnsi="宋体"/>
              <w:highlight w:val="none"/>
            </w:rPr>
            <w:t>竞争性磋商文件</w:t>
          </w:r>
          <w:r>
            <w:tab/>
          </w:r>
          <w:r>
            <w:fldChar w:fldCharType="begin"/>
          </w:r>
          <w:r>
            <w:instrText xml:space="preserve"> PAGEREF _Toc9256 \h </w:instrText>
          </w:r>
          <w:r>
            <w:fldChar w:fldCharType="separate"/>
          </w:r>
          <w:r>
            <w:t>1</w:t>
          </w:r>
          <w:r>
            <w:fldChar w:fldCharType="end"/>
          </w:r>
          <w:r>
            <w:rPr>
              <w:rFonts w:hint="eastAsia" w:ascii="宋体" w:hAnsi="宋体" w:eastAsia="宋体" w:cs="宋体"/>
              <w:highlight w:val="none"/>
            </w:rPr>
            <w:fldChar w:fldCharType="end"/>
          </w:r>
        </w:p>
        <w:p>
          <w:pPr>
            <w:pStyle w:val="17"/>
            <w:tabs>
              <w:tab w:val="right" w:leader="underscore" w:pos="8926"/>
            </w:tabs>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_Toc119 </w:instrText>
          </w:r>
          <w:r>
            <w:rPr>
              <w:rFonts w:hint="eastAsia" w:ascii="宋体" w:hAnsi="宋体" w:eastAsia="宋体" w:cs="宋体"/>
              <w:highlight w:val="none"/>
            </w:rPr>
            <w:fldChar w:fldCharType="separate"/>
          </w:r>
          <w:r>
            <w:rPr>
              <w:rFonts w:hint="eastAsia" w:ascii="宋体" w:hAnsi="宋体" w:eastAsia="宋体" w:cs="宋体"/>
              <w:szCs w:val="36"/>
              <w:highlight w:val="none"/>
              <w:lang w:val="zh-CN"/>
            </w:rPr>
            <w:t>第一部分</w:t>
          </w:r>
          <w:r>
            <w:rPr>
              <w:rFonts w:hint="eastAsia" w:ascii="宋体" w:hAnsi="宋体" w:eastAsia="宋体" w:cs="宋体"/>
              <w:szCs w:val="36"/>
              <w:highlight w:val="none"/>
            </w:rPr>
            <w:t xml:space="preserve">  </w:t>
          </w:r>
          <w:r>
            <w:rPr>
              <w:rFonts w:hint="eastAsia" w:ascii="宋体" w:hAnsi="宋体" w:eastAsia="宋体" w:cs="宋体"/>
              <w:szCs w:val="36"/>
              <w:highlight w:val="none"/>
              <w:lang w:val="zh-CN"/>
            </w:rPr>
            <w:t>投标邀请</w:t>
          </w:r>
          <w:r>
            <w:tab/>
          </w:r>
          <w:r>
            <w:fldChar w:fldCharType="begin"/>
          </w:r>
          <w:r>
            <w:instrText xml:space="preserve"> PAGEREF _Toc119 \h </w:instrText>
          </w:r>
          <w:r>
            <w:fldChar w:fldCharType="separate"/>
          </w:r>
          <w:r>
            <w:t>3</w:t>
          </w:r>
          <w:r>
            <w:fldChar w:fldCharType="end"/>
          </w:r>
          <w:r>
            <w:rPr>
              <w:rFonts w:hint="eastAsia" w:ascii="宋体" w:hAnsi="宋体" w:eastAsia="宋体" w:cs="宋体"/>
              <w:highlight w:val="none"/>
            </w:rPr>
            <w:fldChar w:fldCharType="end"/>
          </w:r>
        </w:p>
        <w:p>
          <w:pPr>
            <w:pStyle w:val="17"/>
            <w:tabs>
              <w:tab w:val="right" w:leader="underscore" w:pos="8926"/>
            </w:tabs>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_Toc25300 </w:instrText>
          </w:r>
          <w:r>
            <w:rPr>
              <w:rFonts w:hint="eastAsia" w:ascii="宋体" w:hAnsi="宋体" w:eastAsia="宋体" w:cs="宋体"/>
              <w:highlight w:val="none"/>
            </w:rPr>
            <w:fldChar w:fldCharType="separate"/>
          </w:r>
          <w:r>
            <w:rPr>
              <w:rFonts w:hint="eastAsia" w:ascii="宋体" w:hAnsi="宋体" w:eastAsia="宋体" w:cs="宋体"/>
              <w:highlight w:val="none"/>
              <w:lang w:val="zh-CN"/>
            </w:rPr>
            <w:t>第二部分</w:t>
          </w:r>
          <w:r>
            <w:rPr>
              <w:rFonts w:hint="eastAsia" w:ascii="宋体" w:hAnsi="宋体" w:eastAsia="宋体" w:cs="宋体"/>
              <w:highlight w:val="none"/>
            </w:rPr>
            <w:t xml:space="preserve">  </w:t>
          </w:r>
          <w:r>
            <w:rPr>
              <w:rFonts w:hint="eastAsia" w:ascii="宋体" w:hAnsi="宋体" w:eastAsia="宋体" w:cs="宋体"/>
              <w:highlight w:val="none"/>
              <w:lang w:val="zh-CN"/>
            </w:rPr>
            <w:t>供应商须知前附表</w:t>
          </w:r>
          <w:r>
            <w:tab/>
          </w:r>
          <w:r>
            <w:fldChar w:fldCharType="begin"/>
          </w:r>
          <w:r>
            <w:instrText xml:space="preserve"> PAGEREF _Toc25300 \h </w:instrText>
          </w:r>
          <w:r>
            <w:fldChar w:fldCharType="separate"/>
          </w:r>
          <w:r>
            <w:t>6</w:t>
          </w:r>
          <w:r>
            <w:fldChar w:fldCharType="end"/>
          </w:r>
          <w:r>
            <w:rPr>
              <w:rFonts w:hint="eastAsia" w:ascii="宋体" w:hAnsi="宋体" w:eastAsia="宋体" w:cs="宋体"/>
              <w:highlight w:val="none"/>
            </w:rPr>
            <w:fldChar w:fldCharType="end"/>
          </w:r>
        </w:p>
        <w:p>
          <w:pPr>
            <w:pStyle w:val="17"/>
            <w:tabs>
              <w:tab w:val="right" w:leader="underscore" w:pos="8926"/>
            </w:tabs>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_Toc7942 </w:instrText>
          </w:r>
          <w:r>
            <w:rPr>
              <w:rFonts w:hint="eastAsia" w:ascii="宋体" w:hAnsi="宋体" w:eastAsia="宋体" w:cs="宋体"/>
              <w:highlight w:val="none"/>
            </w:rPr>
            <w:fldChar w:fldCharType="separate"/>
          </w:r>
          <w:r>
            <w:rPr>
              <w:rFonts w:hint="eastAsia" w:ascii="宋体" w:hAnsi="宋体"/>
              <w:highlight w:val="none"/>
            </w:rPr>
            <w:t xml:space="preserve">第四部分 </w:t>
          </w:r>
          <w:r>
            <w:rPr>
              <w:rFonts w:ascii="宋体" w:hAnsi="宋体"/>
              <w:highlight w:val="none"/>
            </w:rPr>
            <w:t xml:space="preserve"> </w:t>
          </w:r>
          <w:r>
            <w:rPr>
              <w:rFonts w:hint="eastAsia" w:ascii="宋体" w:hAnsi="宋体"/>
              <w:highlight w:val="none"/>
            </w:rPr>
            <w:t>青海省政府采购合同文本</w:t>
          </w:r>
          <w:r>
            <w:rPr>
              <w:rFonts w:hint="eastAsia" w:ascii="宋体" w:hAnsi="宋体"/>
              <w:highlight w:val="none"/>
              <w:lang w:eastAsia="zh-CN"/>
            </w:rPr>
            <w:t>范本</w:t>
          </w:r>
          <w:r>
            <w:tab/>
          </w:r>
          <w:r>
            <w:fldChar w:fldCharType="begin"/>
          </w:r>
          <w:r>
            <w:instrText xml:space="preserve"> PAGEREF _Toc7942 \h </w:instrText>
          </w:r>
          <w:r>
            <w:fldChar w:fldCharType="separate"/>
          </w:r>
          <w:r>
            <w:t>26</w:t>
          </w:r>
          <w:r>
            <w:fldChar w:fldCharType="end"/>
          </w:r>
          <w:r>
            <w:rPr>
              <w:rFonts w:hint="eastAsia" w:ascii="宋体" w:hAnsi="宋体" w:eastAsia="宋体" w:cs="宋体"/>
              <w:highlight w:val="none"/>
            </w:rPr>
            <w:fldChar w:fldCharType="end"/>
          </w:r>
        </w:p>
        <w:p>
          <w:pPr>
            <w:pStyle w:val="17"/>
            <w:tabs>
              <w:tab w:val="right" w:leader="underscore" w:pos="8926"/>
            </w:tabs>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_Toc22082 </w:instrText>
          </w:r>
          <w:r>
            <w:rPr>
              <w:rFonts w:hint="eastAsia" w:ascii="宋体" w:hAnsi="宋体" w:eastAsia="宋体" w:cs="宋体"/>
              <w:highlight w:val="none"/>
            </w:rPr>
            <w:fldChar w:fldCharType="separate"/>
          </w:r>
          <w:r>
            <w:rPr>
              <w:rFonts w:hint="eastAsia" w:ascii="宋体" w:hAnsi="宋体"/>
              <w:highlight w:val="none"/>
            </w:rPr>
            <w:t>第五部分</w:t>
          </w:r>
          <w:r>
            <w:rPr>
              <w:rFonts w:ascii="宋体" w:hAnsi="宋体"/>
              <w:highlight w:val="none"/>
            </w:rPr>
            <w:t xml:space="preserve">  </w:t>
          </w:r>
          <w:r>
            <w:rPr>
              <w:rFonts w:hint="eastAsia" w:ascii="宋体" w:hAnsi="宋体"/>
              <w:highlight w:val="none"/>
            </w:rPr>
            <w:t>磋商响应文件格式</w:t>
          </w:r>
          <w:r>
            <w:tab/>
          </w:r>
          <w:r>
            <w:fldChar w:fldCharType="begin"/>
          </w:r>
          <w:r>
            <w:instrText xml:space="preserve"> PAGEREF _Toc22082 \h </w:instrText>
          </w:r>
          <w:r>
            <w:fldChar w:fldCharType="separate"/>
          </w:r>
          <w:r>
            <w:t>40</w:t>
          </w:r>
          <w:r>
            <w:fldChar w:fldCharType="end"/>
          </w:r>
          <w:r>
            <w:rPr>
              <w:rFonts w:hint="eastAsia" w:ascii="宋体" w:hAnsi="宋体" w:eastAsia="宋体" w:cs="宋体"/>
              <w:highlight w:val="none"/>
            </w:rPr>
            <w:fldChar w:fldCharType="end"/>
          </w:r>
        </w:p>
        <w:p>
          <w:pPr>
            <w:pStyle w:val="17"/>
            <w:tabs>
              <w:tab w:val="right" w:leader="underscore" w:pos="8926"/>
            </w:tabs>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_Toc15235 </w:instrText>
          </w:r>
          <w:r>
            <w:rPr>
              <w:rFonts w:hint="eastAsia" w:ascii="宋体" w:hAnsi="宋体" w:eastAsia="宋体" w:cs="宋体"/>
              <w:highlight w:val="none"/>
            </w:rPr>
            <w:fldChar w:fldCharType="separate"/>
          </w:r>
          <w:r>
            <w:rPr>
              <w:rFonts w:hint="eastAsia" w:ascii="宋体" w:hAnsi="宋体"/>
              <w:highlight w:val="none"/>
            </w:rPr>
            <w:t>第</w:t>
          </w:r>
          <w:r>
            <w:rPr>
              <w:rFonts w:hint="eastAsia" w:ascii="宋体" w:hAnsi="宋体"/>
              <w:highlight w:val="none"/>
              <w:lang w:eastAsia="zh-CN"/>
            </w:rPr>
            <w:t>六</w:t>
          </w:r>
          <w:r>
            <w:rPr>
              <w:rFonts w:hint="eastAsia" w:ascii="宋体" w:hAnsi="宋体"/>
              <w:highlight w:val="none"/>
            </w:rPr>
            <w:t>部分  磋商及采购项目要求</w:t>
          </w:r>
          <w:r>
            <w:tab/>
          </w:r>
          <w:r>
            <w:fldChar w:fldCharType="begin"/>
          </w:r>
          <w:r>
            <w:instrText xml:space="preserve"> PAGEREF _Toc15235 \h </w:instrText>
          </w:r>
          <w:r>
            <w:fldChar w:fldCharType="separate"/>
          </w:r>
          <w:r>
            <w:t>63</w:t>
          </w:r>
          <w:r>
            <w:fldChar w:fldCharType="end"/>
          </w:r>
          <w:r>
            <w:rPr>
              <w:rFonts w:hint="eastAsia" w:ascii="宋体" w:hAnsi="宋体" w:eastAsia="宋体" w:cs="宋体"/>
              <w:highlight w:val="none"/>
            </w:rPr>
            <w:fldChar w:fldCharType="end"/>
          </w:r>
        </w:p>
        <w:p>
          <w:pPr>
            <w:rPr>
              <w:highlight w:val="none"/>
            </w:rPr>
          </w:pPr>
          <w:r>
            <w:rPr>
              <w:rFonts w:hint="eastAsia" w:ascii="宋体" w:hAnsi="宋体" w:eastAsia="宋体" w:cs="宋体"/>
              <w:highlight w:val="none"/>
            </w:rPr>
            <w:fldChar w:fldCharType="end"/>
          </w:r>
        </w:p>
      </w:sdtContent>
    </w:sdt>
    <w:p>
      <w:pPr>
        <w:rPr>
          <w:rFonts w:hint="eastAsia" w:ascii="宋体" w:hAnsi="宋体" w:eastAsia="宋体" w:cs="宋体"/>
          <w:szCs w:val="36"/>
          <w:highlight w:val="none"/>
          <w:lang w:val="zh-CN"/>
        </w:rPr>
      </w:pPr>
      <w:r>
        <w:rPr>
          <w:rFonts w:hint="eastAsia" w:ascii="宋体" w:hAnsi="宋体" w:eastAsia="宋体" w:cs="宋体"/>
          <w:szCs w:val="36"/>
          <w:highlight w:val="none"/>
          <w:lang w:val="zh-CN"/>
        </w:rPr>
        <w:br w:type="page"/>
      </w:r>
    </w:p>
    <w:p>
      <w:pPr>
        <w:pStyle w:val="24"/>
        <w:spacing w:before="0" w:after="0" w:line="360" w:lineRule="auto"/>
        <w:ind w:firstLine="0" w:firstLineChars="0"/>
        <w:rPr>
          <w:rFonts w:ascii="宋体" w:hAnsi="宋体" w:eastAsia="宋体" w:cs="宋体"/>
          <w:szCs w:val="36"/>
          <w:highlight w:val="none"/>
        </w:rPr>
      </w:pPr>
      <w:bookmarkStart w:id="13" w:name="_Toc119"/>
      <w:r>
        <w:rPr>
          <w:rFonts w:hint="eastAsia" w:ascii="宋体" w:hAnsi="宋体" w:eastAsia="宋体" w:cs="宋体"/>
          <w:szCs w:val="36"/>
          <w:highlight w:val="none"/>
          <w:lang w:val="zh-CN"/>
        </w:rPr>
        <w:t>第一部分</w:t>
      </w:r>
      <w:r>
        <w:rPr>
          <w:rFonts w:hint="eastAsia" w:ascii="宋体" w:hAnsi="宋体" w:eastAsia="宋体" w:cs="宋体"/>
          <w:szCs w:val="36"/>
          <w:highlight w:val="none"/>
        </w:rPr>
        <w:t xml:space="preserve">  </w:t>
      </w:r>
      <w:r>
        <w:rPr>
          <w:rFonts w:hint="eastAsia" w:ascii="宋体" w:hAnsi="宋体" w:eastAsia="宋体" w:cs="宋体"/>
          <w:szCs w:val="36"/>
          <w:highlight w:val="none"/>
          <w:lang w:val="zh-CN"/>
        </w:rPr>
        <w:t>投标邀请</w:t>
      </w:r>
      <w:bookmarkEnd w:id="3"/>
      <w:bookmarkEnd w:id="4"/>
      <w:bookmarkEnd w:id="13"/>
    </w:p>
    <w:p>
      <w:pPr>
        <w:pStyle w:val="11"/>
        <w:spacing w:after="0" w:line="360" w:lineRule="auto"/>
        <w:ind w:left="0" w:leftChars="0" w:firstLine="480"/>
        <w:rPr>
          <w:rFonts w:ascii="宋体" w:hAnsi="宋体" w:eastAsia="宋体" w:cs="宋体"/>
          <w:sz w:val="24"/>
          <w:szCs w:val="24"/>
          <w:highlight w:val="none"/>
          <w:lang w:val="zh-CN"/>
        </w:rPr>
      </w:pPr>
      <w:r>
        <w:rPr>
          <w:rFonts w:hint="eastAsia" w:ascii="宋体" w:hAnsi="宋体" w:eastAsia="宋体" w:cs="宋体"/>
          <w:sz w:val="24"/>
          <w:szCs w:val="24"/>
          <w:highlight w:val="none"/>
          <w:lang w:val="zh-CN"/>
        </w:rPr>
        <w:t>德令哈城乡建设综合开发有限公司（以下均简称“采购代理机构”）受德令哈市重点项目服务中心（以下均简称“采购人”）委托</w:t>
      </w:r>
      <w:r>
        <w:rPr>
          <w:rFonts w:hint="eastAsia" w:ascii="宋体" w:hAnsi="宋体" w:eastAsia="宋体" w:cs="宋体"/>
          <w:sz w:val="24"/>
          <w:szCs w:val="24"/>
          <w:highlight w:val="none"/>
        </w:rPr>
        <w:t>，拟对“</w:t>
      </w:r>
      <w:r>
        <w:rPr>
          <w:rFonts w:hint="eastAsia" w:ascii="宋体" w:hAnsi="宋体" w:eastAsia="宋体" w:cs="宋体"/>
          <w:sz w:val="24"/>
          <w:szCs w:val="24"/>
          <w:highlight w:val="none"/>
          <w:lang w:val="zh-CN"/>
        </w:rPr>
        <w:t>德令哈市城区供水管网老化更新项目编制初步设计及可行性研究报告（第二次）</w:t>
      </w:r>
      <w:r>
        <w:rPr>
          <w:rFonts w:hint="eastAsia" w:ascii="宋体" w:hAnsi="宋体" w:eastAsia="宋体" w:cs="宋体"/>
          <w:sz w:val="24"/>
          <w:szCs w:val="24"/>
          <w:highlight w:val="none"/>
        </w:rPr>
        <w:t>”进行国内</w:t>
      </w:r>
      <w:r>
        <w:rPr>
          <w:rFonts w:hint="eastAsia" w:ascii="宋体" w:hAnsi="宋体" w:eastAsia="宋体" w:cs="宋体"/>
          <w:sz w:val="24"/>
          <w:szCs w:val="24"/>
          <w:highlight w:val="none"/>
          <w:lang w:val="zh-CN"/>
        </w:rPr>
        <w:t>竞争性磋商采购</w:t>
      </w:r>
      <w:r>
        <w:rPr>
          <w:rFonts w:hint="eastAsia" w:ascii="宋体" w:hAnsi="宋体" w:eastAsia="宋体" w:cs="宋体"/>
          <w:sz w:val="24"/>
          <w:szCs w:val="24"/>
          <w:highlight w:val="none"/>
        </w:rPr>
        <w:t>，现予以公告，欢迎符合条件的供应商前来参加投标</w:t>
      </w:r>
      <w:r>
        <w:rPr>
          <w:rFonts w:hint="eastAsia" w:ascii="宋体" w:hAnsi="宋体" w:eastAsia="宋体" w:cs="宋体"/>
          <w:sz w:val="24"/>
          <w:szCs w:val="24"/>
          <w:highlight w:val="none"/>
          <w:lang w:val="zh-CN"/>
        </w:rPr>
        <w:t>。</w:t>
      </w:r>
    </w:p>
    <w:tbl>
      <w:tblPr>
        <w:tblStyle w:val="27"/>
        <w:tblW w:w="891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106"/>
        <w:gridCol w:w="68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采购项目编号</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城建招标磋商（服务）2023-083（第二次）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采购项目名称</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lang w:val="zh-CN"/>
              </w:rPr>
              <w:t>德令哈市城区供水管网老化更新项目编制初步设计及可行性研究报告（第二次）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采购方式</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lang w:val="zh-CN"/>
              </w:rPr>
              <w:t>竞争性磋商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采购预算控制额度</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lang w:val="en-US" w:eastAsia="zh-CN"/>
              </w:rPr>
              <w:t>900000.00元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最高限价</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lang w:val="en-US" w:eastAsia="zh-CN"/>
              </w:rPr>
              <w:t>900000.00元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项目分包个数</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各包要求</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hint="default" w:ascii="宋体" w:hAnsi="宋体" w:eastAsia="宋体" w:cs="宋体"/>
                <w:sz w:val="24"/>
                <w:szCs w:val="24"/>
                <w:highlight w:val="none"/>
                <w:lang w:val="en-US" w:eastAsia="zh-CN"/>
              </w:rPr>
            </w:pPr>
            <w:r>
              <w:rPr>
                <w:rFonts w:hint="eastAsia" w:ascii="宋体" w:hAnsi="宋体" w:eastAsia="宋体" w:cs="宋体"/>
                <w:b w:val="0"/>
                <w:bCs w:val="0"/>
                <w:sz w:val="24"/>
                <w:szCs w:val="24"/>
                <w:highlight w:val="none"/>
                <w:lang w:val="zh-CN"/>
              </w:rPr>
              <w:t>具体内容详见《磋商文件》。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供应商资格条件</w:t>
            </w:r>
          </w:p>
        </w:tc>
        <w:tc>
          <w:tcPr>
            <w:tcW w:w="6805" w:type="dxa"/>
            <w:tcBorders>
              <w:top w:val="single" w:color="000000" w:sz="4" w:space="0"/>
              <w:left w:val="single" w:color="000000" w:sz="4" w:space="0"/>
              <w:bottom w:val="single" w:color="000000" w:sz="4" w:space="0"/>
              <w:right w:val="single" w:color="000000" w:sz="4" w:space="0"/>
            </w:tcBorders>
            <w:vAlign w:val="center"/>
          </w:tcPr>
          <w:p>
            <w:pPr>
              <w:pStyle w:val="56"/>
              <w:spacing w:line="360" w:lineRule="auto"/>
              <w:rPr>
                <w:rFonts w:hint="eastAsia" w:ascii="宋体" w:hAnsi="宋体" w:eastAsia="宋体" w:cs="宋体"/>
                <w:kern w:val="0"/>
                <w:sz w:val="24"/>
                <w:szCs w:val="24"/>
                <w:highlight w:val="none"/>
                <w:lang w:val="zh-CN" w:eastAsia="zh-CN" w:bidi="ar-SA"/>
              </w:rPr>
            </w:pPr>
            <w:r>
              <w:rPr>
                <w:rFonts w:hint="eastAsia" w:ascii="宋体" w:hAnsi="宋体" w:eastAsia="宋体" w:cs="宋体"/>
                <w:kern w:val="0"/>
                <w:sz w:val="24"/>
                <w:szCs w:val="24"/>
                <w:highlight w:val="none"/>
                <w:lang w:val="zh-CN" w:eastAsia="zh-CN" w:bidi="ar-SA"/>
              </w:rPr>
              <w:t>1.符合《政府采购法》第22条条件，并提供下列材料：</w:t>
            </w:r>
          </w:p>
          <w:p>
            <w:pPr>
              <w:pStyle w:val="56"/>
              <w:spacing w:line="360" w:lineRule="auto"/>
              <w:rPr>
                <w:rFonts w:hint="eastAsia" w:ascii="宋体" w:hAnsi="宋体" w:eastAsia="宋体" w:cs="宋体"/>
                <w:kern w:val="0"/>
                <w:sz w:val="24"/>
                <w:szCs w:val="24"/>
                <w:highlight w:val="none"/>
                <w:lang w:val="zh-CN" w:eastAsia="zh-CN" w:bidi="ar-SA"/>
              </w:rPr>
            </w:pPr>
            <w:r>
              <w:rPr>
                <w:rFonts w:hint="eastAsia" w:ascii="宋体" w:hAnsi="宋体" w:eastAsia="宋体" w:cs="宋体"/>
                <w:kern w:val="0"/>
                <w:sz w:val="24"/>
                <w:szCs w:val="24"/>
                <w:highlight w:val="none"/>
                <w:lang w:val="zh-CN" w:eastAsia="zh-CN" w:bidi="ar-SA"/>
              </w:rPr>
              <w:t>&lt;1&gt;磋商人的营业执照等证明文件，自然人的身份证明。</w:t>
            </w:r>
          </w:p>
          <w:p>
            <w:pPr>
              <w:pStyle w:val="56"/>
              <w:spacing w:line="360" w:lineRule="auto"/>
              <w:rPr>
                <w:rFonts w:hint="eastAsia" w:ascii="宋体" w:hAnsi="宋体" w:eastAsia="宋体" w:cs="宋体"/>
                <w:kern w:val="0"/>
                <w:sz w:val="24"/>
                <w:szCs w:val="24"/>
                <w:highlight w:val="none"/>
                <w:lang w:val="zh-CN" w:eastAsia="zh-CN" w:bidi="ar-SA"/>
              </w:rPr>
            </w:pPr>
            <w:r>
              <w:rPr>
                <w:rFonts w:hint="eastAsia" w:ascii="宋体" w:hAnsi="宋体" w:eastAsia="宋体" w:cs="宋体"/>
                <w:kern w:val="0"/>
                <w:sz w:val="24"/>
                <w:szCs w:val="24"/>
                <w:highlight w:val="none"/>
                <w:lang w:val="zh-CN" w:eastAsia="zh-CN" w:bidi="ar-SA"/>
              </w:rPr>
              <w:t>&lt;2&gt;财务状况报告，依法缴纳税收和社会保障资金的相关材料</w:t>
            </w:r>
            <w:r>
              <w:rPr>
                <w:rFonts w:hint="eastAsia" w:ascii="宋体" w:hAnsi="宋体" w:cs="宋体"/>
                <w:kern w:val="0"/>
                <w:sz w:val="24"/>
                <w:szCs w:val="24"/>
                <w:highlight w:val="none"/>
                <w:lang w:val="zh-CN" w:eastAsia="zh-CN" w:bidi="ar-SA"/>
              </w:rPr>
              <w:t>。</w:t>
            </w:r>
          </w:p>
          <w:p>
            <w:pPr>
              <w:pStyle w:val="56"/>
              <w:spacing w:line="360" w:lineRule="auto"/>
              <w:rPr>
                <w:rFonts w:hint="eastAsia" w:ascii="宋体" w:hAnsi="宋体"/>
                <w:sz w:val="24"/>
                <w:highlight w:val="none"/>
                <w:lang w:val="zh-CN"/>
              </w:rPr>
            </w:pPr>
            <w:r>
              <w:rPr>
                <w:rFonts w:hint="eastAsia" w:ascii="宋体" w:hAnsi="宋体"/>
                <w:sz w:val="24"/>
                <w:highlight w:val="none"/>
                <w:lang w:val="zh-CN"/>
              </w:rPr>
              <w:t>&lt;3&gt;具备履行合同所必需的设备和专业技术能力的证明材料。</w:t>
            </w:r>
          </w:p>
          <w:p>
            <w:pPr>
              <w:pStyle w:val="56"/>
              <w:spacing w:line="360" w:lineRule="auto"/>
              <w:rPr>
                <w:rFonts w:hint="eastAsia" w:ascii="宋体" w:hAnsi="宋体"/>
                <w:sz w:val="24"/>
                <w:highlight w:val="none"/>
                <w:lang w:val="zh-CN"/>
              </w:rPr>
            </w:pPr>
            <w:r>
              <w:rPr>
                <w:rFonts w:hint="eastAsia" w:ascii="宋体" w:hAnsi="宋体"/>
                <w:sz w:val="24"/>
                <w:highlight w:val="none"/>
                <w:lang w:val="zh-CN"/>
              </w:rPr>
              <w:t>&lt;4&gt;参加政府采购活动前3年内在经营活动中没有重大违法记录的书面声明。</w:t>
            </w:r>
          </w:p>
          <w:p>
            <w:pPr>
              <w:pStyle w:val="56"/>
              <w:spacing w:line="360" w:lineRule="auto"/>
              <w:rPr>
                <w:rFonts w:hint="eastAsia" w:ascii="宋体" w:hAnsi="宋体"/>
                <w:sz w:val="24"/>
                <w:highlight w:val="none"/>
                <w:lang w:val="zh-CN"/>
              </w:rPr>
            </w:pPr>
            <w:r>
              <w:rPr>
                <w:rFonts w:hint="eastAsia" w:ascii="宋体" w:hAnsi="宋体"/>
                <w:sz w:val="24"/>
                <w:highlight w:val="none"/>
                <w:lang w:val="zh-CN"/>
              </w:rPr>
              <w:t>&lt;5&gt;具备法律、行政法规规定的其他条件的证明材料。</w:t>
            </w:r>
          </w:p>
          <w:p>
            <w:pPr>
              <w:pStyle w:val="56"/>
              <w:numPr>
                <w:ilvl w:val="0"/>
                <w:numId w:val="0"/>
              </w:numPr>
              <w:spacing w:line="360" w:lineRule="auto"/>
              <w:rPr>
                <w:rFonts w:hint="eastAsia" w:ascii="宋体" w:hAnsi="宋体"/>
                <w:b/>
                <w:bCs/>
                <w:color w:val="000000"/>
                <w:sz w:val="24"/>
                <w:highlight w:val="none"/>
                <w:lang w:val="zh-CN"/>
              </w:rPr>
            </w:pPr>
            <w:r>
              <w:rPr>
                <w:rFonts w:hint="eastAsia" w:ascii="宋体" w:hAnsi="宋体"/>
                <w:sz w:val="24"/>
                <w:highlight w:val="none"/>
                <w:lang w:val="en-US" w:eastAsia="zh-CN"/>
              </w:rPr>
              <w:t>3.</w:t>
            </w:r>
            <w:r>
              <w:rPr>
                <w:rFonts w:hint="eastAsia" w:ascii="宋体" w:hAnsi="宋体"/>
                <w:sz w:val="24"/>
                <w:highlight w:val="none"/>
                <w:lang w:val="zh-CN" w:eastAsia="zh-CN"/>
              </w:rPr>
              <w:t xml:space="preserve">本次招标要求投标人须具备 ：市政行业（给水工程）设计乙级（含）以上资质,拟派项目负责人需具备相关专业高级以上职称或注册工程师，并在人员、设备、 资金等方面具有相应的服务能力； </w:t>
            </w:r>
          </w:p>
          <w:p>
            <w:pPr>
              <w:pStyle w:val="56"/>
              <w:spacing w:line="360" w:lineRule="auto"/>
              <w:rPr>
                <w:rFonts w:hint="eastAsia" w:ascii="宋体" w:hAnsi="宋体"/>
                <w:sz w:val="24"/>
                <w:highlight w:val="none"/>
                <w:lang w:val="zh-CN"/>
              </w:rPr>
            </w:pPr>
            <w:r>
              <w:rPr>
                <w:rFonts w:hint="eastAsia" w:ascii="宋体" w:hAnsi="宋体"/>
                <w:sz w:val="24"/>
                <w:highlight w:val="none"/>
                <w:lang w:val="en-US" w:eastAsia="zh-CN"/>
              </w:rPr>
              <w:t>4.</w:t>
            </w:r>
            <w:r>
              <w:rPr>
                <w:rFonts w:hint="eastAsia" w:ascii="宋体" w:hAnsi="宋体"/>
                <w:sz w:val="24"/>
                <w:highlight w:val="none"/>
                <w:lang w:val="zh-CN"/>
              </w:rPr>
              <w:t>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w:t>
            </w:r>
            <w:r>
              <w:rPr>
                <w:rFonts w:hint="eastAsia" w:ascii="宋体" w:hAnsi="宋体" w:eastAsia="宋体"/>
                <w:sz w:val="24"/>
                <w:highlight w:val="none"/>
                <w:lang w:val="en-US" w:eastAsia="zh-CN"/>
              </w:rPr>
              <w:t>10</w:t>
            </w:r>
            <w:r>
              <w:rPr>
                <w:rFonts w:hint="eastAsia" w:ascii="宋体" w:hAnsi="宋体"/>
                <w:sz w:val="24"/>
                <w:highlight w:val="none"/>
                <w:lang w:val="zh-CN"/>
              </w:rPr>
              <w:t>天内)。</w:t>
            </w:r>
          </w:p>
          <w:p>
            <w:pPr>
              <w:pStyle w:val="44"/>
              <w:spacing w:line="360" w:lineRule="auto"/>
              <w:ind w:firstLine="0" w:firstLineChars="0"/>
              <w:jc w:val="left"/>
              <w:rPr>
                <w:rFonts w:hint="eastAsia" w:ascii="宋体" w:hAnsi="宋体"/>
                <w:b w:val="0"/>
                <w:bCs w:val="0"/>
                <w:kern w:val="2"/>
                <w:sz w:val="24"/>
                <w:szCs w:val="24"/>
                <w:highlight w:val="none"/>
                <w:lang w:val="zh-CN" w:eastAsia="zh-CN" w:bidi="ar-SA"/>
              </w:rPr>
            </w:pPr>
            <w:r>
              <w:rPr>
                <w:rFonts w:hint="eastAsia" w:ascii="宋体" w:hAnsi="宋体"/>
                <w:b w:val="0"/>
                <w:bCs w:val="0"/>
                <w:kern w:val="2"/>
                <w:sz w:val="24"/>
                <w:szCs w:val="24"/>
                <w:highlight w:val="none"/>
                <w:lang w:val="en-US" w:eastAsia="zh-CN" w:bidi="ar-SA"/>
              </w:rPr>
              <w:t>5</w:t>
            </w:r>
            <w:r>
              <w:rPr>
                <w:rFonts w:hint="eastAsia" w:ascii="宋体" w:hAnsi="宋体"/>
                <w:b w:val="0"/>
                <w:bCs w:val="0"/>
                <w:kern w:val="2"/>
                <w:sz w:val="24"/>
                <w:szCs w:val="24"/>
                <w:highlight w:val="none"/>
                <w:lang w:val="zh-CN" w:eastAsia="zh-CN" w:bidi="ar-SA"/>
              </w:rPr>
              <w:t>.本项目不接受磋商人以联合体方式进行投标。</w:t>
            </w:r>
          </w:p>
          <w:p>
            <w:pPr>
              <w:pStyle w:val="44"/>
              <w:spacing w:line="360" w:lineRule="auto"/>
              <w:ind w:firstLine="0" w:firstLineChars="0"/>
              <w:jc w:val="left"/>
              <w:rPr>
                <w:rFonts w:hint="default" w:ascii="宋体" w:hAnsi="宋体"/>
                <w:b w:val="0"/>
                <w:bCs w:val="0"/>
                <w:kern w:val="2"/>
                <w:sz w:val="24"/>
                <w:szCs w:val="24"/>
                <w:highlight w:val="none"/>
                <w:lang w:val="en-US" w:eastAsia="zh-CN" w:bidi="ar-SA"/>
              </w:rPr>
            </w:pPr>
            <w:r>
              <w:rPr>
                <w:rFonts w:hint="eastAsia" w:ascii="宋体" w:hAnsi="宋体"/>
                <w:b w:val="0"/>
                <w:bCs w:val="0"/>
                <w:kern w:val="2"/>
                <w:sz w:val="24"/>
                <w:szCs w:val="24"/>
                <w:highlight w:val="none"/>
                <w:lang w:val="en-US" w:eastAsia="zh-CN" w:bidi="ar-SA"/>
              </w:rPr>
              <w:t>6.进青企业需具备有效的《进青备案登记》。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公告发布时间</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color w:val="auto"/>
                <w:sz w:val="24"/>
                <w:szCs w:val="24"/>
                <w:highlight w:val="none"/>
                <w:lang w:val="zh-CN"/>
              </w:rPr>
              <w:t>2024年01月05日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获取磋商文件时间</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rPr>
                <w:rFonts w:ascii="宋体" w:hAnsi="宋体"/>
                <w:highlight w:val="none"/>
              </w:rPr>
            </w:pPr>
            <w:r>
              <w:rPr>
                <w:rFonts w:hint="eastAsia" w:ascii="宋体" w:hAnsi="宋体" w:eastAsia="宋体" w:cs="宋体"/>
                <w:sz w:val="24"/>
                <w:szCs w:val="24"/>
                <w:highlight w:val="none"/>
                <w:lang w:eastAsia="zh-CN"/>
              </w:rPr>
              <w:t>2024年01月08日至2024年01月12日（每日00时00分至24时00分）。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获取磋商文件方式</w:t>
            </w:r>
          </w:p>
        </w:tc>
        <w:tc>
          <w:tcPr>
            <w:tcW w:w="6805" w:type="dxa"/>
            <w:tcBorders>
              <w:top w:val="single" w:color="000000" w:sz="4" w:space="0"/>
              <w:left w:val="single" w:color="000000" w:sz="4" w:space="0"/>
              <w:bottom w:val="single" w:color="000000" w:sz="4" w:space="0"/>
              <w:right w:val="single" w:color="000000" w:sz="4" w:space="0"/>
            </w:tcBorders>
            <w:vAlign w:val="center"/>
          </w:tcPr>
          <w:p>
            <w:pPr>
              <w:autoSpaceDE w:val="0"/>
              <w:autoSpaceDN w:val="0"/>
              <w:spacing w:line="360" w:lineRule="auto"/>
              <w:ind w:firstLine="0" w:firstLineChars="0"/>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政采云线上获取，供应商登录政采云平台</w:t>
            </w:r>
            <w:r>
              <w:rPr>
                <w:rFonts w:hint="eastAsia" w:ascii="宋体" w:hAnsi="宋体" w:eastAsia="宋体" w:cs="宋体"/>
                <w:sz w:val="24"/>
                <w:szCs w:val="24"/>
                <w:highlight w:val="none"/>
                <w:lang w:val="zh-CN"/>
              </w:rPr>
              <w:fldChar w:fldCharType="begin"/>
            </w:r>
            <w:r>
              <w:instrText xml:space="preserve"> INCLUDEPICTURE "D:\\下载\\" \* MERGEFORMAT </w:instrText>
            </w:r>
            <w:r>
              <w:rPr>
                <w:rFonts w:hint="eastAsia" w:ascii="宋体" w:hAnsi="宋体" w:eastAsia="宋体" w:cs="宋体"/>
                <w:sz w:val="24"/>
                <w:szCs w:val="24"/>
                <w:highlight w:val="none"/>
                <w:lang w:val="zh-CN"/>
              </w:rPr>
              <w:fldChar w:fldCharType="end"/>
            </w:r>
            <w:r>
              <w:rPr>
                <w:rFonts w:hint="eastAsia" w:ascii="宋体" w:hAnsi="宋体" w:eastAsia="宋体" w:cs="宋体"/>
                <w:sz w:val="24"/>
                <w:szCs w:val="24"/>
                <w:highlight w:val="none"/>
                <w:lang w:val="zh-CN"/>
              </w:rPr>
              <w:t>https://www.zcygov.cn/在线申请获取采购文件（进入“项目采购”应用，在获取采购文件菜单中选择项目，申请获取采购文件）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磋商文件售价</w:t>
            </w:r>
          </w:p>
        </w:tc>
        <w:tc>
          <w:tcPr>
            <w:tcW w:w="6805" w:type="dxa"/>
            <w:tcBorders>
              <w:top w:val="single" w:color="000000" w:sz="4" w:space="0"/>
              <w:left w:val="single" w:color="000000" w:sz="4" w:space="0"/>
              <w:bottom w:val="single" w:color="000000" w:sz="4" w:space="0"/>
              <w:right w:val="single" w:color="000000" w:sz="4" w:space="0"/>
            </w:tcBorders>
            <w:vAlign w:val="center"/>
          </w:tcPr>
          <w:p>
            <w:pPr>
              <w:autoSpaceDE w:val="0"/>
              <w:autoSpaceDN w:val="0"/>
              <w:spacing w:line="360" w:lineRule="auto"/>
              <w:ind w:firstLine="0" w:firstLineChars="0"/>
              <w:jc w:val="left"/>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en-US" w:eastAsia="zh-CN"/>
              </w:rPr>
              <w:t>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hint="eastAsia" w:ascii="Arial" w:hAnsi="Arial" w:cs="Arial"/>
                <w:sz w:val="24"/>
                <w:highlight w:val="none"/>
                <w:lang w:val="zh-CN" w:eastAsia="zh-CN"/>
              </w:rPr>
            </w:pPr>
            <w:r>
              <w:rPr>
                <w:rFonts w:hint="eastAsia" w:ascii="Arial" w:hAnsi="Arial" w:cs="Arial"/>
                <w:b/>
                <w:bCs/>
                <w:sz w:val="24"/>
                <w:highlight w:val="none"/>
                <w:lang w:val="zh-CN" w:eastAsia="zh-CN"/>
              </w:rPr>
              <w:t>获取磋商文件地点</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hint="eastAsia" w:ascii="Arial" w:hAnsi="Arial" w:cs="Arial"/>
                <w:sz w:val="24"/>
                <w:highlight w:val="none"/>
                <w:lang w:val="zh-CN" w:eastAsia="zh-CN"/>
              </w:rPr>
            </w:pPr>
            <w:r>
              <w:rPr>
                <w:rFonts w:hint="eastAsia" w:ascii="Arial" w:hAnsi="Arial" w:cs="Arial"/>
                <w:sz w:val="24"/>
                <w:highlight w:val="none"/>
                <w:lang w:val="zh-CN" w:eastAsia="zh-CN"/>
              </w:rPr>
              <w:t>线上获取通过政采云平台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获取磋商文件</w:t>
            </w:r>
          </w:p>
        </w:tc>
        <w:tc>
          <w:tcPr>
            <w:tcW w:w="6805" w:type="dxa"/>
            <w:tcBorders>
              <w:top w:val="single" w:color="000000" w:sz="4" w:space="0"/>
              <w:left w:val="single" w:color="000000" w:sz="4" w:space="0"/>
              <w:bottom w:val="single" w:color="000000" w:sz="4" w:space="0"/>
              <w:right w:val="single" w:color="000000" w:sz="4" w:space="0"/>
            </w:tcBorders>
            <w:vAlign w:val="center"/>
          </w:tcPr>
          <w:p>
            <w:pPr>
              <w:autoSpaceDE w:val="0"/>
              <w:autoSpaceDN w:val="0"/>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lang w:val="zh-CN"/>
              </w:rPr>
              <w:t>政采云线上获取，供应商登录政采云平台</w:t>
            </w:r>
            <w:r>
              <w:rPr>
                <w:rFonts w:hint="eastAsia" w:ascii="宋体" w:hAnsi="宋体" w:eastAsia="宋体" w:cs="宋体"/>
                <w:sz w:val="24"/>
                <w:szCs w:val="24"/>
                <w:highlight w:val="none"/>
                <w:lang w:val="zh-CN"/>
              </w:rPr>
              <w:fldChar w:fldCharType="begin"/>
            </w:r>
            <w:r>
              <w:instrText xml:space="preserve"> INCLUDEPICTURE "D:\\下载\\" \* MERGEFORMAT </w:instrText>
            </w:r>
            <w:r>
              <w:rPr>
                <w:rFonts w:hint="eastAsia" w:ascii="宋体" w:hAnsi="宋体" w:eastAsia="宋体" w:cs="宋体"/>
                <w:sz w:val="24"/>
                <w:szCs w:val="24"/>
                <w:highlight w:val="none"/>
                <w:lang w:val="zh-CN"/>
              </w:rPr>
              <w:fldChar w:fldCharType="end"/>
            </w:r>
            <w:r>
              <w:rPr>
                <w:rFonts w:hint="eastAsia" w:ascii="宋体" w:hAnsi="宋体" w:eastAsia="宋体" w:cs="宋体"/>
                <w:sz w:val="24"/>
                <w:szCs w:val="24"/>
                <w:highlight w:val="none"/>
                <w:lang w:val="zh-CN"/>
              </w:rPr>
              <w:t>https://www.zcygov.cn/在线申请获取采购文件（进入“项目采购”应用，在获取采购文件菜单中选择项目，申请获取采购文件）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提交响应文件截止时间</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color w:val="auto"/>
                <w:sz w:val="24"/>
                <w:szCs w:val="24"/>
                <w:highlight w:val="none"/>
                <w:lang w:val="zh-CN"/>
              </w:rPr>
              <w:t>2024年01月16日上午09:00（北京时间）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响应文件开启时间</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color w:val="auto"/>
                <w:sz w:val="24"/>
                <w:szCs w:val="24"/>
                <w:highlight w:val="none"/>
                <w:lang w:val="zh-CN"/>
              </w:rPr>
              <w:t>2024年01月16日上午09:00（北京时间）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提交响应文件地点</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sz w:val="24"/>
                <w:szCs w:val="24"/>
                <w:highlight w:val="none"/>
              </w:rPr>
            </w:pPr>
            <w:r>
              <w:rPr>
                <w:rFonts w:hint="eastAsia" w:ascii="Arial" w:hAnsi="Arial" w:cs="Arial"/>
                <w:sz w:val="24"/>
                <w:highlight w:val="none"/>
                <w:lang w:val="zh-CN" w:eastAsia="zh-CN"/>
              </w:rPr>
              <w:t>通过政采云投标客户端递交响应文件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采购人及联系人电话</w:t>
            </w:r>
          </w:p>
        </w:tc>
        <w:tc>
          <w:tcPr>
            <w:tcW w:w="6805" w:type="dxa"/>
            <w:tcBorders>
              <w:top w:val="single" w:color="000000" w:sz="4" w:space="0"/>
              <w:left w:val="single" w:color="000000" w:sz="4" w:space="0"/>
              <w:bottom w:val="single" w:color="000000" w:sz="4" w:space="0"/>
              <w:right w:val="single" w:color="000000" w:sz="4" w:space="0"/>
            </w:tcBorders>
            <w:vAlign w:val="center"/>
          </w:tcPr>
          <w:p>
            <w:pPr>
              <w:autoSpaceDE w:val="0"/>
              <w:autoSpaceDN w:val="0"/>
              <w:spacing w:line="360" w:lineRule="auto"/>
              <w:ind w:firstLine="0" w:firstLineChars="0"/>
              <w:jc w:val="left"/>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zh-CN"/>
              </w:rPr>
              <w:t>采购人：</w:t>
            </w:r>
            <w:r>
              <w:rPr>
                <w:rFonts w:hint="eastAsia" w:ascii="宋体" w:hAnsi="宋体" w:eastAsia="宋体" w:cs="宋体"/>
                <w:sz w:val="24"/>
                <w:szCs w:val="24"/>
                <w:highlight w:val="none"/>
                <w:lang w:val="zh-CN" w:eastAsia="zh-CN"/>
              </w:rPr>
              <w:t>德令哈市重点项目服务中心</w:t>
            </w:r>
            <w:r>
              <w:rPr>
                <w:rFonts w:hint="eastAsia" w:ascii="宋体" w:hAnsi="宋体" w:eastAsia="宋体" w:cs="宋体"/>
                <w:sz w:val="24"/>
                <w:szCs w:val="24"/>
                <w:highlight w:val="none"/>
                <w:lang w:val="en-US" w:eastAsia="zh-CN"/>
              </w:rPr>
              <w:t xml:space="preserve">     </w:t>
            </w:r>
          </w:p>
          <w:p>
            <w:pPr>
              <w:autoSpaceDE w:val="0"/>
              <w:autoSpaceDN w:val="0"/>
              <w:spacing w:line="360" w:lineRule="auto"/>
              <w:ind w:firstLine="0" w:firstLineChars="0"/>
              <w:jc w:val="left"/>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rPr>
              <w:t>联系人：</w:t>
            </w:r>
            <w:r>
              <w:rPr>
                <w:rFonts w:hint="eastAsia" w:ascii="宋体" w:hAnsi="宋体" w:eastAsia="宋体" w:cs="宋体"/>
                <w:sz w:val="24"/>
                <w:szCs w:val="24"/>
                <w:highlight w:val="none"/>
                <w:lang w:val="zh-CN" w:eastAsia="zh-CN"/>
              </w:rPr>
              <w:t>李先生</w:t>
            </w:r>
          </w:p>
          <w:p>
            <w:pPr>
              <w:autoSpaceDE w:val="0"/>
              <w:autoSpaceDN w:val="0"/>
              <w:spacing w:line="360" w:lineRule="auto"/>
              <w:ind w:firstLine="0" w:firstLineChars="0"/>
              <w:jc w:val="left"/>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zh-CN"/>
              </w:rPr>
              <w:t>联系电话</w:t>
            </w:r>
            <w:r>
              <w:rPr>
                <w:rFonts w:hint="eastAsia" w:ascii="宋体" w:hAnsi="宋体" w:eastAsia="宋体" w:cs="宋体"/>
                <w:sz w:val="24"/>
                <w:szCs w:val="24"/>
                <w:highlight w:val="none"/>
                <w:lang w:val="zh-CN" w:eastAsia="zh-CN"/>
              </w:rPr>
              <w:t>：</w:t>
            </w:r>
            <w:r>
              <w:rPr>
                <w:rFonts w:hint="eastAsia" w:ascii="宋体" w:hAnsi="宋体" w:eastAsia="宋体" w:cs="宋体"/>
                <w:sz w:val="24"/>
                <w:szCs w:val="24"/>
                <w:highlight w:val="none"/>
                <w:lang w:val="en-US" w:eastAsia="zh-CN"/>
              </w:rPr>
              <w:t>0977-8229975</w:t>
            </w:r>
          </w:p>
          <w:p>
            <w:pPr>
              <w:autoSpaceDE w:val="0"/>
              <w:autoSpaceDN w:val="0"/>
              <w:spacing w:line="360" w:lineRule="auto"/>
              <w:ind w:firstLine="0" w:firstLineChars="0"/>
              <w:jc w:val="left"/>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统一社会信用代码：11632802710507332T</w:t>
            </w:r>
          </w:p>
          <w:p>
            <w:pPr>
              <w:autoSpaceDE w:val="0"/>
              <w:autoSpaceDN w:val="0"/>
              <w:spacing w:line="360" w:lineRule="auto"/>
              <w:ind w:firstLine="0" w:firstLineChars="0"/>
              <w:jc w:val="left"/>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zh-CN"/>
              </w:rPr>
              <w:t>联系地址：</w:t>
            </w:r>
            <w:r>
              <w:rPr>
                <w:rFonts w:hint="eastAsia" w:ascii="宋体" w:hAnsi="宋体" w:eastAsia="宋体" w:cs="宋体"/>
                <w:sz w:val="24"/>
                <w:szCs w:val="24"/>
                <w:highlight w:val="none"/>
                <w:lang w:val="zh-CN" w:eastAsia="zh-CN"/>
              </w:rPr>
              <w:t>德令哈市格尔木西路</w:t>
            </w:r>
            <w:r>
              <w:rPr>
                <w:rFonts w:hint="eastAsia" w:ascii="宋体" w:hAnsi="宋体" w:eastAsia="宋体" w:cs="宋体"/>
                <w:sz w:val="24"/>
                <w:szCs w:val="24"/>
                <w:highlight w:val="none"/>
                <w:lang w:val="en-US" w:eastAsia="zh-CN"/>
              </w:rPr>
              <w:t>16号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b/>
                <w:bCs/>
                <w:sz w:val="24"/>
                <w:szCs w:val="24"/>
                <w:highlight w:val="none"/>
              </w:rPr>
            </w:pPr>
            <w:r>
              <w:rPr>
                <w:rFonts w:hint="eastAsia" w:ascii="宋体" w:hAnsi="宋体" w:eastAsia="宋体" w:cs="宋体"/>
                <w:b/>
                <w:bCs/>
                <w:sz w:val="24"/>
                <w:szCs w:val="24"/>
                <w:highlight w:val="none"/>
              </w:rPr>
              <w:t>采购代理机构及联系人电话</w:t>
            </w:r>
          </w:p>
        </w:tc>
        <w:tc>
          <w:tcPr>
            <w:tcW w:w="6805" w:type="dxa"/>
            <w:tcBorders>
              <w:top w:val="single" w:color="000000" w:sz="4" w:space="0"/>
              <w:left w:val="single" w:color="000000" w:sz="4" w:space="0"/>
              <w:bottom w:val="single" w:color="000000" w:sz="4" w:space="0"/>
              <w:right w:val="single" w:color="000000" w:sz="4" w:space="0"/>
            </w:tcBorders>
            <w:vAlign w:val="center"/>
          </w:tcPr>
          <w:p>
            <w:pPr>
              <w:autoSpaceDE w:val="0"/>
              <w:autoSpaceDN w:val="0"/>
              <w:spacing w:line="360" w:lineRule="auto"/>
              <w:ind w:firstLine="0" w:firstLineChars="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采购代理机构：</w:t>
            </w:r>
            <w:r>
              <w:rPr>
                <w:rFonts w:hint="eastAsia" w:ascii="宋体" w:hAnsi="宋体" w:eastAsia="宋体" w:cs="宋体"/>
                <w:color w:val="000000" w:themeColor="text1"/>
                <w:sz w:val="24"/>
                <w:szCs w:val="24"/>
                <w:highlight w:val="none"/>
                <w:lang w:eastAsia="zh-CN"/>
                <w14:textFill>
                  <w14:solidFill>
                    <w14:schemeClr w14:val="tx1"/>
                  </w14:solidFill>
                </w14:textFill>
              </w:rPr>
              <w:t>德令哈城乡建设综合开发有限公司</w:t>
            </w:r>
          </w:p>
          <w:p>
            <w:pPr>
              <w:autoSpaceDE w:val="0"/>
              <w:autoSpaceDN w:val="0"/>
              <w:spacing w:line="360" w:lineRule="auto"/>
              <w:ind w:firstLine="0" w:firstLineChars="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联系人：赵女士</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联系电话：</w:t>
            </w:r>
            <w:r>
              <w:rPr>
                <w:rFonts w:hint="eastAsia" w:ascii="宋体" w:hAnsi="宋体" w:eastAsia="宋体" w:cs="宋体"/>
                <w:color w:val="000000" w:themeColor="text1"/>
                <w:sz w:val="24"/>
                <w:szCs w:val="24"/>
                <w:highlight w:val="none"/>
                <w:lang w:val="en-US" w:eastAsia="zh-CN"/>
                <w14:textFill>
                  <w14:solidFill>
                    <w14:schemeClr w14:val="tx1"/>
                  </w14:solidFill>
                </w14:textFill>
              </w:rPr>
              <w:t>0977-8901182</w:t>
            </w:r>
          </w:p>
          <w:p>
            <w:pPr>
              <w:autoSpaceDE w:val="0"/>
              <w:autoSpaceDN w:val="0"/>
              <w:spacing w:line="360" w:lineRule="auto"/>
              <w:ind w:firstLine="0" w:firstLineChars="0"/>
              <w:rPr>
                <w:rFonts w:hint="default"/>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邮箱：</w:t>
            </w:r>
            <w:r>
              <w:rPr>
                <w:rFonts w:hint="eastAsia" w:ascii="宋体" w:hAnsi="宋体" w:eastAsia="宋体" w:cs="宋体"/>
                <w:color w:val="000000" w:themeColor="text1"/>
                <w:sz w:val="24"/>
                <w:szCs w:val="24"/>
                <w:highlight w:val="none"/>
                <w:lang w:val="en-US" w:eastAsia="zh-CN"/>
                <w14:textFill>
                  <w14:solidFill>
                    <w14:schemeClr w14:val="tx1"/>
                  </w14:solidFill>
                </w14:textFill>
              </w:rPr>
              <w:t>353960525@qq.com</w:t>
            </w:r>
          </w:p>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color w:val="000000" w:themeColor="text1"/>
                <w:sz w:val="24"/>
                <w:szCs w:val="24"/>
                <w:highlight w:val="none"/>
                <w:lang w:val="zh-CN"/>
                <w14:textFill>
                  <w14:solidFill>
                    <w14:schemeClr w14:val="tx1"/>
                  </w14:solidFill>
                </w14:textFill>
              </w:rPr>
              <w:t>联系地址：</w:t>
            </w:r>
            <w:r>
              <w:rPr>
                <w:rFonts w:hint="eastAsia" w:ascii="宋体" w:hAnsi="宋体" w:eastAsia="宋体" w:cs="宋体"/>
                <w:color w:val="000000" w:themeColor="text1"/>
                <w:sz w:val="24"/>
                <w:szCs w:val="24"/>
                <w:highlight w:val="none"/>
                <w:lang w:val="zh-CN" w:eastAsia="zh-CN"/>
                <w14:textFill>
                  <w14:solidFill>
                    <w14:schemeClr w14:val="tx1"/>
                  </w14:solidFill>
                </w14:textFill>
              </w:rPr>
              <w:t>德令哈市长江路巴音河酒店南100米（锦江花苑商铺24栋）德令哈城乡建设综合开发有限公司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rPr>
                <w:rFonts w:ascii="宋体" w:hAnsi="宋体" w:eastAsia="宋体" w:cs="宋体"/>
                <w:b/>
                <w:bCs/>
                <w:sz w:val="24"/>
                <w:szCs w:val="24"/>
                <w:highlight w:val="none"/>
              </w:rPr>
            </w:pPr>
            <w:r>
              <w:rPr>
                <w:rFonts w:hint="eastAsia" w:ascii="宋体" w:hAnsi="宋体" w:eastAsia="宋体" w:cs="宋体"/>
                <w:b/>
                <w:bCs/>
                <w:sz w:val="24"/>
                <w:szCs w:val="24"/>
                <w:highlight w:val="none"/>
              </w:rPr>
              <w:t>采购代理机构开户银行</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lang w:val="zh-CN" w:eastAsia="zh-CN"/>
              </w:rPr>
              <w:t>中国农业银行德令哈河东支行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rPr>
                <w:rFonts w:ascii="宋体" w:hAnsi="宋体" w:eastAsia="宋体" w:cs="宋体"/>
                <w:b/>
                <w:bCs/>
                <w:sz w:val="24"/>
                <w:szCs w:val="24"/>
                <w:highlight w:val="none"/>
              </w:rPr>
            </w:pPr>
            <w:r>
              <w:rPr>
                <w:rFonts w:hint="eastAsia" w:ascii="宋体" w:hAnsi="宋体" w:eastAsia="宋体" w:cs="宋体"/>
                <w:b/>
                <w:bCs/>
                <w:sz w:val="24"/>
                <w:szCs w:val="24"/>
                <w:highlight w:val="none"/>
              </w:rPr>
              <w:t>收款人</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zh-CN" w:eastAsia="zh-CN"/>
              </w:rPr>
              <w:t>德令哈城乡建设综合开发有限公司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4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rPr>
                <w:rFonts w:ascii="宋体" w:hAnsi="宋体" w:eastAsia="宋体" w:cs="宋体"/>
                <w:b/>
                <w:bCs/>
                <w:sz w:val="24"/>
                <w:szCs w:val="24"/>
                <w:highlight w:val="none"/>
              </w:rPr>
            </w:pPr>
            <w:r>
              <w:rPr>
                <w:rFonts w:hint="eastAsia" w:ascii="宋体" w:hAnsi="宋体" w:eastAsia="宋体" w:cs="宋体"/>
                <w:b/>
                <w:bCs/>
                <w:sz w:val="24"/>
                <w:szCs w:val="24"/>
                <w:highlight w:val="none"/>
              </w:rPr>
              <w:t>银行账号</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lang w:val="en-US" w:eastAsia="zh-CN"/>
              </w:rPr>
              <w:t>28502001040005291</w:t>
            </w:r>
            <w:r>
              <w:rPr>
                <w:rFonts w:hint="eastAsia" w:ascii="宋体" w:hAnsi="宋体" w:eastAsia="宋体" w:cs="宋体"/>
                <w:sz w:val="24"/>
                <w:szCs w:val="24"/>
                <w:highlight w:val="none"/>
                <w:lang w:val="zh-CN" w:eastAsia="zh-CN"/>
              </w:rPr>
              <w:t xml:space="preserve">  </w:t>
            </w:r>
            <w:r>
              <w:rPr>
                <w:rFonts w:hint="eastAsia" w:ascii="宋体" w:hAnsi="宋体" w:eastAsia="宋体" w:cs="宋体"/>
                <w:sz w:val="24"/>
                <w:szCs w:val="24"/>
                <w:highlight w:val="none"/>
                <w:lang w:val="en-US" w:eastAsia="zh-CN"/>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rPr>
                <w:rFonts w:ascii="宋体" w:hAnsi="宋体" w:eastAsia="宋体" w:cs="宋体"/>
                <w:b/>
                <w:bCs/>
                <w:sz w:val="24"/>
                <w:szCs w:val="24"/>
                <w:highlight w:val="none"/>
              </w:rPr>
            </w:pPr>
            <w:r>
              <w:rPr>
                <w:rFonts w:hint="eastAsia" w:ascii="宋体" w:hAnsi="宋体" w:eastAsia="宋体" w:cs="宋体"/>
                <w:b/>
                <w:bCs/>
                <w:sz w:val="24"/>
                <w:szCs w:val="24"/>
                <w:highlight w:val="none"/>
              </w:rPr>
              <w:t>其他事项</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1、本公告发布于</w:t>
            </w:r>
            <w:r>
              <w:rPr>
                <w:rFonts w:hint="eastAsia" w:ascii="宋体" w:hAnsi="宋体" w:eastAsia="宋体" w:cs="宋体"/>
                <w:sz w:val="24"/>
                <w:szCs w:val="24"/>
                <w:highlight w:val="none"/>
                <w:lang w:val="zh-CN"/>
              </w:rPr>
              <w:t>《青海政府采购网》、《青海公共资源交易网》、《中国采购与招标网》</w:t>
            </w:r>
            <w:r>
              <w:rPr>
                <w:rFonts w:hint="eastAsia" w:ascii="宋体" w:hAnsi="宋体" w:eastAsia="宋体" w:cs="宋体"/>
                <w:sz w:val="24"/>
                <w:szCs w:val="24"/>
                <w:highlight w:val="none"/>
                <w:lang w:val="zh-CN" w:eastAsia="zh-CN"/>
              </w:rPr>
              <w:t>发布（公告期限：自青海政府采购网发布之日起5个工作日；公告内容以青海政府采购网发布的为准）。</w:t>
            </w:r>
          </w:p>
          <w:p>
            <w:pPr>
              <w:spacing w:line="360" w:lineRule="auto"/>
              <w:ind w:firstLine="0" w:firstLineChars="0"/>
              <w:jc w:val="left"/>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2、本次招标采用线上提交磋商响应文件的方式进行采购，磋商响应文件必须在磋商响应文件递交截止时间前上传平台。</w:t>
            </w:r>
          </w:p>
          <w:p>
            <w:pPr>
              <w:spacing w:line="360" w:lineRule="auto"/>
              <w:ind w:firstLine="0" w:firstLineChars="0"/>
              <w:jc w:val="left"/>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3、若对项目采购电子交易系统操作有疑问，可登录政采云（https://www.zcygov.cn/），点击右侧咨询小采，获取采小蜜智能服务管家帮助，或拨打政采云服务热线400-881-7190获取热线服务帮助。 CA问题PC咨询网址（可及时反馈问题截图，让客服快速定位问题）:http://tseal.cn/k.html，联系电话（人工）：400-087-8198。</w:t>
            </w:r>
          </w:p>
          <w:p>
            <w:pPr>
              <w:spacing w:line="360" w:lineRule="auto"/>
              <w:ind w:firstLine="0" w:firstLineChars="0"/>
              <w:jc w:val="left"/>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4、磋商供应商解密和磋商报价时必须由e签宝注册人办理，磋商供应商须在固定电脑设备前登陆等待解密和磋商报价，磋商供应商须在规定的时间内完成，如超时，则视为无效投标。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10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rPr>
                <w:rFonts w:ascii="宋体" w:hAnsi="宋体" w:eastAsia="宋体" w:cs="宋体"/>
                <w:b/>
                <w:bCs/>
                <w:sz w:val="24"/>
                <w:szCs w:val="24"/>
                <w:highlight w:val="none"/>
              </w:rPr>
            </w:pPr>
            <w:r>
              <w:rPr>
                <w:rFonts w:hint="eastAsia" w:ascii="宋体" w:hAnsi="宋体" w:eastAsia="宋体" w:cs="宋体"/>
                <w:b/>
                <w:bCs/>
                <w:sz w:val="24"/>
                <w:szCs w:val="24"/>
                <w:highlight w:val="none"/>
              </w:rPr>
              <w:t>财政部门监督电话</w:t>
            </w:r>
          </w:p>
        </w:tc>
        <w:tc>
          <w:tcPr>
            <w:tcW w:w="6805"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监督单位：</w:t>
            </w:r>
            <w:r>
              <w:rPr>
                <w:rFonts w:hint="eastAsia" w:ascii="宋体" w:hAnsi="宋体" w:eastAsia="宋体" w:cs="宋体"/>
                <w:sz w:val="24"/>
                <w:szCs w:val="24"/>
                <w:highlight w:val="none"/>
                <w:lang w:val="en-US" w:eastAsia="zh-CN"/>
              </w:rPr>
              <w:t>德令哈市财政局</w:t>
            </w:r>
          </w:p>
          <w:p>
            <w:pPr>
              <w:spacing w:line="360" w:lineRule="auto"/>
              <w:ind w:firstLine="0" w:firstLineChars="0"/>
              <w:jc w:val="left"/>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zh-CN" w:eastAsia="zh-CN"/>
              </w:rPr>
              <w:t>联系电话：</w:t>
            </w:r>
            <w:r>
              <w:rPr>
                <w:rFonts w:hint="eastAsia" w:ascii="宋体" w:hAnsi="宋体" w:eastAsia="宋体" w:cs="宋体"/>
                <w:sz w:val="24"/>
                <w:szCs w:val="24"/>
                <w:highlight w:val="none"/>
                <w:lang w:val="en-US" w:eastAsia="zh-CN"/>
              </w:rPr>
              <w:t>0977-8228484</w:t>
            </w:r>
            <w:r>
              <w:rPr>
                <w:rFonts w:hint="eastAsia" w:ascii="宋体" w:hAnsi="宋体" w:eastAsia="宋体" w:cs="宋体"/>
                <w:sz w:val="24"/>
                <w:szCs w:val="24"/>
                <w:highlight w:val="none"/>
                <w:lang w:val="zh-CN" w:eastAsia="zh-CN"/>
              </w:rPr>
              <w:t xml:space="preserve"> </w:t>
            </w:r>
          </w:p>
        </w:tc>
      </w:tr>
    </w:tbl>
    <w:p>
      <w:pPr>
        <w:spacing w:line="360" w:lineRule="auto"/>
        <w:ind w:firstLine="0" w:firstLineChars="0"/>
        <w:rPr>
          <w:rFonts w:ascii="宋体" w:hAnsi="宋体" w:eastAsia="宋体" w:cs="宋体"/>
          <w:sz w:val="24"/>
          <w:szCs w:val="24"/>
          <w:highlight w:val="none"/>
        </w:rPr>
      </w:pPr>
    </w:p>
    <w:p>
      <w:pPr>
        <w:spacing w:line="360" w:lineRule="auto"/>
        <w:ind w:firstLine="0" w:firstLineChars="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eastAsia="zh-CN"/>
        </w:rPr>
        <w:t>德令哈城乡建设综合开发有限公司</w:t>
      </w:r>
    </w:p>
    <w:p>
      <w:pPr>
        <w:wordWrap w:val="0"/>
        <w:spacing w:line="360" w:lineRule="auto"/>
        <w:ind w:firstLine="0" w:firstLineChars="0"/>
        <w:jc w:val="right"/>
        <w:rPr>
          <w:rFonts w:ascii="宋体" w:hAnsi="宋体" w:eastAsia="宋体" w:cs="宋体"/>
          <w:sz w:val="24"/>
          <w:szCs w:val="24"/>
          <w:highlight w:val="none"/>
        </w:rPr>
      </w:pPr>
      <w:r>
        <w:rPr>
          <w:rFonts w:hint="eastAsia" w:ascii="宋体" w:hAnsi="宋体" w:eastAsia="宋体" w:cs="宋体"/>
          <w:color w:val="00B050"/>
          <w:sz w:val="24"/>
          <w:szCs w:val="24"/>
          <w:highlight w:val="none"/>
        </w:rPr>
        <w:t xml:space="preserve">        </w:t>
      </w:r>
      <w:r>
        <w:rPr>
          <w:rFonts w:hint="eastAsia" w:ascii="宋体" w:hAnsi="宋体" w:eastAsia="宋体" w:cs="宋体"/>
          <w:sz w:val="24"/>
          <w:szCs w:val="24"/>
          <w:highlight w:val="none"/>
          <w:lang w:val="zh-CN"/>
        </w:rPr>
        <w:t>2024年01月05日</w:t>
      </w:r>
      <w:r>
        <w:rPr>
          <w:rFonts w:hint="eastAsia" w:ascii="宋体" w:hAnsi="宋体" w:eastAsia="宋体" w:cs="宋体"/>
          <w:sz w:val="24"/>
          <w:szCs w:val="24"/>
          <w:highlight w:val="none"/>
        </w:rPr>
        <w:t xml:space="preserve">    </w:t>
      </w:r>
    </w:p>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rPr>
        <w:br w:type="page"/>
      </w:r>
    </w:p>
    <w:p>
      <w:pPr>
        <w:pStyle w:val="24"/>
        <w:spacing w:before="0" w:after="0" w:line="360" w:lineRule="auto"/>
        <w:ind w:firstLine="0" w:firstLineChars="0"/>
        <w:rPr>
          <w:rFonts w:ascii="宋体" w:hAnsi="宋体" w:eastAsia="宋体" w:cs="宋体"/>
          <w:highlight w:val="none"/>
          <w:lang w:val="zh-CN"/>
        </w:rPr>
      </w:pPr>
      <w:bookmarkStart w:id="14" w:name="_Toc25300"/>
      <w:bookmarkStart w:id="15" w:name="_Toc19487"/>
      <w:bookmarkStart w:id="16" w:name="_Toc3201"/>
      <w:r>
        <w:rPr>
          <w:rFonts w:hint="eastAsia" w:ascii="宋体" w:hAnsi="宋体" w:eastAsia="宋体" w:cs="宋体"/>
          <w:highlight w:val="none"/>
          <w:lang w:val="zh-CN"/>
        </w:rPr>
        <w:t>第二部分</w:t>
      </w:r>
      <w:r>
        <w:rPr>
          <w:rFonts w:hint="eastAsia" w:ascii="宋体" w:hAnsi="宋体" w:eastAsia="宋体" w:cs="宋体"/>
          <w:highlight w:val="none"/>
        </w:rPr>
        <w:t xml:space="preserve">  </w:t>
      </w:r>
      <w:r>
        <w:rPr>
          <w:rFonts w:hint="eastAsia" w:ascii="宋体" w:hAnsi="宋体" w:eastAsia="宋体" w:cs="宋体"/>
          <w:highlight w:val="none"/>
          <w:lang w:val="zh-CN"/>
        </w:rPr>
        <w:t>供应商须知前附表</w:t>
      </w:r>
      <w:bookmarkEnd w:id="14"/>
      <w:bookmarkEnd w:id="15"/>
      <w:bookmarkEnd w:id="16"/>
    </w:p>
    <w:p>
      <w:pPr>
        <w:spacing w:line="360" w:lineRule="auto"/>
        <w:ind w:firstLine="0" w:firstLineChars="0"/>
        <w:rPr>
          <w:rFonts w:ascii="宋体" w:hAnsi="宋体" w:eastAsia="宋体" w:cs="宋体"/>
          <w:sz w:val="24"/>
          <w:szCs w:val="24"/>
          <w:highlight w:val="none"/>
          <w:lang w:val="zh-CN"/>
        </w:rPr>
      </w:pPr>
    </w:p>
    <w:tbl>
      <w:tblPr>
        <w:tblStyle w:val="27"/>
        <w:tblW w:w="9492" w:type="dxa"/>
        <w:jc w:val="center"/>
        <w:tblLayout w:type="fixed"/>
        <w:tblCellMar>
          <w:top w:w="0" w:type="dxa"/>
          <w:left w:w="57" w:type="dxa"/>
          <w:bottom w:w="0" w:type="dxa"/>
          <w:right w:w="57" w:type="dxa"/>
        </w:tblCellMar>
      </w:tblPr>
      <w:tblGrid>
        <w:gridCol w:w="654"/>
        <w:gridCol w:w="2060"/>
        <w:gridCol w:w="6778"/>
      </w:tblGrid>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center"/>
              <w:rPr>
                <w:rFonts w:ascii="宋体" w:hAnsi="宋体" w:eastAsia="宋体" w:cs="宋体"/>
                <w:sz w:val="24"/>
                <w:highlight w:val="none"/>
                <w:lang w:val="zh-CN"/>
              </w:rPr>
            </w:pPr>
            <w:r>
              <w:rPr>
                <w:rFonts w:hint="eastAsia" w:ascii="宋体" w:hAnsi="宋体" w:eastAsia="宋体" w:cs="宋体"/>
                <w:b/>
                <w:bCs/>
                <w:sz w:val="24"/>
                <w:highlight w:val="none"/>
                <w:lang w:val="zh-CN"/>
              </w:rPr>
              <w:t>序号</w:t>
            </w:r>
          </w:p>
        </w:tc>
        <w:tc>
          <w:tcPr>
            <w:tcW w:w="8838"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center"/>
              <w:rPr>
                <w:rFonts w:ascii="宋体" w:hAnsi="宋体" w:eastAsia="宋体" w:cs="宋体"/>
                <w:sz w:val="24"/>
                <w:highlight w:val="none"/>
                <w:lang w:val="zh-CN"/>
              </w:rPr>
            </w:pPr>
            <w:r>
              <w:rPr>
                <w:rFonts w:hint="eastAsia" w:ascii="宋体" w:hAnsi="宋体" w:eastAsia="宋体" w:cs="宋体"/>
                <w:b/>
                <w:bCs/>
                <w:sz w:val="24"/>
                <w:highlight w:val="none"/>
                <w:lang w:val="zh-CN"/>
              </w:rPr>
              <w:t>内容</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采购项目编号</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highlight w:val="none"/>
              </w:rPr>
            </w:pPr>
            <w:r>
              <w:rPr>
                <w:rFonts w:hint="eastAsia" w:ascii="宋体" w:hAnsi="宋体" w:eastAsia="宋体" w:cs="宋体"/>
                <w:sz w:val="24"/>
                <w:szCs w:val="24"/>
                <w:highlight w:val="none"/>
                <w:lang w:val="zh-CN"/>
              </w:rPr>
              <w:t>城建招标磋商（服务）2023-083（第二次）</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采购项目名称</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highlight w:val="none"/>
                <w:lang w:val="zh-CN"/>
              </w:rPr>
            </w:pPr>
            <w:r>
              <w:rPr>
                <w:rFonts w:hint="eastAsia" w:ascii="宋体" w:hAnsi="宋体" w:eastAsia="宋体" w:cs="宋体"/>
                <w:sz w:val="24"/>
                <w:highlight w:val="none"/>
                <w:lang w:val="zh-CN"/>
              </w:rPr>
              <w:t>德令哈市城区供水管网老化更新项目编制初步设计及可行性研究报告（第二次）</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采购人</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highlight w:val="none"/>
                <w:lang w:val="zh-CN"/>
              </w:rPr>
            </w:pPr>
            <w:r>
              <w:rPr>
                <w:rFonts w:hint="eastAsia" w:ascii="宋体" w:hAnsi="宋体" w:eastAsia="宋体" w:cs="宋体"/>
                <w:sz w:val="24"/>
                <w:highlight w:val="none"/>
                <w:lang w:val="zh-CN"/>
              </w:rPr>
              <w:t>德令哈市重点项目服务中心</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采购代理机构</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highlight w:val="none"/>
                <w:lang w:val="zh-CN"/>
              </w:rPr>
            </w:pPr>
            <w:r>
              <w:rPr>
                <w:rFonts w:hint="eastAsia" w:ascii="宋体" w:hAnsi="宋体" w:eastAsia="宋体" w:cs="宋体"/>
                <w:sz w:val="24"/>
                <w:highlight w:val="none"/>
                <w:lang w:val="zh-CN"/>
              </w:rPr>
              <w:t>德令哈城乡建设综合开发有限公司</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采购方式</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highlight w:val="none"/>
                <w:lang w:val="zh-CN"/>
              </w:rPr>
            </w:pPr>
            <w:r>
              <w:rPr>
                <w:rFonts w:hint="eastAsia" w:ascii="宋体" w:hAnsi="宋体" w:eastAsia="宋体" w:cs="宋体"/>
                <w:sz w:val="24"/>
                <w:szCs w:val="24"/>
                <w:highlight w:val="none"/>
                <w:lang w:val="zh-CN"/>
              </w:rPr>
              <w:t>竞争性磋商</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评分办法</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highlight w:val="none"/>
                <w:lang w:val="zh-CN"/>
              </w:rPr>
            </w:pPr>
            <w:r>
              <w:rPr>
                <w:rFonts w:hint="eastAsia" w:ascii="宋体" w:hAnsi="宋体" w:eastAsia="宋体" w:cs="宋体"/>
                <w:sz w:val="24"/>
                <w:highlight w:val="none"/>
                <w:lang w:val="zh-CN"/>
              </w:rPr>
              <w:t>综合评分法</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szCs w:val="24"/>
                <w:highlight w:val="none"/>
                <w:lang w:val="zh-CN"/>
              </w:rPr>
              <w:t>采购预算控制额度</w:t>
            </w:r>
          </w:p>
        </w:tc>
        <w:tc>
          <w:tcPr>
            <w:tcW w:w="6778"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sz w:val="24"/>
                <w:highlight w:val="none"/>
                <w:lang w:val="zh-CN"/>
              </w:rPr>
            </w:pPr>
            <w:r>
              <w:rPr>
                <w:rFonts w:hint="eastAsia" w:ascii="宋体" w:hAnsi="宋体" w:eastAsia="宋体" w:cs="宋体"/>
                <w:sz w:val="24"/>
                <w:szCs w:val="24"/>
                <w:highlight w:val="none"/>
                <w:lang w:val="en-US" w:eastAsia="zh-CN"/>
              </w:rPr>
              <w:t>900000.00元</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szCs w:val="24"/>
                <w:highlight w:val="none"/>
                <w:lang w:val="zh-CN"/>
              </w:rPr>
            </w:pPr>
            <w:r>
              <w:rPr>
                <w:rFonts w:hint="eastAsia" w:ascii="宋体" w:hAnsi="宋体" w:eastAsia="宋体" w:cs="宋体"/>
                <w:b/>
                <w:bCs/>
                <w:sz w:val="24"/>
                <w:szCs w:val="24"/>
                <w:highlight w:val="none"/>
                <w:lang w:val="zh-CN"/>
              </w:rPr>
              <w:t>最高限价</w:t>
            </w:r>
          </w:p>
        </w:tc>
        <w:tc>
          <w:tcPr>
            <w:tcW w:w="6778"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lang w:val="en-US" w:eastAsia="zh-CN"/>
              </w:rPr>
              <w:t>900000.00元</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项目分包个数</w:t>
            </w:r>
          </w:p>
        </w:tc>
        <w:tc>
          <w:tcPr>
            <w:tcW w:w="6778"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sz w:val="24"/>
                <w:highlight w:val="none"/>
                <w:lang w:val="zh-CN"/>
              </w:rPr>
            </w:pPr>
            <w:r>
              <w:rPr>
                <w:rFonts w:hint="eastAsia" w:ascii="宋体" w:hAnsi="宋体" w:eastAsia="宋体" w:cs="宋体"/>
                <w:sz w:val="24"/>
                <w:szCs w:val="24"/>
                <w:highlight w:val="none"/>
              </w:rPr>
              <w:t>无</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采购要求</w:t>
            </w:r>
          </w:p>
        </w:tc>
        <w:tc>
          <w:tcPr>
            <w:tcW w:w="6778"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rPr>
                <w:rFonts w:ascii="宋体" w:hAnsi="宋体" w:eastAsia="宋体" w:cs="宋体"/>
                <w:sz w:val="24"/>
                <w:highlight w:val="none"/>
                <w:lang w:val="zh-CN"/>
              </w:rPr>
            </w:pPr>
            <w:r>
              <w:rPr>
                <w:rFonts w:hint="eastAsia" w:ascii="宋体" w:hAnsi="宋体" w:eastAsia="宋体" w:cs="宋体"/>
                <w:sz w:val="24"/>
                <w:highlight w:val="none"/>
                <w:lang w:val="zh-CN"/>
              </w:rPr>
              <w:t>详见磋商文件</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供应商资格条件</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pStyle w:val="56"/>
              <w:spacing w:line="360" w:lineRule="auto"/>
              <w:rPr>
                <w:rFonts w:hint="eastAsia" w:ascii="宋体" w:hAnsi="宋体"/>
                <w:sz w:val="24"/>
                <w:highlight w:val="none"/>
                <w:lang w:val="zh-CN"/>
              </w:rPr>
            </w:pPr>
            <w:r>
              <w:rPr>
                <w:rFonts w:hint="eastAsia" w:ascii="宋体" w:hAnsi="宋体"/>
                <w:sz w:val="24"/>
                <w:highlight w:val="none"/>
                <w:lang w:val="zh-CN"/>
              </w:rPr>
              <w:t>1.符合《政府采购法》第22条条件，并提供下列材料：</w:t>
            </w:r>
          </w:p>
          <w:p>
            <w:pPr>
              <w:pStyle w:val="56"/>
              <w:spacing w:line="360" w:lineRule="auto"/>
              <w:rPr>
                <w:rFonts w:hint="eastAsia" w:ascii="宋体" w:hAnsi="宋体"/>
                <w:sz w:val="24"/>
                <w:highlight w:val="none"/>
                <w:lang w:val="zh-CN"/>
              </w:rPr>
            </w:pPr>
            <w:r>
              <w:rPr>
                <w:rFonts w:hint="eastAsia" w:ascii="宋体" w:hAnsi="宋体"/>
                <w:sz w:val="24"/>
                <w:highlight w:val="none"/>
                <w:lang w:val="zh-CN"/>
              </w:rPr>
              <w:t>&lt;1&gt;磋商人的营业执照等证明文件，自然人的身份证明。</w:t>
            </w:r>
          </w:p>
          <w:p>
            <w:pPr>
              <w:pStyle w:val="56"/>
              <w:spacing w:line="360" w:lineRule="auto"/>
              <w:rPr>
                <w:rFonts w:hint="eastAsia" w:ascii="宋体" w:hAnsi="宋体"/>
                <w:sz w:val="24"/>
                <w:highlight w:val="none"/>
                <w:lang w:val="zh-CN"/>
              </w:rPr>
            </w:pPr>
            <w:r>
              <w:rPr>
                <w:rFonts w:hint="eastAsia" w:ascii="宋体" w:hAnsi="宋体"/>
                <w:sz w:val="24"/>
                <w:highlight w:val="none"/>
                <w:lang w:val="zh-CN"/>
              </w:rPr>
              <w:t>&lt;2&gt;财务状况报告，依法缴纳税收和社会保障资金的相关材料。</w:t>
            </w:r>
          </w:p>
          <w:p>
            <w:pPr>
              <w:pStyle w:val="56"/>
              <w:spacing w:line="360" w:lineRule="auto"/>
              <w:rPr>
                <w:rFonts w:hint="eastAsia" w:ascii="宋体" w:hAnsi="宋体"/>
                <w:sz w:val="24"/>
                <w:highlight w:val="none"/>
                <w:lang w:val="zh-CN"/>
              </w:rPr>
            </w:pPr>
            <w:r>
              <w:rPr>
                <w:rFonts w:hint="eastAsia" w:ascii="宋体" w:hAnsi="宋体"/>
                <w:sz w:val="24"/>
                <w:highlight w:val="none"/>
                <w:lang w:val="zh-CN"/>
              </w:rPr>
              <w:t>&lt;3&gt;具备履行合同所必需的设备和专业技术能力的证明材料。</w:t>
            </w:r>
          </w:p>
          <w:p>
            <w:pPr>
              <w:pStyle w:val="56"/>
              <w:spacing w:line="360" w:lineRule="auto"/>
              <w:rPr>
                <w:rFonts w:hint="eastAsia" w:ascii="宋体" w:hAnsi="宋体"/>
                <w:sz w:val="24"/>
                <w:highlight w:val="none"/>
                <w:lang w:val="zh-CN"/>
              </w:rPr>
            </w:pPr>
            <w:r>
              <w:rPr>
                <w:rFonts w:hint="eastAsia" w:ascii="宋体" w:hAnsi="宋体"/>
                <w:sz w:val="24"/>
                <w:highlight w:val="none"/>
                <w:lang w:val="zh-CN"/>
              </w:rPr>
              <w:t>&lt;4&gt;参加政府采购活动前3年内在经营活动中没有重大违法记录的书面声明。</w:t>
            </w:r>
          </w:p>
          <w:p>
            <w:pPr>
              <w:pStyle w:val="56"/>
              <w:spacing w:line="360" w:lineRule="auto"/>
              <w:rPr>
                <w:rFonts w:hint="eastAsia" w:ascii="宋体" w:hAnsi="宋体"/>
                <w:sz w:val="24"/>
                <w:highlight w:val="none"/>
                <w:lang w:val="zh-CN"/>
              </w:rPr>
            </w:pPr>
            <w:r>
              <w:rPr>
                <w:rFonts w:hint="eastAsia" w:ascii="宋体" w:hAnsi="宋体"/>
                <w:sz w:val="24"/>
                <w:highlight w:val="none"/>
                <w:lang w:val="zh-CN"/>
              </w:rPr>
              <w:t>&lt;5&gt;具备法律、行政法规规定的其他条件的证明材料。</w:t>
            </w:r>
          </w:p>
          <w:p>
            <w:pPr>
              <w:pStyle w:val="56"/>
              <w:numPr>
                <w:ilvl w:val="0"/>
                <w:numId w:val="0"/>
              </w:numPr>
              <w:spacing w:line="360" w:lineRule="auto"/>
              <w:rPr>
                <w:rFonts w:hint="eastAsia" w:ascii="宋体" w:hAnsi="宋体"/>
                <w:b/>
                <w:bCs/>
                <w:color w:val="000000"/>
                <w:sz w:val="24"/>
                <w:highlight w:val="none"/>
                <w:lang w:val="zh-CN"/>
              </w:rPr>
            </w:pPr>
            <w:r>
              <w:rPr>
                <w:rFonts w:hint="eastAsia" w:ascii="宋体" w:hAnsi="宋体"/>
                <w:sz w:val="24"/>
                <w:highlight w:val="none"/>
                <w:lang w:val="en-US" w:eastAsia="zh-CN"/>
              </w:rPr>
              <w:t>2.</w:t>
            </w:r>
            <w:r>
              <w:rPr>
                <w:rFonts w:hint="eastAsia" w:ascii="宋体" w:hAnsi="宋体"/>
                <w:sz w:val="24"/>
                <w:highlight w:val="none"/>
                <w:lang w:val="zh-CN" w:eastAsia="zh-CN"/>
              </w:rPr>
              <w:t>本次招标要求投标人须具备 ：市政行业（给水工程）设计乙级（含）以上资质,拟派项目负责人需具备相关专业高级以上职称或注册工程师，并在人员、设备、 资金等方面具有相应的服务能力；</w:t>
            </w:r>
          </w:p>
          <w:p>
            <w:pPr>
              <w:pStyle w:val="56"/>
              <w:spacing w:line="360" w:lineRule="auto"/>
              <w:rPr>
                <w:rFonts w:hint="eastAsia" w:ascii="宋体" w:hAnsi="宋体"/>
                <w:sz w:val="24"/>
                <w:highlight w:val="none"/>
                <w:lang w:val="zh-CN"/>
              </w:rPr>
            </w:pPr>
            <w:r>
              <w:rPr>
                <w:rFonts w:hint="eastAsia" w:ascii="宋体" w:hAnsi="宋体"/>
                <w:sz w:val="24"/>
                <w:highlight w:val="none"/>
                <w:lang w:val="en-US" w:eastAsia="zh-CN"/>
              </w:rPr>
              <w:t>3.</w:t>
            </w:r>
            <w:r>
              <w:rPr>
                <w:rFonts w:hint="eastAsia" w:ascii="宋体" w:hAnsi="宋体"/>
                <w:sz w:val="24"/>
                <w:highlight w:val="none"/>
                <w:lang w:val="zh-CN"/>
              </w:rPr>
              <w:t>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w:t>
            </w:r>
            <w:r>
              <w:rPr>
                <w:rFonts w:hint="eastAsia" w:ascii="宋体" w:hAnsi="宋体" w:eastAsia="宋体"/>
                <w:sz w:val="24"/>
                <w:highlight w:val="none"/>
                <w:lang w:val="en-US" w:eastAsia="zh-CN"/>
              </w:rPr>
              <w:t>10</w:t>
            </w:r>
            <w:r>
              <w:rPr>
                <w:rFonts w:hint="eastAsia" w:ascii="宋体" w:hAnsi="宋体"/>
                <w:sz w:val="24"/>
                <w:highlight w:val="none"/>
                <w:lang w:val="zh-CN"/>
              </w:rPr>
              <w:t>天内)。</w:t>
            </w:r>
          </w:p>
          <w:p>
            <w:pPr>
              <w:pStyle w:val="44"/>
              <w:spacing w:line="360" w:lineRule="auto"/>
              <w:ind w:firstLine="0" w:firstLineChars="0"/>
              <w:jc w:val="left"/>
              <w:rPr>
                <w:rFonts w:hint="eastAsia" w:ascii="宋体" w:hAnsi="宋体" w:eastAsia="宋体" w:cs="Times New Roman"/>
                <w:kern w:val="2"/>
                <w:sz w:val="24"/>
                <w:szCs w:val="24"/>
                <w:highlight w:val="none"/>
                <w:lang w:val="zh-CN" w:eastAsia="zh-CN" w:bidi="ar-SA"/>
              </w:rPr>
            </w:pPr>
            <w:r>
              <w:rPr>
                <w:rFonts w:hint="eastAsia" w:ascii="宋体" w:hAnsi="宋体" w:eastAsia="宋体" w:cs="Times New Roman"/>
                <w:kern w:val="2"/>
                <w:sz w:val="24"/>
                <w:szCs w:val="24"/>
                <w:highlight w:val="none"/>
                <w:lang w:val="en-US" w:eastAsia="zh-CN" w:bidi="ar-SA"/>
              </w:rPr>
              <w:t>4</w:t>
            </w:r>
            <w:r>
              <w:rPr>
                <w:rFonts w:hint="eastAsia" w:ascii="宋体" w:hAnsi="宋体" w:eastAsia="宋体" w:cs="Times New Roman"/>
                <w:kern w:val="2"/>
                <w:sz w:val="24"/>
                <w:szCs w:val="24"/>
                <w:highlight w:val="none"/>
                <w:lang w:val="zh-CN" w:eastAsia="zh-CN" w:bidi="ar-SA"/>
              </w:rPr>
              <w:t>.本项目不接受磋商人以联合体方式进行投标；</w:t>
            </w:r>
          </w:p>
          <w:p>
            <w:pPr>
              <w:pStyle w:val="44"/>
              <w:spacing w:line="360" w:lineRule="auto"/>
              <w:ind w:firstLine="0" w:firstLineChars="0"/>
              <w:jc w:val="left"/>
              <w:rPr>
                <w:rFonts w:hint="default" w:ascii="宋体" w:hAnsi="宋体"/>
                <w:b w:val="0"/>
                <w:bCs w:val="0"/>
                <w:kern w:val="2"/>
                <w:sz w:val="24"/>
                <w:szCs w:val="24"/>
                <w:highlight w:val="none"/>
                <w:lang w:val="en-US" w:eastAsia="zh-CN" w:bidi="ar-SA"/>
              </w:rPr>
            </w:pPr>
            <w:r>
              <w:rPr>
                <w:rFonts w:hint="eastAsia" w:ascii="宋体" w:hAnsi="宋体" w:eastAsia="宋体" w:cs="Times New Roman"/>
                <w:kern w:val="2"/>
                <w:sz w:val="24"/>
                <w:szCs w:val="24"/>
                <w:highlight w:val="none"/>
                <w:lang w:val="en-US" w:eastAsia="zh-CN" w:bidi="ar-SA"/>
              </w:rPr>
              <w:t>5</w:t>
            </w:r>
            <w:r>
              <w:rPr>
                <w:rFonts w:hint="default" w:ascii="宋体" w:hAnsi="宋体" w:eastAsia="宋体" w:cs="Times New Roman"/>
                <w:kern w:val="2"/>
                <w:sz w:val="24"/>
                <w:szCs w:val="24"/>
                <w:highlight w:val="none"/>
                <w:lang w:val="en-US" w:eastAsia="zh-CN" w:bidi="ar-SA"/>
              </w:rPr>
              <w:t>.进青企业需具备有效的《进青备案登记》。</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磋商保证金</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240" w:lineRule="auto"/>
              <w:ind w:left="0" w:leftChars="0" w:firstLine="0" w:firstLineChars="0"/>
              <w:rPr>
                <w:rFonts w:hint="eastAsia" w:ascii="宋体" w:hAnsi="宋体" w:eastAsiaTheme="minorEastAsia" w:cstheme="minorBidi"/>
                <w:b w:val="0"/>
                <w:bCs w:val="0"/>
                <w:kern w:val="2"/>
                <w:sz w:val="24"/>
                <w:szCs w:val="24"/>
                <w:highlight w:val="none"/>
                <w:lang w:val="zh-CN" w:eastAsia="zh-CN" w:bidi="ar-SA"/>
              </w:rPr>
            </w:pPr>
            <w:r>
              <w:rPr>
                <w:rFonts w:hint="eastAsia" w:ascii="宋体" w:hAnsi="宋体" w:eastAsiaTheme="minorEastAsia" w:cstheme="minorBidi"/>
                <w:b w:val="0"/>
                <w:bCs w:val="0"/>
                <w:kern w:val="2"/>
                <w:sz w:val="24"/>
                <w:szCs w:val="24"/>
                <w:highlight w:val="none"/>
                <w:lang w:val="zh-CN" w:eastAsia="zh-CN" w:bidi="ar-SA"/>
              </w:rPr>
              <w:t>单位名称：德令哈城乡建设综合开发有限公司</w:t>
            </w:r>
          </w:p>
          <w:p>
            <w:pPr>
              <w:autoSpaceDE w:val="0"/>
              <w:autoSpaceDN w:val="0"/>
              <w:spacing w:line="240" w:lineRule="auto"/>
              <w:ind w:left="0" w:leftChars="0" w:firstLine="0" w:firstLineChars="0"/>
              <w:rPr>
                <w:rFonts w:hint="eastAsia" w:ascii="宋体" w:hAnsi="宋体" w:eastAsiaTheme="minorEastAsia" w:cstheme="minorBidi"/>
                <w:b w:val="0"/>
                <w:bCs w:val="0"/>
                <w:kern w:val="2"/>
                <w:sz w:val="24"/>
                <w:szCs w:val="24"/>
                <w:highlight w:val="none"/>
                <w:lang w:val="zh-CN" w:eastAsia="zh-CN" w:bidi="ar-SA"/>
              </w:rPr>
            </w:pPr>
            <w:r>
              <w:rPr>
                <w:rFonts w:hint="eastAsia" w:ascii="宋体" w:hAnsi="宋体" w:eastAsiaTheme="minorEastAsia" w:cstheme="minorBidi"/>
                <w:b w:val="0"/>
                <w:bCs w:val="0"/>
                <w:kern w:val="2"/>
                <w:sz w:val="24"/>
                <w:szCs w:val="24"/>
                <w:highlight w:val="none"/>
                <w:lang w:val="zh-CN" w:eastAsia="zh-CN" w:bidi="ar-SA"/>
              </w:rPr>
              <w:t>开户银行：工行海西支行营业室</w:t>
            </w:r>
          </w:p>
          <w:p>
            <w:pPr>
              <w:autoSpaceDE w:val="0"/>
              <w:autoSpaceDN w:val="0"/>
              <w:spacing w:line="240" w:lineRule="auto"/>
              <w:ind w:left="0" w:leftChars="0" w:firstLine="0" w:firstLineChars="0"/>
              <w:rPr>
                <w:rFonts w:hint="eastAsia" w:ascii="宋体" w:hAnsi="宋体" w:eastAsiaTheme="minorEastAsia" w:cstheme="minorBidi"/>
                <w:b w:val="0"/>
                <w:bCs w:val="0"/>
                <w:kern w:val="2"/>
                <w:sz w:val="24"/>
                <w:szCs w:val="24"/>
                <w:highlight w:val="none"/>
                <w:lang w:val="zh-CN" w:eastAsia="zh-CN" w:bidi="ar-SA"/>
              </w:rPr>
            </w:pPr>
            <w:r>
              <w:rPr>
                <w:rFonts w:hint="eastAsia" w:ascii="宋体" w:hAnsi="宋体" w:eastAsiaTheme="minorEastAsia" w:cstheme="minorBidi"/>
                <w:b w:val="0"/>
                <w:bCs w:val="0"/>
                <w:kern w:val="2"/>
                <w:sz w:val="24"/>
                <w:szCs w:val="24"/>
                <w:highlight w:val="none"/>
                <w:lang w:val="zh-CN" w:eastAsia="zh-CN" w:bidi="ar-SA"/>
              </w:rPr>
              <w:t>投标保证金账号：</w:t>
            </w:r>
            <w:r>
              <w:rPr>
                <w:rFonts w:hint="eastAsia" w:ascii="宋体" w:hAnsi="宋体" w:eastAsiaTheme="minorEastAsia" w:cstheme="minorBidi"/>
                <w:b w:val="0"/>
                <w:bCs w:val="0"/>
                <w:kern w:val="2"/>
                <w:sz w:val="24"/>
                <w:szCs w:val="24"/>
                <w:highlight w:val="none"/>
                <w:lang w:val="en-US" w:eastAsia="zh-CN" w:bidi="ar-SA"/>
              </w:rPr>
              <w:t>2806040419200110409</w:t>
            </w:r>
          </w:p>
          <w:p>
            <w:pPr>
              <w:autoSpaceDE w:val="0"/>
              <w:autoSpaceDN w:val="0"/>
              <w:spacing w:line="360" w:lineRule="auto"/>
              <w:ind w:firstLine="0" w:firstLineChars="0"/>
              <w:jc w:val="left"/>
              <w:rPr>
                <w:rFonts w:hint="eastAsia" w:ascii="宋体" w:hAnsi="宋体" w:eastAsiaTheme="minorEastAsia" w:cstheme="minorBidi"/>
                <w:b w:val="0"/>
                <w:bCs w:val="0"/>
                <w:kern w:val="2"/>
                <w:sz w:val="24"/>
                <w:szCs w:val="24"/>
                <w:highlight w:val="none"/>
                <w:lang w:val="zh-CN" w:eastAsia="zh-CN" w:bidi="ar-SA"/>
              </w:rPr>
            </w:pPr>
            <w:r>
              <w:rPr>
                <w:rFonts w:hint="eastAsia" w:ascii="宋体" w:hAnsi="宋体" w:eastAsiaTheme="minorEastAsia" w:cstheme="minorBidi"/>
                <w:b w:val="0"/>
                <w:bCs w:val="0"/>
                <w:kern w:val="2"/>
                <w:sz w:val="24"/>
                <w:szCs w:val="24"/>
                <w:highlight w:val="none"/>
                <w:lang w:val="en-US" w:eastAsia="zh-CN" w:bidi="ar-SA"/>
              </w:rPr>
              <w:t>保证金金额：1.</w:t>
            </w:r>
            <w:r>
              <w:rPr>
                <w:rFonts w:hint="eastAsia" w:ascii="宋体" w:hAnsi="宋体" w:cstheme="minorBidi"/>
                <w:b w:val="0"/>
                <w:bCs w:val="0"/>
                <w:kern w:val="2"/>
                <w:sz w:val="24"/>
                <w:szCs w:val="24"/>
                <w:highlight w:val="none"/>
                <w:lang w:val="en-US" w:eastAsia="zh-CN" w:bidi="ar-SA"/>
              </w:rPr>
              <w:t>8</w:t>
            </w:r>
            <w:r>
              <w:rPr>
                <w:rFonts w:hint="eastAsia" w:ascii="宋体" w:hAnsi="宋体" w:eastAsiaTheme="minorEastAsia" w:cstheme="minorBidi"/>
                <w:b w:val="0"/>
                <w:bCs w:val="0"/>
                <w:kern w:val="2"/>
                <w:sz w:val="24"/>
                <w:szCs w:val="24"/>
                <w:highlight w:val="none"/>
                <w:lang w:val="en-US" w:eastAsia="zh-CN" w:bidi="ar-SA"/>
              </w:rPr>
              <w:t>万（壹万捌仟元整）</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缴费方式</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Theme="minorEastAsia" w:cstheme="minorBidi"/>
                <w:b w:val="0"/>
                <w:bCs w:val="0"/>
                <w:kern w:val="2"/>
                <w:sz w:val="24"/>
                <w:szCs w:val="24"/>
                <w:highlight w:val="none"/>
                <w:lang w:val="en-US" w:eastAsia="zh-CN" w:bidi="ar-SA"/>
              </w:rPr>
            </w:pPr>
            <w:r>
              <w:rPr>
                <w:rFonts w:hint="eastAsia" w:ascii="宋体" w:hAnsi="宋体" w:eastAsiaTheme="minorEastAsia" w:cstheme="minorBidi"/>
                <w:b w:val="0"/>
                <w:bCs w:val="0"/>
                <w:kern w:val="2"/>
                <w:sz w:val="24"/>
                <w:szCs w:val="24"/>
                <w:highlight w:val="none"/>
                <w:lang w:val="en-US" w:eastAsia="zh-CN" w:bidi="ar-SA"/>
              </w:rPr>
              <w:t>投标保函、银行电汇、转账；须由供应商从其基本账户汇（转）入招标代理机构投标保证金专用账号，票据附言栏内须注明项目名称及用途；</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磋商保证金退还</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spacing w:line="288" w:lineRule="auto"/>
              <w:ind w:left="0" w:leftChars="0" w:firstLine="0" w:firstLineChars="0"/>
              <w:rPr>
                <w:rFonts w:hint="eastAsia" w:ascii="宋体" w:hAnsi="宋体" w:eastAsiaTheme="minorEastAsia" w:cstheme="minorBidi"/>
                <w:b w:val="0"/>
                <w:bCs w:val="0"/>
                <w:kern w:val="2"/>
                <w:sz w:val="24"/>
                <w:szCs w:val="24"/>
                <w:highlight w:val="none"/>
                <w:lang w:val="zh-CN" w:eastAsia="zh-CN" w:bidi="ar-SA"/>
              </w:rPr>
            </w:pPr>
            <w:r>
              <w:rPr>
                <w:rFonts w:hint="eastAsia" w:ascii="宋体" w:hAnsi="宋体" w:eastAsiaTheme="minorEastAsia" w:cstheme="minorBidi"/>
                <w:b w:val="0"/>
                <w:bCs w:val="0"/>
                <w:kern w:val="2"/>
                <w:sz w:val="24"/>
                <w:szCs w:val="24"/>
                <w:highlight w:val="none"/>
                <w:lang w:val="zh-CN" w:eastAsia="zh-CN" w:bidi="ar-SA"/>
              </w:rPr>
              <w:t>1、供应商须提交加密电子磋商响应文件1份务必在开标截止前上传至电子开评标系统。加密电子磋商响应文件制作详情请咨询政采云，咨询电话：400-881-7190。</w:t>
            </w:r>
          </w:p>
          <w:p>
            <w:pPr>
              <w:spacing w:line="360" w:lineRule="auto"/>
              <w:ind w:firstLine="0" w:firstLineChars="0"/>
              <w:rPr>
                <w:rFonts w:hint="eastAsia" w:ascii="宋体" w:hAnsi="宋体" w:eastAsiaTheme="minorEastAsia" w:cstheme="minorBidi"/>
                <w:b w:val="0"/>
                <w:bCs w:val="0"/>
                <w:kern w:val="2"/>
                <w:sz w:val="24"/>
                <w:szCs w:val="24"/>
                <w:highlight w:val="none"/>
                <w:lang w:val="zh-CN" w:eastAsia="zh-CN" w:bidi="ar-SA"/>
              </w:rPr>
            </w:pPr>
            <w:r>
              <w:rPr>
                <w:rFonts w:hint="eastAsia" w:ascii="宋体" w:hAnsi="宋体" w:eastAsiaTheme="minorEastAsia" w:cstheme="minorBidi"/>
                <w:b w:val="0"/>
                <w:bCs w:val="0"/>
                <w:kern w:val="2"/>
                <w:sz w:val="24"/>
                <w:szCs w:val="24"/>
                <w:highlight w:val="none"/>
                <w:lang w:val="zh-CN" w:eastAsia="zh-CN" w:bidi="ar-SA"/>
              </w:rPr>
              <w:t>2、按照线上磋商响应文件编制要求，编制线上磋商响应文件。</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递交响应文件方式</w:t>
            </w:r>
          </w:p>
        </w:tc>
        <w:tc>
          <w:tcPr>
            <w:tcW w:w="6778"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288" w:lineRule="auto"/>
              <w:ind w:left="0" w:leftChars="0" w:firstLine="0" w:firstLineChars="0"/>
              <w:rPr>
                <w:rFonts w:hint="eastAsia" w:ascii="宋体" w:hAnsi="宋体" w:eastAsiaTheme="minorEastAsia" w:cstheme="minorBidi"/>
                <w:b w:val="0"/>
                <w:bCs w:val="0"/>
                <w:kern w:val="2"/>
                <w:sz w:val="24"/>
                <w:szCs w:val="24"/>
                <w:highlight w:val="none"/>
                <w:lang w:val="zh-CN" w:eastAsia="zh-CN" w:bidi="ar-SA"/>
              </w:rPr>
            </w:pPr>
            <w:r>
              <w:rPr>
                <w:rFonts w:hint="eastAsia" w:ascii="宋体" w:hAnsi="宋体" w:eastAsiaTheme="minorEastAsia" w:cstheme="minorBidi"/>
                <w:b w:val="0"/>
                <w:bCs w:val="0"/>
                <w:kern w:val="2"/>
                <w:sz w:val="24"/>
                <w:szCs w:val="24"/>
                <w:highlight w:val="none"/>
                <w:lang w:val="en-US" w:eastAsia="zh-CN" w:bidi="ar-SA"/>
              </w:rPr>
              <w:t xml:space="preserve">政采云投标客户端 （供应商应在投标截止时间前按采购文件要 </w:t>
            </w:r>
          </w:p>
          <w:p>
            <w:pPr>
              <w:spacing w:line="288" w:lineRule="auto"/>
              <w:ind w:left="0" w:leftChars="0" w:firstLine="0" w:firstLineChars="0"/>
              <w:rPr>
                <w:rFonts w:hint="eastAsia" w:ascii="宋体" w:hAnsi="宋体" w:eastAsiaTheme="minorEastAsia" w:cstheme="minorBidi"/>
                <w:b w:val="0"/>
                <w:bCs w:val="0"/>
                <w:kern w:val="2"/>
                <w:sz w:val="24"/>
                <w:szCs w:val="24"/>
                <w:highlight w:val="none"/>
                <w:lang w:val="zh-CN" w:eastAsia="zh-CN" w:bidi="ar-SA"/>
              </w:rPr>
            </w:pPr>
            <w:r>
              <w:rPr>
                <w:rFonts w:hint="eastAsia" w:ascii="宋体" w:hAnsi="宋体" w:eastAsiaTheme="minorEastAsia" w:cstheme="minorBidi"/>
                <w:b w:val="0"/>
                <w:bCs w:val="0"/>
                <w:kern w:val="2"/>
                <w:sz w:val="24"/>
                <w:szCs w:val="24"/>
                <w:highlight w:val="none"/>
                <w:lang w:val="en-US" w:eastAsia="zh-CN" w:bidi="ar-SA"/>
              </w:rPr>
              <w:t xml:space="preserve">求使用政采云电子投标客户端制作上传电子投标文件，并在开 </w:t>
            </w:r>
          </w:p>
          <w:p>
            <w:pPr>
              <w:spacing w:line="288" w:lineRule="auto"/>
              <w:ind w:left="0" w:leftChars="0" w:firstLine="0" w:firstLineChars="0"/>
              <w:rPr>
                <w:rFonts w:hint="eastAsia" w:ascii="宋体" w:hAnsi="宋体" w:eastAsiaTheme="minorEastAsia" w:cstheme="minorBidi"/>
                <w:b w:val="0"/>
                <w:bCs w:val="0"/>
                <w:kern w:val="2"/>
                <w:sz w:val="24"/>
                <w:szCs w:val="24"/>
                <w:highlight w:val="none"/>
                <w:lang w:val="zh-CN" w:eastAsia="zh-CN" w:bidi="ar-SA"/>
              </w:rPr>
            </w:pPr>
            <w:r>
              <w:rPr>
                <w:rFonts w:hint="eastAsia" w:ascii="宋体" w:hAnsi="宋体" w:eastAsiaTheme="minorEastAsia" w:cstheme="minorBidi"/>
                <w:b w:val="0"/>
                <w:bCs w:val="0"/>
                <w:kern w:val="2"/>
                <w:sz w:val="24"/>
                <w:szCs w:val="24"/>
                <w:highlight w:val="none"/>
                <w:lang w:val="en-US" w:eastAsia="zh-CN" w:bidi="ar-SA"/>
              </w:rPr>
              <w:t>标后30分钟内远程解密投标文件。）</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szCs w:val="24"/>
                <w:highlight w:val="none"/>
              </w:rPr>
              <w:t>提交响应文件截止时间</w:t>
            </w:r>
          </w:p>
        </w:tc>
        <w:tc>
          <w:tcPr>
            <w:tcW w:w="6778"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color w:val="0000FF"/>
                <w:sz w:val="24"/>
                <w:highlight w:val="none"/>
                <w:lang w:val="zh-CN"/>
              </w:rPr>
            </w:pPr>
            <w:r>
              <w:rPr>
                <w:rFonts w:hint="eastAsia" w:ascii="宋体" w:hAnsi="宋体" w:eastAsia="宋体" w:cs="宋体"/>
                <w:color w:val="auto"/>
                <w:sz w:val="24"/>
                <w:szCs w:val="24"/>
                <w:highlight w:val="none"/>
                <w:lang w:val="zh-CN"/>
              </w:rPr>
              <w:t>2024年01月16日上午09:00（北京时间）</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szCs w:val="24"/>
                <w:highlight w:val="none"/>
              </w:rPr>
              <w:t>响应文件开启时间</w:t>
            </w:r>
          </w:p>
        </w:tc>
        <w:tc>
          <w:tcPr>
            <w:tcW w:w="6778"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color w:val="0000FF"/>
                <w:sz w:val="24"/>
                <w:highlight w:val="none"/>
                <w:lang w:val="zh-CN"/>
              </w:rPr>
            </w:pPr>
            <w:r>
              <w:rPr>
                <w:rFonts w:hint="eastAsia" w:ascii="宋体" w:hAnsi="宋体" w:eastAsia="宋体" w:cs="宋体"/>
                <w:color w:val="auto"/>
                <w:sz w:val="24"/>
                <w:szCs w:val="24"/>
                <w:highlight w:val="none"/>
                <w:lang w:val="zh-CN"/>
              </w:rPr>
              <w:t>2024年01月16日上午09:00（北京时间）</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szCs w:val="24"/>
                <w:highlight w:val="none"/>
              </w:rPr>
              <w:t>提交响应文件地点</w:t>
            </w:r>
          </w:p>
        </w:tc>
        <w:tc>
          <w:tcPr>
            <w:tcW w:w="6778" w:type="dxa"/>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ind w:left="0" w:leftChars="0" w:firstLine="0" w:firstLineChars="0"/>
              <w:jc w:val="left"/>
              <w:rPr>
                <w:rFonts w:hint="eastAsia" w:ascii="宋体" w:hAnsi="宋体" w:eastAsia="宋体" w:cs="宋体"/>
                <w:color w:val="auto"/>
                <w:sz w:val="24"/>
                <w:highlight w:val="none"/>
                <w:lang w:val="zh-CN"/>
              </w:rPr>
            </w:pPr>
            <w:r>
              <w:rPr>
                <w:rFonts w:hint="eastAsia" w:ascii="宋体" w:hAnsi="宋体" w:eastAsiaTheme="minorEastAsia" w:cstheme="minorBidi"/>
                <w:b w:val="0"/>
                <w:bCs w:val="0"/>
                <w:kern w:val="2"/>
                <w:sz w:val="24"/>
                <w:szCs w:val="24"/>
                <w:highlight w:val="none"/>
                <w:lang w:val="en-US" w:eastAsia="zh-CN" w:bidi="ar-SA"/>
              </w:rPr>
              <w:t>请登录政采云投标客户端进行投标（https://www.zcygov.cn/）</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答疑澄清方式</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spacing w:line="288" w:lineRule="auto"/>
              <w:ind w:left="0" w:leftChars="0" w:firstLine="0" w:firstLineChars="0"/>
              <w:rPr>
                <w:rFonts w:hint="eastAsia" w:ascii="宋体" w:hAnsi="宋体" w:eastAsiaTheme="minorEastAsia" w:cstheme="minorBidi"/>
                <w:b w:val="0"/>
                <w:bCs w:val="0"/>
                <w:kern w:val="2"/>
                <w:sz w:val="24"/>
                <w:szCs w:val="24"/>
                <w:highlight w:val="none"/>
                <w:lang w:val="en-US" w:eastAsia="zh-CN" w:bidi="ar-SA"/>
              </w:rPr>
            </w:pPr>
            <w:r>
              <w:rPr>
                <w:rFonts w:hint="eastAsia" w:ascii="宋体" w:hAnsi="宋体" w:eastAsiaTheme="minorEastAsia" w:cstheme="minorBidi"/>
                <w:b w:val="0"/>
                <w:bCs w:val="0"/>
                <w:kern w:val="2"/>
                <w:sz w:val="24"/>
                <w:szCs w:val="24"/>
                <w:highlight w:val="none"/>
                <w:lang w:val="en-US" w:eastAsia="zh-CN" w:bidi="ar-SA"/>
              </w:rPr>
              <w:t xml:space="preserve">采用政采云系统答疑。供应商须提供准确的联系方式（手机和 </w:t>
            </w:r>
          </w:p>
          <w:p>
            <w:pPr>
              <w:spacing w:line="288" w:lineRule="auto"/>
              <w:ind w:left="0" w:leftChars="0" w:firstLine="0" w:firstLineChars="0"/>
              <w:rPr>
                <w:rFonts w:hint="eastAsia" w:ascii="宋体" w:hAnsi="宋体" w:eastAsiaTheme="minorEastAsia" w:cstheme="minorBidi"/>
                <w:b w:val="0"/>
                <w:bCs w:val="0"/>
                <w:kern w:val="2"/>
                <w:sz w:val="24"/>
                <w:szCs w:val="24"/>
                <w:highlight w:val="none"/>
                <w:lang w:val="en-US" w:eastAsia="zh-CN" w:bidi="ar-SA"/>
              </w:rPr>
            </w:pPr>
            <w:r>
              <w:rPr>
                <w:rFonts w:hint="eastAsia" w:ascii="宋体" w:hAnsi="宋体" w:eastAsiaTheme="minorEastAsia" w:cstheme="minorBidi"/>
                <w:b w:val="0"/>
                <w:bCs w:val="0"/>
                <w:kern w:val="2"/>
                <w:sz w:val="24"/>
                <w:szCs w:val="24"/>
                <w:highlight w:val="none"/>
                <w:lang w:val="en-US" w:eastAsia="zh-CN" w:bidi="ar-SA"/>
              </w:rPr>
              <w:t xml:space="preserve">固定电话），应在规定的时间内在政采云系统内进行答疑澄清， </w:t>
            </w:r>
          </w:p>
          <w:p>
            <w:pPr>
              <w:spacing w:line="288" w:lineRule="auto"/>
              <w:ind w:left="0" w:leftChars="0" w:firstLine="0" w:firstLineChars="0"/>
              <w:rPr>
                <w:rFonts w:hint="eastAsia" w:ascii="宋体" w:hAnsi="宋体" w:eastAsiaTheme="minorEastAsia" w:cstheme="minorBidi"/>
                <w:b w:val="0"/>
                <w:bCs w:val="0"/>
                <w:kern w:val="2"/>
                <w:sz w:val="24"/>
                <w:szCs w:val="24"/>
                <w:highlight w:val="none"/>
                <w:lang w:val="en-US" w:eastAsia="zh-CN" w:bidi="ar-SA"/>
              </w:rPr>
            </w:pPr>
            <w:r>
              <w:rPr>
                <w:rFonts w:hint="eastAsia" w:ascii="宋体" w:hAnsi="宋体" w:eastAsiaTheme="minorEastAsia" w:cstheme="minorBidi"/>
                <w:b w:val="0"/>
                <w:bCs w:val="0"/>
                <w:kern w:val="2"/>
                <w:sz w:val="24"/>
                <w:szCs w:val="24"/>
                <w:highlight w:val="none"/>
                <w:lang w:val="en-US" w:eastAsia="zh-CN" w:bidi="ar-SA"/>
              </w:rPr>
              <w:t xml:space="preserve">如在规定的时间内联系无果或未按时进行答疑澄清，视同放弃 </w:t>
            </w:r>
          </w:p>
          <w:p>
            <w:pPr>
              <w:spacing w:line="288" w:lineRule="auto"/>
              <w:ind w:left="0" w:leftChars="0" w:firstLine="0" w:firstLineChars="0"/>
              <w:rPr>
                <w:rFonts w:hint="eastAsia" w:ascii="宋体" w:hAnsi="宋体" w:eastAsia="宋体" w:cs="宋体"/>
                <w:color w:val="auto"/>
                <w:sz w:val="24"/>
                <w:highlight w:val="none"/>
                <w:lang w:val="zh-CN"/>
              </w:rPr>
            </w:pPr>
            <w:r>
              <w:rPr>
                <w:rFonts w:hint="eastAsia" w:ascii="宋体" w:hAnsi="宋体" w:eastAsiaTheme="minorEastAsia" w:cstheme="minorBidi"/>
                <w:b w:val="0"/>
                <w:bCs w:val="0"/>
                <w:kern w:val="2"/>
                <w:sz w:val="24"/>
                <w:szCs w:val="24"/>
                <w:highlight w:val="none"/>
                <w:lang w:val="en-US" w:eastAsia="zh-CN" w:bidi="ar-SA"/>
              </w:rPr>
              <w:t>答疑。</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代理服务费收取</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收取对象：中标人</w:t>
            </w:r>
          </w:p>
          <w:p>
            <w:pPr>
              <w:autoSpaceDE w:val="0"/>
              <w:autoSpaceDN w:val="0"/>
              <w:spacing w:line="360" w:lineRule="auto"/>
              <w:ind w:firstLine="0" w:firstLineChars="0"/>
              <w:jc w:val="left"/>
              <w:rPr>
                <w:rFonts w:ascii="宋体" w:hAnsi="宋体" w:eastAsia="宋体" w:cs="宋体"/>
                <w:b/>
                <w:sz w:val="24"/>
                <w:highlight w:val="none"/>
                <w:lang w:val="zh-CN"/>
              </w:rPr>
            </w:pPr>
            <w:r>
              <w:rPr>
                <w:rFonts w:hint="eastAsia" w:ascii="宋体" w:hAnsi="宋体" w:eastAsia="宋体" w:cs="宋体"/>
                <w:color w:val="auto"/>
                <w:sz w:val="24"/>
                <w:highlight w:val="none"/>
                <w:lang w:val="zh-CN"/>
              </w:rPr>
              <w:t>以成交金额作为计算基数,参照《关于进一步放开建设项目专项业务服务价格的通知》（发改价格[2015]299号）规定执行。领取中标通知书时向采购代理机构交纳。</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合同签订有效期</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highlight w:val="none"/>
                <w:lang w:val="zh-CN"/>
              </w:rPr>
            </w:pPr>
            <w:r>
              <w:rPr>
                <w:rFonts w:hint="eastAsia" w:ascii="宋体" w:hAnsi="宋体" w:eastAsia="宋体" w:cs="宋体"/>
                <w:sz w:val="24"/>
                <w:highlight w:val="none"/>
                <w:lang w:val="zh-CN"/>
              </w:rPr>
              <w:t>自成交通知书发出之日起</w:t>
            </w:r>
            <w:r>
              <w:rPr>
                <w:rFonts w:hint="eastAsia" w:ascii="宋体" w:hAnsi="宋体" w:eastAsia="宋体" w:cs="宋体"/>
                <w:sz w:val="24"/>
                <w:highlight w:val="none"/>
              </w:rPr>
              <w:t>30</w:t>
            </w:r>
            <w:r>
              <w:rPr>
                <w:rFonts w:hint="eastAsia" w:ascii="宋体" w:hAnsi="宋体" w:eastAsia="宋体" w:cs="宋体"/>
                <w:sz w:val="24"/>
                <w:highlight w:val="none"/>
                <w:lang w:val="zh-CN"/>
              </w:rPr>
              <w:t>日内与采购人签订采购合同</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政府采购合同备案</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采购合同全数返回采购代理机构鉴证，盖章。</w:t>
            </w:r>
          </w:p>
          <w:p>
            <w:pPr>
              <w:autoSpaceDE w:val="0"/>
              <w:autoSpaceDN w:val="0"/>
              <w:spacing w:line="360" w:lineRule="auto"/>
              <w:ind w:firstLine="0" w:firstLineChars="0"/>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采购代理机构留存壹份原件备案。</w:t>
            </w:r>
          </w:p>
          <w:p>
            <w:pPr>
              <w:autoSpaceDE w:val="0"/>
              <w:autoSpaceDN w:val="0"/>
              <w:spacing w:line="360" w:lineRule="auto"/>
              <w:ind w:firstLine="0" w:firstLineChars="0"/>
              <w:jc w:val="left"/>
              <w:rPr>
                <w:highlight w:val="none"/>
                <w:lang w:val="zh-CN"/>
              </w:rPr>
            </w:pPr>
            <w:r>
              <w:rPr>
                <w:rFonts w:hint="eastAsia" w:ascii="宋体" w:hAnsi="宋体" w:eastAsia="宋体" w:cs="宋体"/>
                <w:sz w:val="24"/>
                <w:szCs w:val="24"/>
                <w:highlight w:val="none"/>
                <w:lang w:val="zh-CN"/>
              </w:rPr>
              <w:t>合同返回地址：</w:t>
            </w:r>
            <w:r>
              <w:rPr>
                <w:rFonts w:hint="eastAsia" w:ascii="宋体" w:hAnsi="宋体" w:eastAsia="宋体" w:cs="宋体"/>
                <w:sz w:val="24"/>
                <w:szCs w:val="24"/>
                <w:highlight w:val="none"/>
                <w:lang w:val="zh-CN" w:eastAsia="zh-CN"/>
              </w:rPr>
              <w:t>德令哈城乡建设综合开发有限公司</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szCs w:val="24"/>
                <w:highlight w:val="none"/>
              </w:rPr>
              <w:t>磋商有效期</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highlight w:val="none"/>
                <w:lang w:val="zh-CN"/>
              </w:rPr>
            </w:pPr>
            <w:r>
              <w:rPr>
                <w:rFonts w:hint="eastAsia" w:ascii="宋体" w:hAnsi="宋体" w:eastAsia="宋体" w:cs="宋体"/>
                <w:sz w:val="24"/>
                <w:szCs w:val="24"/>
                <w:highlight w:val="none"/>
              </w:rPr>
              <w:t>磋商有效期为自磋商开始之日起60个日历日</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服务期</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sz w:val="24"/>
                <w:highlight w:val="none"/>
                <w:lang w:val="en-US" w:eastAsia="zh-CN"/>
              </w:rPr>
            </w:pPr>
            <w:r>
              <w:rPr>
                <w:rFonts w:hint="eastAsia" w:ascii="宋体" w:hAnsi="宋体" w:eastAsia="宋体" w:cs="宋体"/>
                <w:sz w:val="24"/>
                <w:szCs w:val="24"/>
                <w:highlight w:val="none"/>
                <w:lang w:val="zh-CN" w:eastAsia="zh-CN"/>
              </w:rPr>
              <w:t>合同签订后30天内提交成果。</w:t>
            </w:r>
          </w:p>
        </w:tc>
      </w:tr>
      <w:tr>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3"/>
              </w:numPr>
              <w:autoSpaceDE w:val="0"/>
              <w:autoSpaceDN w:val="0"/>
              <w:spacing w:line="360" w:lineRule="auto"/>
              <w:ind w:firstLineChars="0"/>
              <w:jc w:val="center"/>
              <w:rPr>
                <w:rFonts w:ascii="宋体" w:hAnsi="宋体" w:eastAsia="宋体" w:cs="宋体"/>
                <w:b/>
                <w:bCs/>
                <w:sz w:val="24"/>
                <w:highlight w:val="none"/>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sz w:val="24"/>
                <w:highlight w:val="none"/>
                <w:lang w:val="zh-CN"/>
              </w:rPr>
            </w:pPr>
            <w:r>
              <w:rPr>
                <w:rFonts w:hint="eastAsia" w:ascii="宋体" w:hAnsi="宋体" w:eastAsia="宋体" w:cs="宋体"/>
                <w:b/>
                <w:bCs/>
                <w:sz w:val="24"/>
                <w:highlight w:val="none"/>
                <w:lang w:val="zh-CN"/>
              </w:rPr>
              <w:t>其他要求</w:t>
            </w:r>
          </w:p>
        </w:tc>
        <w:tc>
          <w:tcPr>
            <w:tcW w:w="6778"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1、本公告发布于《青海政府采购网》、《青海公共资源交易网》、《中国采购与招标网》同时发布（公告期限：自青海政府采购网发布之日起5个工作日；公告内容以青海政府采购网发布的为准）。</w:t>
            </w:r>
          </w:p>
          <w:p>
            <w:pPr>
              <w:autoSpaceDE w:val="0"/>
              <w:autoSpaceDN w:val="0"/>
              <w:spacing w:line="360" w:lineRule="auto"/>
              <w:ind w:firstLine="0" w:firstLineChars="0"/>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2、本次招标采用线上提交磋商响应文件的方式进行采购，磋商响应文件必须在磋商响应文件递交截止时间前上传平台。</w:t>
            </w:r>
          </w:p>
          <w:p>
            <w:pPr>
              <w:autoSpaceDE w:val="0"/>
              <w:autoSpaceDN w:val="0"/>
              <w:spacing w:line="360" w:lineRule="auto"/>
              <w:ind w:firstLine="0" w:firstLineChars="0"/>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3、若对项目采购电子交易系统操作有疑问，可登录政采云（https://www.zcygov.cn/），点击右侧咨询小采，获取采小蜜智能服务管家帮助，或拨打政采云服务热线400-881-7190获取热线服务帮助。CA问题PC咨询网址（可及时反馈问题截图，让客服快速定位问题）:http://tseal.cn/k.html，联系电话（人工）：400-087-8198。</w:t>
            </w:r>
          </w:p>
          <w:p>
            <w:pPr>
              <w:autoSpaceDE w:val="0"/>
              <w:autoSpaceDN w:val="0"/>
              <w:spacing w:line="360" w:lineRule="auto"/>
              <w:ind w:firstLine="0" w:firstLineChars="0"/>
              <w:jc w:val="left"/>
              <w:rPr>
                <w:rFonts w:hint="eastAsia" w:ascii="宋体" w:hAnsi="宋体" w:eastAsia="宋体" w:cs="宋体"/>
                <w:b w:val="0"/>
                <w:bCs w:val="0"/>
                <w:sz w:val="24"/>
                <w:szCs w:val="24"/>
                <w:highlight w:val="none"/>
              </w:rPr>
            </w:pPr>
            <w:r>
              <w:rPr>
                <w:rFonts w:hint="eastAsia" w:ascii="宋体" w:hAnsi="宋体" w:eastAsia="宋体" w:cs="宋体"/>
                <w:sz w:val="24"/>
                <w:szCs w:val="24"/>
                <w:highlight w:val="none"/>
                <w:lang w:val="zh-CN"/>
              </w:rPr>
              <w:t>4、磋商供应商解密和磋商报价时必须由e签宝注册人办理，磋商供应商须在固定电脑设备前登陆等待解密和磋商报价，磋商供应商须在规定的时间内完成，如超时，则视为无效投标。</w:t>
            </w:r>
          </w:p>
        </w:tc>
      </w:tr>
    </w:tbl>
    <w:p>
      <w:pPr>
        <w:wordWrap w:val="0"/>
        <w:spacing w:line="360" w:lineRule="auto"/>
        <w:ind w:firstLine="0" w:firstLineChars="0"/>
        <w:rPr>
          <w:rFonts w:ascii="宋体" w:hAnsi="宋体" w:eastAsia="宋体" w:cs="宋体"/>
          <w:sz w:val="24"/>
          <w:szCs w:val="24"/>
          <w:highlight w:val="none"/>
          <w:lang w:val="zh-CN"/>
        </w:rPr>
      </w:pPr>
    </w:p>
    <w:p>
      <w:pPr>
        <w:wordWrap w:val="0"/>
        <w:spacing w:line="360" w:lineRule="auto"/>
        <w:ind w:firstLine="0" w:firstLineChars="0"/>
        <w:rPr>
          <w:rFonts w:ascii="宋体" w:hAnsi="宋体" w:eastAsia="宋体" w:cs="宋体"/>
          <w:sz w:val="24"/>
          <w:szCs w:val="24"/>
          <w:highlight w:val="none"/>
          <w:lang w:val="zh-CN"/>
        </w:rPr>
      </w:pPr>
      <w:r>
        <w:rPr>
          <w:rFonts w:hint="eastAsia" w:ascii="宋体" w:hAnsi="宋体" w:eastAsia="宋体" w:cs="宋体"/>
          <w:sz w:val="24"/>
          <w:szCs w:val="24"/>
          <w:highlight w:val="none"/>
          <w:lang w:val="zh-CN"/>
        </w:rPr>
        <w:br w:type="page"/>
      </w:r>
    </w:p>
    <w:p>
      <w:pPr>
        <w:pStyle w:val="4"/>
        <w:tabs>
          <w:tab w:val="left" w:pos="720"/>
        </w:tabs>
        <w:jc w:val="center"/>
        <w:rPr>
          <w:rFonts w:hAnsi="宋体"/>
          <w:b/>
          <w:sz w:val="32"/>
          <w:szCs w:val="32"/>
          <w:highlight w:val="none"/>
        </w:rPr>
      </w:pPr>
      <w:bookmarkStart w:id="17" w:name="_Toc25621_WPSOffice_Level2"/>
      <w:bookmarkStart w:id="18" w:name="_Toc535421958"/>
      <w:bookmarkStart w:id="19" w:name="_Toc9508"/>
      <w:r>
        <w:rPr>
          <w:rFonts w:hint="eastAsia" w:hAnsi="宋体"/>
          <w:b/>
          <w:sz w:val="32"/>
          <w:szCs w:val="32"/>
          <w:highlight w:val="none"/>
        </w:rPr>
        <w:t>说明</w:t>
      </w:r>
      <w:bookmarkEnd w:id="17"/>
      <w:bookmarkEnd w:id="18"/>
      <w:bookmarkEnd w:id="19"/>
    </w:p>
    <w:p>
      <w:pPr>
        <w:pStyle w:val="5"/>
        <w:pageBreakBefore w:val="0"/>
        <w:numPr>
          <w:ilvl w:val="0"/>
          <w:numId w:val="4"/>
        </w:numPr>
        <w:tabs>
          <w:tab w:val="left" w:pos="-620"/>
        </w:tabs>
        <w:kinsoku/>
        <w:wordWrap/>
        <w:overflowPunct/>
        <w:topLinePunct w:val="0"/>
        <w:bidi w:val="0"/>
        <w:spacing w:before="0" w:after="0" w:line="360" w:lineRule="auto"/>
        <w:ind w:left="-1127" w:leftChars="0" w:firstLine="616" w:firstLineChars="0"/>
        <w:jc w:val="left"/>
        <w:textAlignment w:val="auto"/>
        <w:rPr>
          <w:rFonts w:ascii="宋体" w:hAnsi="宋体"/>
          <w:b w:val="0"/>
          <w:highlight w:val="none"/>
        </w:rPr>
      </w:pPr>
      <w:bookmarkStart w:id="20" w:name="_Toc459377860"/>
      <w:bookmarkStart w:id="21" w:name="_Toc495570969"/>
      <w:bookmarkStart w:id="22" w:name="_Toc488691479"/>
      <w:bookmarkStart w:id="23" w:name="_Toc446427794"/>
      <w:bookmarkStart w:id="24" w:name="_Toc535421959"/>
      <w:r>
        <w:rPr>
          <w:rFonts w:ascii="宋体" w:hAnsi="宋体" w:cs="Arial"/>
          <w:b w:val="0"/>
          <w:bCs w:val="0"/>
          <w:kern w:val="0"/>
          <w:sz w:val="24"/>
          <w:szCs w:val="24"/>
          <w:highlight w:val="none"/>
          <w:lang w:val="en-US" w:eastAsia="zh-CN" w:bidi="ar-SA"/>
        </w:rPr>
        <w:t>磋商内容及要求</w:t>
      </w:r>
      <w:bookmarkEnd w:id="20"/>
      <w:bookmarkEnd w:id="21"/>
      <w:bookmarkEnd w:id="22"/>
      <w:bookmarkEnd w:id="23"/>
      <w:bookmarkEnd w:id="24"/>
    </w:p>
    <w:p>
      <w:pPr>
        <w:pStyle w:val="13"/>
        <w:pageBreakBefore w:val="0"/>
        <w:kinsoku/>
        <w:wordWrap/>
        <w:overflowPunct/>
        <w:topLinePunct w:val="0"/>
        <w:bidi w:val="0"/>
        <w:spacing w:line="360" w:lineRule="auto"/>
        <w:ind w:firstLine="0" w:firstLineChars="0"/>
        <w:jc w:val="left"/>
        <w:textAlignment w:val="auto"/>
        <w:rPr>
          <w:rFonts w:hAnsi="宋体"/>
          <w:sz w:val="24"/>
          <w:szCs w:val="28"/>
          <w:highlight w:val="none"/>
        </w:rPr>
      </w:pPr>
      <w:r>
        <w:rPr>
          <w:rFonts w:hint="eastAsia" w:hAnsi="宋体"/>
          <w:sz w:val="24"/>
          <w:szCs w:val="28"/>
          <w:highlight w:val="none"/>
        </w:rPr>
        <w:t>本次采购依据采购单位的采购计划，仅适用于本竞争性磋商文件（以下简称“磋商文件”）中所叙述的项目。</w:t>
      </w:r>
    </w:p>
    <w:p>
      <w:pPr>
        <w:pStyle w:val="5"/>
        <w:pageBreakBefore w:val="0"/>
        <w:numPr>
          <w:ilvl w:val="0"/>
          <w:numId w:val="4"/>
        </w:numPr>
        <w:kinsoku/>
        <w:wordWrap/>
        <w:overflowPunct/>
        <w:topLinePunct w:val="0"/>
        <w:bidi w:val="0"/>
        <w:spacing w:before="0" w:after="0" w:line="360" w:lineRule="auto"/>
        <w:ind w:left="-1127" w:leftChars="0" w:firstLine="616" w:firstLineChars="0"/>
        <w:jc w:val="left"/>
        <w:textAlignment w:val="auto"/>
        <w:rPr>
          <w:rFonts w:ascii="宋体" w:hAnsi="宋体" w:cs="Arial"/>
          <w:b w:val="0"/>
          <w:bCs w:val="0"/>
          <w:kern w:val="0"/>
          <w:sz w:val="24"/>
          <w:szCs w:val="24"/>
          <w:highlight w:val="none"/>
          <w:lang w:val="en-US" w:eastAsia="zh-CN" w:bidi="ar-SA"/>
        </w:rPr>
      </w:pPr>
      <w:bookmarkStart w:id="25" w:name="_Toc488673614"/>
      <w:bookmarkStart w:id="26" w:name="_Toc535421960"/>
      <w:r>
        <w:rPr>
          <w:rFonts w:hint="eastAsia" w:ascii="宋体" w:hAnsi="宋体" w:cs="Arial"/>
          <w:b w:val="0"/>
          <w:bCs w:val="0"/>
          <w:kern w:val="0"/>
          <w:sz w:val="24"/>
          <w:szCs w:val="24"/>
          <w:highlight w:val="none"/>
          <w:lang w:val="en-US" w:eastAsia="zh-CN" w:bidi="ar-SA"/>
        </w:rPr>
        <w:t>采购方式、合格的磋商供应商</w:t>
      </w:r>
      <w:bookmarkEnd w:id="25"/>
      <w:bookmarkEnd w:id="26"/>
    </w:p>
    <w:p>
      <w:pPr>
        <w:pStyle w:val="13"/>
        <w:pageBreakBefore w:val="0"/>
        <w:numPr>
          <w:ilvl w:val="1"/>
          <w:numId w:val="5"/>
        </w:numPr>
        <w:kinsoku/>
        <w:wordWrap/>
        <w:overflowPunct/>
        <w:topLinePunct w:val="0"/>
        <w:bidi w:val="0"/>
        <w:spacing w:line="360" w:lineRule="auto"/>
        <w:ind w:left="76" w:leftChars="36" w:firstLine="144" w:firstLineChars="60"/>
        <w:jc w:val="left"/>
        <w:textAlignment w:val="auto"/>
        <w:rPr>
          <w:rFonts w:hAnsi="宋体"/>
          <w:sz w:val="24"/>
          <w:szCs w:val="28"/>
          <w:highlight w:val="none"/>
        </w:rPr>
      </w:pPr>
      <w:r>
        <w:rPr>
          <w:rFonts w:hint="eastAsia" w:hAnsi="宋体"/>
          <w:sz w:val="24"/>
          <w:szCs w:val="28"/>
          <w:highlight w:val="none"/>
        </w:rPr>
        <w:t>本次磋商采取竞争性磋商方式；</w:t>
      </w:r>
    </w:p>
    <w:p>
      <w:pPr>
        <w:pStyle w:val="13"/>
        <w:pageBreakBefore w:val="0"/>
        <w:numPr>
          <w:ilvl w:val="1"/>
          <w:numId w:val="5"/>
        </w:numPr>
        <w:kinsoku/>
        <w:wordWrap/>
        <w:overflowPunct/>
        <w:topLinePunct w:val="0"/>
        <w:bidi w:val="0"/>
        <w:spacing w:line="360" w:lineRule="auto"/>
        <w:ind w:left="273" w:leftChars="104" w:hanging="55" w:hangingChars="23"/>
        <w:jc w:val="left"/>
        <w:textAlignment w:val="auto"/>
        <w:rPr>
          <w:rFonts w:hAnsi="宋体"/>
          <w:sz w:val="24"/>
          <w:szCs w:val="28"/>
          <w:highlight w:val="none"/>
        </w:rPr>
      </w:pPr>
      <w:r>
        <w:rPr>
          <w:rFonts w:hAnsi="宋体" w:cs="Arial"/>
          <w:sz w:val="24"/>
          <w:szCs w:val="24"/>
          <w:highlight w:val="none"/>
        </w:rPr>
        <w:t>合格的磋商供应商：</w:t>
      </w:r>
    </w:p>
    <w:p>
      <w:pPr>
        <w:pStyle w:val="56"/>
        <w:pageBreakBefore w:val="0"/>
        <w:kinsoku/>
        <w:wordWrap/>
        <w:overflowPunct/>
        <w:topLinePunct w:val="0"/>
        <w:bidi w:val="0"/>
        <w:spacing w:line="360" w:lineRule="auto"/>
        <w:ind w:left="0" w:leftChars="0" w:firstLine="218" w:firstLineChars="91"/>
        <w:textAlignment w:val="auto"/>
        <w:rPr>
          <w:rFonts w:hint="eastAsia" w:ascii="宋体" w:hAnsi="宋体"/>
          <w:sz w:val="24"/>
          <w:highlight w:val="none"/>
          <w:lang w:val="zh-CN"/>
        </w:rPr>
      </w:pPr>
      <w:bookmarkStart w:id="27" w:name="_Toc535421961"/>
      <w:bookmarkStart w:id="28" w:name="_Toc488673615"/>
      <w:r>
        <w:rPr>
          <w:rFonts w:hint="eastAsia" w:ascii="宋体" w:hAnsi="宋体"/>
          <w:sz w:val="24"/>
          <w:highlight w:val="none"/>
          <w:lang w:val="zh-CN"/>
        </w:rPr>
        <w:t>1.符合《政府采购法》第22条条件，并提供下列材料：</w:t>
      </w:r>
    </w:p>
    <w:p>
      <w:pPr>
        <w:pStyle w:val="56"/>
        <w:pageBreakBefore w:val="0"/>
        <w:kinsoku/>
        <w:wordWrap/>
        <w:overflowPunct/>
        <w:topLinePunct w:val="0"/>
        <w:bidi w:val="0"/>
        <w:spacing w:line="360" w:lineRule="auto"/>
        <w:ind w:leftChars="100" w:firstLine="0" w:firstLineChars="0"/>
        <w:textAlignment w:val="auto"/>
        <w:rPr>
          <w:rFonts w:hint="eastAsia" w:ascii="宋体" w:hAnsi="宋体"/>
          <w:sz w:val="24"/>
          <w:highlight w:val="none"/>
          <w:lang w:val="zh-CN"/>
        </w:rPr>
      </w:pPr>
      <w:r>
        <w:rPr>
          <w:rFonts w:hint="eastAsia" w:ascii="宋体" w:hAnsi="宋体"/>
          <w:sz w:val="24"/>
          <w:highlight w:val="none"/>
          <w:lang w:val="zh-CN"/>
        </w:rPr>
        <w:t>&lt;1&gt;磋商人的营业执照等证明文件，自然人的身份证明。</w:t>
      </w:r>
    </w:p>
    <w:p>
      <w:pPr>
        <w:pStyle w:val="56"/>
        <w:pageBreakBefore w:val="0"/>
        <w:kinsoku/>
        <w:wordWrap/>
        <w:overflowPunct/>
        <w:topLinePunct w:val="0"/>
        <w:bidi w:val="0"/>
        <w:spacing w:line="360" w:lineRule="auto"/>
        <w:ind w:leftChars="100" w:firstLine="0" w:firstLineChars="0"/>
        <w:textAlignment w:val="auto"/>
        <w:rPr>
          <w:rFonts w:hint="eastAsia" w:ascii="宋体" w:hAnsi="宋体"/>
          <w:sz w:val="24"/>
          <w:highlight w:val="none"/>
          <w:lang w:val="zh-CN"/>
        </w:rPr>
      </w:pPr>
      <w:r>
        <w:rPr>
          <w:rFonts w:hint="eastAsia" w:ascii="宋体" w:hAnsi="宋体"/>
          <w:sz w:val="24"/>
          <w:highlight w:val="none"/>
          <w:lang w:val="zh-CN"/>
        </w:rPr>
        <w:t>&lt;2&gt;财务状况报告，依法缴纳税收和社会保障资金的相关材料。</w:t>
      </w:r>
    </w:p>
    <w:p>
      <w:pPr>
        <w:pStyle w:val="56"/>
        <w:pageBreakBefore w:val="0"/>
        <w:kinsoku/>
        <w:wordWrap/>
        <w:overflowPunct/>
        <w:topLinePunct w:val="0"/>
        <w:bidi w:val="0"/>
        <w:spacing w:line="360" w:lineRule="auto"/>
        <w:ind w:leftChars="100" w:firstLine="0" w:firstLineChars="0"/>
        <w:textAlignment w:val="auto"/>
        <w:rPr>
          <w:rFonts w:hint="eastAsia" w:ascii="宋体" w:hAnsi="宋体"/>
          <w:sz w:val="24"/>
          <w:highlight w:val="none"/>
          <w:lang w:val="zh-CN"/>
        </w:rPr>
      </w:pPr>
      <w:r>
        <w:rPr>
          <w:rFonts w:hint="eastAsia" w:ascii="宋体" w:hAnsi="宋体"/>
          <w:sz w:val="24"/>
          <w:highlight w:val="none"/>
          <w:lang w:val="zh-CN"/>
        </w:rPr>
        <w:t>&lt;3&gt;具备履行合同所必需的设备和专业技术能力的证明材料。</w:t>
      </w:r>
    </w:p>
    <w:p>
      <w:pPr>
        <w:pStyle w:val="56"/>
        <w:pageBreakBefore w:val="0"/>
        <w:kinsoku/>
        <w:wordWrap/>
        <w:overflowPunct/>
        <w:topLinePunct w:val="0"/>
        <w:bidi w:val="0"/>
        <w:spacing w:line="360" w:lineRule="auto"/>
        <w:ind w:leftChars="100" w:firstLine="0" w:firstLineChars="0"/>
        <w:textAlignment w:val="auto"/>
        <w:rPr>
          <w:rFonts w:hint="eastAsia" w:ascii="宋体" w:hAnsi="宋体"/>
          <w:sz w:val="24"/>
          <w:highlight w:val="none"/>
          <w:lang w:val="zh-CN"/>
        </w:rPr>
      </w:pPr>
      <w:r>
        <w:rPr>
          <w:rFonts w:hint="eastAsia" w:ascii="宋体" w:hAnsi="宋体"/>
          <w:sz w:val="24"/>
          <w:highlight w:val="none"/>
          <w:lang w:val="zh-CN"/>
        </w:rPr>
        <w:t>&lt;4&gt;参加政府采购活动前3年内在经营活动中没有重大违法记录的书面声明。</w:t>
      </w:r>
    </w:p>
    <w:p>
      <w:pPr>
        <w:pStyle w:val="56"/>
        <w:pageBreakBefore w:val="0"/>
        <w:kinsoku/>
        <w:wordWrap/>
        <w:overflowPunct/>
        <w:topLinePunct w:val="0"/>
        <w:bidi w:val="0"/>
        <w:spacing w:line="360" w:lineRule="auto"/>
        <w:ind w:leftChars="100" w:firstLine="0" w:firstLineChars="0"/>
        <w:textAlignment w:val="auto"/>
        <w:rPr>
          <w:rFonts w:hint="eastAsia" w:ascii="宋体" w:hAnsi="宋体"/>
          <w:sz w:val="24"/>
          <w:highlight w:val="none"/>
          <w:lang w:val="zh-CN"/>
        </w:rPr>
      </w:pPr>
      <w:r>
        <w:rPr>
          <w:rFonts w:hint="eastAsia" w:ascii="宋体" w:hAnsi="宋体"/>
          <w:sz w:val="24"/>
          <w:highlight w:val="none"/>
          <w:lang w:val="zh-CN"/>
        </w:rPr>
        <w:t>&lt;5&gt;具备法律、行政法规规定的其他条件的证明材料。</w:t>
      </w:r>
    </w:p>
    <w:p>
      <w:pPr>
        <w:pStyle w:val="56"/>
        <w:pageBreakBefore w:val="0"/>
        <w:numPr>
          <w:ilvl w:val="0"/>
          <w:numId w:val="0"/>
        </w:numPr>
        <w:kinsoku/>
        <w:wordWrap/>
        <w:overflowPunct/>
        <w:topLinePunct w:val="0"/>
        <w:bidi w:val="0"/>
        <w:spacing w:line="360" w:lineRule="auto"/>
        <w:ind w:firstLine="0" w:firstLineChars="0"/>
        <w:textAlignment w:val="auto"/>
        <w:rPr>
          <w:rFonts w:hint="eastAsia" w:ascii="宋体" w:hAnsi="宋体"/>
          <w:sz w:val="24"/>
          <w:highlight w:val="none"/>
          <w:lang w:val="en-US" w:eastAsia="zh-CN"/>
        </w:rPr>
      </w:pPr>
      <w:r>
        <w:rPr>
          <w:rFonts w:hint="eastAsia" w:ascii="宋体" w:hAnsi="宋体"/>
          <w:sz w:val="24"/>
          <w:highlight w:val="none"/>
          <w:lang w:val="en-US" w:eastAsia="zh-CN"/>
        </w:rPr>
        <w:t>3.</w:t>
      </w:r>
      <w:r>
        <w:rPr>
          <w:rFonts w:hint="eastAsia" w:ascii="宋体" w:hAnsi="宋体"/>
          <w:sz w:val="24"/>
          <w:highlight w:val="none"/>
          <w:lang w:val="zh-CN" w:eastAsia="zh-CN"/>
        </w:rPr>
        <w:t>本次招标要求投标人须具备</w:t>
      </w:r>
    </w:p>
    <w:p>
      <w:pPr>
        <w:pStyle w:val="56"/>
        <w:pageBreakBefore w:val="0"/>
        <w:numPr>
          <w:ilvl w:val="0"/>
          <w:numId w:val="0"/>
        </w:numPr>
        <w:kinsoku/>
        <w:wordWrap/>
        <w:overflowPunct/>
        <w:topLinePunct w:val="0"/>
        <w:bidi w:val="0"/>
        <w:spacing w:line="360" w:lineRule="auto"/>
        <w:ind w:leftChars="100" w:firstLine="0" w:firstLineChars="0"/>
        <w:textAlignment w:val="auto"/>
        <w:rPr>
          <w:rFonts w:hint="eastAsia" w:ascii="宋体" w:hAnsi="宋体"/>
          <w:b/>
          <w:bCs/>
          <w:color w:val="000000"/>
          <w:sz w:val="24"/>
          <w:highlight w:val="none"/>
          <w:lang w:val="zh-CN"/>
        </w:rPr>
      </w:pPr>
      <w:r>
        <w:rPr>
          <w:rFonts w:hint="eastAsia" w:ascii="宋体" w:hAnsi="宋体"/>
          <w:sz w:val="24"/>
          <w:highlight w:val="none"/>
          <w:lang w:val="en-US" w:eastAsia="zh-CN"/>
        </w:rPr>
        <w:t>3.1</w:t>
      </w:r>
      <w:r>
        <w:rPr>
          <w:rFonts w:hint="eastAsia" w:ascii="宋体" w:hAnsi="宋体"/>
          <w:sz w:val="24"/>
          <w:highlight w:val="none"/>
          <w:lang w:val="zh-CN" w:eastAsia="zh-CN"/>
        </w:rPr>
        <w:t>本次招标要求投标人须具备 ：市政行业（给水工程）设计乙级（含）以上资质,拟派项目负责人需具备相关专业高级以上职称或注册工程师，并在人员、设备、 资金等方面具有相应的服务能力；</w:t>
      </w:r>
    </w:p>
    <w:p>
      <w:pPr>
        <w:pStyle w:val="56"/>
        <w:pageBreakBefore w:val="0"/>
        <w:numPr>
          <w:ilvl w:val="0"/>
          <w:numId w:val="0"/>
        </w:numPr>
        <w:kinsoku/>
        <w:wordWrap/>
        <w:overflowPunct/>
        <w:topLinePunct w:val="0"/>
        <w:bidi w:val="0"/>
        <w:spacing w:line="360" w:lineRule="auto"/>
        <w:ind w:leftChars="100" w:firstLine="0" w:firstLineChars="0"/>
        <w:textAlignment w:val="auto"/>
        <w:rPr>
          <w:rFonts w:hint="eastAsia" w:ascii="宋体" w:hAnsi="宋体"/>
          <w:b/>
          <w:bCs/>
          <w:color w:val="000000"/>
          <w:sz w:val="24"/>
          <w:highlight w:val="none"/>
          <w:lang w:val="zh-CN"/>
        </w:rPr>
      </w:pPr>
      <w:r>
        <w:rPr>
          <w:rFonts w:hint="eastAsia" w:ascii="宋体" w:hAnsi="宋体" w:cs="Arial"/>
          <w:b w:val="0"/>
          <w:bCs w:val="0"/>
          <w:color w:val="auto"/>
          <w:sz w:val="24"/>
          <w:szCs w:val="24"/>
          <w:highlight w:val="none"/>
          <w:lang w:val="en-US" w:eastAsia="zh-CN"/>
        </w:rPr>
        <w:t>3.2</w:t>
      </w:r>
      <w:r>
        <w:rPr>
          <w:rFonts w:hint="eastAsia" w:ascii="宋体" w:hAnsi="宋体" w:cs="Arial"/>
          <w:b w:val="0"/>
          <w:bCs w:val="0"/>
          <w:color w:val="auto"/>
          <w:sz w:val="24"/>
          <w:szCs w:val="24"/>
          <w:highlight w:val="none"/>
          <w:lang w:eastAsia="zh-CN"/>
        </w:rPr>
        <w:t>参加本项目的省外企业需提供有效的《进青建筑企业登记证书》。</w:t>
      </w:r>
    </w:p>
    <w:p>
      <w:pPr>
        <w:pStyle w:val="56"/>
        <w:pageBreakBefore w:val="0"/>
        <w:kinsoku/>
        <w:wordWrap/>
        <w:overflowPunct/>
        <w:topLinePunct w:val="0"/>
        <w:bidi w:val="0"/>
        <w:spacing w:line="360" w:lineRule="auto"/>
        <w:ind w:firstLine="0" w:firstLineChars="0"/>
        <w:textAlignment w:val="auto"/>
        <w:rPr>
          <w:rFonts w:hint="eastAsia" w:ascii="宋体" w:hAnsi="宋体"/>
          <w:sz w:val="24"/>
          <w:highlight w:val="none"/>
          <w:lang w:val="zh-CN"/>
        </w:rPr>
      </w:pPr>
      <w:r>
        <w:rPr>
          <w:rFonts w:hint="eastAsia" w:ascii="宋体" w:hAnsi="宋体"/>
          <w:sz w:val="24"/>
          <w:highlight w:val="none"/>
          <w:lang w:val="en-US" w:eastAsia="zh-CN"/>
        </w:rPr>
        <w:t>4.</w:t>
      </w:r>
      <w:r>
        <w:rPr>
          <w:rFonts w:hint="eastAsia" w:ascii="宋体" w:hAnsi="宋体"/>
          <w:sz w:val="24"/>
          <w:highlight w:val="none"/>
          <w:lang w:val="zh-CN"/>
        </w:rPr>
        <w:t>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w:t>
      </w:r>
      <w:r>
        <w:rPr>
          <w:rFonts w:hint="eastAsia" w:ascii="宋体" w:hAnsi="宋体" w:eastAsia="宋体"/>
          <w:sz w:val="24"/>
          <w:highlight w:val="none"/>
          <w:lang w:val="en-US" w:eastAsia="zh-CN"/>
        </w:rPr>
        <w:t>10</w:t>
      </w:r>
      <w:r>
        <w:rPr>
          <w:rFonts w:hint="eastAsia" w:ascii="宋体" w:hAnsi="宋体"/>
          <w:sz w:val="24"/>
          <w:highlight w:val="none"/>
          <w:lang w:val="zh-CN"/>
        </w:rPr>
        <w:t>天内)。</w:t>
      </w:r>
    </w:p>
    <w:p>
      <w:pPr>
        <w:pStyle w:val="5"/>
        <w:pageBreakBefore w:val="0"/>
        <w:numPr>
          <w:ilvl w:val="0"/>
          <w:numId w:val="0"/>
        </w:numPr>
        <w:kinsoku/>
        <w:wordWrap/>
        <w:overflowPunct/>
        <w:topLinePunct w:val="0"/>
        <w:bidi w:val="0"/>
        <w:spacing w:before="0" w:after="0" w:line="360" w:lineRule="auto"/>
        <w:ind w:leftChars="0" w:firstLine="0" w:firstLineChars="0"/>
        <w:textAlignment w:val="auto"/>
        <w:rPr>
          <w:rFonts w:hint="eastAsia" w:ascii="宋体" w:hAnsi="宋体"/>
          <w:b w:val="0"/>
          <w:bCs w:val="0"/>
          <w:kern w:val="2"/>
          <w:sz w:val="24"/>
          <w:szCs w:val="24"/>
          <w:highlight w:val="none"/>
          <w:lang w:val="zh-CN" w:eastAsia="zh-CN" w:bidi="ar-SA"/>
        </w:rPr>
      </w:pPr>
      <w:r>
        <w:rPr>
          <w:rFonts w:hint="eastAsia" w:ascii="宋体" w:hAnsi="宋体"/>
          <w:b w:val="0"/>
          <w:bCs w:val="0"/>
          <w:kern w:val="2"/>
          <w:sz w:val="24"/>
          <w:szCs w:val="24"/>
          <w:highlight w:val="none"/>
          <w:lang w:val="en-US" w:eastAsia="zh-CN" w:bidi="ar-SA"/>
        </w:rPr>
        <w:t>5</w:t>
      </w:r>
      <w:r>
        <w:rPr>
          <w:rFonts w:hint="eastAsia" w:ascii="宋体" w:hAnsi="宋体"/>
          <w:b w:val="0"/>
          <w:bCs w:val="0"/>
          <w:kern w:val="2"/>
          <w:sz w:val="24"/>
          <w:szCs w:val="24"/>
          <w:highlight w:val="none"/>
          <w:lang w:val="zh-CN" w:eastAsia="zh-CN" w:bidi="ar-SA"/>
        </w:rPr>
        <w:t>.本项目不接受磋商人以联合体方式进行投标；</w:t>
      </w:r>
    </w:p>
    <w:p>
      <w:pPr>
        <w:pStyle w:val="5"/>
        <w:pageBreakBefore w:val="0"/>
        <w:numPr>
          <w:ilvl w:val="0"/>
          <w:numId w:val="0"/>
        </w:numPr>
        <w:kinsoku/>
        <w:wordWrap/>
        <w:overflowPunct/>
        <w:topLinePunct w:val="0"/>
        <w:bidi w:val="0"/>
        <w:spacing w:before="0" w:after="0" w:line="360" w:lineRule="auto"/>
        <w:ind w:leftChars="100" w:firstLine="0" w:firstLineChars="0"/>
        <w:textAlignment w:val="auto"/>
        <w:rPr>
          <w:rFonts w:hint="eastAsia" w:ascii="宋体" w:hAnsi="宋体"/>
          <w:b w:val="0"/>
          <w:bCs w:val="0"/>
          <w:kern w:val="2"/>
          <w:sz w:val="24"/>
          <w:szCs w:val="24"/>
          <w:highlight w:val="none"/>
          <w:lang w:val="en-US" w:eastAsia="zh-CN" w:bidi="ar-SA"/>
        </w:rPr>
      </w:pPr>
      <w:r>
        <w:rPr>
          <w:rFonts w:hint="eastAsia" w:ascii="宋体" w:hAnsi="宋体"/>
          <w:b w:val="0"/>
          <w:bCs w:val="0"/>
          <w:kern w:val="2"/>
          <w:sz w:val="24"/>
          <w:szCs w:val="24"/>
          <w:highlight w:val="none"/>
          <w:lang w:val="en-US" w:eastAsia="zh-CN" w:bidi="ar-SA"/>
        </w:rPr>
        <w:t>磋商费用</w:t>
      </w:r>
      <w:bookmarkEnd w:id="27"/>
      <w:bookmarkEnd w:id="28"/>
    </w:p>
    <w:p>
      <w:pPr>
        <w:pStyle w:val="13"/>
        <w:pageBreakBefore w:val="0"/>
        <w:kinsoku/>
        <w:wordWrap/>
        <w:overflowPunct/>
        <w:topLinePunct w:val="0"/>
        <w:bidi w:val="0"/>
        <w:spacing w:line="360" w:lineRule="auto"/>
        <w:ind w:leftChars="100" w:firstLine="0" w:firstLineChars="0"/>
        <w:textAlignment w:val="auto"/>
        <w:rPr>
          <w:rFonts w:hAnsi="宋体"/>
          <w:b/>
          <w:sz w:val="24"/>
          <w:szCs w:val="28"/>
          <w:highlight w:val="none"/>
        </w:rPr>
      </w:pPr>
      <w:r>
        <w:rPr>
          <w:rFonts w:hint="eastAsia" w:hAnsi="宋体"/>
          <w:sz w:val="24"/>
          <w:szCs w:val="28"/>
          <w:highlight w:val="none"/>
        </w:rPr>
        <w:t>磋商供应商应自愿承担与参加本次磋商有关的费用。采购代理机构对磋商供应商发生的费用不承担任何责任。</w:t>
      </w:r>
    </w:p>
    <w:p>
      <w:pPr>
        <w:pStyle w:val="4"/>
        <w:pageBreakBefore w:val="0"/>
        <w:tabs>
          <w:tab w:val="left" w:pos="720"/>
        </w:tabs>
        <w:kinsoku/>
        <w:wordWrap/>
        <w:overflowPunct/>
        <w:topLinePunct w:val="0"/>
        <w:bidi w:val="0"/>
        <w:ind w:firstLine="0" w:firstLineChars="0"/>
        <w:jc w:val="center"/>
        <w:textAlignment w:val="auto"/>
        <w:rPr>
          <w:rFonts w:hAnsi="宋体"/>
          <w:b/>
          <w:sz w:val="32"/>
          <w:szCs w:val="32"/>
          <w:highlight w:val="none"/>
        </w:rPr>
      </w:pPr>
      <w:bookmarkStart w:id="29" w:name="_Toc30318_WPSOffice_Level2"/>
      <w:bookmarkStart w:id="30" w:name="_Toc535421962"/>
      <w:bookmarkStart w:id="31" w:name="_Toc23373"/>
      <w:r>
        <w:rPr>
          <w:rFonts w:hint="eastAsia" w:hAnsi="宋体"/>
          <w:b/>
          <w:sz w:val="32"/>
          <w:szCs w:val="32"/>
          <w:highlight w:val="none"/>
        </w:rPr>
        <w:t>磋商文件说明</w:t>
      </w:r>
      <w:bookmarkEnd w:id="29"/>
      <w:bookmarkEnd w:id="30"/>
      <w:bookmarkEnd w:id="31"/>
    </w:p>
    <w:p>
      <w:pPr>
        <w:pStyle w:val="5"/>
        <w:keepNext/>
        <w:keepLines/>
        <w:pageBreakBefore w:val="0"/>
        <w:widowControl w:val="0"/>
        <w:numPr>
          <w:ilvl w:val="0"/>
          <w:numId w:val="4"/>
        </w:numPr>
        <w:kinsoku/>
        <w:wordWrap/>
        <w:overflowPunct/>
        <w:topLinePunct w:val="0"/>
        <w:autoSpaceDE/>
        <w:autoSpaceDN/>
        <w:bidi w:val="0"/>
        <w:adjustRightInd/>
        <w:snapToGrid/>
        <w:spacing w:before="0" w:after="0" w:line="360" w:lineRule="auto"/>
        <w:ind w:left="-510" w:leftChars="0" w:firstLine="0" w:firstLineChars="0"/>
        <w:textAlignment w:val="auto"/>
        <w:rPr>
          <w:rFonts w:ascii="宋体" w:hAnsi="宋体"/>
          <w:b w:val="0"/>
          <w:highlight w:val="none"/>
        </w:rPr>
      </w:pPr>
      <w:bookmarkStart w:id="32" w:name="_Toc488673617"/>
      <w:bookmarkStart w:id="33" w:name="_Toc535421963"/>
      <w:r>
        <w:rPr>
          <w:rFonts w:hint="eastAsia" w:ascii="宋体" w:hAnsi="宋体"/>
          <w:b w:val="0"/>
          <w:highlight w:val="none"/>
        </w:rPr>
        <w:t>磋商文件的构成</w:t>
      </w:r>
      <w:bookmarkEnd w:id="32"/>
      <w:bookmarkEnd w:id="33"/>
    </w:p>
    <w:p>
      <w:pPr>
        <w:pStyle w:val="13"/>
        <w:pageBreakBefore w:val="0"/>
        <w:widowControl w:val="0"/>
        <w:numPr>
          <w:ilvl w:val="0"/>
          <w:numId w:val="0"/>
        </w:numPr>
        <w:kinsoku/>
        <w:wordWrap/>
        <w:overflowPunct/>
        <w:topLinePunct w:val="0"/>
        <w:autoSpaceDE/>
        <w:autoSpaceDN/>
        <w:bidi w:val="0"/>
        <w:adjustRightInd/>
        <w:snapToGrid/>
        <w:spacing w:line="360" w:lineRule="auto"/>
        <w:ind w:leftChars="100" w:firstLine="0" w:firstLineChars="0"/>
        <w:textAlignment w:val="auto"/>
        <w:rPr>
          <w:rFonts w:hAnsi="宋体"/>
          <w:sz w:val="24"/>
          <w:szCs w:val="28"/>
          <w:highlight w:val="none"/>
        </w:rPr>
      </w:pPr>
      <w:r>
        <w:rPr>
          <w:rFonts w:hint="eastAsia" w:hAnsi="宋体"/>
          <w:sz w:val="24"/>
          <w:szCs w:val="28"/>
          <w:highlight w:val="none"/>
          <w:lang w:val="en-US" w:eastAsia="zh-CN"/>
        </w:rPr>
        <w:t>3.1</w:t>
      </w:r>
      <w:r>
        <w:rPr>
          <w:rFonts w:hint="eastAsia" w:hAnsi="宋体"/>
          <w:sz w:val="24"/>
          <w:szCs w:val="28"/>
          <w:highlight w:val="none"/>
        </w:rPr>
        <w:t>磋商文件包括：</w:t>
      </w:r>
    </w:p>
    <w:p>
      <w:pPr>
        <w:pStyle w:val="13"/>
        <w:pageBreakBefore w:val="0"/>
        <w:widowControl w:val="0"/>
        <w:numPr>
          <w:ilvl w:val="0"/>
          <w:numId w:val="6"/>
        </w:numPr>
        <w:kinsoku/>
        <w:wordWrap/>
        <w:overflowPunct/>
        <w:topLinePunct w:val="0"/>
        <w:autoSpaceDE/>
        <w:autoSpaceDN/>
        <w:bidi w:val="0"/>
        <w:adjustRightInd/>
        <w:snapToGrid/>
        <w:spacing w:line="360" w:lineRule="auto"/>
        <w:ind w:left="425" w:leftChars="0" w:firstLine="0" w:firstLineChars="0"/>
        <w:textAlignment w:val="auto"/>
        <w:rPr>
          <w:rFonts w:hAnsi="宋体" w:cs="Arial"/>
          <w:sz w:val="24"/>
          <w:szCs w:val="24"/>
          <w:highlight w:val="none"/>
        </w:rPr>
      </w:pPr>
      <w:r>
        <w:rPr>
          <w:rFonts w:hint="eastAsia" w:hAnsi="宋体" w:cs="Arial"/>
          <w:sz w:val="24"/>
          <w:szCs w:val="24"/>
          <w:highlight w:val="none"/>
        </w:rPr>
        <w:t>磋商邀请；</w:t>
      </w:r>
    </w:p>
    <w:p>
      <w:pPr>
        <w:pStyle w:val="13"/>
        <w:pageBreakBefore w:val="0"/>
        <w:widowControl w:val="0"/>
        <w:numPr>
          <w:ilvl w:val="0"/>
          <w:numId w:val="6"/>
        </w:numPr>
        <w:kinsoku/>
        <w:wordWrap/>
        <w:overflowPunct/>
        <w:topLinePunct w:val="0"/>
        <w:autoSpaceDE/>
        <w:autoSpaceDN/>
        <w:bidi w:val="0"/>
        <w:adjustRightInd/>
        <w:snapToGrid/>
        <w:spacing w:line="360" w:lineRule="auto"/>
        <w:ind w:left="425" w:leftChars="0" w:firstLine="0" w:firstLineChars="0"/>
        <w:textAlignment w:val="auto"/>
        <w:rPr>
          <w:rFonts w:hAnsi="宋体" w:cs="Arial"/>
          <w:sz w:val="24"/>
          <w:szCs w:val="24"/>
          <w:highlight w:val="none"/>
        </w:rPr>
      </w:pPr>
      <w:r>
        <w:rPr>
          <w:rFonts w:hint="eastAsia" w:hAnsi="宋体" w:cs="Arial"/>
          <w:sz w:val="24"/>
          <w:szCs w:val="24"/>
          <w:highlight w:val="none"/>
        </w:rPr>
        <w:t>磋商供应商须知前附表；</w:t>
      </w:r>
    </w:p>
    <w:p>
      <w:pPr>
        <w:pStyle w:val="13"/>
        <w:pageBreakBefore w:val="0"/>
        <w:widowControl w:val="0"/>
        <w:numPr>
          <w:ilvl w:val="0"/>
          <w:numId w:val="6"/>
        </w:numPr>
        <w:kinsoku/>
        <w:wordWrap/>
        <w:overflowPunct/>
        <w:topLinePunct w:val="0"/>
        <w:autoSpaceDE/>
        <w:autoSpaceDN/>
        <w:bidi w:val="0"/>
        <w:adjustRightInd/>
        <w:snapToGrid/>
        <w:spacing w:line="360" w:lineRule="auto"/>
        <w:ind w:left="425" w:leftChars="0" w:firstLine="0" w:firstLineChars="0"/>
        <w:textAlignment w:val="auto"/>
        <w:rPr>
          <w:rFonts w:hAnsi="宋体" w:cs="Arial"/>
          <w:sz w:val="24"/>
          <w:szCs w:val="24"/>
          <w:highlight w:val="none"/>
        </w:rPr>
      </w:pPr>
      <w:r>
        <w:rPr>
          <w:rFonts w:hint="eastAsia" w:hAnsi="宋体" w:cs="Arial"/>
          <w:sz w:val="24"/>
          <w:szCs w:val="24"/>
          <w:highlight w:val="none"/>
        </w:rPr>
        <w:t>磋商供应商须知；</w:t>
      </w:r>
    </w:p>
    <w:p>
      <w:pPr>
        <w:pStyle w:val="13"/>
        <w:pageBreakBefore w:val="0"/>
        <w:widowControl w:val="0"/>
        <w:numPr>
          <w:ilvl w:val="0"/>
          <w:numId w:val="6"/>
        </w:numPr>
        <w:kinsoku/>
        <w:wordWrap/>
        <w:overflowPunct/>
        <w:topLinePunct w:val="0"/>
        <w:autoSpaceDE/>
        <w:autoSpaceDN/>
        <w:bidi w:val="0"/>
        <w:adjustRightInd/>
        <w:snapToGrid/>
        <w:spacing w:line="360" w:lineRule="auto"/>
        <w:ind w:left="425" w:leftChars="0" w:firstLine="0" w:firstLineChars="0"/>
        <w:textAlignment w:val="auto"/>
        <w:rPr>
          <w:rFonts w:hAnsi="宋体" w:cs="Arial"/>
          <w:sz w:val="24"/>
          <w:szCs w:val="24"/>
          <w:highlight w:val="none"/>
        </w:rPr>
      </w:pPr>
      <w:r>
        <w:rPr>
          <w:rFonts w:hint="eastAsia" w:hAnsi="宋体" w:cs="Arial"/>
          <w:sz w:val="24"/>
          <w:szCs w:val="24"/>
          <w:highlight w:val="none"/>
        </w:rPr>
        <w:t>青海省政府采购合同文本样式；</w:t>
      </w:r>
    </w:p>
    <w:p>
      <w:pPr>
        <w:pStyle w:val="13"/>
        <w:pageBreakBefore w:val="0"/>
        <w:widowControl w:val="0"/>
        <w:numPr>
          <w:ilvl w:val="0"/>
          <w:numId w:val="6"/>
        </w:numPr>
        <w:kinsoku/>
        <w:wordWrap/>
        <w:overflowPunct/>
        <w:topLinePunct w:val="0"/>
        <w:autoSpaceDE/>
        <w:autoSpaceDN/>
        <w:bidi w:val="0"/>
        <w:adjustRightInd/>
        <w:snapToGrid/>
        <w:spacing w:line="360" w:lineRule="auto"/>
        <w:ind w:left="425" w:leftChars="0" w:firstLine="0" w:firstLineChars="0"/>
        <w:textAlignment w:val="auto"/>
        <w:rPr>
          <w:rFonts w:hAnsi="宋体" w:cs="Arial"/>
          <w:sz w:val="24"/>
          <w:szCs w:val="24"/>
          <w:highlight w:val="none"/>
        </w:rPr>
      </w:pPr>
      <w:r>
        <w:rPr>
          <w:rFonts w:hint="eastAsia" w:hAnsi="宋体" w:cs="Arial"/>
          <w:sz w:val="24"/>
          <w:szCs w:val="24"/>
          <w:highlight w:val="none"/>
        </w:rPr>
        <w:t>磋商响应文件格式；</w:t>
      </w:r>
    </w:p>
    <w:p>
      <w:pPr>
        <w:pStyle w:val="13"/>
        <w:pageBreakBefore w:val="0"/>
        <w:widowControl w:val="0"/>
        <w:numPr>
          <w:ilvl w:val="0"/>
          <w:numId w:val="6"/>
        </w:numPr>
        <w:kinsoku/>
        <w:wordWrap/>
        <w:overflowPunct/>
        <w:topLinePunct w:val="0"/>
        <w:autoSpaceDE/>
        <w:autoSpaceDN/>
        <w:bidi w:val="0"/>
        <w:adjustRightInd/>
        <w:snapToGrid/>
        <w:spacing w:line="360" w:lineRule="auto"/>
        <w:ind w:left="425" w:leftChars="0" w:firstLine="0" w:firstLineChars="0"/>
        <w:textAlignment w:val="auto"/>
        <w:rPr>
          <w:rFonts w:hAnsi="宋体" w:cs="Arial"/>
          <w:sz w:val="24"/>
          <w:szCs w:val="24"/>
          <w:highlight w:val="none"/>
        </w:rPr>
      </w:pPr>
      <w:r>
        <w:rPr>
          <w:rFonts w:hint="eastAsia" w:hAnsi="宋体" w:cs="Arial"/>
          <w:sz w:val="24"/>
          <w:szCs w:val="24"/>
          <w:highlight w:val="none"/>
        </w:rPr>
        <w:t>采购项目</w:t>
      </w:r>
      <w:r>
        <w:rPr>
          <w:rFonts w:hint="eastAsia" w:hAnsi="宋体" w:cs="Arial"/>
          <w:sz w:val="24"/>
          <w:szCs w:val="24"/>
          <w:highlight w:val="none"/>
          <w:lang w:eastAsia="zh-CN"/>
        </w:rPr>
        <w:t>服务</w:t>
      </w:r>
      <w:r>
        <w:rPr>
          <w:rFonts w:hint="eastAsia" w:hAnsi="宋体" w:cs="Arial"/>
          <w:sz w:val="24"/>
          <w:szCs w:val="24"/>
          <w:highlight w:val="none"/>
        </w:rPr>
        <w:t>要求；</w:t>
      </w:r>
    </w:p>
    <w:p>
      <w:pPr>
        <w:pStyle w:val="13"/>
        <w:pageBreakBefore w:val="0"/>
        <w:widowControl w:val="0"/>
        <w:numPr>
          <w:ilvl w:val="0"/>
          <w:numId w:val="6"/>
        </w:numPr>
        <w:kinsoku/>
        <w:wordWrap/>
        <w:overflowPunct/>
        <w:topLinePunct w:val="0"/>
        <w:autoSpaceDE/>
        <w:autoSpaceDN/>
        <w:bidi w:val="0"/>
        <w:adjustRightInd/>
        <w:snapToGrid/>
        <w:spacing w:line="360" w:lineRule="auto"/>
        <w:ind w:left="425" w:leftChars="0" w:firstLine="0" w:firstLineChars="0"/>
        <w:textAlignment w:val="auto"/>
        <w:rPr>
          <w:rFonts w:hAnsi="宋体" w:cs="Arial"/>
          <w:sz w:val="24"/>
          <w:szCs w:val="24"/>
          <w:highlight w:val="none"/>
        </w:rPr>
      </w:pPr>
      <w:r>
        <w:rPr>
          <w:rFonts w:hint="eastAsia" w:hAnsi="宋体" w:cs="Arial"/>
          <w:sz w:val="24"/>
          <w:szCs w:val="24"/>
          <w:highlight w:val="none"/>
        </w:rPr>
        <w:t>采购过程中发生的澄清、变更和补充文件；</w:t>
      </w:r>
    </w:p>
    <w:p>
      <w:pPr>
        <w:pStyle w:val="13"/>
        <w:pageBreakBefore w:val="0"/>
        <w:widowControl w:val="0"/>
        <w:numPr>
          <w:ilvl w:val="0"/>
          <w:numId w:val="0"/>
        </w:numPr>
        <w:kinsoku/>
        <w:wordWrap/>
        <w:overflowPunct/>
        <w:topLinePunct w:val="0"/>
        <w:autoSpaceDE/>
        <w:autoSpaceDN/>
        <w:bidi w:val="0"/>
        <w:adjustRightInd/>
        <w:snapToGrid/>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3.2</w:t>
      </w:r>
      <w:r>
        <w:rPr>
          <w:rFonts w:hint="eastAsia" w:hAnsi="宋体"/>
          <w:sz w:val="24"/>
          <w:szCs w:val="28"/>
          <w:highlight w:val="none"/>
        </w:rPr>
        <w:t>磋商供应商应认真阅读磋商文件中列示的事项、格式、条款和要求等内容。如果磋商供应商未按磋商文件要求提交全部资料，或者对磋商文件未作出实质性响应的，根据相关法规要求，此类磋商将被拒绝（视为无效磋商）。</w:t>
      </w:r>
    </w:p>
    <w:p>
      <w:pPr>
        <w:pStyle w:val="5"/>
        <w:keepNext/>
        <w:keepLines/>
        <w:pageBreakBefore w:val="0"/>
        <w:widowControl w:val="0"/>
        <w:numPr>
          <w:ilvl w:val="0"/>
          <w:numId w:val="4"/>
        </w:numPr>
        <w:kinsoku/>
        <w:wordWrap/>
        <w:overflowPunct/>
        <w:topLinePunct w:val="0"/>
        <w:autoSpaceDE/>
        <w:autoSpaceDN/>
        <w:bidi w:val="0"/>
        <w:adjustRightInd/>
        <w:snapToGrid/>
        <w:spacing w:before="0" w:after="0" w:line="360" w:lineRule="auto"/>
        <w:ind w:left="209" w:leftChars="0" w:hanging="719" w:firstLineChars="0"/>
        <w:textAlignment w:val="auto"/>
        <w:rPr>
          <w:rFonts w:ascii="宋体" w:hAnsi="宋体"/>
          <w:b w:val="0"/>
          <w:highlight w:val="none"/>
        </w:rPr>
      </w:pPr>
      <w:bookmarkStart w:id="34" w:name="_Toc535421964"/>
      <w:bookmarkStart w:id="35" w:name="_Toc488673618"/>
      <w:r>
        <w:rPr>
          <w:rFonts w:hint="eastAsia" w:ascii="宋体" w:hAnsi="宋体"/>
          <w:b w:val="0"/>
          <w:highlight w:val="none"/>
        </w:rPr>
        <w:t>磋商文件、磋商活动和中标结果的质疑</w:t>
      </w:r>
      <w:bookmarkEnd w:id="34"/>
      <w:bookmarkEnd w:id="35"/>
    </w:p>
    <w:p>
      <w:pPr>
        <w:pStyle w:val="13"/>
        <w:pageBreakBefore w:val="0"/>
        <w:numPr>
          <w:ilvl w:val="0"/>
          <w:numId w:val="0"/>
        </w:numPr>
        <w:kinsoku/>
        <w:wordWrap/>
        <w:overflowPunct/>
        <w:topLinePunct w:val="0"/>
        <w:bidi w:val="0"/>
        <w:spacing w:line="360" w:lineRule="auto"/>
        <w:ind w:leftChars="100" w:firstLine="0" w:firstLineChars="0"/>
        <w:textAlignment w:val="auto"/>
        <w:rPr>
          <w:rFonts w:hint="eastAsia" w:hAnsi="宋体"/>
          <w:sz w:val="24"/>
          <w:szCs w:val="28"/>
          <w:highlight w:val="none"/>
        </w:rPr>
      </w:pPr>
      <w:r>
        <w:rPr>
          <w:rFonts w:hint="eastAsia" w:hAnsi="宋体"/>
          <w:sz w:val="24"/>
          <w:szCs w:val="28"/>
          <w:highlight w:val="none"/>
          <w:lang w:val="en-US" w:eastAsia="zh-CN"/>
        </w:rPr>
        <w:t xml:space="preserve">4.1 </w:t>
      </w:r>
      <w:r>
        <w:rPr>
          <w:rFonts w:hint="eastAsia" w:hAnsi="宋体"/>
          <w:sz w:val="24"/>
          <w:szCs w:val="28"/>
          <w:highlight w:val="none"/>
        </w:rPr>
        <w:t>投标人认为招标文件、采购过程和中标结果使自己的权益受到损害的，可以在知道或者应知其权益受到损害之日起7个工作日内以书面形式（如信件、传真等）向采购人或者采购代理机构提出质疑，不接受匿名质疑。</w:t>
      </w:r>
      <w:r>
        <w:rPr>
          <w:rFonts w:hAnsi="宋体"/>
          <w:sz w:val="24"/>
          <w:szCs w:val="28"/>
          <w:highlight w:val="none"/>
        </w:rPr>
        <w:t>潜在供应商已依法获取其可质疑的采购文件的，可以对该文件提出质疑</w:t>
      </w:r>
      <w:r>
        <w:rPr>
          <w:rFonts w:hint="eastAsia" w:hAnsi="宋体"/>
          <w:sz w:val="24"/>
          <w:szCs w:val="28"/>
          <w:highlight w:val="none"/>
        </w:rPr>
        <w:t>，</w:t>
      </w:r>
      <w:r>
        <w:rPr>
          <w:rFonts w:hAnsi="宋体"/>
          <w:sz w:val="24"/>
          <w:szCs w:val="28"/>
          <w:highlight w:val="none"/>
        </w:rPr>
        <w:t>对采购文件提出质疑的，应当在获取采购文件或者采购文件公告期限届满之日起7个工作日内提出</w:t>
      </w:r>
      <w:r>
        <w:rPr>
          <w:rFonts w:hint="eastAsia" w:hAnsi="宋体"/>
          <w:sz w:val="24"/>
          <w:szCs w:val="28"/>
          <w:highlight w:val="none"/>
        </w:rPr>
        <w:t>。</w:t>
      </w:r>
      <w:r>
        <w:rPr>
          <w:rFonts w:hAnsi="宋体"/>
          <w:sz w:val="24"/>
          <w:szCs w:val="28"/>
          <w:highlight w:val="none"/>
        </w:rPr>
        <w:t>供应商</w:t>
      </w:r>
      <w:r>
        <w:rPr>
          <w:rFonts w:hint="eastAsia" w:hAnsi="宋体"/>
          <w:sz w:val="24"/>
          <w:szCs w:val="28"/>
          <w:highlight w:val="none"/>
        </w:rPr>
        <w:t>须</w:t>
      </w:r>
      <w:r>
        <w:rPr>
          <w:rFonts w:hAnsi="宋体"/>
          <w:sz w:val="24"/>
          <w:szCs w:val="28"/>
          <w:highlight w:val="none"/>
        </w:rPr>
        <w:t>在法定质疑期内一次性提出针对同一采购程序环节的质疑。</w:t>
      </w:r>
      <w:r>
        <w:rPr>
          <w:rFonts w:hint="eastAsia" w:hAnsi="宋体"/>
          <w:sz w:val="24"/>
          <w:szCs w:val="28"/>
          <w:highlight w:val="none"/>
        </w:rPr>
        <w:t>采购人或采购代理机构在收到书面</w:t>
      </w:r>
      <w:r>
        <w:rPr>
          <w:rFonts w:hAnsi="宋体"/>
          <w:sz w:val="24"/>
          <w:szCs w:val="28"/>
          <w:highlight w:val="none"/>
        </w:rPr>
        <w:t>质疑函后7个工作日内作出答复</w:t>
      </w:r>
      <w:r>
        <w:rPr>
          <w:rFonts w:hint="eastAsia" w:hAnsi="宋体"/>
          <w:sz w:val="24"/>
          <w:szCs w:val="28"/>
          <w:highlight w:val="none"/>
        </w:rPr>
        <w:t>。</w:t>
      </w:r>
    </w:p>
    <w:p>
      <w:pPr>
        <w:pStyle w:val="13"/>
        <w:pageBreakBefore w:val="0"/>
        <w:numPr>
          <w:ilvl w:val="0"/>
          <w:numId w:val="0"/>
        </w:numPr>
        <w:kinsoku/>
        <w:wordWrap/>
        <w:overflowPunct/>
        <w:topLinePunct w:val="0"/>
        <w:bidi w:val="0"/>
        <w:spacing w:line="360" w:lineRule="auto"/>
        <w:ind w:leftChars="100" w:firstLine="0" w:firstLineChars="0"/>
        <w:textAlignment w:val="auto"/>
        <w:rPr>
          <w:rFonts w:hAnsi="宋体"/>
          <w:sz w:val="24"/>
          <w:szCs w:val="28"/>
          <w:highlight w:val="none"/>
        </w:rPr>
      </w:pPr>
      <w:r>
        <w:rPr>
          <w:rFonts w:hint="eastAsia" w:hAnsi="宋体"/>
          <w:sz w:val="24"/>
          <w:szCs w:val="28"/>
          <w:highlight w:val="none"/>
          <w:lang w:val="en-US" w:eastAsia="zh-CN"/>
        </w:rPr>
        <w:t>4.2</w:t>
      </w:r>
      <w:r>
        <w:rPr>
          <w:rFonts w:hint="eastAsia" w:hAnsi="宋体"/>
          <w:sz w:val="24"/>
          <w:szCs w:val="28"/>
          <w:highlight w:val="none"/>
        </w:rPr>
        <w:t>参与采购活动的磋商人对评审过程或者结果提出质疑的，采购人或采购代理机构可以组织原评审委员会协助处理质疑事项，并依据评审委员会出具的意见进行答复。质疑事项处理完成后，采购人或采购代理机构应按照规定填写《青海省政府采购磋商人质疑处理情况表》，并在15日内报同级政府采购监督管理部门备案。</w:t>
      </w:r>
    </w:p>
    <w:p>
      <w:pPr>
        <w:pStyle w:val="13"/>
        <w:pageBreakBefore w:val="0"/>
        <w:numPr>
          <w:ilvl w:val="0"/>
          <w:numId w:val="0"/>
        </w:numPr>
        <w:kinsoku/>
        <w:wordWrap/>
        <w:overflowPunct/>
        <w:topLinePunct w:val="0"/>
        <w:bidi w:val="0"/>
        <w:spacing w:line="360" w:lineRule="auto"/>
        <w:ind w:leftChars="100" w:firstLine="0" w:firstLineChars="0"/>
        <w:textAlignment w:val="auto"/>
        <w:rPr>
          <w:rFonts w:hAnsi="宋体"/>
          <w:sz w:val="24"/>
          <w:szCs w:val="28"/>
          <w:highlight w:val="none"/>
        </w:rPr>
      </w:pPr>
      <w:r>
        <w:rPr>
          <w:rFonts w:hint="eastAsia" w:hAnsi="宋体"/>
          <w:sz w:val="24"/>
          <w:szCs w:val="28"/>
          <w:highlight w:val="none"/>
          <w:lang w:val="en-US" w:eastAsia="zh-CN"/>
        </w:rPr>
        <w:t>4.3</w:t>
      </w:r>
      <w:r>
        <w:rPr>
          <w:rFonts w:hint="eastAsia" w:hAnsi="宋体"/>
          <w:sz w:val="24"/>
          <w:szCs w:val="28"/>
          <w:highlight w:val="none"/>
        </w:rPr>
        <w:t>质疑时效期间的计算</w:t>
      </w:r>
    </w:p>
    <w:p>
      <w:pPr>
        <w:pStyle w:val="13"/>
        <w:pageBreakBefore w:val="0"/>
        <w:numPr>
          <w:ilvl w:val="0"/>
          <w:numId w:val="7"/>
        </w:numPr>
        <w:kinsoku/>
        <w:wordWrap/>
        <w:overflowPunct/>
        <w:topLinePunct w:val="0"/>
        <w:bidi w:val="0"/>
        <w:spacing w:line="360" w:lineRule="auto"/>
        <w:ind w:left="425" w:leftChars="0" w:firstLine="0" w:firstLineChars="0"/>
        <w:textAlignment w:val="auto"/>
        <w:rPr>
          <w:rFonts w:hAnsi="宋体" w:cs="Arial"/>
          <w:sz w:val="24"/>
          <w:szCs w:val="24"/>
          <w:highlight w:val="none"/>
        </w:rPr>
      </w:pPr>
      <w:r>
        <w:rPr>
          <w:rFonts w:hint="eastAsia" w:hAnsi="宋体" w:cs="Arial"/>
          <w:sz w:val="24"/>
          <w:szCs w:val="24"/>
          <w:highlight w:val="none"/>
        </w:rPr>
        <w:t>对可以质疑的磋商文件提出质疑的，为收到磋商文件之日或磋商文件公告期限届满之日；</w:t>
      </w:r>
    </w:p>
    <w:p>
      <w:pPr>
        <w:pStyle w:val="13"/>
        <w:pageBreakBefore w:val="0"/>
        <w:numPr>
          <w:ilvl w:val="0"/>
          <w:numId w:val="7"/>
        </w:numPr>
        <w:kinsoku/>
        <w:wordWrap/>
        <w:overflowPunct/>
        <w:topLinePunct w:val="0"/>
        <w:bidi w:val="0"/>
        <w:spacing w:line="360" w:lineRule="auto"/>
        <w:ind w:left="425" w:leftChars="0" w:firstLine="0" w:firstLineChars="0"/>
        <w:textAlignment w:val="auto"/>
        <w:rPr>
          <w:rFonts w:hAnsi="宋体" w:cs="Arial"/>
          <w:sz w:val="24"/>
          <w:szCs w:val="24"/>
          <w:highlight w:val="none"/>
        </w:rPr>
      </w:pPr>
      <w:r>
        <w:rPr>
          <w:rFonts w:hint="eastAsia" w:hAnsi="宋体" w:cs="Arial"/>
          <w:sz w:val="24"/>
          <w:szCs w:val="24"/>
          <w:highlight w:val="none"/>
        </w:rPr>
        <w:t>对磋商过程提出质疑的，为磋商程序各环节结束之日；</w:t>
      </w:r>
    </w:p>
    <w:p>
      <w:pPr>
        <w:pStyle w:val="13"/>
        <w:pageBreakBefore w:val="0"/>
        <w:numPr>
          <w:ilvl w:val="0"/>
          <w:numId w:val="7"/>
        </w:numPr>
        <w:kinsoku/>
        <w:wordWrap/>
        <w:overflowPunct/>
        <w:topLinePunct w:val="0"/>
        <w:bidi w:val="0"/>
        <w:spacing w:line="360" w:lineRule="auto"/>
        <w:ind w:left="425" w:leftChars="0" w:firstLine="0" w:firstLineChars="0"/>
        <w:textAlignment w:val="auto"/>
        <w:rPr>
          <w:rFonts w:hAnsi="宋体" w:cs="Arial"/>
          <w:sz w:val="24"/>
          <w:szCs w:val="24"/>
          <w:highlight w:val="none"/>
        </w:rPr>
      </w:pPr>
      <w:r>
        <w:rPr>
          <w:rFonts w:hint="eastAsia" w:hAnsi="宋体" w:cs="Arial"/>
          <w:sz w:val="24"/>
          <w:szCs w:val="24"/>
          <w:highlight w:val="none"/>
        </w:rPr>
        <w:t>对中标结果提出质疑的，为中标公告期限届满之日。</w:t>
      </w:r>
    </w:p>
    <w:p>
      <w:pPr>
        <w:pStyle w:val="5"/>
        <w:keepNext/>
        <w:keepLines/>
        <w:pageBreakBefore w:val="0"/>
        <w:widowControl w:val="0"/>
        <w:numPr>
          <w:ilvl w:val="0"/>
          <w:numId w:val="4"/>
        </w:numPr>
        <w:kinsoku/>
        <w:wordWrap/>
        <w:overflowPunct/>
        <w:topLinePunct w:val="0"/>
        <w:autoSpaceDE/>
        <w:autoSpaceDN/>
        <w:bidi w:val="0"/>
        <w:adjustRightInd/>
        <w:snapToGrid/>
        <w:spacing w:before="0" w:after="0" w:line="360" w:lineRule="auto"/>
        <w:ind w:left="210" w:leftChars="0" w:firstLine="0" w:firstLineChars="0"/>
        <w:textAlignment w:val="auto"/>
        <w:rPr>
          <w:rFonts w:ascii="宋体" w:hAnsi="宋体"/>
          <w:b w:val="0"/>
          <w:highlight w:val="none"/>
        </w:rPr>
      </w:pPr>
      <w:bookmarkStart w:id="36" w:name="_Toc488673619"/>
      <w:bookmarkStart w:id="37" w:name="_Toc535421965"/>
      <w:r>
        <w:rPr>
          <w:rFonts w:hint="eastAsia" w:ascii="宋体" w:hAnsi="宋体"/>
          <w:b w:val="0"/>
          <w:highlight w:val="none"/>
        </w:rPr>
        <w:t>磋商文件的修改</w:t>
      </w:r>
      <w:bookmarkEnd w:id="36"/>
      <w:bookmarkEnd w:id="37"/>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5.1</w:t>
      </w:r>
      <w:r>
        <w:rPr>
          <w:rFonts w:hint="eastAsia" w:hAnsi="宋体"/>
          <w:sz w:val="24"/>
          <w:szCs w:val="28"/>
          <w:highlight w:val="none"/>
        </w:rPr>
        <w:t>在磋商截止期前，采购单位或采购代理机构可对磋商文件进行必要的修改或者澄清；</w:t>
      </w:r>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5.2</w:t>
      </w:r>
      <w:r>
        <w:rPr>
          <w:rFonts w:hint="eastAsia" w:hAnsi="宋体"/>
          <w:sz w:val="24"/>
          <w:szCs w:val="28"/>
          <w:highlight w:val="none"/>
        </w:rPr>
        <w:t>采购代理机构对已发出的磋商文件进行必要的澄清或者修改的，澄清或者修改的内容可能影响磋商文件编制的，在磋商文件要求提交磋商响应文件截止时间</w:t>
      </w:r>
      <w:r>
        <w:rPr>
          <w:rFonts w:hAnsi="宋体"/>
          <w:sz w:val="24"/>
          <w:szCs w:val="28"/>
          <w:highlight w:val="none"/>
        </w:rPr>
        <w:t>5</w:t>
      </w:r>
      <w:r>
        <w:rPr>
          <w:rFonts w:hint="eastAsia" w:hAnsi="宋体"/>
          <w:sz w:val="24"/>
          <w:szCs w:val="28"/>
          <w:highlight w:val="none"/>
        </w:rPr>
        <w:t>日前，在</w:t>
      </w:r>
      <w:r>
        <w:rPr>
          <w:rFonts w:hint="eastAsia" w:ascii="宋体" w:hAnsi="宋体" w:eastAsia="宋体" w:cs="宋体"/>
          <w:sz w:val="24"/>
          <w:szCs w:val="24"/>
          <w:highlight w:val="none"/>
          <w:lang w:val="zh-CN"/>
        </w:rPr>
        <w:t>《青海政府采购网》、《青海公共资源交易网》、《中国采购与招标网》</w:t>
      </w:r>
      <w:r>
        <w:rPr>
          <w:rFonts w:hint="eastAsia" w:hAnsi="宋体"/>
          <w:sz w:val="24"/>
          <w:szCs w:val="28"/>
          <w:highlight w:val="none"/>
        </w:rPr>
        <w:t>。不足</w:t>
      </w:r>
      <w:r>
        <w:rPr>
          <w:rFonts w:hAnsi="宋体"/>
          <w:sz w:val="24"/>
          <w:szCs w:val="28"/>
          <w:highlight w:val="none"/>
        </w:rPr>
        <w:t>5</w:t>
      </w:r>
      <w:r>
        <w:rPr>
          <w:rFonts w:hint="eastAsia" w:hAnsi="宋体"/>
          <w:sz w:val="24"/>
          <w:szCs w:val="28"/>
          <w:highlight w:val="none"/>
        </w:rPr>
        <w:t>日的，顺延提交磋商文件的截止时间。该澄清或者修改的内容为磋商文件的组成部分；</w:t>
      </w:r>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5.3</w:t>
      </w:r>
      <w:r>
        <w:rPr>
          <w:rFonts w:hint="eastAsia" w:hAnsi="宋体"/>
          <w:sz w:val="24"/>
          <w:szCs w:val="28"/>
          <w:highlight w:val="none"/>
        </w:rPr>
        <w:t>在磋商截止时间前，采购单位或采购代理机构可以视采购具体情况，延长磋商截止时间和磋商时间，并在磋商文件要求提交磋商响应文件的截止时间3日前，将变更时间以书面形式通知所有购买了磋商文件的潜在磋商供应商，同时在发布本次磋商公告的网站发布变更公告。</w:t>
      </w:r>
    </w:p>
    <w:p>
      <w:pPr>
        <w:pStyle w:val="4"/>
        <w:pageBreakBefore w:val="0"/>
        <w:tabs>
          <w:tab w:val="left" w:pos="720"/>
        </w:tabs>
        <w:kinsoku/>
        <w:wordWrap/>
        <w:overflowPunct/>
        <w:topLinePunct w:val="0"/>
        <w:bidi w:val="0"/>
        <w:ind w:firstLine="0" w:firstLineChars="0"/>
        <w:jc w:val="center"/>
        <w:textAlignment w:val="auto"/>
        <w:rPr>
          <w:rFonts w:hAnsi="宋体"/>
          <w:b/>
          <w:sz w:val="32"/>
          <w:szCs w:val="32"/>
          <w:highlight w:val="none"/>
        </w:rPr>
      </w:pPr>
      <w:bookmarkStart w:id="38" w:name="_Toc6228_WPSOffice_Level2"/>
      <w:bookmarkStart w:id="39" w:name="_Toc27344"/>
      <w:bookmarkStart w:id="40" w:name="_Toc535421966"/>
      <w:r>
        <w:rPr>
          <w:rFonts w:hint="eastAsia" w:hAnsi="宋体"/>
          <w:b/>
          <w:sz w:val="32"/>
          <w:szCs w:val="32"/>
          <w:highlight w:val="none"/>
        </w:rPr>
        <w:t>磋商响应文件的编写</w:t>
      </w:r>
      <w:bookmarkEnd w:id="38"/>
      <w:bookmarkEnd w:id="39"/>
      <w:bookmarkEnd w:id="40"/>
    </w:p>
    <w:p>
      <w:pPr>
        <w:pStyle w:val="5"/>
        <w:pageBreakBefore w:val="0"/>
        <w:numPr>
          <w:ilvl w:val="0"/>
          <w:numId w:val="4"/>
        </w:numPr>
        <w:kinsoku/>
        <w:wordWrap/>
        <w:overflowPunct/>
        <w:topLinePunct w:val="0"/>
        <w:bidi w:val="0"/>
        <w:spacing w:before="0" w:after="0" w:line="360" w:lineRule="auto"/>
        <w:ind w:left="210" w:leftChars="0" w:firstLine="0" w:firstLineChars="0"/>
        <w:textAlignment w:val="auto"/>
        <w:rPr>
          <w:rFonts w:ascii="宋体" w:hAnsi="宋体"/>
          <w:b w:val="0"/>
          <w:highlight w:val="none"/>
        </w:rPr>
      </w:pPr>
      <w:bookmarkStart w:id="41" w:name="_Toc535421967"/>
      <w:bookmarkStart w:id="42" w:name="_Toc488673621"/>
      <w:r>
        <w:rPr>
          <w:rFonts w:hint="eastAsia" w:ascii="宋体" w:hAnsi="宋体"/>
          <w:b w:val="0"/>
          <w:highlight w:val="none"/>
        </w:rPr>
        <w:t>磋商响应文件的语言及度量衡单位</w:t>
      </w:r>
      <w:bookmarkEnd w:id="41"/>
      <w:bookmarkEnd w:id="42"/>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6.1</w:t>
      </w:r>
      <w:r>
        <w:rPr>
          <w:rFonts w:hint="eastAsia" w:hAnsi="宋体"/>
          <w:sz w:val="24"/>
          <w:szCs w:val="28"/>
          <w:highlight w:val="none"/>
        </w:rPr>
        <w:t>磋商供应商提交的磋商响应文件以及磋商供应商与采购代理机构就此磋商发生的所有来往函电均应使用简体中文；</w:t>
      </w:r>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6.2</w:t>
      </w:r>
      <w:r>
        <w:rPr>
          <w:rFonts w:hint="eastAsia" w:hAnsi="宋体"/>
          <w:sz w:val="24"/>
          <w:szCs w:val="28"/>
          <w:highlight w:val="none"/>
        </w:rPr>
        <w:t>除磋商文件中另有规定外，磋商文件所使用的度量衡单位，均须采用国家法定计量单位；</w:t>
      </w:r>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6.3</w:t>
      </w:r>
      <w:r>
        <w:rPr>
          <w:rFonts w:hint="eastAsia" w:hAnsi="宋体"/>
          <w:sz w:val="24"/>
          <w:szCs w:val="28"/>
          <w:highlight w:val="none"/>
        </w:rPr>
        <w:t>附有外文资料的须翻译成中文，并加盖磋商供应商公章，如果翻译的中文资料与外文资料出现差异与矛盾时，以中文为准，其准确性由磋商供应商负责。</w:t>
      </w:r>
    </w:p>
    <w:p>
      <w:pPr>
        <w:pStyle w:val="5"/>
        <w:pageBreakBefore w:val="0"/>
        <w:numPr>
          <w:ilvl w:val="0"/>
          <w:numId w:val="4"/>
        </w:numPr>
        <w:kinsoku/>
        <w:wordWrap/>
        <w:overflowPunct/>
        <w:topLinePunct w:val="0"/>
        <w:bidi w:val="0"/>
        <w:spacing w:before="0" w:after="0" w:line="360" w:lineRule="auto"/>
        <w:ind w:left="210" w:leftChars="0" w:firstLine="0" w:firstLineChars="0"/>
        <w:textAlignment w:val="auto"/>
        <w:rPr>
          <w:rFonts w:ascii="宋体" w:hAnsi="宋体"/>
          <w:b w:val="0"/>
          <w:highlight w:val="none"/>
        </w:rPr>
      </w:pPr>
      <w:bookmarkStart w:id="43" w:name="_Toc535421968"/>
      <w:bookmarkStart w:id="44" w:name="_Toc488673622"/>
      <w:r>
        <w:rPr>
          <w:rFonts w:hint="eastAsia" w:ascii="宋体" w:hAnsi="宋体"/>
          <w:b w:val="0"/>
          <w:highlight w:val="none"/>
        </w:rPr>
        <w:t>磋商报价及币种</w:t>
      </w:r>
      <w:bookmarkEnd w:id="43"/>
      <w:bookmarkEnd w:id="44"/>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7.1</w:t>
      </w:r>
      <w:r>
        <w:rPr>
          <w:rFonts w:hint="eastAsia" w:hAnsi="宋体"/>
          <w:sz w:val="24"/>
          <w:szCs w:val="28"/>
          <w:highlight w:val="none"/>
        </w:rPr>
        <w:t>磋商报价为磋商总价。磋商报价必须包括：完成本服务内容可能发生的各项费用，如人员工资、交通、设备、利润、税收</w:t>
      </w:r>
      <w:r>
        <w:rPr>
          <w:rFonts w:hint="eastAsia" w:hAnsi="宋体"/>
          <w:sz w:val="24"/>
          <w:szCs w:val="28"/>
          <w:highlight w:val="none"/>
          <w:lang w:eastAsia="zh-CN"/>
        </w:rPr>
        <w:t>、招标代理费</w:t>
      </w:r>
      <w:r>
        <w:rPr>
          <w:rFonts w:hint="eastAsia" w:hAnsi="宋体"/>
          <w:sz w:val="24"/>
          <w:szCs w:val="28"/>
          <w:highlight w:val="none"/>
        </w:rPr>
        <w:t>以及所有有关的管理成本和</w:t>
      </w:r>
      <w:r>
        <w:rPr>
          <w:rFonts w:hAnsi="宋体"/>
          <w:sz w:val="24"/>
          <w:szCs w:val="28"/>
          <w:highlight w:val="none"/>
        </w:rPr>
        <w:t>其他不可预见费等全部费用</w:t>
      </w:r>
      <w:r>
        <w:rPr>
          <w:rFonts w:hint="eastAsia" w:hAnsi="宋体"/>
          <w:sz w:val="24"/>
          <w:szCs w:val="28"/>
          <w:highlight w:val="none"/>
        </w:rPr>
        <w:t>。（说明：具体内容应根据项目特点实事求是的填写）</w:t>
      </w:r>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7.2</w:t>
      </w:r>
      <w:r>
        <w:rPr>
          <w:rFonts w:hint="eastAsia" w:hAnsi="宋体"/>
          <w:sz w:val="24"/>
          <w:szCs w:val="28"/>
          <w:highlight w:val="none"/>
        </w:rPr>
        <w:t>磋商报价应注明有效期，有效期应与磋商有效期一致；</w:t>
      </w:r>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7.3</w:t>
      </w:r>
      <w:r>
        <w:rPr>
          <w:rFonts w:hint="eastAsia" w:hAnsi="宋体"/>
          <w:sz w:val="24"/>
          <w:szCs w:val="28"/>
          <w:highlight w:val="none"/>
        </w:rPr>
        <w:t>磋商供应商应根据磋商文件规定的格式完整填写所有内容，并保证所提供的全部资料真实可靠，自愿承担相应责任；</w:t>
      </w:r>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7.4</w:t>
      </w:r>
      <w:r>
        <w:rPr>
          <w:rFonts w:hint="eastAsia" w:hAnsi="宋体"/>
          <w:sz w:val="24"/>
          <w:szCs w:val="28"/>
          <w:highlight w:val="none"/>
        </w:rPr>
        <w:t>磋商报价为闭口价，即中标后在合同有效期内价格不变；</w:t>
      </w:r>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7.5</w:t>
      </w:r>
      <w:r>
        <w:rPr>
          <w:rFonts w:hint="eastAsia" w:hAnsi="宋体"/>
          <w:sz w:val="24"/>
          <w:szCs w:val="28"/>
          <w:highlight w:val="none"/>
        </w:rPr>
        <w:t>磋商币种为人民币。</w:t>
      </w:r>
    </w:p>
    <w:p>
      <w:pPr>
        <w:pStyle w:val="5"/>
        <w:pageBreakBefore w:val="0"/>
        <w:numPr>
          <w:ilvl w:val="0"/>
          <w:numId w:val="4"/>
        </w:numPr>
        <w:kinsoku/>
        <w:wordWrap/>
        <w:overflowPunct/>
        <w:topLinePunct w:val="0"/>
        <w:bidi w:val="0"/>
        <w:spacing w:before="0" w:after="0" w:line="360" w:lineRule="auto"/>
        <w:ind w:left="210" w:leftChars="0" w:firstLine="0" w:firstLineChars="0"/>
        <w:textAlignment w:val="auto"/>
        <w:rPr>
          <w:rFonts w:ascii="宋体" w:hAnsi="宋体"/>
          <w:b w:val="0"/>
          <w:highlight w:val="none"/>
        </w:rPr>
      </w:pPr>
      <w:bookmarkStart w:id="45" w:name="_Toc535421969"/>
      <w:bookmarkStart w:id="46" w:name="_Toc488673623"/>
      <w:r>
        <w:rPr>
          <w:rFonts w:hint="eastAsia" w:ascii="宋体" w:hAnsi="宋体"/>
          <w:b w:val="0"/>
          <w:highlight w:val="none"/>
        </w:rPr>
        <w:t>磋商保证金</w:t>
      </w:r>
      <w:bookmarkEnd w:id="45"/>
      <w:bookmarkEnd w:id="46"/>
    </w:p>
    <w:p>
      <w:pPr>
        <w:pStyle w:val="13"/>
        <w:pageBreakBefore w:val="0"/>
        <w:numPr>
          <w:ilvl w:val="0"/>
          <w:numId w:val="0"/>
        </w:numPr>
        <w:kinsoku/>
        <w:wordWrap/>
        <w:overflowPunct/>
        <w:topLinePunct w:val="0"/>
        <w:bidi w:val="0"/>
        <w:spacing w:line="360" w:lineRule="auto"/>
        <w:ind w:leftChars="200" w:firstLine="0" w:firstLineChars="0"/>
        <w:textAlignment w:val="auto"/>
        <w:rPr>
          <w:rFonts w:hint="eastAsia" w:hAnsi="宋体"/>
          <w:sz w:val="24"/>
          <w:szCs w:val="28"/>
          <w:highlight w:val="none"/>
        </w:rPr>
      </w:pPr>
      <w:r>
        <w:rPr>
          <w:rFonts w:hint="eastAsia" w:hAnsi="宋体"/>
          <w:sz w:val="24"/>
          <w:szCs w:val="28"/>
          <w:highlight w:val="none"/>
          <w:lang w:val="en-US" w:eastAsia="zh-CN"/>
        </w:rPr>
        <w:t>8.1</w:t>
      </w:r>
      <w:r>
        <w:rPr>
          <w:rFonts w:hint="eastAsia" w:hAnsi="宋体"/>
          <w:sz w:val="24"/>
          <w:szCs w:val="28"/>
          <w:highlight w:val="none"/>
        </w:rPr>
        <w:t>磋商供应商应将磋商保证金缴纳证明作为磋商文件的内容一并提供。缴纳的磋商保证金用于因磋商供应商的行为使本次磋商活动受到损失的抵项；</w:t>
      </w:r>
    </w:p>
    <w:p>
      <w:pPr>
        <w:pStyle w:val="13"/>
        <w:pageBreakBefore w:val="0"/>
        <w:numPr>
          <w:ilvl w:val="0"/>
          <w:numId w:val="0"/>
        </w:numPr>
        <w:kinsoku/>
        <w:wordWrap/>
        <w:overflowPunct/>
        <w:topLinePunct w:val="0"/>
        <w:bidi w:val="0"/>
        <w:spacing w:line="360" w:lineRule="auto"/>
        <w:ind w:leftChars="200" w:firstLine="0" w:firstLineChars="0"/>
        <w:textAlignment w:val="auto"/>
        <w:rPr>
          <w:rFonts w:hint="eastAsia" w:hAnsi="宋体"/>
          <w:sz w:val="24"/>
          <w:szCs w:val="28"/>
          <w:highlight w:val="none"/>
        </w:rPr>
      </w:pPr>
      <w:r>
        <w:rPr>
          <w:rFonts w:hint="eastAsia" w:hAnsi="宋体"/>
          <w:sz w:val="24"/>
          <w:szCs w:val="28"/>
          <w:highlight w:val="none"/>
          <w:lang w:val="en-US" w:eastAsia="zh-CN"/>
        </w:rPr>
        <w:t>8.2</w:t>
      </w:r>
      <w:r>
        <w:rPr>
          <w:rFonts w:hint="eastAsia" w:hAnsi="宋体"/>
          <w:sz w:val="24"/>
          <w:szCs w:val="28"/>
          <w:highlight w:val="none"/>
        </w:rPr>
        <w:t>磋商人须在投标截止期前按以下要求交纳投标保证金</w:t>
      </w:r>
      <w:r>
        <w:rPr>
          <w:rFonts w:hint="eastAsia" w:hAnsi="宋体"/>
          <w:sz w:val="24"/>
          <w:szCs w:val="28"/>
          <w:highlight w:val="none"/>
          <w:lang w:eastAsia="zh-CN"/>
        </w:rPr>
        <w:t>：</w:t>
      </w:r>
    </w:p>
    <w:p>
      <w:pPr>
        <w:pageBreakBefore w:val="0"/>
        <w:widowControl/>
        <w:kinsoku/>
        <w:wordWrap/>
        <w:overflowPunct/>
        <w:topLinePunct w:val="0"/>
        <w:bidi w:val="0"/>
        <w:adjustRightInd w:val="0"/>
        <w:snapToGrid w:val="0"/>
        <w:spacing w:line="360" w:lineRule="auto"/>
        <w:ind w:firstLine="0" w:firstLineChars="0"/>
        <w:jc w:val="left"/>
        <w:textAlignment w:val="auto"/>
        <w:rPr>
          <w:rFonts w:ascii="宋体" w:hAnsi="宋体" w:cs="Arial"/>
          <w:sz w:val="24"/>
          <w:highlight w:val="none"/>
        </w:rPr>
      </w:pPr>
      <w:r>
        <w:rPr>
          <w:rFonts w:hint="eastAsia" w:hAnsi="宋体"/>
          <w:sz w:val="24"/>
          <w:szCs w:val="28"/>
          <w:highlight w:val="none"/>
        </w:rPr>
        <w:t xml:space="preserve">   </w:t>
      </w:r>
      <w:r>
        <w:rPr>
          <w:rFonts w:hint="eastAsia" w:ascii="宋体" w:hAnsi="宋体" w:cs="Arial"/>
          <w:kern w:val="0"/>
          <w:sz w:val="24"/>
          <w:highlight w:val="none"/>
        </w:rPr>
        <w:t>磋商</w:t>
      </w:r>
      <w:r>
        <w:rPr>
          <w:rFonts w:ascii="宋体" w:hAnsi="宋体" w:cs="Arial"/>
          <w:sz w:val="24"/>
          <w:highlight w:val="none"/>
        </w:rPr>
        <w:t>保证金的金额（人民币）</w:t>
      </w:r>
      <w:bookmarkStart w:id="47" w:name="_Toc421873480"/>
      <w:r>
        <w:rPr>
          <w:rFonts w:hint="eastAsia" w:ascii="宋体" w:hAnsi="宋体" w:cs="Arial"/>
          <w:sz w:val="24"/>
          <w:highlight w:val="none"/>
        </w:rPr>
        <w:t>：</w:t>
      </w:r>
    </w:p>
    <w:bookmarkEnd w:id="47"/>
    <w:p>
      <w:pPr>
        <w:pStyle w:val="57"/>
        <w:pageBreakBefore w:val="0"/>
        <w:kinsoku/>
        <w:wordWrap/>
        <w:overflowPunct/>
        <w:topLinePunct w:val="0"/>
        <w:bidi w:val="0"/>
        <w:spacing w:line="360" w:lineRule="auto"/>
        <w:ind w:leftChars="200" w:firstLine="0" w:firstLineChars="0"/>
        <w:textAlignment w:val="auto"/>
        <w:rPr>
          <w:rFonts w:ascii="宋体" w:hAnsi="宋体"/>
          <w:kern w:val="0"/>
          <w:sz w:val="24"/>
          <w:szCs w:val="28"/>
          <w:highlight w:val="none"/>
        </w:rPr>
      </w:pPr>
      <w:bookmarkStart w:id="48" w:name="_Toc421873483"/>
      <w:r>
        <w:rPr>
          <w:rFonts w:hint="eastAsia" w:ascii="宋体" w:hAnsi="宋体"/>
          <w:kern w:val="0"/>
          <w:sz w:val="24"/>
          <w:szCs w:val="28"/>
          <w:highlight w:val="none"/>
        </w:rPr>
        <w:t>（</w:t>
      </w:r>
      <w:r>
        <w:rPr>
          <w:rFonts w:ascii="宋体" w:hAnsi="宋体"/>
          <w:kern w:val="0"/>
          <w:sz w:val="24"/>
          <w:szCs w:val="28"/>
          <w:highlight w:val="none"/>
        </w:rPr>
        <w:t>小写</w:t>
      </w:r>
      <w:r>
        <w:rPr>
          <w:rFonts w:hint="eastAsia" w:ascii="宋体" w:hAnsi="宋体"/>
          <w:kern w:val="0"/>
          <w:sz w:val="24"/>
          <w:szCs w:val="28"/>
          <w:highlight w:val="none"/>
        </w:rPr>
        <w:t>）：￥</w:t>
      </w:r>
      <w:r>
        <w:rPr>
          <w:rFonts w:hint="eastAsia" w:ascii="宋体" w:hAnsi="宋体"/>
          <w:kern w:val="0"/>
          <w:sz w:val="24"/>
          <w:szCs w:val="28"/>
          <w:highlight w:val="none"/>
          <w:lang w:val="en-US" w:eastAsia="zh-CN"/>
        </w:rPr>
        <w:t>18000.00</w:t>
      </w:r>
      <w:r>
        <w:rPr>
          <w:rFonts w:hint="eastAsia" w:ascii="宋体" w:hAnsi="宋体"/>
          <w:kern w:val="0"/>
          <w:sz w:val="24"/>
          <w:szCs w:val="28"/>
          <w:highlight w:val="none"/>
        </w:rPr>
        <w:t>元整</w:t>
      </w:r>
    </w:p>
    <w:p>
      <w:pPr>
        <w:pStyle w:val="57"/>
        <w:pageBreakBefore w:val="0"/>
        <w:kinsoku/>
        <w:wordWrap/>
        <w:overflowPunct/>
        <w:topLinePunct w:val="0"/>
        <w:bidi w:val="0"/>
        <w:spacing w:line="360" w:lineRule="auto"/>
        <w:ind w:leftChars="200" w:firstLine="0" w:firstLineChars="0"/>
        <w:textAlignment w:val="auto"/>
        <w:rPr>
          <w:rFonts w:hint="eastAsia" w:ascii="宋体" w:hAnsi="宋体" w:eastAsia="宋体"/>
          <w:kern w:val="0"/>
          <w:sz w:val="24"/>
          <w:szCs w:val="28"/>
          <w:highlight w:val="none"/>
          <w:lang w:eastAsia="zh-CN"/>
        </w:rPr>
      </w:pPr>
      <w:r>
        <w:rPr>
          <w:rFonts w:hint="eastAsia" w:ascii="宋体" w:hAnsi="宋体"/>
          <w:kern w:val="0"/>
          <w:sz w:val="24"/>
          <w:szCs w:val="28"/>
          <w:highlight w:val="none"/>
        </w:rPr>
        <w:t>（大写）：</w:t>
      </w:r>
      <w:r>
        <w:rPr>
          <w:rFonts w:hint="eastAsia" w:ascii="宋体" w:hAnsi="宋体"/>
          <w:kern w:val="0"/>
          <w:sz w:val="24"/>
          <w:szCs w:val="28"/>
          <w:highlight w:val="none"/>
          <w:lang w:eastAsia="zh-CN"/>
        </w:rPr>
        <w:t>壹万捌仟元整</w:t>
      </w:r>
    </w:p>
    <w:p>
      <w:pPr>
        <w:pageBreakBefore w:val="0"/>
        <w:widowControl/>
        <w:kinsoku/>
        <w:wordWrap/>
        <w:overflowPunct/>
        <w:topLinePunct w:val="0"/>
        <w:bidi w:val="0"/>
        <w:adjustRightInd w:val="0"/>
        <w:snapToGrid w:val="0"/>
        <w:spacing w:line="360" w:lineRule="auto"/>
        <w:ind w:leftChars="200" w:firstLine="0" w:firstLineChars="0"/>
        <w:jc w:val="left"/>
        <w:textAlignment w:val="auto"/>
        <w:rPr>
          <w:rFonts w:ascii="宋体" w:hAnsi="宋体" w:cs="Arial"/>
          <w:kern w:val="0"/>
          <w:sz w:val="24"/>
          <w:highlight w:val="none"/>
        </w:rPr>
      </w:pPr>
      <w:r>
        <w:rPr>
          <w:rFonts w:ascii="宋体" w:hAnsi="宋体" w:cs="Arial"/>
          <w:kern w:val="0"/>
          <w:sz w:val="24"/>
          <w:highlight w:val="none"/>
        </w:rPr>
        <w:t>磋商人可以采用现金支票、银行汇票、银行保函等非现金形式交纳</w:t>
      </w:r>
      <w:r>
        <w:rPr>
          <w:rFonts w:hint="eastAsia" w:ascii="宋体" w:hAnsi="宋体" w:cs="Arial"/>
          <w:kern w:val="0"/>
          <w:sz w:val="24"/>
          <w:highlight w:val="none"/>
        </w:rPr>
        <w:t>磋商</w:t>
      </w:r>
      <w:r>
        <w:rPr>
          <w:rFonts w:ascii="宋体" w:hAnsi="宋体" w:cs="Arial"/>
          <w:kern w:val="0"/>
          <w:sz w:val="24"/>
          <w:highlight w:val="none"/>
        </w:rPr>
        <w:t>保证金（注明此次项目磋商文件编号，例：）；提交账号如下：</w:t>
      </w:r>
      <w:bookmarkEnd w:id="48"/>
    </w:p>
    <w:p>
      <w:pPr>
        <w:pageBreakBefore w:val="0"/>
        <w:widowControl/>
        <w:kinsoku/>
        <w:wordWrap/>
        <w:overflowPunct/>
        <w:topLinePunct w:val="0"/>
        <w:bidi w:val="0"/>
        <w:adjustRightInd w:val="0"/>
        <w:snapToGrid w:val="0"/>
        <w:spacing w:line="360" w:lineRule="auto"/>
        <w:ind w:leftChars="200" w:firstLine="0" w:firstLineChars="0"/>
        <w:jc w:val="left"/>
        <w:textAlignment w:val="auto"/>
        <w:rPr>
          <w:rFonts w:hint="eastAsia" w:ascii="宋体" w:hAnsi="宋体" w:cs="Arial"/>
          <w:color w:val="auto"/>
          <w:kern w:val="0"/>
          <w:sz w:val="24"/>
          <w:highlight w:val="none"/>
          <w:lang w:eastAsia="zh-CN"/>
        </w:rPr>
      </w:pPr>
      <w:r>
        <w:rPr>
          <w:rFonts w:hint="eastAsia" w:ascii="宋体" w:hAnsi="宋体" w:cs="Arial"/>
          <w:color w:val="auto"/>
          <w:kern w:val="0"/>
          <w:sz w:val="24"/>
          <w:highlight w:val="none"/>
        </w:rPr>
        <w:t>开户行：</w:t>
      </w:r>
      <w:r>
        <w:rPr>
          <w:rFonts w:hint="eastAsia" w:ascii="宋体" w:hAnsi="宋体" w:eastAsia="宋体"/>
          <w:kern w:val="0"/>
          <w:sz w:val="24"/>
          <w:szCs w:val="24"/>
          <w:highlight w:val="none"/>
          <w:lang w:val="en-US" w:eastAsia="zh-CN" w:bidi="ar-SA"/>
        </w:rPr>
        <w:t>工行海西支行营业室</w:t>
      </w:r>
    </w:p>
    <w:p>
      <w:pPr>
        <w:pageBreakBefore w:val="0"/>
        <w:widowControl/>
        <w:kinsoku/>
        <w:wordWrap/>
        <w:overflowPunct/>
        <w:topLinePunct w:val="0"/>
        <w:bidi w:val="0"/>
        <w:adjustRightInd w:val="0"/>
        <w:snapToGrid w:val="0"/>
        <w:spacing w:line="360" w:lineRule="auto"/>
        <w:ind w:leftChars="200" w:firstLine="0" w:firstLineChars="0"/>
        <w:jc w:val="left"/>
        <w:textAlignment w:val="auto"/>
        <w:rPr>
          <w:rFonts w:hint="eastAsia" w:ascii="宋体" w:hAnsi="宋体" w:eastAsia="宋体" w:cs="Arial"/>
          <w:color w:val="auto"/>
          <w:kern w:val="0"/>
          <w:sz w:val="24"/>
          <w:highlight w:val="none"/>
          <w:lang w:eastAsia="zh-CN"/>
        </w:rPr>
      </w:pPr>
      <w:r>
        <w:rPr>
          <w:rFonts w:hint="eastAsia" w:ascii="宋体" w:hAnsi="宋体" w:cs="Arial"/>
          <w:color w:val="auto"/>
          <w:kern w:val="0"/>
          <w:sz w:val="24"/>
          <w:highlight w:val="none"/>
        </w:rPr>
        <w:t>账户名：</w:t>
      </w:r>
      <w:r>
        <w:rPr>
          <w:rFonts w:hint="eastAsia" w:ascii="宋体" w:hAnsi="宋体" w:cs="Arial"/>
          <w:color w:val="auto"/>
          <w:kern w:val="0"/>
          <w:sz w:val="24"/>
          <w:highlight w:val="none"/>
          <w:lang w:eastAsia="zh-CN"/>
        </w:rPr>
        <w:t>德令哈城乡建设综合开发有限公司</w:t>
      </w:r>
    </w:p>
    <w:p>
      <w:pPr>
        <w:pageBreakBefore w:val="0"/>
        <w:widowControl/>
        <w:kinsoku/>
        <w:wordWrap/>
        <w:overflowPunct/>
        <w:topLinePunct w:val="0"/>
        <w:bidi w:val="0"/>
        <w:adjustRightInd w:val="0"/>
        <w:snapToGrid w:val="0"/>
        <w:spacing w:line="360" w:lineRule="auto"/>
        <w:ind w:leftChars="200" w:firstLine="0" w:firstLineChars="0"/>
        <w:jc w:val="left"/>
        <w:textAlignment w:val="auto"/>
        <w:rPr>
          <w:rFonts w:hint="eastAsia" w:ascii="宋体" w:hAnsi="宋体" w:eastAsia="宋体" w:cs="Arial"/>
          <w:color w:val="auto"/>
          <w:kern w:val="0"/>
          <w:sz w:val="24"/>
          <w:highlight w:val="none"/>
          <w:lang w:val="en-US" w:eastAsia="zh-CN"/>
        </w:rPr>
      </w:pPr>
      <w:r>
        <w:rPr>
          <w:rFonts w:hint="eastAsia" w:ascii="宋体" w:hAnsi="宋体" w:cs="Arial"/>
          <w:color w:val="auto"/>
          <w:kern w:val="0"/>
          <w:sz w:val="24"/>
          <w:highlight w:val="none"/>
        </w:rPr>
        <w:t xml:space="preserve">账 </w:t>
      </w:r>
      <w:r>
        <w:rPr>
          <w:rFonts w:ascii="宋体" w:hAnsi="宋体" w:cs="Arial"/>
          <w:color w:val="auto"/>
          <w:kern w:val="0"/>
          <w:sz w:val="24"/>
          <w:highlight w:val="none"/>
        </w:rPr>
        <w:t xml:space="preserve"> </w:t>
      </w:r>
      <w:r>
        <w:rPr>
          <w:rFonts w:hint="eastAsia" w:ascii="宋体" w:hAnsi="宋体" w:cs="Arial"/>
          <w:color w:val="auto"/>
          <w:kern w:val="0"/>
          <w:sz w:val="24"/>
          <w:highlight w:val="none"/>
        </w:rPr>
        <w:t>号：</w:t>
      </w:r>
      <w:r>
        <w:rPr>
          <w:rFonts w:hint="eastAsia" w:ascii="宋体" w:hAnsi="宋体" w:eastAsia="宋体"/>
          <w:kern w:val="0"/>
          <w:sz w:val="24"/>
          <w:szCs w:val="24"/>
          <w:highlight w:val="none"/>
          <w:lang w:val="en-US" w:eastAsia="zh-CN" w:bidi="ar-SA"/>
        </w:rPr>
        <w:t>2806040419200110409</w:t>
      </w:r>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8.3</w:t>
      </w:r>
      <w:r>
        <w:rPr>
          <w:rFonts w:hint="eastAsia" w:hAnsi="宋体"/>
          <w:sz w:val="24"/>
          <w:szCs w:val="28"/>
          <w:highlight w:val="none"/>
        </w:rPr>
        <w:t>磋商供应商应在磋商截止时间前1个工作日将磋商保证金缴纳到采购代理机构账户，以银行到账时间为准；</w:t>
      </w:r>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8.4</w:t>
      </w:r>
      <w:r>
        <w:rPr>
          <w:rFonts w:hint="eastAsia" w:hAnsi="宋体"/>
          <w:sz w:val="24"/>
          <w:szCs w:val="28"/>
          <w:highlight w:val="none"/>
        </w:rPr>
        <w:t>磋商保证金应当以电汇、支票、汇票、本票或者金融机构、担保机构出具的保函等非现金形式提交，通过银行转账的，必须从磋商供应商基本账户直接汇（转）入采购代理机构指定账户；</w:t>
      </w:r>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8.5</w:t>
      </w:r>
      <w:r>
        <w:rPr>
          <w:rFonts w:hint="eastAsia" w:hAnsi="宋体"/>
          <w:sz w:val="24"/>
          <w:szCs w:val="28"/>
          <w:highlight w:val="none"/>
        </w:rPr>
        <w:t>未按磋商文件要求在规定时间前交纳规定数额磋商保证金的磋商将被拒绝；</w:t>
      </w:r>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8.6</w:t>
      </w:r>
      <w:r>
        <w:rPr>
          <w:rFonts w:hint="eastAsia" w:hAnsi="宋体"/>
          <w:sz w:val="24"/>
          <w:szCs w:val="28"/>
          <w:highlight w:val="none"/>
        </w:rPr>
        <w:t>未中标磋商供应商的磋商保证金自中标通知书发出之日起5个工作日内全额无息退还（不退现金）；中标磋商供应商的磋商保证金，自政府采购合同签订之日起5个工作日内全额无息退还（不退现金）；</w:t>
      </w:r>
    </w:p>
    <w:p>
      <w:pPr>
        <w:pStyle w:val="13"/>
        <w:pageBreakBefore w:val="0"/>
        <w:numPr>
          <w:ilvl w:val="0"/>
          <w:numId w:val="0"/>
        </w:numPr>
        <w:kinsoku/>
        <w:wordWrap/>
        <w:overflowPunct/>
        <w:topLinePunct w:val="0"/>
        <w:bidi w:val="0"/>
        <w:spacing w:line="360" w:lineRule="auto"/>
        <w:ind w:leftChars="200" w:firstLine="0" w:firstLineChars="0"/>
        <w:textAlignment w:val="auto"/>
        <w:rPr>
          <w:rFonts w:hAnsi="宋体"/>
          <w:sz w:val="24"/>
          <w:szCs w:val="28"/>
          <w:highlight w:val="none"/>
        </w:rPr>
      </w:pPr>
      <w:r>
        <w:rPr>
          <w:rFonts w:hint="eastAsia" w:hAnsi="宋体"/>
          <w:sz w:val="24"/>
          <w:szCs w:val="28"/>
          <w:highlight w:val="none"/>
          <w:lang w:val="en-US" w:eastAsia="zh-CN"/>
        </w:rPr>
        <w:t>8.7</w:t>
      </w:r>
      <w:r>
        <w:rPr>
          <w:rFonts w:hint="eastAsia" w:hAnsi="宋体"/>
          <w:sz w:val="24"/>
          <w:szCs w:val="28"/>
          <w:highlight w:val="none"/>
        </w:rPr>
        <w:t>下列任何情况发生时，磋商保证金将不予退还：</w:t>
      </w:r>
    </w:p>
    <w:p>
      <w:pPr>
        <w:pStyle w:val="13"/>
        <w:pageBreakBefore w:val="0"/>
        <w:numPr>
          <w:ilvl w:val="0"/>
          <w:numId w:val="8"/>
        </w:numPr>
        <w:kinsoku/>
        <w:wordWrap/>
        <w:overflowPunct/>
        <w:topLinePunct w:val="0"/>
        <w:bidi w:val="0"/>
        <w:spacing w:line="360" w:lineRule="auto"/>
        <w:ind w:left="845" w:leftChars="0" w:firstLine="0" w:firstLineChars="0"/>
        <w:textAlignment w:val="auto"/>
        <w:rPr>
          <w:rFonts w:hAnsi="宋体" w:cs="Arial"/>
          <w:sz w:val="24"/>
          <w:szCs w:val="24"/>
          <w:highlight w:val="none"/>
        </w:rPr>
      </w:pPr>
      <w:r>
        <w:rPr>
          <w:rFonts w:hint="eastAsia" w:hAnsi="宋体" w:cs="Arial"/>
          <w:sz w:val="24"/>
          <w:szCs w:val="24"/>
          <w:highlight w:val="none"/>
        </w:rPr>
        <w:t>磋商供应商在递交磋商响应文件的截止时间前未到达现场并且没有以书面形式如信函、传真等告知采购代理机构要撤其磋商的；</w:t>
      </w:r>
    </w:p>
    <w:p>
      <w:pPr>
        <w:pStyle w:val="13"/>
        <w:pageBreakBefore w:val="0"/>
        <w:numPr>
          <w:ilvl w:val="0"/>
          <w:numId w:val="8"/>
        </w:numPr>
        <w:kinsoku/>
        <w:wordWrap/>
        <w:overflowPunct/>
        <w:topLinePunct w:val="0"/>
        <w:bidi w:val="0"/>
        <w:spacing w:line="360" w:lineRule="auto"/>
        <w:ind w:left="845" w:leftChars="0" w:firstLine="0" w:firstLineChars="0"/>
        <w:textAlignment w:val="auto"/>
        <w:rPr>
          <w:rFonts w:hAnsi="宋体" w:cs="Arial"/>
          <w:sz w:val="24"/>
          <w:szCs w:val="24"/>
          <w:highlight w:val="none"/>
        </w:rPr>
      </w:pPr>
      <w:r>
        <w:rPr>
          <w:rFonts w:hint="eastAsia" w:hAnsi="宋体" w:cs="Arial"/>
          <w:sz w:val="24"/>
          <w:szCs w:val="24"/>
          <w:highlight w:val="none"/>
        </w:rPr>
        <w:t>中标磋商供应商在规定期限内未能按规定签订合同或未按规定缴纳中标服务费；</w:t>
      </w:r>
    </w:p>
    <w:p>
      <w:pPr>
        <w:pStyle w:val="13"/>
        <w:pageBreakBefore w:val="0"/>
        <w:numPr>
          <w:ilvl w:val="0"/>
          <w:numId w:val="8"/>
        </w:numPr>
        <w:kinsoku/>
        <w:wordWrap/>
        <w:overflowPunct/>
        <w:topLinePunct w:val="0"/>
        <w:bidi w:val="0"/>
        <w:spacing w:line="360" w:lineRule="auto"/>
        <w:ind w:left="845" w:leftChars="0" w:firstLine="0" w:firstLineChars="0"/>
        <w:textAlignment w:val="auto"/>
        <w:rPr>
          <w:rFonts w:hAnsi="宋体" w:cs="Arial"/>
          <w:sz w:val="24"/>
          <w:szCs w:val="24"/>
          <w:highlight w:val="none"/>
        </w:rPr>
      </w:pPr>
      <w:r>
        <w:rPr>
          <w:rFonts w:hint="eastAsia" w:hAnsi="宋体" w:cs="Arial"/>
          <w:sz w:val="24"/>
          <w:szCs w:val="24"/>
          <w:highlight w:val="none"/>
        </w:rPr>
        <w:t>提供虚假材料谋取中标的；</w:t>
      </w:r>
    </w:p>
    <w:p>
      <w:pPr>
        <w:pStyle w:val="13"/>
        <w:pageBreakBefore w:val="0"/>
        <w:numPr>
          <w:ilvl w:val="0"/>
          <w:numId w:val="8"/>
        </w:numPr>
        <w:kinsoku/>
        <w:wordWrap/>
        <w:overflowPunct/>
        <w:topLinePunct w:val="0"/>
        <w:bidi w:val="0"/>
        <w:spacing w:line="360" w:lineRule="auto"/>
        <w:ind w:left="845" w:leftChars="0" w:firstLine="0" w:firstLineChars="0"/>
        <w:textAlignment w:val="auto"/>
        <w:rPr>
          <w:rFonts w:hAnsi="宋体" w:cs="Arial"/>
          <w:sz w:val="24"/>
          <w:szCs w:val="24"/>
          <w:highlight w:val="none"/>
        </w:rPr>
      </w:pPr>
      <w:r>
        <w:rPr>
          <w:rFonts w:hint="eastAsia" w:hAnsi="宋体" w:cs="Arial"/>
          <w:sz w:val="24"/>
          <w:szCs w:val="24"/>
          <w:highlight w:val="none"/>
        </w:rPr>
        <w:t>将中标项目转让给他人，或者在磋商响应文件中未说明，将中标项目分包给他人的；</w:t>
      </w:r>
    </w:p>
    <w:p>
      <w:pPr>
        <w:pStyle w:val="13"/>
        <w:pageBreakBefore w:val="0"/>
        <w:numPr>
          <w:ilvl w:val="0"/>
          <w:numId w:val="8"/>
        </w:numPr>
        <w:kinsoku/>
        <w:wordWrap/>
        <w:overflowPunct/>
        <w:topLinePunct w:val="0"/>
        <w:bidi w:val="0"/>
        <w:spacing w:line="360" w:lineRule="auto"/>
        <w:ind w:left="845" w:leftChars="0" w:firstLine="0" w:firstLineChars="0"/>
        <w:textAlignment w:val="auto"/>
        <w:rPr>
          <w:rFonts w:hAnsi="宋体" w:cs="Arial"/>
          <w:sz w:val="24"/>
          <w:szCs w:val="24"/>
          <w:highlight w:val="none"/>
        </w:rPr>
      </w:pPr>
      <w:r>
        <w:rPr>
          <w:rFonts w:hint="eastAsia" w:hAnsi="宋体" w:cs="Arial"/>
          <w:sz w:val="24"/>
          <w:szCs w:val="24"/>
          <w:highlight w:val="none"/>
        </w:rPr>
        <w:t>拒绝履行合同义务的；</w:t>
      </w:r>
    </w:p>
    <w:p>
      <w:pPr>
        <w:pStyle w:val="13"/>
        <w:pageBreakBefore w:val="0"/>
        <w:numPr>
          <w:ilvl w:val="0"/>
          <w:numId w:val="8"/>
        </w:numPr>
        <w:kinsoku/>
        <w:wordWrap/>
        <w:overflowPunct/>
        <w:topLinePunct w:val="0"/>
        <w:bidi w:val="0"/>
        <w:spacing w:line="360" w:lineRule="auto"/>
        <w:ind w:left="845" w:leftChars="0" w:firstLine="0" w:firstLineChars="0"/>
        <w:textAlignment w:val="auto"/>
        <w:rPr>
          <w:rFonts w:hAnsi="宋体" w:cs="Arial"/>
          <w:sz w:val="24"/>
          <w:szCs w:val="24"/>
          <w:highlight w:val="none"/>
        </w:rPr>
      </w:pPr>
      <w:r>
        <w:rPr>
          <w:rFonts w:hint="eastAsia" w:hAnsi="宋体" w:cs="Arial"/>
          <w:sz w:val="24"/>
          <w:szCs w:val="24"/>
          <w:highlight w:val="none"/>
        </w:rPr>
        <w:t>法律、法规规定的其他情形。</w:t>
      </w:r>
    </w:p>
    <w:p>
      <w:pPr>
        <w:pStyle w:val="5"/>
        <w:pageBreakBefore w:val="0"/>
        <w:numPr>
          <w:ilvl w:val="0"/>
          <w:numId w:val="4"/>
        </w:numPr>
        <w:kinsoku/>
        <w:wordWrap/>
        <w:overflowPunct/>
        <w:topLinePunct w:val="0"/>
        <w:bidi w:val="0"/>
        <w:spacing w:before="0" w:after="0" w:line="360" w:lineRule="auto"/>
        <w:ind w:left="210" w:leftChars="0" w:firstLine="0" w:firstLineChars="0"/>
        <w:textAlignment w:val="auto"/>
        <w:rPr>
          <w:rFonts w:ascii="宋体" w:hAnsi="宋体"/>
          <w:b w:val="0"/>
          <w:highlight w:val="none"/>
        </w:rPr>
      </w:pPr>
      <w:bookmarkStart w:id="49" w:name="_Toc535421970"/>
      <w:bookmarkStart w:id="50" w:name="_Toc488673624"/>
      <w:r>
        <w:rPr>
          <w:rFonts w:ascii="宋体" w:hAnsi="宋体"/>
          <w:b w:val="0"/>
          <w:highlight w:val="none"/>
        </w:rPr>
        <w:t>磋商有效期</w:t>
      </w:r>
      <w:bookmarkEnd w:id="49"/>
      <w:bookmarkEnd w:id="50"/>
    </w:p>
    <w:p>
      <w:pPr>
        <w:pStyle w:val="13"/>
        <w:pageBreakBefore w:val="0"/>
        <w:kinsoku/>
        <w:wordWrap/>
        <w:overflowPunct/>
        <w:topLinePunct w:val="0"/>
        <w:bidi w:val="0"/>
        <w:spacing w:line="360" w:lineRule="auto"/>
        <w:ind w:firstLine="0" w:firstLineChars="0"/>
        <w:textAlignment w:val="auto"/>
        <w:rPr>
          <w:rFonts w:hAnsi="宋体"/>
          <w:b/>
          <w:sz w:val="24"/>
          <w:szCs w:val="28"/>
          <w:highlight w:val="none"/>
        </w:rPr>
      </w:pPr>
      <w:r>
        <w:rPr>
          <w:rFonts w:hAnsi="宋体" w:cs="Arial"/>
          <w:sz w:val="24"/>
          <w:szCs w:val="24"/>
          <w:highlight w:val="none"/>
        </w:rPr>
        <w:t>本次磋商有效期为自</w:t>
      </w:r>
      <w:r>
        <w:rPr>
          <w:rFonts w:hint="eastAsia" w:hAnsi="宋体" w:cs="Arial"/>
          <w:sz w:val="24"/>
          <w:szCs w:val="24"/>
          <w:highlight w:val="none"/>
        </w:rPr>
        <w:t>磋商</w:t>
      </w:r>
      <w:r>
        <w:rPr>
          <w:rFonts w:hAnsi="宋体" w:cs="Arial"/>
          <w:sz w:val="24"/>
          <w:szCs w:val="24"/>
          <w:highlight w:val="none"/>
        </w:rPr>
        <w:t>之日起</w:t>
      </w:r>
      <w:r>
        <w:rPr>
          <w:rFonts w:hint="eastAsia" w:hAnsi="宋体" w:cs="Arial"/>
          <w:sz w:val="24"/>
          <w:szCs w:val="24"/>
          <w:highlight w:val="none"/>
          <w:lang w:eastAsia="zh-CN"/>
        </w:rPr>
        <w:t>6</w:t>
      </w:r>
      <w:r>
        <w:rPr>
          <w:rFonts w:hint="eastAsia" w:hAnsi="宋体" w:cs="Arial"/>
          <w:sz w:val="24"/>
          <w:szCs w:val="24"/>
          <w:highlight w:val="none"/>
        </w:rPr>
        <w:t>0</w:t>
      </w:r>
      <w:r>
        <w:rPr>
          <w:rFonts w:hAnsi="宋体" w:cs="Arial"/>
          <w:sz w:val="24"/>
          <w:szCs w:val="24"/>
          <w:highlight w:val="none"/>
        </w:rPr>
        <w:t>个日历日</w:t>
      </w:r>
      <w:r>
        <w:rPr>
          <w:rFonts w:hint="eastAsia" w:hAnsi="宋体" w:cs="Arial"/>
          <w:sz w:val="24"/>
          <w:szCs w:val="24"/>
          <w:highlight w:val="none"/>
        </w:rPr>
        <w:t>。</w:t>
      </w:r>
    </w:p>
    <w:p>
      <w:pPr>
        <w:pStyle w:val="5"/>
        <w:pageBreakBefore w:val="0"/>
        <w:numPr>
          <w:ilvl w:val="0"/>
          <w:numId w:val="4"/>
        </w:numPr>
        <w:kinsoku/>
        <w:wordWrap/>
        <w:overflowPunct/>
        <w:topLinePunct w:val="0"/>
        <w:bidi w:val="0"/>
        <w:spacing w:before="0" w:after="0" w:line="360" w:lineRule="auto"/>
        <w:ind w:left="210" w:leftChars="0" w:firstLine="0" w:firstLineChars="0"/>
        <w:textAlignment w:val="auto"/>
        <w:rPr>
          <w:rFonts w:hint="eastAsia" w:ascii="宋体" w:hAnsi="宋体"/>
          <w:b w:val="0"/>
          <w:bCs w:val="0"/>
          <w:kern w:val="0"/>
          <w:sz w:val="24"/>
          <w:szCs w:val="28"/>
          <w:highlight w:val="none"/>
          <w:lang w:val="en-US" w:eastAsia="zh-CN" w:bidi="ar-SA"/>
        </w:rPr>
      </w:pPr>
      <w:bookmarkStart w:id="51" w:name="_Toc535421971"/>
      <w:bookmarkStart w:id="52" w:name="_Toc488673625"/>
      <w:r>
        <w:rPr>
          <w:rFonts w:hint="eastAsia" w:ascii="宋体" w:hAnsi="宋体"/>
          <w:b w:val="0"/>
          <w:bCs w:val="0"/>
          <w:kern w:val="0"/>
          <w:sz w:val="24"/>
          <w:szCs w:val="28"/>
          <w:highlight w:val="none"/>
          <w:lang w:val="en-US" w:eastAsia="zh-CN" w:bidi="ar-SA"/>
        </w:rPr>
        <w:t>磋商响应文件的构成</w:t>
      </w:r>
      <w:bookmarkEnd w:id="51"/>
      <w:bookmarkEnd w:id="52"/>
    </w:p>
    <w:p>
      <w:pPr>
        <w:pStyle w:val="13"/>
        <w:pageBreakBefore w:val="0"/>
        <w:numPr>
          <w:ilvl w:val="0"/>
          <w:numId w:val="0"/>
        </w:numPr>
        <w:kinsoku/>
        <w:wordWrap/>
        <w:overflowPunct/>
        <w:topLinePunct w:val="0"/>
        <w:bidi w:val="0"/>
        <w:spacing w:line="360" w:lineRule="auto"/>
        <w:ind w:leftChars="200" w:firstLine="0" w:firstLineChars="0"/>
        <w:textAlignment w:val="auto"/>
        <w:rPr>
          <w:rFonts w:hint="eastAsia" w:hAnsi="宋体"/>
          <w:sz w:val="24"/>
          <w:szCs w:val="28"/>
          <w:highlight w:val="none"/>
        </w:rPr>
      </w:pPr>
      <w:r>
        <w:rPr>
          <w:rFonts w:hint="eastAsia" w:hAnsi="宋体"/>
          <w:sz w:val="24"/>
          <w:szCs w:val="28"/>
          <w:highlight w:val="none"/>
          <w:lang w:val="en-US" w:eastAsia="zh-CN"/>
        </w:rPr>
        <w:t>10.1</w:t>
      </w:r>
      <w:r>
        <w:rPr>
          <w:rFonts w:hint="eastAsia" w:hAnsi="宋体"/>
          <w:sz w:val="24"/>
          <w:szCs w:val="28"/>
          <w:highlight w:val="none"/>
        </w:rPr>
        <w:t xml:space="preserve">磋商供应商应提交相关证明材料，作为其参加磋商和中标后有能力履行合同的证明。编写的磋商响应文件须包括以下内容（格式见磋商文件“第五部分 </w:t>
      </w:r>
      <w:r>
        <w:rPr>
          <w:rFonts w:hAnsi="宋体"/>
          <w:sz w:val="24"/>
          <w:szCs w:val="28"/>
          <w:highlight w:val="none"/>
        </w:rPr>
        <w:t xml:space="preserve"> </w:t>
      </w:r>
      <w:r>
        <w:rPr>
          <w:rFonts w:hint="eastAsia" w:hAnsi="宋体"/>
          <w:sz w:val="24"/>
          <w:szCs w:val="28"/>
          <w:highlight w:val="none"/>
        </w:rPr>
        <w:t>磋商响应文件格式”）：</w:t>
      </w:r>
    </w:p>
    <w:p>
      <w:pPr>
        <w:pStyle w:val="13"/>
        <w:pageBreakBefore w:val="0"/>
        <w:numPr>
          <w:ilvl w:val="0"/>
          <w:numId w:val="0"/>
        </w:numPr>
        <w:kinsoku/>
        <w:wordWrap/>
        <w:overflowPunct/>
        <w:topLinePunct w:val="0"/>
        <w:bidi w:val="0"/>
        <w:spacing w:line="360" w:lineRule="auto"/>
        <w:ind w:firstLine="0" w:firstLineChars="0"/>
        <w:textAlignment w:val="auto"/>
        <w:rPr>
          <w:rFonts w:hAnsi="宋体"/>
          <w:sz w:val="24"/>
          <w:szCs w:val="28"/>
          <w:highlight w:val="none"/>
        </w:rPr>
      </w:pPr>
      <w:r>
        <w:rPr>
          <w:rFonts w:hint="eastAsia" w:hAnsi="宋体" w:cs="Arial"/>
          <w:sz w:val="24"/>
          <w:szCs w:val="24"/>
          <w:highlight w:val="none"/>
          <w:lang w:val="en-US" w:eastAsia="zh-CN"/>
        </w:rPr>
        <w:t>10.2</w:t>
      </w:r>
      <w:r>
        <w:rPr>
          <w:rFonts w:hint="eastAsia" w:hAnsi="宋体" w:cs="Arial"/>
          <w:sz w:val="24"/>
          <w:szCs w:val="24"/>
          <w:highlight w:val="none"/>
        </w:rPr>
        <w:t>磋商响应文件</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磋商函；</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法定代表人证明书；</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法定代表人授权书；</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磋商供应商承诺书；</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供应商诚信承诺书；</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资格证明材料；</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财务状况、缴纳税收和社会保障资金证明；</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具备履行合同所必须的设备和专业技术能力证明；</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无重大违法记录声明；</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磋商保证金证明；</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评分对照表</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int="eastAsia" w:hAnsi="宋体" w:cs="Arial"/>
          <w:sz w:val="24"/>
          <w:szCs w:val="24"/>
          <w:highlight w:val="none"/>
        </w:rPr>
      </w:pPr>
      <w:r>
        <w:rPr>
          <w:rFonts w:hint="eastAsia" w:hAnsi="宋体" w:cs="Arial"/>
          <w:sz w:val="24"/>
          <w:szCs w:val="24"/>
          <w:highlight w:val="none"/>
        </w:rPr>
        <w:t>竞争性磋商首次报价表；</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Ansi="宋体" w:cs="Arial"/>
          <w:sz w:val="24"/>
          <w:szCs w:val="24"/>
          <w:highlight w:val="none"/>
        </w:rPr>
        <w:t>分项报价表</w:t>
      </w:r>
      <w:r>
        <w:rPr>
          <w:rFonts w:hint="eastAsia" w:hAnsi="宋体" w:cs="Arial"/>
          <w:sz w:val="24"/>
          <w:szCs w:val="24"/>
          <w:highlight w:val="none"/>
        </w:rPr>
        <w:t>；</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磋商</w:t>
      </w:r>
      <w:r>
        <w:rPr>
          <w:rFonts w:hint="eastAsia" w:hAnsi="宋体" w:cs="Arial"/>
          <w:sz w:val="24"/>
          <w:szCs w:val="24"/>
          <w:highlight w:val="none"/>
          <w:lang w:eastAsia="zh-CN"/>
        </w:rPr>
        <w:t>服务</w:t>
      </w:r>
      <w:r>
        <w:rPr>
          <w:rFonts w:hint="eastAsia" w:hAnsi="宋体" w:cs="Arial"/>
          <w:sz w:val="24"/>
          <w:szCs w:val="24"/>
          <w:highlight w:val="none"/>
        </w:rPr>
        <w:t>相关资料；</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磋商供应商的类似业绩证明材料；</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中小微型企业声明函；</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残疾人福利性单位声明函</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Ansi="宋体" w:cs="Arial"/>
          <w:sz w:val="24"/>
          <w:szCs w:val="24"/>
          <w:highlight w:val="none"/>
        </w:rPr>
      </w:pPr>
      <w:r>
        <w:rPr>
          <w:rFonts w:hint="eastAsia" w:hAnsi="宋体" w:cs="Arial"/>
          <w:sz w:val="24"/>
          <w:szCs w:val="24"/>
          <w:highlight w:val="none"/>
        </w:rPr>
        <w:t>磋商供应商认为在其他方面有必要说明的事项；</w:t>
      </w:r>
    </w:p>
    <w:p>
      <w:pPr>
        <w:pStyle w:val="13"/>
        <w:pageBreakBefore w:val="0"/>
        <w:numPr>
          <w:ilvl w:val="0"/>
          <w:numId w:val="9"/>
        </w:numPr>
        <w:kinsoku/>
        <w:wordWrap/>
        <w:overflowPunct/>
        <w:topLinePunct w:val="0"/>
        <w:bidi w:val="0"/>
        <w:spacing w:line="360" w:lineRule="auto"/>
        <w:ind w:left="5" w:leftChars="0" w:firstLine="0" w:firstLineChars="0"/>
        <w:textAlignment w:val="auto"/>
        <w:rPr>
          <w:rFonts w:hint="eastAsia" w:hAnsi="宋体" w:cs="Arial"/>
          <w:sz w:val="24"/>
          <w:szCs w:val="24"/>
          <w:highlight w:val="none"/>
        </w:rPr>
      </w:pPr>
      <w:r>
        <w:rPr>
          <w:rFonts w:hAnsi="宋体" w:cs="Arial"/>
          <w:sz w:val="24"/>
          <w:szCs w:val="24"/>
          <w:highlight w:val="none"/>
        </w:rPr>
        <w:t>磋商最终报价表</w:t>
      </w:r>
      <w:r>
        <w:rPr>
          <w:rFonts w:hint="eastAsia" w:hAnsi="宋体" w:cs="Arial"/>
          <w:sz w:val="24"/>
          <w:szCs w:val="24"/>
          <w:highlight w:val="none"/>
        </w:rPr>
        <w:t>。</w:t>
      </w:r>
    </w:p>
    <w:p>
      <w:pPr>
        <w:pStyle w:val="13"/>
        <w:pageBreakBefore w:val="0"/>
        <w:kinsoku/>
        <w:wordWrap/>
        <w:overflowPunct/>
        <w:topLinePunct w:val="0"/>
        <w:bidi w:val="0"/>
        <w:spacing w:line="360" w:lineRule="auto"/>
        <w:ind w:left="845" w:leftChars="0" w:firstLine="0" w:firstLineChars="0"/>
        <w:textAlignment w:val="auto"/>
        <w:rPr>
          <w:rFonts w:hAnsi="宋体" w:cs="Arial"/>
          <w:sz w:val="24"/>
          <w:szCs w:val="24"/>
          <w:highlight w:val="none"/>
        </w:rPr>
      </w:pPr>
      <w:r>
        <w:rPr>
          <w:rFonts w:hint="eastAsia" w:hAnsi="宋体" w:cs="Arial"/>
          <w:sz w:val="24"/>
          <w:szCs w:val="24"/>
          <w:highlight w:val="none"/>
        </w:rPr>
        <w:t>注：磋商人须按上述内容、顺序和格式编制磋商响应文件，并按要求编制目录、页码，并保证所提供的全部资料真实可信，自愿承担相应责任。</w:t>
      </w:r>
    </w:p>
    <w:p>
      <w:pPr>
        <w:pStyle w:val="5"/>
        <w:pageBreakBefore w:val="0"/>
        <w:numPr>
          <w:ilvl w:val="0"/>
          <w:numId w:val="0"/>
        </w:numPr>
        <w:kinsoku/>
        <w:wordWrap/>
        <w:overflowPunct/>
        <w:topLinePunct w:val="0"/>
        <w:bidi w:val="0"/>
        <w:spacing w:before="0" w:after="0" w:line="360" w:lineRule="auto"/>
        <w:ind w:leftChars="0" w:firstLine="0" w:firstLineChars="0"/>
        <w:textAlignment w:val="auto"/>
        <w:rPr>
          <w:rFonts w:ascii="宋体" w:hAnsi="宋体"/>
          <w:b w:val="0"/>
          <w:highlight w:val="none"/>
        </w:rPr>
      </w:pPr>
      <w:bookmarkStart w:id="53" w:name="_Toc488673626"/>
      <w:bookmarkStart w:id="54" w:name="_Toc535421972"/>
      <w:r>
        <w:rPr>
          <w:rFonts w:hint="eastAsia" w:ascii="宋体" w:hAnsi="宋体"/>
          <w:b w:val="0"/>
          <w:highlight w:val="none"/>
          <w:lang w:val="en-US" w:eastAsia="zh-CN"/>
        </w:rPr>
        <w:t>11、</w:t>
      </w:r>
      <w:r>
        <w:rPr>
          <w:rFonts w:hint="eastAsia" w:ascii="宋体" w:hAnsi="宋体"/>
          <w:b w:val="0"/>
          <w:highlight w:val="none"/>
        </w:rPr>
        <w:t>磋商响应文件的编制要求</w:t>
      </w:r>
      <w:bookmarkEnd w:id="53"/>
      <w:bookmarkEnd w:id="54"/>
    </w:p>
    <w:p>
      <w:pPr>
        <w:pageBreakBefore w:val="0"/>
        <w:kinsoku/>
        <w:wordWrap/>
        <w:overflowPunct/>
        <w:topLinePunct w:val="0"/>
        <w:bidi w:val="0"/>
        <w:spacing w:line="288" w:lineRule="auto"/>
        <w:ind w:firstLine="0" w:firstLineChars="0"/>
        <w:textAlignment w:val="auto"/>
        <w:rPr>
          <w:rFonts w:hint="eastAsia" w:ascii="宋体" w:hAnsi="宋体" w:cs="Arial" w:eastAsiaTheme="minorEastAsia"/>
          <w:sz w:val="24"/>
          <w:szCs w:val="24"/>
          <w:highlight w:val="none"/>
          <w:lang w:val="zh-CN" w:eastAsia="zh-CN" w:bidi="ar-SA"/>
        </w:rPr>
      </w:pPr>
      <w:r>
        <w:rPr>
          <w:rFonts w:hint="eastAsia" w:hAnsi="宋体" w:cs="宋体"/>
          <w:sz w:val="24"/>
          <w:highlight w:val="none"/>
          <w:lang w:val="en-US" w:eastAsia="zh-CN"/>
        </w:rPr>
        <w:t>11.1</w:t>
      </w:r>
      <w:r>
        <w:rPr>
          <w:rFonts w:hint="eastAsia" w:ascii="仿宋" w:hAnsi="仿宋" w:eastAsia="仿宋" w:cs="仿宋"/>
          <w:sz w:val="21"/>
          <w:szCs w:val="21"/>
          <w:highlight w:val="none"/>
          <w:lang w:val="zh-CN"/>
        </w:rPr>
        <w:t>1</w:t>
      </w:r>
      <w:r>
        <w:rPr>
          <w:rFonts w:hint="eastAsia" w:ascii="宋体" w:hAnsi="宋体" w:cs="Arial" w:eastAsiaTheme="minorEastAsia"/>
          <w:sz w:val="24"/>
          <w:szCs w:val="24"/>
          <w:highlight w:val="none"/>
          <w:lang w:val="zh-CN" w:eastAsia="zh-CN" w:bidi="ar-SA"/>
        </w:rPr>
        <w:t>、供应商须提交加密电子磋商响应文件1份务必在开标截止前上传至电子开评标系统。加密电子磋商响应文件制作详情请咨询政采云，咨询电话：400-881-7190。</w:t>
      </w:r>
    </w:p>
    <w:p>
      <w:pPr>
        <w:pStyle w:val="13"/>
        <w:pageBreakBefore w:val="0"/>
        <w:numPr>
          <w:ilvl w:val="0"/>
          <w:numId w:val="0"/>
        </w:numPr>
        <w:kinsoku/>
        <w:wordWrap/>
        <w:overflowPunct/>
        <w:topLinePunct w:val="0"/>
        <w:bidi w:val="0"/>
        <w:spacing w:line="360" w:lineRule="auto"/>
        <w:ind w:leftChars="200" w:firstLine="0" w:firstLineChars="0"/>
        <w:textAlignment w:val="auto"/>
        <w:rPr>
          <w:rFonts w:hint="eastAsia" w:ascii="宋体" w:hAnsi="宋体" w:cs="Arial" w:eastAsiaTheme="minorEastAsia"/>
          <w:sz w:val="24"/>
          <w:szCs w:val="24"/>
          <w:highlight w:val="none"/>
          <w:lang w:val="en-US" w:eastAsia="zh-CN" w:bidi="ar-SA"/>
        </w:rPr>
      </w:pPr>
      <w:r>
        <w:rPr>
          <w:rFonts w:hint="eastAsia" w:ascii="宋体" w:hAnsi="宋体" w:cs="Arial" w:eastAsiaTheme="minorEastAsia"/>
          <w:sz w:val="24"/>
          <w:szCs w:val="24"/>
          <w:highlight w:val="none"/>
          <w:lang w:val="zh-CN" w:eastAsia="zh-CN" w:bidi="ar-SA"/>
        </w:rPr>
        <w:t>2、按照线上磋商响应文件编制要求，编制线上磋商响应文件。</w:t>
      </w:r>
    </w:p>
    <w:p>
      <w:pPr>
        <w:pStyle w:val="4"/>
        <w:pageBreakBefore w:val="0"/>
        <w:tabs>
          <w:tab w:val="left" w:pos="720"/>
        </w:tabs>
        <w:kinsoku/>
        <w:wordWrap/>
        <w:overflowPunct/>
        <w:topLinePunct w:val="0"/>
        <w:bidi w:val="0"/>
        <w:ind w:firstLine="0" w:firstLineChars="0"/>
        <w:jc w:val="center"/>
        <w:textAlignment w:val="auto"/>
        <w:rPr>
          <w:rFonts w:hint="eastAsia" w:ascii="宋体" w:hAnsi="宋体" w:cs="Arial" w:eastAsiaTheme="minorEastAsia"/>
          <w:sz w:val="24"/>
          <w:szCs w:val="24"/>
          <w:highlight w:val="none"/>
          <w:lang w:val="en-US" w:eastAsia="zh-CN" w:bidi="ar-SA"/>
        </w:rPr>
      </w:pPr>
      <w:bookmarkStart w:id="55" w:name="_Toc32636_WPSOffice_Level2"/>
      <w:bookmarkStart w:id="56" w:name="_Toc6400"/>
      <w:bookmarkStart w:id="57" w:name="_Toc535421973"/>
      <w:r>
        <w:rPr>
          <w:rFonts w:hint="eastAsia" w:ascii="宋体" w:hAnsi="宋体" w:cs="Arial" w:eastAsiaTheme="minorEastAsia"/>
          <w:sz w:val="24"/>
          <w:szCs w:val="24"/>
          <w:highlight w:val="none"/>
          <w:lang w:val="en-US" w:eastAsia="zh-CN" w:bidi="ar-SA"/>
        </w:rPr>
        <w:t>磋商响应文件的递交</w:t>
      </w:r>
      <w:bookmarkEnd w:id="55"/>
      <w:bookmarkEnd w:id="56"/>
      <w:bookmarkEnd w:id="57"/>
    </w:p>
    <w:p>
      <w:pPr>
        <w:pStyle w:val="13"/>
        <w:pageBreakBefore w:val="0"/>
        <w:numPr>
          <w:ilvl w:val="0"/>
          <w:numId w:val="0"/>
        </w:numPr>
        <w:kinsoku/>
        <w:wordWrap/>
        <w:overflowPunct/>
        <w:topLinePunct w:val="0"/>
        <w:bidi w:val="0"/>
        <w:spacing w:line="360" w:lineRule="auto"/>
        <w:ind w:firstLine="0" w:firstLineChars="0"/>
        <w:textAlignment w:val="auto"/>
        <w:rPr>
          <w:rFonts w:hint="eastAsia" w:ascii="宋体" w:hAnsi="宋体"/>
          <w:sz w:val="24"/>
          <w:szCs w:val="28"/>
          <w:highlight w:val="none"/>
          <w:lang w:eastAsia="zh-CN"/>
        </w:rPr>
      </w:pPr>
      <w:bookmarkStart w:id="58" w:name="_Toc535421974"/>
      <w:bookmarkStart w:id="59" w:name="_Toc488673628"/>
      <w:r>
        <w:rPr>
          <w:rFonts w:hint="eastAsia" w:ascii="宋体" w:hAnsi="宋体" w:eastAsia="宋体" w:cstheme="minorBidi"/>
          <w:b w:val="0"/>
          <w:sz w:val="28"/>
          <w:szCs w:val="22"/>
          <w:highlight w:val="none"/>
          <w:lang w:val="en-US" w:eastAsia="zh-CN" w:bidi="ar-SA"/>
        </w:rPr>
        <w:t>13、</w:t>
      </w:r>
      <w:bookmarkEnd w:id="58"/>
      <w:bookmarkEnd w:id="59"/>
      <w:r>
        <w:rPr>
          <w:rFonts w:hint="eastAsia" w:ascii="宋体" w:hAnsi="宋体"/>
          <w:sz w:val="24"/>
          <w:szCs w:val="28"/>
          <w:highlight w:val="none"/>
          <w:lang w:val="zh-CN" w:eastAsia="zh-CN"/>
        </w:rPr>
        <w:t>通过政采云投标客户端递交响应文件</w:t>
      </w:r>
    </w:p>
    <w:p>
      <w:pPr>
        <w:pStyle w:val="5"/>
        <w:pageBreakBefore w:val="0"/>
        <w:numPr>
          <w:ilvl w:val="0"/>
          <w:numId w:val="0"/>
        </w:numPr>
        <w:kinsoku/>
        <w:wordWrap/>
        <w:overflowPunct/>
        <w:topLinePunct w:val="0"/>
        <w:bidi w:val="0"/>
        <w:spacing w:before="0" w:after="0" w:line="360" w:lineRule="auto"/>
        <w:ind w:leftChars="0" w:firstLine="0" w:firstLineChars="0"/>
        <w:textAlignment w:val="auto"/>
        <w:rPr>
          <w:rFonts w:ascii="宋体" w:hAnsi="宋体"/>
          <w:b w:val="0"/>
          <w:highlight w:val="none"/>
        </w:rPr>
      </w:pPr>
      <w:bookmarkStart w:id="60" w:name="_Toc488673629"/>
      <w:bookmarkStart w:id="61" w:name="_Toc535421975"/>
      <w:r>
        <w:rPr>
          <w:rFonts w:hint="eastAsia" w:ascii="宋体" w:hAnsi="宋体"/>
          <w:b w:val="0"/>
          <w:highlight w:val="none"/>
          <w:lang w:val="en-US" w:eastAsia="zh-CN"/>
        </w:rPr>
        <w:t>14、</w:t>
      </w:r>
      <w:r>
        <w:rPr>
          <w:rFonts w:hint="eastAsia" w:ascii="宋体" w:hAnsi="宋体" w:eastAsiaTheme="minorEastAsia" w:cstheme="minorBidi"/>
          <w:b w:val="0"/>
          <w:sz w:val="24"/>
          <w:szCs w:val="28"/>
          <w:highlight w:val="none"/>
          <w:lang w:val="zh-CN" w:eastAsia="zh-CN" w:bidi="ar-SA"/>
        </w:rPr>
        <w:t>递交磋商响应文件的地点、截止时间</w:t>
      </w:r>
      <w:bookmarkEnd w:id="60"/>
      <w:bookmarkEnd w:id="61"/>
    </w:p>
    <w:p>
      <w:pPr>
        <w:pStyle w:val="13"/>
        <w:pageBreakBefore w:val="0"/>
        <w:numPr>
          <w:ilvl w:val="1"/>
          <w:numId w:val="10"/>
        </w:numPr>
        <w:kinsoku/>
        <w:wordWrap/>
        <w:overflowPunct/>
        <w:topLinePunct w:val="0"/>
        <w:bidi w:val="0"/>
        <w:spacing w:line="360" w:lineRule="auto"/>
        <w:ind w:firstLine="0" w:firstLineChars="0"/>
        <w:textAlignment w:val="auto"/>
        <w:rPr>
          <w:rFonts w:hAnsi="宋体"/>
          <w:sz w:val="24"/>
          <w:szCs w:val="28"/>
          <w:highlight w:val="none"/>
        </w:rPr>
      </w:pPr>
      <w:r>
        <w:rPr>
          <w:rFonts w:hint="eastAsia" w:ascii="Arial" w:hAnsi="Arial" w:cs="Arial"/>
          <w:sz w:val="24"/>
          <w:highlight w:val="none"/>
          <w:lang w:val="zh-CN" w:eastAsia="zh-CN"/>
        </w:rPr>
        <w:t>通过政采云投标客户端递交响应文件</w:t>
      </w:r>
    </w:p>
    <w:p>
      <w:pPr>
        <w:pStyle w:val="13"/>
        <w:pageBreakBefore w:val="0"/>
        <w:numPr>
          <w:ilvl w:val="1"/>
          <w:numId w:val="10"/>
        </w:numPr>
        <w:kinsoku/>
        <w:wordWrap/>
        <w:overflowPunct/>
        <w:topLinePunct w:val="0"/>
        <w:bidi w:val="0"/>
        <w:spacing w:line="360" w:lineRule="auto"/>
        <w:ind w:firstLine="0" w:firstLineChars="0"/>
        <w:textAlignment w:val="auto"/>
        <w:rPr>
          <w:rFonts w:hAnsi="宋体"/>
          <w:sz w:val="24"/>
          <w:szCs w:val="28"/>
          <w:highlight w:val="none"/>
        </w:rPr>
      </w:pPr>
      <w:r>
        <w:rPr>
          <w:rFonts w:hint="eastAsia" w:hAnsi="宋体"/>
          <w:sz w:val="24"/>
          <w:szCs w:val="28"/>
          <w:highlight w:val="none"/>
        </w:rPr>
        <w:t>磋商截止时间</w:t>
      </w:r>
      <w:r>
        <w:rPr>
          <w:rFonts w:hint="eastAsia" w:hAnsi="宋体"/>
          <w:color w:val="auto"/>
          <w:sz w:val="24"/>
          <w:szCs w:val="28"/>
          <w:highlight w:val="none"/>
          <w:lang w:eastAsia="zh-CN"/>
        </w:rPr>
        <w:t>：</w:t>
      </w:r>
      <w:r>
        <w:rPr>
          <w:rFonts w:hint="eastAsia" w:hAnsi="宋体" w:eastAsia="宋体" w:cs="宋体"/>
          <w:color w:val="auto"/>
          <w:sz w:val="24"/>
          <w:szCs w:val="24"/>
          <w:highlight w:val="none"/>
          <w:lang w:val="zh-CN"/>
        </w:rPr>
        <w:t>2024年01月16日上午09:00（北京时间）</w:t>
      </w:r>
      <w:r>
        <w:rPr>
          <w:rFonts w:hint="eastAsia" w:ascii="宋体" w:hAnsi="宋体" w:eastAsia="宋体" w:cs="宋体"/>
          <w:color w:val="auto"/>
          <w:sz w:val="24"/>
          <w:szCs w:val="24"/>
          <w:highlight w:val="none"/>
        </w:rPr>
        <w:t>。</w:t>
      </w:r>
    </w:p>
    <w:p>
      <w:pPr>
        <w:pStyle w:val="5"/>
        <w:pageBreakBefore w:val="0"/>
        <w:numPr>
          <w:ilvl w:val="0"/>
          <w:numId w:val="0"/>
        </w:numPr>
        <w:kinsoku/>
        <w:wordWrap/>
        <w:overflowPunct/>
        <w:topLinePunct w:val="0"/>
        <w:bidi w:val="0"/>
        <w:spacing w:before="0" w:after="0" w:line="360" w:lineRule="auto"/>
        <w:ind w:leftChars="0" w:firstLine="0" w:firstLineChars="0"/>
        <w:textAlignment w:val="auto"/>
        <w:rPr>
          <w:rFonts w:hint="eastAsia" w:ascii="宋体" w:hAnsi="宋体" w:eastAsia="宋体"/>
          <w:b w:val="0"/>
          <w:highlight w:val="none"/>
          <w:lang w:eastAsia="zh-CN"/>
        </w:rPr>
      </w:pPr>
      <w:bookmarkStart w:id="62" w:name="_Toc488673630"/>
      <w:bookmarkStart w:id="63" w:name="_Toc535421976"/>
      <w:r>
        <w:rPr>
          <w:rFonts w:hint="eastAsia" w:ascii="宋体" w:hAnsi="宋体"/>
          <w:b w:val="0"/>
          <w:highlight w:val="none"/>
          <w:lang w:val="en-US" w:eastAsia="zh-CN"/>
        </w:rPr>
        <w:t>15、</w:t>
      </w:r>
      <w:r>
        <w:rPr>
          <w:rFonts w:hint="eastAsia" w:ascii="宋体" w:hAnsi="宋体" w:eastAsiaTheme="minorEastAsia" w:cstheme="minorBidi"/>
          <w:b w:val="0"/>
          <w:sz w:val="24"/>
          <w:szCs w:val="28"/>
          <w:highlight w:val="none"/>
          <w:lang w:val="zh-CN" w:eastAsia="zh-CN" w:bidi="ar-SA"/>
        </w:rPr>
        <w:t>磋商响应文件</w:t>
      </w:r>
      <w:bookmarkEnd w:id="62"/>
      <w:bookmarkEnd w:id="63"/>
      <w:r>
        <w:rPr>
          <w:rFonts w:hint="eastAsia" w:ascii="宋体" w:hAnsi="宋体" w:eastAsiaTheme="minorEastAsia" w:cstheme="minorBidi"/>
          <w:b w:val="0"/>
          <w:sz w:val="24"/>
          <w:szCs w:val="28"/>
          <w:highlight w:val="none"/>
          <w:lang w:val="zh-CN" w:eastAsia="zh-CN" w:bidi="ar-SA"/>
        </w:rPr>
        <w:t>其他事项</w:t>
      </w:r>
    </w:p>
    <w:p>
      <w:pPr>
        <w:pageBreakBefore w:val="0"/>
        <w:kinsoku/>
        <w:wordWrap/>
        <w:overflowPunct/>
        <w:topLinePunct w:val="0"/>
        <w:bidi w:val="0"/>
        <w:ind w:leftChars="100" w:firstLine="0" w:firstLineChars="0"/>
        <w:textAlignment w:val="auto"/>
        <w:rPr>
          <w:rFonts w:hint="eastAsia" w:ascii="宋体" w:hAnsi="宋体" w:cs="宋体" w:eastAsiaTheme="minorEastAsia"/>
          <w:sz w:val="24"/>
          <w:szCs w:val="22"/>
          <w:highlight w:val="none"/>
          <w:lang w:val="en-US" w:eastAsia="zh-CN" w:bidi="ar-SA"/>
        </w:rPr>
      </w:pPr>
      <w:r>
        <w:rPr>
          <w:rFonts w:hint="eastAsia" w:ascii="宋体" w:hAnsi="宋体" w:cs="宋体" w:eastAsiaTheme="minorEastAsia"/>
          <w:sz w:val="24"/>
          <w:szCs w:val="22"/>
          <w:highlight w:val="none"/>
          <w:lang w:val="en-US" w:eastAsia="zh-CN" w:bidi="ar-SA"/>
        </w:rPr>
        <w:t>1、本公告发布于《青海政府采购网》发布（公告期限：自青海政府采购网发布之日起5个工作日；公告内容以青海政府采购网发布的为准）。</w:t>
      </w:r>
    </w:p>
    <w:p>
      <w:pPr>
        <w:pageBreakBefore w:val="0"/>
        <w:kinsoku/>
        <w:wordWrap/>
        <w:overflowPunct/>
        <w:topLinePunct w:val="0"/>
        <w:bidi w:val="0"/>
        <w:ind w:leftChars="100" w:firstLine="0" w:firstLineChars="0"/>
        <w:textAlignment w:val="auto"/>
        <w:rPr>
          <w:rFonts w:hint="eastAsia" w:ascii="宋体" w:hAnsi="宋体" w:cs="宋体" w:eastAsiaTheme="minorEastAsia"/>
          <w:sz w:val="24"/>
          <w:szCs w:val="22"/>
          <w:highlight w:val="none"/>
          <w:lang w:val="en-US" w:eastAsia="zh-CN" w:bidi="ar-SA"/>
        </w:rPr>
      </w:pPr>
      <w:r>
        <w:rPr>
          <w:rFonts w:hint="eastAsia" w:ascii="宋体" w:hAnsi="宋体" w:cs="宋体" w:eastAsiaTheme="minorEastAsia"/>
          <w:sz w:val="24"/>
          <w:szCs w:val="22"/>
          <w:highlight w:val="none"/>
          <w:lang w:val="en-US" w:eastAsia="zh-CN" w:bidi="ar-SA"/>
        </w:rPr>
        <w:t>2、本次招标采用线上提交磋商响应文件的方式进行采购，磋商响应文件必须在磋商响应文件递交截止时间前上传平台。</w:t>
      </w:r>
    </w:p>
    <w:p>
      <w:pPr>
        <w:pageBreakBefore w:val="0"/>
        <w:kinsoku/>
        <w:wordWrap/>
        <w:overflowPunct/>
        <w:topLinePunct w:val="0"/>
        <w:bidi w:val="0"/>
        <w:ind w:leftChars="100" w:firstLine="0" w:firstLineChars="0"/>
        <w:textAlignment w:val="auto"/>
        <w:rPr>
          <w:rFonts w:hint="eastAsia" w:ascii="宋体" w:hAnsi="宋体" w:cs="宋体" w:eastAsiaTheme="minorEastAsia"/>
          <w:sz w:val="24"/>
          <w:szCs w:val="22"/>
          <w:highlight w:val="none"/>
          <w:lang w:val="en-US" w:eastAsia="zh-CN" w:bidi="ar-SA"/>
        </w:rPr>
      </w:pPr>
      <w:r>
        <w:rPr>
          <w:rFonts w:hint="eastAsia" w:ascii="宋体" w:hAnsi="宋体" w:cs="宋体" w:eastAsiaTheme="minorEastAsia"/>
          <w:sz w:val="24"/>
          <w:szCs w:val="22"/>
          <w:highlight w:val="none"/>
          <w:lang w:val="en-US" w:eastAsia="zh-CN" w:bidi="ar-SA"/>
        </w:rPr>
        <w:t>3、若对项目采购电子交易系统操作有疑问，可登录政采云（https://www.zcygov.cn/），点击右侧咨询小采，获取采小蜜智能服务管家帮助，或拨打政采云服务热线400-881-7190获取热线服务帮助。 CA问题PC咨询网址（可及时反馈问题截图，让客服快速定位问题）:http://tseal.cn/k.html，联系电话（人工）：400-087-8198。</w:t>
      </w:r>
    </w:p>
    <w:p>
      <w:pPr>
        <w:pageBreakBefore w:val="0"/>
        <w:widowControl/>
        <w:kinsoku/>
        <w:wordWrap/>
        <w:overflowPunct/>
        <w:topLinePunct w:val="0"/>
        <w:bidi w:val="0"/>
        <w:spacing w:line="360" w:lineRule="auto"/>
        <w:ind w:leftChars="100" w:firstLine="0" w:firstLineChars="0"/>
        <w:jc w:val="left"/>
        <w:textAlignment w:val="auto"/>
        <w:rPr>
          <w:rFonts w:hint="eastAsia" w:ascii="宋体" w:hAnsi="宋体" w:cs="宋体" w:eastAsiaTheme="minorEastAsia"/>
          <w:sz w:val="24"/>
          <w:szCs w:val="22"/>
          <w:highlight w:val="none"/>
          <w:lang w:val="en-US" w:eastAsia="zh-CN" w:bidi="ar-SA"/>
        </w:rPr>
      </w:pPr>
      <w:r>
        <w:rPr>
          <w:rFonts w:hint="eastAsia" w:ascii="宋体" w:hAnsi="宋体" w:cs="宋体" w:eastAsiaTheme="minorEastAsia"/>
          <w:sz w:val="24"/>
          <w:szCs w:val="22"/>
          <w:highlight w:val="none"/>
          <w:lang w:val="en-US" w:eastAsia="zh-CN" w:bidi="ar-SA"/>
        </w:rPr>
        <w:t>4、磋商供应商解密和磋商报价时必须由e签宝注册人办理，磋商供应商须在固定电脑设备前登陆等待解密和磋商报价，磋商供应商须在规定的时间内完成，如超时，则视为无效投标。</w:t>
      </w:r>
    </w:p>
    <w:p>
      <w:pPr>
        <w:pStyle w:val="4"/>
        <w:pageBreakBefore w:val="0"/>
        <w:tabs>
          <w:tab w:val="left" w:pos="720"/>
        </w:tabs>
        <w:kinsoku/>
        <w:wordWrap/>
        <w:overflowPunct/>
        <w:topLinePunct w:val="0"/>
        <w:bidi w:val="0"/>
        <w:ind w:firstLine="0" w:firstLineChars="0"/>
        <w:jc w:val="center"/>
        <w:textAlignment w:val="auto"/>
        <w:rPr>
          <w:rFonts w:hAnsi="宋体"/>
          <w:b/>
          <w:highlight w:val="none"/>
        </w:rPr>
      </w:pPr>
      <w:bookmarkStart w:id="64" w:name="_Toc535421977"/>
      <w:bookmarkStart w:id="65" w:name="_Toc7273_WPSOffice_Level2"/>
      <w:bookmarkStart w:id="66" w:name="_Toc24628"/>
      <w:r>
        <w:rPr>
          <w:rFonts w:hint="eastAsia" w:hAnsi="宋体"/>
          <w:b/>
          <w:highlight w:val="none"/>
        </w:rPr>
        <w:t>磋商过程</w:t>
      </w:r>
      <w:bookmarkEnd w:id="64"/>
      <w:bookmarkEnd w:id="65"/>
      <w:bookmarkEnd w:id="66"/>
    </w:p>
    <w:p>
      <w:pPr>
        <w:pStyle w:val="58"/>
        <w:keepNext w:val="0"/>
        <w:keepLines w:val="0"/>
        <w:pageBreakBefore w:val="0"/>
        <w:widowControl w:val="0"/>
        <w:numPr>
          <w:ilvl w:val="0"/>
          <w:numId w:val="11"/>
        </w:numPr>
        <w:kinsoku/>
        <w:wordWrap/>
        <w:overflowPunct/>
        <w:topLinePunct w:val="0"/>
        <w:autoSpaceDE/>
        <w:autoSpaceDN/>
        <w:bidi w:val="0"/>
        <w:adjustRightInd/>
        <w:snapToGrid/>
        <w:spacing w:line="360" w:lineRule="auto"/>
        <w:ind w:left="420" w:firstLine="0" w:firstLineChars="0"/>
        <w:jc w:val="left"/>
        <w:textAlignment w:val="auto"/>
        <w:rPr>
          <w:rFonts w:ascii="宋体" w:hAnsi="宋体" w:cs="宋体"/>
          <w:sz w:val="24"/>
          <w:highlight w:val="none"/>
        </w:rPr>
      </w:pPr>
      <w:r>
        <w:rPr>
          <w:rFonts w:hint="eastAsia" w:ascii="宋体" w:hAnsi="宋体" w:cs="宋体"/>
          <w:sz w:val="24"/>
          <w:highlight w:val="none"/>
        </w:rPr>
        <w:t>采购代理机构按本磋商文件中确定的时间和地点组织本项目的磋商活动。供应商应由其委托代理人参加</w:t>
      </w:r>
    </w:p>
    <w:p>
      <w:pPr>
        <w:pStyle w:val="58"/>
        <w:keepNext w:val="0"/>
        <w:keepLines w:val="0"/>
        <w:pageBreakBefore w:val="0"/>
        <w:widowControl w:val="0"/>
        <w:numPr>
          <w:ilvl w:val="0"/>
          <w:numId w:val="11"/>
        </w:numPr>
        <w:kinsoku/>
        <w:wordWrap/>
        <w:overflowPunct/>
        <w:topLinePunct w:val="0"/>
        <w:autoSpaceDE/>
        <w:autoSpaceDN/>
        <w:bidi w:val="0"/>
        <w:adjustRightInd/>
        <w:snapToGrid/>
        <w:spacing w:line="360" w:lineRule="auto"/>
        <w:ind w:left="420" w:firstLine="0" w:firstLineChars="0"/>
        <w:jc w:val="left"/>
        <w:textAlignment w:val="auto"/>
        <w:rPr>
          <w:rFonts w:ascii="宋体" w:hAnsi="宋体" w:cs="宋体"/>
          <w:sz w:val="24"/>
          <w:highlight w:val="none"/>
        </w:rPr>
      </w:pPr>
      <w:r>
        <w:rPr>
          <w:rFonts w:hint="eastAsia" w:ascii="宋体" w:hAnsi="宋体" w:cs="宋体"/>
          <w:sz w:val="24"/>
          <w:highlight w:val="none"/>
        </w:rPr>
        <w:t>磋商时，对不同文字文本响应文件的解释发生异议的，以中文文本为准。</w:t>
      </w:r>
    </w:p>
    <w:p>
      <w:pPr>
        <w:pStyle w:val="58"/>
        <w:keepNext w:val="0"/>
        <w:keepLines w:val="0"/>
        <w:pageBreakBefore w:val="0"/>
        <w:widowControl w:val="0"/>
        <w:numPr>
          <w:ilvl w:val="0"/>
          <w:numId w:val="11"/>
        </w:numPr>
        <w:kinsoku/>
        <w:wordWrap/>
        <w:overflowPunct/>
        <w:topLinePunct w:val="0"/>
        <w:autoSpaceDE/>
        <w:autoSpaceDN/>
        <w:bidi w:val="0"/>
        <w:adjustRightInd/>
        <w:snapToGrid/>
        <w:spacing w:line="360" w:lineRule="auto"/>
        <w:ind w:left="420" w:firstLine="0" w:firstLineChars="0"/>
        <w:jc w:val="left"/>
        <w:textAlignment w:val="auto"/>
        <w:rPr>
          <w:rFonts w:ascii="宋体" w:hAnsi="宋体" w:cs="宋体"/>
          <w:sz w:val="24"/>
          <w:highlight w:val="none"/>
        </w:rPr>
      </w:pPr>
      <w:r>
        <w:rPr>
          <w:rFonts w:hint="eastAsia" w:ascii="宋体" w:hAnsi="宋体" w:cs="宋体"/>
          <w:sz w:val="24"/>
          <w:highlight w:val="none"/>
        </w:rPr>
        <w:t>磋商工作由采购代理机构组织，采购单位、采购监管、纪检监察等有关方面代表可根据采购项目的具体情况列席。</w:t>
      </w:r>
    </w:p>
    <w:p>
      <w:pPr>
        <w:pStyle w:val="58"/>
        <w:keepNext w:val="0"/>
        <w:keepLines w:val="0"/>
        <w:pageBreakBefore w:val="0"/>
        <w:widowControl w:val="0"/>
        <w:numPr>
          <w:ilvl w:val="0"/>
          <w:numId w:val="11"/>
        </w:numPr>
        <w:kinsoku/>
        <w:wordWrap/>
        <w:overflowPunct/>
        <w:topLinePunct w:val="0"/>
        <w:autoSpaceDE/>
        <w:autoSpaceDN/>
        <w:bidi w:val="0"/>
        <w:adjustRightInd/>
        <w:snapToGrid/>
        <w:spacing w:line="360" w:lineRule="auto"/>
        <w:ind w:left="420" w:firstLine="0" w:firstLineChars="0"/>
        <w:jc w:val="left"/>
        <w:textAlignment w:val="auto"/>
        <w:rPr>
          <w:rFonts w:hint="eastAsia" w:ascii="宋体" w:hAnsi="宋体" w:cs="宋体"/>
          <w:sz w:val="24"/>
          <w:highlight w:val="none"/>
        </w:rPr>
      </w:pPr>
      <w:r>
        <w:rPr>
          <w:rFonts w:hint="eastAsia" w:ascii="宋体" w:hAnsi="宋体" w:cs="宋体"/>
          <w:sz w:val="24"/>
          <w:highlight w:val="none"/>
        </w:rPr>
        <w:t>磋商过程有专人记录，并存档备查</w:t>
      </w:r>
    </w:p>
    <w:p>
      <w:pPr>
        <w:pStyle w:val="58"/>
        <w:keepNext w:val="0"/>
        <w:keepLines w:val="0"/>
        <w:pageBreakBefore w:val="0"/>
        <w:widowControl w:val="0"/>
        <w:numPr>
          <w:ilvl w:val="0"/>
          <w:numId w:val="11"/>
        </w:numPr>
        <w:kinsoku/>
        <w:wordWrap/>
        <w:overflowPunct/>
        <w:topLinePunct w:val="0"/>
        <w:autoSpaceDE/>
        <w:autoSpaceDN/>
        <w:bidi w:val="0"/>
        <w:adjustRightInd/>
        <w:snapToGrid/>
        <w:spacing w:line="360" w:lineRule="auto"/>
        <w:ind w:left="420" w:firstLine="0" w:firstLineChars="0"/>
        <w:jc w:val="left"/>
        <w:textAlignment w:val="auto"/>
        <w:rPr>
          <w:rFonts w:ascii="宋体" w:hAnsi="宋体" w:cs="宋体"/>
          <w:sz w:val="24"/>
          <w:highlight w:val="none"/>
        </w:rPr>
      </w:pPr>
      <w:r>
        <w:rPr>
          <w:rFonts w:hint="eastAsia" w:ascii="宋体" w:hAnsi="宋体" w:cs="宋体"/>
          <w:sz w:val="24"/>
          <w:highlight w:val="none"/>
        </w:rPr>
        <w:t>采购人或者采购代理机构应当依法对磋商人的资格进行审查。</w:t>
      </w:r>
    </w:p>
    <w:p>
      <w:pPr>
        <w:pStyle w:val="4"/>
        <w:pageBreakBefore w:val="0"/>
        <w:tabs>
          <w:tab w:val="left" w:pos="720"/>
        </w:tabs>
        <w:kinsoku/>
        <w:wordWrap/>
        <w:overflowPunct/>
        <w:topLinePunct w:val="0"/>
        <w:bidi w:val="0"/>
        <w:ind w:firstLine="0" w:firstLineChars="0"/>
        <w:jc w:val="center"/>
        <w:textAlignment w:val="auto"/>
        <w:rPr>
          <w:rFonts w:hint="eastAsia" w:hAnsi="宋体"/>
          <w:b/>
          <w:highlight w:val="none"/>
          <w:lang w:eastAsia="zh-CN"/>
        </w:rPr>
      </w:pPr>
      <w:bookmarkStart w:id="67" w:name="_Toc7548"/>
      <w:bookmarkStart w:id="68" w:name="_Toc535421978"/>
      <w:bookmarkStart w:id="69" w:name="_Toc500355579"/>
      <w:bookmarkStart w:id="70" w:name="_Toc25510_WPSOffice_Level2"/>
      <w:r>
        <w:rPr>
          <w:rFonts w:hint="eastAsia" w:hAnsi="宋体"/>
          <w:b/>
          <w:highlight w:val="none"/>
        </w:rPr>
        <w:t>资格审查程序</w:t>
      </w:r>
      <w:bookmarkEnd w:id="67"/>
      <w:bookmarkEnd w:id="68"/>
      <w:bookmarkEnd w:id="69"/>
      <w:bookmarkEnd w:id="70"/>
    </w:p>
    <w:p>
      <w:pPr>
        <w:pageBreakBefore w:val="0"/>
        <w:kinsoku/>
        <w:wordWrap/>
        <w:overflowPunct/>
        <w:topLinePunct w:val="0"/>
        <w:bidi w:val="0"/>
        <w:spacing w:line="360" w:lineRule="auto"/>
        <w:ind w:firstLine="0" w:firstLineChars="0"/>
        <w:textAlignment w:val="auto"/>
        <w:rPr>
          <w:rFonts w:hint="eastAsia" w:ascii="宋体" w:hAnsi="宋体" w:cs="宋体"/>
          <w:sz w:val="28"/>
          <w:szCs w:val="28"/>
          <w:highlight w:val="none"/>
        </w:rPr>
      </w:pPr>
      <w:r>
        <w:rPr>
          <w:rFonts w:hint="eastAsia" w:ascii="宋体" w:hAnsi="宋体" w:cs="宋体"/>
          <w:sz w:val="28"/>
          <w:szCs w:val="28"/>
          <w:highlight w:val="none"/>
        </w:rPr>
        <w:t>资格审查</w:t>
      </w:r>
    </w:p>
    <w:p>
      <w:pPr>
        <w:pStyle w:val="58"/>
        <w:pageBreakBefore w:val="0"/>
        <w:numPr>
          <w:ilvl w:val="0"/>
          <w:numId w:val="12"/>
        </w:numPr>
        <w:kinsoku/>
        <w:wordWrap/>
        <w:overflowPunct/>
        <w:topLinePunct w:val="0"/>
        <w:bidi w:val="0"/>
        <w:spacing w:line="360" w:lineRule="auto"/>
        <w:ind w:firstLine="0" w:firstLineChars="0"/>
        <w:jc w:val="left"/>
        <w:textAlignment w:val="auto"/>
        <w:rPr>
          <w:rFonts w:hint="eastAsia" w:ascii="宋体" w:hAnsi="宋体" w:cs="宋体"/>
          <w:sz w:val="24"/>
          <w:highlight w:val="none"/>
        </w:rPr>
      </w:pPr>
      <w:r>
        <w:rPr>
          <w:rFonts w:hint="eastAsia" w:ascii="宋体" w:hAnsi="宋体" w:cs="宋体"/>
          <w:sz w:val="24"/>
          <w:highlight w:val="none"/>
        </w:rPr>
        <w:t>采购人和采购代理机构应当依法对投标人的资格性审查文件进行审查。</w:t>
      </w:r>
    </w:p>
    <w:p>
      <w:pPr>
        <w:pStyle w:val="58"/>
        <w:pageBreakBefore w:val="0"/>
        <w:numPr>
          <w:ilvl w:val="0"/>
          <w:numId w:val="12"/>
        </w:numPr>
        <w:kinsoku/>
        <w:wordWrap/>
        <w:overflowPunct/>
        <w:topLinePunct w:val="0"/>
        <w:bidi w:val="0"/>
        <w:spacing w:line="360" w:lineRule="auto"/>
        <w:ind w:firstLine="0" w:firstLineChars="0"/>
        <w:jc w:val="left"/>
        <w:textAlignment w:val="auto"/>
        <w:rPr>
          <w:rFonts w:hint="eastAsia" w:ascii="宋体" w:hAnsi="宋体" w:cs="宋体"/>
          <w:sz w:val="24"/>
          <w:highlight w:val="none"/>
        </w:rPr>
      </w:pPr>
      <w:r>
        <w:rPr>
          <w:rFonts w:hint="eastAsia" w:ascii="宋体" w:hAnsi="宋体" w:cs="宋体"/>
          <w:sz w:val="24"/>
          <w:highlight w:val="none"/>
        </w:rPr>
        <w:t>合格投标人不足3家的，不得评标。</w:t>
      </w:r>
    </w:p>
    <w:p>
      <w:pPr>
        <w:pStyle w:val="58"/>
        <w:pageBreakBefore w:val="0"/>
        <w:numPr>
          <w:ilvl w:val="0"/>
          <w:numId w:val="12"/>
        </w:numPr>
        <w:kinsoku/>
        <w:wordWrap/>
        <w:overflowPunct/>
        <w:topLinePunct w:val="0"/>
        <w:bidi w:val="0"/>
        <w:spacing w:line="360" w:lineRule="auto"/>
        <w:ind w:firstLine="0" w:firstLineChars="0"/>
        <w:jc w:val="left"/>
        <w:textAlignment w:val="auto"/>
        <w:rPr>
          <w:rFonts w:hint="eastAsia" w:ascii="宋体" w:hAnsi="宋体" w:cs="宋体"/>
          <w:sz w:val="24"/>
          <w:highlight w:val="none"/>
        </w:rPr>
      </w:pPr>
      <w:r>
        <w:rPr>
          <w:rFonts w:hint="eastAsia" w:ascii="宋体" w:hAnsi="宋体" w:cs="宋体"/>
          <w:sz w:val="24"/>
          <w:highlight w:val="none"/>
        </w:rPr>
        <w:t>资格审查时，投标人存在下列情况之一的，按无效投标处理：</w:t>
      </w:r>
    </w:p>
    <w:p>
      <w:pPr>
        <w:pStyle w:val="58"/>
        <w:pageBreakBefore w:val="0"/>
        <w:numPr>
          <w:ilvl w:val="0"/>
          <w:numId w:val="13"/>
        </w:numPr>
        <w:kinsoku/>
        <w:wordWrap/>
        <w:overflowPunct/>
        <w:topLinePunct w:val="0"/>
        <w:bidi w:val="0"/>
        <w:spacing w:line="360" w:lineRule="auto"/>
        <w:ind w:firstLine="0" w:firstLineChars="0"/>
        <w:jc w:val="left"/>
        <w:textAlignment w:val="auto"/>
        <w:rPr>
          <w:rFonts w:hint="eastAsia" w:ascii="宋体" w:hAnsi="宋体" w:cs="宋体"/>
          <w:sz w:val="24"/>
          <w:highlight w:val="none"/>
        </w:rPr>
      </w:pPr>
      <w:r>
        <w:rPr>
          <w:rFonts w:hint="eastAsia" w:ascii="宋体" w:hAnsi="宋体" w:cs="宋体"/>
          <w:sz w:val="24"/>
          <w:highlight w:val="none"/>
          <w:shd w:val="clear" w:color="auto" w:fill="FFFFFF"/>
        </w:rPr>
        <w:t>不具备</w:t>
      </w:r>
      <w:r>
        <w:rPr>
          <w:rFonts w:hint="eastAsia" w:ascii="宋体" w:hAnsi="宋体" w:cs="宋体"/>
          <w:kern w:val="0"/>
          <w:sz w:val="24"/>
          <w:highlight w:val="none"/>
          <w:lang w:val="zh-CN"/>
        </w:rPr>
        <w:t>第2.2款“合格的投标人”</w:t>
      </w:r>
      <w:r>
        <w:rPr>
          <w:rFonts w:hint="eastAsia" w:ascii="宋体" w:hAnsi="宋体" w:cs="宋体"/>
          <w:sz w:val="24"/>
          <w:highlight w:val="none"/>
          <w:shd w:val="clear" w:color="auto" w:fill="FFFFFF"/>
        </w:rPr>
        <w:t>规定的资格要求的；</w:t>
      </w:r>
    </w:p>
    <w:p>
      <w:pPr>
        <w:pStyle w:val="58"/>
        <w:pageBreakBefore w:val="0"/>
        <w:numPr>
          <w:ilvl w:val="0"/>
          <w:numId w:val="13"/>
        </w:numPr>
        <w:kinsoku/>
        <w:wordWrap/>
        <w:overflowPunct/>
        <w:topLinePunct w:val="0"/>
        <w:bidi w:val="0"/>
        <w:spacing w:line="360" w:lineRule="auto"/>
        <w:ind w:firstLine="0" w:firstLineChars="0"/>
        <w:jc w:val="left"/>
        <w:textAlignment w:val="auto"/>
        <w:rPr>
          <w:rFonts w:hint="eastAsia" w:ascii="宋体" w:hAnsi="宋体" w:cs="宋体"/>
          <w:sz w:val="24"/>
          <w:highlight w:val="none"/>
        </w:rPr>
      </w:pPr>
      <w:r>
        <w:rPr>
          <w:rFonts w:hint="eastAsia" w:ascii="宋体" w:hAnsi="宋体" w:cs="宋体"/>
          <w:kern w:val="0"/>
          <w:sz w:val="24"/>
          <w:highlight w:val="none"/>
        </w:rPr>
        <w:t>未按磋商文件要求交纳或未足额交纳投标保证金的；</w:t>
      </w:r>
    </w:p>
    <w:p>
      <w:pPr>
        <w:pStyle w:val="58"/>
        <w:pageBreakBefore w:val="0"/>
        <w:numPr>
          <w:ilvl w:val="0"/>
          <w:numId w:val="13"/>
        </w:numPr>
        <w:kinsoku/>
        <w:wordWrap/>
        <w:overflowPunct/>
        <w:topLinePunct w:val="0"/>
        <w:bidi w:val="0"/>
        <w:spacing w:line="360" w:lineRule="auto"/>
        <w:ind w:firstLine="0" w:firstLineChars="0"/>
        <w:jc w:val="left"/>
        <w:textAlignment w:val="auto"/>
        <w:rPr>
          <w:rFonts w:hint="eastAsia" w:ascii="宋体" w:hAnsi="宋体" w:cs="宋体"/>
          <w:sz w:val="24"/>
          <w:highlight w:val="none"/>
        </w:rPr>
      </w:pPr>
      <w:r>
        <w:rPr>
          <w:rFonts w:hint="eastAsia" w:ascii="宋体" w:hAnsi="宋体" w:cs="宋体"/>
          <w:kern w:val="0"/>
          <w:sz w:val="24"/>
          <w:highlight w:val="none"/>
        </w:rPr>
        <w:t>未按第11.2要求提供相关资料的；</w:t>
      </w:r>
    </w:p>
    <w:p>
      <w:pPr>
        <w:pStyle w:val="58"/>
        <w:pageBreakBefore w:val="0"/>
        <w:numPr>
          <w:ilvl w:val="0"/>
          <w:numId w:val="13"/>
        </w:numPr>
        <w:kinsoku/>
        <w:wordWrap/>
        <w:overflowPunct/>
        <w:topLinePunct w:val="0"/>
        <w:bidi w:val="0"/>
        <w:spacing w:line="360" w:lineRule="auto"/>
        <w:ind w:firstLine="0" w:firstLineChars="0"/>
        <w:jc w:val="left"/>
        <w:textAlignment w:val="auto"/>
        <w:rPr>
          <w:rFonts w:hint="eastAsia" w:ascii="宋体" w:hAnsi="宋体" w:cs="宋体"/>
          <w:sz w:val="24"/>
          <w:highlight w:val="none"/>
        </w:rPr>
      </w:pPr>
      <w:r>
        <w:rPr>
          <w:rFonts w:hint="eastAsia" w:ascii="宋体" w:hAnsi="宋体" w:cs="宋体"/>
          <w:kern w:val="0"/>
          <w:sz w:val="24"/>
          <w:highlight w:val="none"/>
        </w:rPr>
        <w:t>资格性审查文件未按磋商文件规定和要求签字、盖章的；</w:t>
      </w:r>
    </w:p>
    <w:p>
      <w:pPr>
        <w:pStyle w:val="58"/>
        <w:pageBreakBefore w:val="0"/>
        <w:numPr>
          <w:ilvl w:val="0"/>
          <w:numId w:val="13"/>
        </w:numPr>
        <w:kinsoku/>
        <w:wordWrap/>
        <w:overflowPunct/>
        <w:topLinePunct w:val="0"/>
        <w:bidi w:val="0"/>
        <w:spacing w:line="360" w:lineRule="auto"/>
        <w:ind w:firstLine="0" w:firstLineChars="0"/>
        <w:jc w:val="left"/>
        <w:textAlignment w:val="auto"/>
        <w:rPr>
          <w:rFonts w:hint="eastAsia" w:ascii="宋体" w:hAnsi="宋体" w:cs="宋体"/>
          <w:sz w:val="24"/>
          <w:highlight w:val="none"/>
        </w:rPr>
      </w:pPr>
      <w:r>
        <w:rPr>
          <w:rFonts w:hint="eastAsia" w:ascii="宋体" w:hAnsi="宋体" w:cs="宋体"/>
          <w:sz w:val="24"/>
          <w:highlight w:val="none"/>
          <w:shd w:val="clear" w:color="auto" w:fill="FFFFFF"/>
        </w:rPr>
        <w:t>报价超过</w:t>
      </w:r>
      <w:r>
        <w:rPr>
          <w:rFonts w:hint="eastAsia" w:ascii="宋体" w:hAnsi="宋体" w:cs="宋体"/>
          <w:kern w:val="0"/>
          <w:sz w:val="24"/>
          <w:highlight w:val="none"/>
        </w:rPr>
        <w:t>磋商</w:t>
      </w:r>
      <w:r>
        <w:rPr>
          <w:rFonts w:hint="eastAsia" w:ascii="宋体" w:hAnsi="宋体" w:cs="宋体"/>
          <w:sz w:val="24"/>
          <w:highlight w:val="none"/>
          <w:shd w:val="clear" w:color="auto" w:fill="FFFFFF"/>
        </w:rPr>
        <w:t>文件中规定的预算金额或者最高限价的；</w:t>
      </w:r>
    </w:p>
    <w:p>
      <w:pPr>
        <w:pStyle w:val="58"/>
        <w:pageBreakBefore w:val="0"/>
        <w:numPr>
          <w:ilvl w:val="0"/>
          <w:numId w:val="13"/>
        </w:numPr>
        <w:kinsoku/>
        <w:wordWrap/>
        <w:overflowPunct/>
        <w:topLinePunct w:val="0"/>
        <w:bidi w:val="0"/>
        <w:spacing w:line="360" w:lineRule="auto"/>
        <w:ind w:firstLine="0" w:firstLineChars="0"/>
        <w:jc w:val="left"/>
        <w:textAlignment w:val="auto"/>
        <w:rPr>
          <w:rFonts w:hint="eastAsia" w:ascii="宋体" w:hAnsi="宋体" w:cs="宋体"/>
          <w:sz w:val="24"/>
          <w:highlight w:val="none"/>
        </w:rPr>
      </w:pPr>
      <w:r>
        <w:rPr>
          <w:rFonts w:hint="eastAsia" w:ascii="宋体" w:hAnsi="宋体" w:cs="宋体"/>
          <w:kern w:val="0"/>
          <w:sz w:val="24"/>
          <w:highlight w:val="none"/>
          <w:lang w:val="zh-CN"/>
        </w:rPr>
        <w:t>投标有效期不能满足</w:t>
      </w:r>
      <w:r>
        <w:rPr>
          <w:rFonts w:hint="eastAsia" w:ascii="宋体" w:hAnsi="宋体" w:cs="宋体"/>
          <w:kern w:val="0"/>
          <w:sz w:val="24"/>
          <w:highlight w:val="none"/>
        </w:rPr>
        <w:t>磋商</w:t>
      </w:r>
      <w:r>
        <w:rPr>
          <w:rFonts w:hint="eastAsia" w:ascii="宋体" w:hAnsi="宋体" w:cs="宋体"/>
          <w:kern w:val="0"/>
          <w:sz w:val="24"/>
          <w:highlight w:val="none"/>
          <w:lang w:val="zh-CN"/>
        </w:rPr>
        <w:t>文件要求的；</w:t>
      </w:r>
    </w:p>
    <w:p>
      <w:pPr>
        <w:pStyle w:val="58"/>
        <w:pageBreakBefore w:val="0"/>
        <w:numPr>
          <w:ilvl w:val="0"/>
          <w:numId w:val="13"/>
        </w:numPr>
        <w:kinsoku/>
        <w:wordWrap/>
        <w:overflowPunct/>
        <w:topLinePunct w:val="0"/>
        <w:bidi w:val="0"/>
        <w:spacing w:line="360" w:lineRule="auto"/>
        <w:ind w:firstLine="0" w:firstLineChars="0"/>
        <w:jc w:val="left"/>
        <w:textAlignment w:val="auto"/>
        <w:rPr>
          <w:rFonts w:hint="eastAsia" w:ascii="宋体" w:hAnsi="宋体" w:cs="宋体"/>
          <w:sz w:val="24"/>
          <w:highlight w:val="none"/>
        </w:rPr>
      </w:pPr>
      <w:r>
        <w:rPr>
          <w:rFonts w:hint="eastAsia" w:hAnsi="宋体" w:cs="Arial"/>
          <w:sz w:val="24"/>
          <w:highlight w:val="none"/>
        </w:rPr>
        <w:t>未提供电子文档或电子文档与纸质磋商响应文件正本不一致的</w:t>
      </w:r>
      <w:r>
        <w:rPr>
          <w:rFonts w:hint="eastAsia" w:ascii="宋体" w:hAnsi="宋体" w:cs="宋体"/>
          <w:kern w:val="0"/>
          <w:sz w:val="24"/>
          <w:highlight w:val="none"/>
          <w:lang w:val="zh-CN"/>
        </w:rPr>
        <w:t>。</w:t>
      </w:r>
    </w:p>
    <w:p>
      <w:pPr>
        <w:pStyle w:val="4"/>
        <w:pageBreakBefore w:val="0"/>
        <w:tabs>
          <w:tab w:val="left" w:pos="720"/>
        </w:tabs>
        <w:kinsoku/>
        <w:wordWrap/>
        <w:overflowPunct/>
        <w:topLinePunct w:val="0"/>
        <w:bidi w:val="0"/>
        <w:ind w:firstLine="0" w:firstLineChars="0"/>
        <w:jc w:val="center"/>
        <w:textAlignment w:val="auto"/>
        <w:rPr>
          <w:rFonts w:hAnsi="宋体"/>
          <w:b/>
          <w:highlight w:val="none"/>
        </w:rPr>
      </w:pPr>
      <w:bookmarkStart w:id="71" w:name="_Toc13393_WPSOffice_Level2"/>
      <w:bookmarkStart w:id="72" w:name="_Toc21611"/>
      <w:bookmarkStart w:id="73" w:name="_Toc535421979"/>
      <w:r>
        <w:rPr>
          <w:rFonts w:hint="eastAsia" w:hAnsi="宋体"/>
          <w:b/>
          <w:highlight w:val="none"/>
        </w:rPr>
        <w:t>评审程序及方法</w:t>
      </w:r>
      <w:bookmarkEnd w:id="71"/>
      <w:bookmarkEnd w:id="72"/>
      <w:bookmarkEnd w:id="73"/>
    </w:p>
    <w:p>
      <w:pPr>
        <w:pStyle w:val="5"/>
        <w:pageBreakBefore w:val="0"/>
        <w:numPr>
          <w:ilvl w:val="0"/>
          <w:numId w:val="0"/>
        </w:numPr>
        <w:kinsoku/>
        <w:wordWrap/>
        <w:overflowPunct/>
        <w:topLinePunct w:val="0"/>
        <w:bidi w:val="0"/>
        <w:spacing w:before="0" w:after="0" w:line="360" w:lineRule="auto"/>
        <w:ind w:leftChars="0" w:firstLine="0" w:firstLineChars="0"/>
        <w:textAlignment w:val="auto"/>
        <w:rPr>
          <w:rFonts w:ascii="宋体" w:hAnsi="宋体"/>
          <w:b w:val="0"/>
          <w:highlight w:val="none"/>
        </w:rPr>
      </w:pPr>
      <w:bookmarkStart w:id="74" w:name="_Toc488673633"/>
      <w:bookmarkStart w:id="75" w:name="_Toc535421980"/>
      <w:r>
        <w:rPr>
          <w:rFonts w:hint="eastAsia" w:ascii="宋体" w:hAnsi="宋体"/>
          <w:b w:val="0"/>
          <w:highlight w:val="none"/>
          <w:lang w:val="en-US" w:eastAsia="zh-CN"/>
        </w:rPr>
        <w:t>16、</w:t>
      </w:r>
      <w:r>
        <w:rPr>
          <w:rFonts w:hint="eastAsia" w:ascii="宋体" w:hAnsi="宋体"/>
          <w:b w:val="0"/>
          <w:highlight w:val="none"/>
        </w:rPr>
        <w:t>评标委员会</w:t>
      </w:r>
      <w:bookmarkEnd w:id="74"/>
      <w:bookmarkEnd w:id="75"/>
    </w:p>
    <w:p>
      <w:pPr>
        <w:pStyle w:val="13"/>
        <w:pageBreakBefore w:val="0"/>
        <w:numPr>
          <w:ilvl w:val="1"/>
          <w:numId w:val="14"/>
        </w:numPr>
        <w:tabs>
          <w:tab w:val="left" w:pos="640"/>
        </w:tabs>
        <w:kinsoku/>
        <w:wordWrap/>
        <w:overflowPunct/>
        <w:topLinePunct w:val="0"/>
        <w:bidi w:val="0"/>
        <w:spacing w:line="360" w:lineRule="auto"/>
        <w:ind w:left="650" w:leftChars="200" w:hanging="230" w:hangingChars="96"/>
        <w:textAlignment w:val="auto"/>
        <w:rPr>
          <w:rFonts w:hint="eastAsia" w:hAnsi="宋体"/>
          <w:sz w:val="24"/>
          <w:szCs w:val="28"/>
          <w:highlight w:val="none"/>
        </w:rPr>
      </w:pPr>
      <w:r>
        <w:rPr>
          <w:rFonts w:hint="eastAsia" w:hAnsi="宋体" w:cs="宋体"/>
          <w:sz w:val="24"/>
          <w:szCs w:val="24"/>
          <w:highlight w:val="none"/>
        </w:rPr>
        <w:t>采购代理机构将根据采购项目的特点依法组建磋商小组，其成员由具有一定专业水平的技术、经济等方面的专家和采购单位代表等三人以上单数组成。</w:t>
      </w:r>
    </w:p>
    <w:p>
      <w:pPr>
        <w:pageBreakBefore w:val="0"/>
        <w:kinsoku/>
        <w:wordWrap/>
        <w:overflowPunct/>
        <w:topLinePunct w:val="0"/>
        <w:autoSpaceDE w:val="0"/>
        <w:autoSpaceDN w:val="0"/>
        <w:bidi w:val="0"/>
        <w:spacing w:line="360" w:lineRule="auto"/>
        <w:ind w:leftChars="400" w:firstLine="0" w:firstLineChars="0"/>
        <w:textAlignment w:val="auto"/>
        <w:rPr>
          <w:rFonts w:hint="eastAsia" w:ascii="宋体" w:hAnsi="宋体" w:cs="宋体"/>
          <w:kern w:val="0"/>
          <w:sz w:val="24"/>
          <w:highlight w:val="none"/>
        </w:rPr>
      </w:pPr>
      <w:r>
        <w:rPr>
          <w:rFonts w:hint="eastAsia" w:ascii="宋体" w:hAnsi="宋体" w:cs="宋体"/>
          <w:kern w:val="0"/>
          <w:sz w:val="24"/>
          <w:highlight w:val="none"/>
        </w:rPr>
        <w:t>采购项目符合下列情形之一的，评标委员会成员人数应当为7人以上单数：</w:t>
      </w:r>
    </w:p>
    <w:p>
      <w:pPr>
        <w:pageBreakBefore w:val="0"/>
        <w:numPr>
          <w:ilvl w:val="0"/>
          <w:numId w:val="15"/>
        </w:numPr>
        <w:kinsoku/>
        <w:wordWrap/>
        <w:overflowPunct/>
        <w:topLinePunct w:val="0"/>
        <w:autoSpaceDE w:val="0"/>
        <w:autoSpaceDN w:val="0"/>
        <w:bidi w:val="0"/>
        <w:spacing w:line="360" w:lineRule="auto"/>
        <w:ind w:left="573" w:leftChars="0" w:firstLine="0" w:firstLineChars="0"/>
        <w:textAlignment w:val="auto"/>
        <w:rPr>
          <w:rFonts w:hint="eastAsia" w:ascii="宋体" w:hAnsi="宋体" w:cs="宋体"/>
          <w:kern w:val="0"/>
          <w:sz w:val="24"/>
          <w:highlight w:val="none"/>
        </w:rPr>
      </w:pPr>
      <w:r>
        <w:rPr>
          <w:rFonts w:hint="eastAsia" w:ascii="宋体" w:hAnsi="宋体" w:cs="宋体"/>
          <w:kern w:val="0"/>
          <w:sz w:val="24"/>
          <w:highlight w:val="none"/>
        </w:rPr>
        <w:t>采购预算金额在1000万元以上；</w:t>
      </w:r>
    </w:p>
    <w:p>
      <w:pPr>
        <w:pageBreakBefore w:val="0"/>
        <w:numPr>
          <w:ilvl w:val="0"/>
          <w:numId w:val="15"/>
        </w:numPr>
        <w:kinsoku/>
        <w:wordWrap/>
        <w:overflowPunct/>
        <w:topLinePunct w:val="0"/>
        <w:autoSpaceDE w:val="0"/>
        <w:autoSpaceDN w:val="0"/>
        <w:bidi w:val="0"/>
        <w:spacing w:line="360" w:lineRule="auto"/>
        <w:ind w:left="573" w:leftChars="0" w:firstLine="0" w:firstLineChars="0"/>
        <w:textAlignment w:val="auto"/>
        <w:rPr>
          <w:rFonts w:hint="eastAsia" w:ascii="宋体" w:hAnsi="宋体" w:cs="宋体"/>
          <w:kern w:val="0"/>
          <w:sz w:val="24"/>
          <w:highlight w:val="none"/>
        </w:rPr>
      </w:pPr>
      <w:r>
        <w:rPr>
          <w:rFonts w:hint="eastAsia" w:ascii="宋体" w:hAnsi="宋体" w:cs="宋体"/>
          <w:kern w:val="0"/>
          <w:sz w:val="24"/>
          <w:highlight w:val="none"/>
        </w:rPr>
        <w:t>技术复杂；</w:t>
      </w:r>
    </w:p>
    <w:p>
      <w:pPr>
        <w:pageBreakBefore w:val="0"/>
        <w:numPr>
          <w:ilvl w:val="0"/>
          <w:numId w:val="15"/>
        </w:numPr>
        <w:kinsoku/>
        <w:wordWrap/>
        <w:overflowPunct/>
        <w:topLinePunct w:val="0"/>
        <w:autoSpaceDE w:val="0"/>
        <w:autoSpaceDN w:val="0"/>
        <w:bidi w:val="0"/>
        <w:spacing w:line="360" w:lineRule="auto"/>
        <w:ind w:left="573" w:leftChars="0" w:firstLine="0" w:firstLineChars="0"/>
        <w:textAlignment w:val="auto"/>
        <w:rPr>
          <w:rFonts w:hint="eastAsia" w:ascii="宋体" w:hAnsi="宋体" w:cs="宋体"/>
          <w:kern w:val="0"/>
          <w:sz w:val="24"/>
          <w:highlight w:val="none"/>
        </w:rPr>
      </w:pPr>
      <w:r>
        <w:rPr>
          <w:rFonts w:hint="eastAsia" w:ascii="宋体" w:hAnsi="宋体" w:cs="宋体"/>
          <w:kern w:val="0"/>
          <w:sz w:val="24"/>
          <w:highlight w:val="none"/>
        </w:rPr>
        <w:t>社会影响较大。</w:t>
      </w:r>
    </w:p>
    <w:p>
      <w:pPr>
        <w:pageBreakBefore w:val="0"/>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rPr>
      </w:pPr>
      <w:r>
        <w:rPr>
          <w:rFonts w:hint="eastAsia" w:ascii="宋体" w:hAnsi="宋体" w:cs="宋体"/>
          <w:kern w:val="0"/>
          <w:sz w:val="24"/>
          <w:highlight w:val="none"/>
        </w:rPr>
        <w:t>评审专家对本单位的采购项目只能作为采购人代表参与评标。采购代理机构工作人员不得参加由本机构代理的政府采购项目的评标。</w:t>
      </w:r>
    </w:p>
    <w:p>
      <w:pPr>
        <w:pStyle w:val="13"/>
        <w:pageBreakBefore w:val="0"/>
        <w:kinsoku/>
        <w:wordWrap/>
        <w:overflowPunct/>
        <w:topLinePunct w:val="0"/>
        <w:bidi w:val="0"/>
        <w:spacing w:line="360" w:lineRule="auto"/>
        <w:ind w:firstLine="0" w:firstLineChars="0"/>
        <w:textAlignment w:val="auto"/>
        <w:rPr>
          <w:rFonts w:hint="eastAsia" w:hAnsi="宋体" w:cs="宋体"/>
          <w:sz w:val="24"/>
          <w:szCs w:val="24"/>
          <w:highlight w:val="none"/>
          <w:lang w:eastAsia="zh-CN"/>
        </w:rPr>
      </w:pPr>
      <w:r>
        <w:rPr>
          <w:rFonts w:hint="eastAsia" w:hAnsi="宋体" w:cs="宋体"/>
          <w:sz w:val="24"/>
          <w:szCs w:val="24"/>
          <w:highlight w:val="none"/>
        </w:rPr>
        <w:t>评标委员会成员名单在评标结果公告前应当保密。</w:t>
      </w:r>
    </w:p>
    <w:p>
      <w:pPr>
        <w:pStyle w:val="13"/>
        <w:pageBreakBefore w:val="0"/>
        <w:numPr>
          <w:ilvl w:val="1"/>
          <w:numId w:val="14"/>
        </w:numPr>
        <w:kinsoku/>
        <w:wordWrap/>
        <w:overflowPunct/>
        <w:topLinePunct w:val="0"/>
        <w:bidi w:val="0"/>
        <w:spacing w:line="360" w:lineRule="auto"/>
        <w:ind w:firstLine="0" w:firstLineChars="0"/>
        <w:textAlignment w:val="auto"/>
        <w:rPr>
          <w:rFonts w:hint="eastAsia" w:hAnsi="宋体" w:cs="宋体"/>
          <w:sz w:val="24"/>
          <w:szCs w:val="24"/>
          <w:highlight w:val="none"/>
        </w:rPr>
      </w:pPr>
      <w:r>
        <w:rPr>
          <w:rFonts w:hint="eastAsia" w:hAnsi="宋体" w:cs="宋体"/>
          <w:sz w:val="24"/>
          <w:szCs w:val="24"/>
          <w:highlight w:val="none"/>
        </w:rPr>
        <w:t>采购人或采购代理机构应当从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pPr>
        <w:pStyle w:val="13"/>
        <w:pageBreakBefore w:val="0"/>
        <w:numPr>
          <w:ilvl w:val="1"/>
          <w:numId w:val="14"/>
        </w:numPr>
        <w:kinsoku/>
        <w:wordWrap/>
        <w:overflowPunct/>
        <w:topLinePunct w:val="0"/>
        <w:bidi w:val="0"/>
        <w:spacing w:line="360" w:lineRule="auto"/>
        <w:ind w:firstLine="0" w:firstLineChars="0"/>
        <w:textAlignment w:val="auto"/>
        <w:rPr>
          <w:rFonts w:hint="eastAsia" w:hAnsi="宋体" w:cs="宋体"/>
          <w:sz w:val="24"/>
          <w:szCs w:val="24"/>
          <w:highlight w:val="none"/>
        </w:rPr>
      </w:pPr>
      <w:r>
        <w:rPr>
          <w:rFonts w:hint="eastAsia" w:hAnsi="宋体" w:cs="宋体"/>
          <w:sz w:val="24"/>
          <w:szCs w:val="24"/>
          <w:highlight w:val="none"/>
        </w:rPr>
        <w:t>评标中因评标委员会成员缺席、回避或者健康等特殊原因导致评标委员会组成不符合规定的，采购人或者采购代理机构应当依法补足后继续评标。被更换的评标委员会成员所作出的评标意见无效。无法及时补足评标委员会成员的，采购代理机构应当停止评标活动，封存所有磋商响应文件和开标、评标资料，依法重新组建评标委员会进行评标。原评标委员会所作出的评标意见无效。</w:t>
      </w:r>
    </w:p>
    <w:p>
      <w:pPr>
        <w:pStyle w:val="13"/>
        <w:pageBreakBefore w:val="0"/>
        <w:kinsoku/>
        <w:wordWrap/>
        <w:overflowPunct/>
        <w:topLinePunct w:val="0"/>
        <w:bidi w:val="0"/>
        <w:spacing w:line="360" w:lineRule="auto"/>
        <w:ind w:firstLine="0" w:firstLineChars="0"/>
        <w:textAlignment w:val="auto"/>
        <w:rPr>
          <w:rFonts w:hint="eastAsia" w:hAnsi="宋体" w:cs="宋体"/>
          <w:sz w:val="24"/>
          <w:szCs w:val="24"/>
          <w:highlight w:val="none"/>
          <w:lang w:eastAsia="zh-CN"/>
        </w:rPr>
      </w:pPr>
      <w:r>
        <w:rPr>
          <w:rFonts w:hint="eastAsia" w:hAnsi="宋体" w:cs="宋体"/>
          <w:sz w:val="24"/>
          <w:szCs w:val="24"/>
          <w:highlight w:val="none"/>
          <w:lang w:val="zh-CN"/>
        </w:rPr>
        <w:t>采购人或采购代理机构</w:t>
      </w:r>
      <w:r>
        <w:rPr>
          <w:rFonts w:hint="eastAsia" w:hAnsi="宋体" w:cs="宋体"/>
          <w:sz w:val="24"/>
          <w:szCs w:val="24"/>
          <w:highlight w:val="none"/>
        </w:rPr>
        <w:t>应当将变更、重新组建评标委员会的情况予以记录，并随采购文件一并存档。</w:t>
      </w:r>
    </w:p>
    <w:p>
      <w:pPr>
        <w:pStyle w:val="13"/>
        <w:pageBreakBefore w:val="0"/>
        <w:numPr>
          <w:ilvl w:val="1"/>
          <w:numId w:val="14"/>
        </w:numPr>
        <w:kinsoku/>
        <w:wordWrap/>
        <w:overflowPunct/>
        <w:topLinePunct w:val="0"/>
        <w:bidi w:val="0"/>
        <w:spacing w:line="360" w:lineRule="auto"/>
        <w:ind w:left="633" w:leftChars="103" w:hanging="417" w:hangingChars="174"/>
        <w:textAlignment w:val="auto"/>
        <w:rPr>
          <w:rFonts w:hint="eastAsia" w:hAnsi="宋体" w:cs="宋体"/>
          <w:sz w:val="24"/>
          <w:szCs w:val="24"/>
          <w:highlight w:val="none"/>
        </w:rPr>
      </w:pPr>
      <w:r>
        <w:rPr>
          <w:rFonts w:hint="eastAsia" w:hAnsi="宋体" w:cs="宋体"/>
          <w:sz w:val="24"/>
          <w:szCs w:val="24"/>
          <w:highlight w:val="none"/>
        </w:rPr>
        <w:t>采购人、采购代理机构应当采取必要措施，保证评标在严格保密的情况下进行。除采购人代表、评标现场组织人员外，采购人的其他工作人员以及与评标工作无关的人员不得进入评标现场。</w:t>
      </w:r>
    </w:p>
    <w:p>
      <w:pPr>
        <w:pStyle w:val="13"/>
        <w:pageBreakBefore w:val="0"/>
        <w:kinsoku/>
        <w:wordWrap/>
        <w:overflowPunct/>
        <w:topLinePunct w:val="0"/>
        <w:bidi w:val="0"/>
        <w:spacing w:line="360" w:lineRule="auto"/>
        <w:ind w:left="141" w:leftChars="67" w:firstLine="0" w:firstLineChars="0"/>
        <w:jc w:val="left"/>
        <w:textAlignment w:val="auto"/>
        <w:rPr>
          <w:rFonts w:hAnsi="宋体" w:cs="宋体"/>
          <w:sz w:val="24"/>
          <w:szCs w:val="24"/>
          <w:highlight w:val="none"/>
        </w:rPr>
      </w:pPr>
      <w:r>
        <w:rPr>
          <w:rFonts w:hint="eastAsia" w:hAnsi="宋体" w:cs="宋体"/>
          <w:sz w:val="24"/>
          <w:szCs w:val="24"/>
          <w:highlight w:val="none"/>
        </w:rPr>
        <w:t>有关人员对评标情况以及在评标过程中获悉的国家秘密、商业秘密负有保密责任。</w:t>
      </w:r>
    </w:p>
    <w:p>
      <w:pPr>
        <w:pStyle w:val="13"/>
        <w:pageBreakBefore w:val="0"/>
        <w:numPr>
          <w:ilvl w:val="1"/>
          <w:numId w:val="14"/>
        </w:numPr>
        <w:kinsoku/>
        <w:wordWrap/>
        <w:overflowPunct/>
        <w:topLinePunct w:val="0"/>
        <w:bidi w:val="0"/>
        <w:spacing w:line="360" w:lineRule="auto"/>
        <w:ind w:firstLine="0" w:firstLineChars="0"/>
        <w:textAlignment w:val="auto"/>
        <w:rPr>
          <w:rFonts w:hint="eastAsia" w:hAnsi="宋体"/>
          <w:sz w:val="24"/>
          <w:szCs w:val="28"/>
          <w:highlight w:val="none"/>
        </w:rPr>
      </w:pPr>
      <w:r>
        <w:rPr>
          <w:rFonts w:hint="eastAsia" w:hAnsi="宋体" w:cs="宋体"/>
          <w:sz w:val="24"/>
          <w:szCs w:val="24"/>
          <w:highlight w:val="none"/>
        </w:rPr>
        <w:t>磋商由采购代理机构负责组织，具体磋商事务由依法组建的磋商小组负责，并独立履行下列职责：</w:t>
      </w:r>
    </w:p>
    <w:p>
      <w:pPr>
        <w:pageBreakBefore w:val="0"/>
        <w:numPr>
          <w:ilvl w:val="0"/>
          <w:numId w:val="16"/>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lang w:val="zh-CN"/>
        </w:rPr>
      </w:pPr>
      <w:r>
        <w:rPr>
          <w:rFonts w:hint="eastAsia" w:ascii="宋体" w:hAnsi="宋体" w:cs="宋体"/>
          <w:kern w:val="0"/>
          <w:sz w:val="24"/>
          <w:highlight w:val="none"/>
          <w:lang w:val="zh-CN"/>
        </w:rPr>
        <w:t>核对评审专家身份和采购人代表授权函，对评审专家在政府采购活动中的职责履行情况予以记录，并及时将有关违法违规行为向财政部门报告；</w:t>
      </w:r>
    </w:p>
    <w:p>
      <w:pPr>
        <w:pageBreakBefore w:val="0"/>
        <w:numPr>
          <w:ilvl w:val="0"/>
          <w:numId w:val="16"/>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lang w:val="zh-CN"/>
        </w:rPr>
      </w:pPr>
      <w:r>
        <w:rPr>
          <w:rFonts w:hint="eastAsia" w:ascii="宋体" w:hAnsi="宋体" w:cs="宋体"/>
          <w:kern w:val="0"/>
          <w:sz w:val="24"/>
          <w:highlight w:val="none"/>
          <w:lang w:val="zh-CN"/>
        </w:rPr>
        <w:t>宣布评标纪律；</w:t>
      </w:r>
    </w:p>
    <w:p>
      <w:pPr>
        <w:pageBreakBefore w:val="0"/>
        <w:numPr>
          <w:ilvl w:val="0"/>
          <w:numId w:val="16"/>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lang w:val="zh-CN"/>
        </w:rPr>
      </w:pPr>
      <w:r>
        <w:rPr>
          <w:rFonts w:hint="eastAsia" w:ascii="宋体" w:hAnsi="宋体" w:cs="宋体"/>
          <w:kern w:val="0"/>
          <w:sz w:val="24"/>
          <w:highlight w:val="none"/>
          <w:lang w:val="zh-CN"/>
        </w:rPr>
        <w:t>公布磋商人名单，告知评审专家应当回避的情形；</w:t>
      </w:r>
    </w:p>
    <w:p>
      <w:pPr>
        <w:pageBreakBefore w:val="0"/>
        <w:numPr>
          <w:ilvl w:val="0"/>
          <w:numId w:val="16"/>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lang w:val="zh-CN"/>
        </w:rPr>
      </w:pPr>
      <w:r>
        <w:rPr>
          <w:rFonts w:hint="eastAsia" w:ascii="宋体" w:hAnsi="宋体" w:cs="宋体"/>
          <w:kern w:val="0"/>
          <w:sz w:val="24"/>
          <w:highlight w:val="none"/>
          <w:lang w:val="zh-CN"/>
        </w:rPr>
        <w:t>组织评标委员会推选评标组长，采购人代表不得担任组长；</w:t>
      </w:r>
    </w:p>
    <w:p>
      <w:pPr>
        <w:pageBreakBefore w:val="0"/>
        <w:numPr>
          <w:ilvl w:val="0"/>
          <w:numId w:val="16"/>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lang w:val="zh-CN"/>
        </w:rPr>
      </w:pPr>
      <w:r>
        <w:rPr>
          <w:rFonts w:hint="eastAsia" w:ascii="宋体" w:hAnsi="宋体" w:cs="宋体"/>
          <w:kern w:val="0"/>
          <w:sz w:val="24"/>
          <w:highlight w:val="none"/>
          <w:lang w:val="zh-CN"/>
        </w:rPr>
        <w:t>在评标期间采取必要的通讯管理措施，保证评标活动不受外界干扰；</w:t>
      </w:r>
    </w:p>
    <w:p>
      <w:pPr>
        <w:pageBreakBefore w:val="0"/>
        <w:numPr>
          <w:ilvl w:val="0"/>
          <w:numId w:val="16"/>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lang w:val="zh-CN"/>
        </w:rPr>
      </w:pPr>
      <w:r>
        <w:rPr>
          <w:rFonts w:hint="eastAsia" w:ascii="宋体" w:hAnsi="宋体" w:cs="宋体"/>
          <w:kern w:val="0"/>
          <w:sz w:val="24"/>
          <w:highlight w:val="none"/>
          <w:lang w:val="zh-CN"/>
        </w:rPr>
        <w:t>根据评标委员会的要求介绍政府采购相关政策法规、磋商文件；</w:t>
      </w:r>
    </w:p>
    <w:p>
      <w:pPr>
        <w:pageBreakBefore w:val="0"/>
        <w:numPr>
          <w:ilvl w:val="0"/>
          <w:numId w:val="16"/>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lang w:val="zh-CN"/>
        </w:rPr>
      </w:pPr>
      <w:r>
        <w:rPr>
          <w:rFonts w:hint="eastAsia" w:ascii="宋体" w:hAnsi="宋体" w:cs="宋体"/>
          <w:kern w:val="0"/>
          <w:sz w:val="24"/>
          <w:highlight w:val="none"/>
          <w:lang w:val="zh-CN"/>
        </w:rPr>
        <w:t>维护评标秩序，监督评标委员会依照磋商文件规定的评标程序、方法和标准进行独立评审，及时制止和纠正采购人代表、评审专家的倾向性言论或者违法违规行为；</w:t>
      </w:r>
    </w:p>
    <w:p>
      <w:pPr>
        <w:pageBreakBefore w:val="0"/>
        <w:numPr>
          <w:ilvl w:val="0"/>
          <w:numId w:val="16"/>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lang w:val="zh-CN"/>
        </w:rPr>
      </w:pPr>
      <w:r>
        <w:rPr>
          <w:rFonts w:hint="eastAsia" w:ascii="宋体" w:hAnsi="宋体" w:cs="宋体"/>
          <w:kern w:val="0"/>
          <w:sz w:val="24"/>
          <w:highlight w:val="none"/>
          <w:lang w:val="zh-CN"/>
        </w:rPr>
        <w:t>核对评标结果，有19.3规定情形的，要求评标委员会复核或者书面说明理由，评标委员会拒绝的，应予记录并向本级财政部门报告；</w:t>
      </w:r>
    </w:p>
    <w:p>
      <w:pPr>
        <w:pageBreakBefore w:val="0"/>
        <w:numPr>
          <w:ilvl w:val="0"/>
          <w:numId w:val="16"/>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lang w:val="zh-CN"/>
        </w:rPr>
      </w:pPr>
      <w:r>
        <w:rPr>
          <w:rFonts w:hint="eastAsia" w:ascii="宋体" w:hAnsi="宋体" w:cs="宋体"/>
          <w:kern w:val="0"/>
          <w:sz w:val="24"/>
          <w:highlight w:val="none"/>
          <w:lang w:val="zh-CN"/>
        </w:rPr>
        <w:t>评审工作完成后，按照规定由采购人向评审专家支付劳务报酬和异地评审差旅费，不得向评审专家以外的其他人员支付评审劳务报酬；</w:t>
      </w:r>
    </w:p>
    <w:p>
      <w:pPr>
        <w:pageBreakBefore w:val="0"/>
        <w:numPr>
          <w:ilvl w:val="0"/>
          <w:numId w:val="16"/>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lang w:val="zh-CN"/>
        </w:rPr>
      </w:pPr>
      <w:r>
        <w:rPr>
          <w:rFonts w:hint="eastAsia" w:ascii="宋体" w:hAnsi="宋体" w:cs="宋体"/>
          <w:kern w:val="0"/>
          <w:sz w:val="24"/>
          <w:highlight w:val="none"/>
          <w:lang w:val="zh-CN"/>
        </w:rPr>
        <w:t>处理与评标有关的其他事项。</w:t>
      </w:r>
    </w:p>
    <w:p>
      <w:pPr>
        <w:pStyle w:val="13"/>
        <w:pageBreakBefore w:val="0"/>
        <w:kinsoku/>
        <w:wordWrap/>
        <w:overflowPunct/>
        <w:topLinePunct w:val="0"/>
        <w:bidi w:val="0"/>
        <w:spacing w:line="360" w:lineRule="auto"/>
        <w:ind w:left="480" w:firstLine="0" w:firstLineChars="0"/>
        <w:textAlignment w:val="auto"/>
        <w:rPr>
          <w:rFonts w:hAnsi="宋体"/>
          <w:sz w:val="24"/>
          <w:szCs w:val="24"/>
          <w:highlight w:val="none"/>
        </w:rPr>
      </w:pPr>
      <w:r>
        <w:rPr>
          <w:rFonts w:hint="eastAsia" w:hAnsi="宋体" w:cs="宋体"/>
          <w:sz w:val="24"/>
          <w:szCs w:val="24"/>
          <w:highlight w:val="none"/>
          <w:lang w:val="zh-CN"/>
        </w:rPr>
        <w:t>采购人可以在评标前说明项目背景和采购需求，说明内容不得含有歧视性、倾向性意见，不得超出磋商文件所述范围。说明应当提交书面材料，并随采购文件一并存档。</w:t>
      </w:r>
    </w:p>
    <w:p>
      <w:pPr>
        <w:pStyle w:val="13"/>
        <w:pageBreakBefore w:val="0"/>
        <w:numPr>
          <w:ilvl w:val="1"/>
          <w:numId w:val="14"/>
        </w:numPr>
        <w:kinsoku/>
        <w:wordWrap/>
        <w:overflowPunct/>
        <w:topLinePunct w:val="0"/>
        <w:bidi w:val="0"/>
        <w:spacing w:line="360" w:lineRule="auto"/>
        <w:ind w:firstLine="0" w:firstLineChars="0"/>
        <w:textAlignment w:val="auto"/>
        <w:rPr>
          <w:rFonts w:hint="eastAsia" w:hAnsi="宋体"/>
          <w:sz w:val="24"/>
          <w:szCs w:val="28"/>
          <w:highlight w:val="none"/>
        </w:rPr>
      </w:pPr>
      <w:r>
        <w:rPr>
          <w:rFonts w:hint="eastAsia" w:hAnsi="宋体" w:cs="宋体"/>
          <w:sz w:val="24"/>
          <w:szCs w:val="24"/>
          <w:highlight w:val="none"/>
        </w:rPr>
        <w:t>磋商小组应遵守并履行下列义务</w:t>
      </w:r>
      <w:r>
        <w:rPr>
          <w:rFonts w:hint="eastAsia" w:hAnsi="宋体"/>
          <w:sz w:val="24"/>
          <w:szCs w:val="28"/>
          <w:highlight w:val="none"/>
        </w:rPr>
        <w:t>：</w:t>
      </w:r>
    </w:p>
    <w:p>
      <w:pPr>
        <w:pageBreakBefore w:val="0"/>
        <w:numPr>
          <w:ilvl w:val="0"/>
          <w:numId w:val="17"/>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rPr>
      </w:pPr>
      <w:r>
        <w:rPr>
          <w:rFonts w:hint="eastAsia" w:ascii="宋体" w:hAnsi="宋体" w:cs="宋体"/>
          <w:kern w:val="0"/>
          <w:sz w:val="24"/>
          <w:highlight w:val="none"/>
        </w:rPr>
        <w:t>审查、评价磋商响应文件是否符合磋商文件的商务、技术等实质性要求；</w:t>
      </w:r>
    </w:p>
    <w:p>
      <w:pPr>
        <w:pageBreakBefore w:val="0"/>
        <w:numPr>
          <w:ilvl w:val="0"/>
          <w:numId w:val="17"/>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rPr>
      </w:pPr>
      <w:r>
        <w:rPr>
          <w:rFonts w:hint="eastAsia" w:ascii="宋体" w:hAnsi="宋体" w:cs="宋体"/>
          <w:kern w:val="0"/>
          <w:sz w:val="24"/>
          <w:highlight w:val="none"/>
        </w:rPr>
        <w:t>要求磋商人对磋商响应文件有关事项作出澄清或者说明；</w:t>
      </w:r>
    </w:p>
    <w:p>
      <w:pPr>
        <w:pageBreakBefore w:val="0"/>
        <w:numPr>
          <w:ilvl w:val="0"/>
          <w:numId w:val="17"/>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rPr>
      </w:pPr>
      <w:r>
        <w:rPr>
          <w:rFonts w:hint="eastAsia" w:ascii="宋体" w:hAnsi="宋体" w:cs="宋体"/>
          <w:kern w:val="0"/>
          <w:sz w:val="24"/>
          <w:highlight w:val="none"/>
        </w:rPr>
        <w:t>对磋商响应文件进行比较和评价；</w:t>
      </w:r>
    </w:p>
    <w:p>
      <w:pPr>
        <w:pageBreakBefore w:val="0"/>
        <w:numPr>
          <w:ilvl w:val="0"/>
          <w:numId w:val="17"/>
        </w:numPr>
        <w:kinsoku/>
        <w:wordWrap/>
        <w:overflowPunct/>
        <w:topLinePunct w:val="0"/>
        <w:autoSpaceDE w:val="0"/>
        <w:autoSpaceDN w:val="0"/>
        <w:bidi w:val="0"/>
        <w:spacing w:line="360" w:lineRule="auto"/>
        <w:ind w:firstLine="0" w:firstLineChars="0"/>
        <w:textAlignment w:val="auto"/>
        <w:rPr>
          <w:rFonts w:hint="eastAsia" w:ascii="宋体" w:hAnsi="宋体" w:cs="宋体"/>
          <w:kern w:val="0"/>
          <w:sz w:val="24"/>
          <w:highlight w:val="none"/>
        </w:rPr>
      </w:pPr>
      <w:r>
        <w:rPr>
          <w:rFonts w:hint="eastAsia" w:ascii="宋体" w:hAnsi="宋体" w:cs="宋体"/>
          <w:kern w:val="0"/>
          <w:sz w:val="24"/>
          <w:highlight w:val="none"/>
        </w:rPr>
        <w:t>确定中标候选人名单，以及根据采购人委托直接确定中标人；</w:t>
      </w:r>
    </w:p>
    <w:p>
      <w:pPr>
        <w:pageBreakBefore w:val="0"/>
        <w:numPr>
          <w:ilvl w:val="0"/>
          <w:numId w:val="17"/>
        </w:numPr>
        <w:kinsoku/>
        <w:wordWrap/>
        <w:overflowPunct/>
        <w:topLinePunct w:val="0"/>
        <w:autoSpaceDE w:val="0"/>
        <w:autoSpaceDN w:val="0"/>
        <w:bidi w:val="0"/>
        <w:spacing w:line="360" w:lineRule="auto"/>
        <w:ind w:firstLine="0" w:firstLineChars="0"/>
        <w:textAlignment w:val="auto"/>
        <w:rPr>
          <w:rFonts w:ascii="宋体" w:hAnsi="宋体" w:cs="宋体"/>
          <w:kern w:val="0"/>
          <w:sz w:val="24"/>
          <w:highlight w:val="none"/>
        </w:rPr>
      </w:pPr>
      <w:r>
        <w:rPr>
          <w:rFonts w:hint="eastAsia" w:ascii="宋体" w:hAnsi="宋体" w:cs="宋体"/>
          <w:kern w:val="0"/>
          <w:sz w:val="24"/>
          <w:highlight w:val="none"/>
        </w:rPr>
        <w:t>向采购人、采购代理机构或者有关部门报告评标中发现的违法行为。</w:t>
      </w:r>
    </w:p>
    <w:p>
      <w:pPr>
        <w:pStyle w:val="13"/>
        <w:pageBreakBefore w:val="0"/>
        <w:numPr>
          <w:ilvl w:val="1"/>
          <w:numId w:val="14"/>
        </w:numPr>
        <w:kinsoku/>
        <w:wordWrap/>
        <w:overflowPunct/>
        <w:topLinePunct w:val="0"/>
        <w:bidi w:val="0"/>
        <w:spacing w:line="360" w:lineRule="auto"/>
        <w:ind w:firstLine="0" w:firstLineChars="0"/>
        <w:textAlignment w:val="auto"/>
        <w:rPr>
          <w:rFonts w:hAnsi="宋体"/>
          <w:sz w:val="24"/>
          <w:szCs w:val="28"/>
          <w:highlight w:val="none"/>
        </w:rPr>
      </w:pPr>
      <w:r>
        <w:rPr>
          <w:rFonts w:hint="eastAsia" w:hAnsi="宋体"/>
          <w:sz w:val="24"/>
          <w:szCs w:val="28"/>
          <w:highlight w:val="none"/>
        </w:rPr>
        <w:t>评审工作在有关部门的监督下依法开展，任何单位和个人不得非法干预、影响评审工作和评审结果。</w:t>
      </w:r>
    </w:p>
    <w:p>
      <w:pPr>
        <w:pStyle w:val="5"/>
        <w:pageBreakBefore w:val="0"/>
        <w:numPr>
          <w:ilvl w:val="0"/>
          <w:numId w:val="0"/>
        </w:numPr>
        <w:kinsoku/>
        <w:wordWrap/>
        <w:overflowPunct/>
        <w:topLinePunct w:val="0"/>
        <w:bidi w:val="0"/>
        <w:spacing w:before="0" w:after="0" w:line="360" w:lineRule="auto"/>
        <w:ind w:leftChars="0" w:firstLine="0" w:firstLineChars="0"/>
        <w:textAlignment w:val="auto"/>
        <w:rPr>
          <w:rFonts w:ascii="宋体" w:hAnsi="宋体"/>
          <w:b w:val="0"/>
          <w:highlight w:val="none"/>
        </w:rPr>
      </w:pPr>
      <w:bookmarkStart w:id="76" w:name="_Toc535421981"/>
      <w:bookmarkStart w:id="77" w:name="_Toc488673634"/>
      <w:r>
        <w:rPr>
          <w:rFonts w:hint="eastAsia" w:ascii="宋体" w:hAnsi="宋体"/>
          <w:b w:val="0"/>
          <w:highlight w:val="none"/>
          <w:lang w:val="en-US" w:eastAsia="zh-CN"/>
        </w:rPr>
        <w:t>17、</w:t>
      </w:r>
      <w:r>
        <w:rPr>
          <w:rFonts w:hint="eastAsia" w:ascii="宋体" w:hAnsi="宋体"/>
          <w:b w:val="0"/>
          <w:highlight w:val="none"/>
        </w:rPr>
        <w:t>磋商程序</w:t>
      </w:r>
      <w:bookmarkEnd w:id="76"/>
      <w:bookmarkEnd w:id="77"/>
    </w:p>
    <w:p>
      <w:pPr>
        <w:pStyle w:val="13"/>
        <w:pageBreakBefore w:val="0"/>
        <w:numPr>
          <w:ilvl w:val="1"/>
          <w:numId w:val="18"/>
        </w:numPr>
        <w:kinsoku/>
        <w:wordWrap/>
        <w:overflowPunct/>
        <w:topLinePunct w:val="0"/>
        <w:bidi w:val="0"/>
        <w:spacing w:line="360" w:lineRule="auto"/>
        <w:ind w:firstLine="0" w:firstLineChars="0"/>
        <w:textAlignment w:val="auto"/>
        <w:rPr>
          <w:rFonts w:hAnsi="宋体"/>
          <w:sz w:val="24"/>
          <w:szCs w:val="24"/>
          <w:highlight w:val="none"/>
        </w:rPr>
      </w:pPr>
      <w:r>
        <w:rPr>
          <w:rFonts w:hint="eastAsia" w:hAnsi="宋体" w:cs="宋体"/>
          <w:sz w:val="24"/>
          <w:szCs w:val="24"/>
          <w:highlight w:val="none"/>
          <w:lang w:val="zh-CN"/>
        </w:rPr>
        <w:t>评标委员会应当对符合资格的磋商人的磋商响应文件进行符合性审查，以确定其是否满足磋商文件的实质性要求。</w:t>
      </w:r>
    </w:p>
    <w:p>
      <w:pPr>
        <w:pStyle w:val="13"/>
        <w:pageBreakBefore w:val="0"/>
        <w:kinsoku/>
        <w:wordWrap/>
        <w:overflowPunct/>
        <w:topLinePunct w:val="0"/>
        <w:bidi w:val="0"/>
        <w:spacing w:line="360" w:lineRule="auto"/>
        <w:ind w:firstLine="0" w:firstLineChars="0"/>
        <w:textAlignment w:val="auto"/>
        <w:rPr>
          <w:rFonts w:hAnsi="宋体" w:cs="Arial"/>
          <w:sz w:val="24"/>
          <w:szCs w:val="24"/>
          <w:highlight w:val="none"/>
        </w:rPr>
      </w:pPr>
      <w:r>
        <w:rPr>
          <w:rFonts w:hint="eastAsia" w:hAnsi="宋体" w:cs="Arial"/>
          <w:sz w:val="24"/>
          <w:szCs w:val="24"/>
          <w:highlight w:val="none"/>
          <w:lang w:eastAsia="zh-CN"/>
        </w:rPr>
        <w:t>（</w:t>
      </w:r>
      <w:r>
        <w:rPr>
          <w:rFonts w:hint="eastAsia" w:hAnsi="宋体" w:cs="Arial"/>
          <w:sz w:val="24"/>
          <w:szCs w:val="24"/>
          <w:highlight w:val="none"/>
          <w:lang w:val="en-US" w:eastAsia="zh-CN"/>
        </w:rPr>
        <w:t>1</w:t>
      </w:r>
      <w:r>
        <w:rPr>
          <w:rFonts w:hint="eastAsia" w:hAnsi="宋体" w:cs="Arial"/>
          <w:sz w:val="24"/>
          <w:szCs w:val="24"/>
          <w:highlight w:val="none"/>
          <w:lang w:eastAsia="zh-CN"/>
        </w:rPr>
        <w:t>）</w:t>
      </w:r>
      <w:r>
        <w:rPr>
          <w:rFonts w:hint="eastAsia" w:hAnsi="宋体" w:cs="Arial"/>
          <w:sz w:val="24"/>
          <w:szCs w:val="24"/>
          <w:highlight w:val="none"/>
        </w:rPr>
        <w:t>本次综合评分的主要因素是：磋商报价、商务评价、</w:t>
      </w:r>
      <w:r>
        <w:rPr>
          <w:rFonts w:hint="eastAsia" w:hAnsi="宋体" w:cs="Arial"/>
          <w:sz w:val="24"/>
          <w:highlight w:val="none"/>
          <w:lang w:eastAsia="zh-CN"/>
        </w:rPr>
        <w:t>技术部分</w:t>
      </w:r>
      <w:r>
        <w:rPr>
          <w:rFonts w:hAnsi="宋体" w:cs="Arial"/>
          <w:sz w:val="24"/>
          <w:highlight w:val="none"/>
        </w:rPr>
        <w:t>及售后</w:t>
      </w:r>
      <w:r>
        <w:rPr>
          <w:rFonts w:hint="eastAsia" w:hAnsi="宋体" w:cs="Arial"/>
          <w:sz w:val="24"/>
          <w:highlight w:val="none"/>
          <w:lang w:eastAsia="zh-CN"/>
        </w:rPr>
        <w:t>服务</w:t>
      </w:r>
      <w:r>
        <w:rPr>
          <w:rFonts w:hint="eastAsia" w:hAnsi="宋体" w:cs="Arial"/>
          <w:sz w:val="24"/>
          <w:szCs w:val="24"/>
          <w:highlight w:val="none"/>
        </w:rPr>
        <w:t>。</w:t>
      </w:r>
    </w:p>
    <w:p>
      <w:pPr>
        <w:pageBreakBefore w:val="0"/>
        <w:kinsoku/>
        <w:wordWrap/>
        <w:overflowPunct/>
        <w:topLinePunct w:val="0"/>
        <w:autoSpaceDE w:val="0"/>
        <w:autoSpaceDN w:val="0"/>
        <w:bidi w:val="0"/>
        <w:spacing w:line="360" w:lineRule="auto"/>
        <w:ind w:firstLine="0" w:firstLineChars="0"/>
        <w:jc w:val="left"/>
        <w:textAlignment w:val="auto"/>
        <w:rPr>
          <w:rFonts w:hAnsi="宋体" w:cs="宋体"/>
          <w:sz w:val="24"/>
          <w:highlight w:val="none"/>
          <w:lang w:val="zh-CN"/>
        </w:rPr>
      </w:pPr>
      <w:r>
        <w:rPr>
          <w:rFonts w:hint="eastAsia" w:hAnsi="宋体" w:cs="宋体"/>
          <w:sz w:val="24"/>
          <w:highlight w:val="none"/>
          <w:lang w:val="zh-CN"/>
        </w:rPr>
        <w:t>根据《政府采购促进中小企业发展暂行办法》，属小型、微型企业制造的货物（产品），磋商人须提供该制造（生产）企业出具的《中小微型企业声明函》、《从业人员声明函》，其划型标准严格按照国家工信部、国家统计局、国家发改委、财政部出台的《中小企业划型标准规定》（工信部联企业[2011]300号）执行。磋商人提供的《小型、微型企业声明函》、《从业人员声明函》资料必须真实，否则，按照有关规定予以处理。</w:t>
      </w:r>
    </w:p>
    <w:p>
      <w:pPr>
        <w:pStyle w:val="13"/>
        <w:pageBreakBefore w:val="0"/>
        <w:kinsoku/>
        <w:wordWrap/>
        <w:overflowPunct/>
        <w:topLinePunct w:val="0"/>
        <w:bidi w:val="0"/>
        <w:spacing w:line="360" w:lineRule="auto"/>
        <w:ind w:firstLine="0" w:firstLineChars="0"/>
        <w:jc w:val="left"/>
        <w:textAlignment w:val="auto"/>
        <w:rPr>
          <w:rFonts w:hAnsi="宋体" w:cs="Arial"/>
          <w:sz w:val="24"/>
          <w:szCs w:val="24"/>
          <w:highlight w:val="none"/>
        </w:rPr>
      </w:pPr>
      <w:r>
        <w:rPr>
          <w:rFonts w:hint="eastAsia" w:hAnsi="宋体" w:cs="宋体"/>
          <w:sz w:val="24"/>
          <w:highlight w:val="none"/>
          <w:lang w:val="zh-CN"/>
        </w:rPr>
        <w:t>根据财政部、民政部、中国残疾人联合会出台的《关于促进残疾人就业政府采购政策的通知》（财库[2017]141号），属残疾人福利性单位的，投标人须提供《残疾人福利性单位声明函》（详见</w:t>
      </w:r>
      <w:r>
        <w:rPr>
          <w:rFonts w:hint="eastAsia" w:hAnsi="宋体" w:cs="宋体"/>
          <w:sz w:val="24"/>
          <w:highlight w:val="none"/>
          <w:lang w:val="zh-CN" w:eastAsia="zh-CN"/>
        </w:rPr>
        <w:t>(17</w:t>
      </w:r>
      <w:r>
        <w:rPr>
          <w:rFonts w:hint="eastAsia" w:hAnsi="宋体" w:cs="宋体"/>
          <w:sz w:val="24"/>
          <w:highlight w:val="none"/>
          <w:lang w:val="zh-CN"/>
        </w:rPr>
        <w:t>）</w:t>
      </w:r>
      <w:r>
        <w:rPr>
          <w:rFonts w:hint="eastAsia" w:hAnsi="宋体" w:cs="宋体"/>
          <w:sz w:val="24"/>
          <w:highlight w:val="none"/>
          <w:lang w:val="zh-CN" w:eastAsia="zh-CN"/>
        </w:rPr>
        <w:t>)</w:t>
      </w:r>
      <w:r>
        <w:rPr>
          <w:rFonts w:hint="eastAsia" w:hAnsi="宋体" w:cs="宋体"/>
          <w:sz w:val="24"/>
          <w:highlight w:val="none"/>
          <w:lang w:val="zh-CN"/>
        </w:rPr>
        <w:t>，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pPr>
        <w:pStyle w:val="13"/>
        <w:pageBreakBefore w:val="0"/>
        <w:kinsoku/>
        <w:wordWrap/>
        <w:overflowPunct/>
        <w:topLinePunct w:val="0"/>
        <w:bidi w:val="0"/>
        <w:spacing w:line="360" w:lineRule="auto"/>
        <w:ind w:firstLine="0" w:firstLineChars="0"/>
        <w:jc w:val="left"/>
        <w:textAlignment w:val="auto"/>
        <w:rPr>
          <w:rFonts w:hAnsi="宋体" w:cs="Arial"/>
          <w:sz w:val="24"/>
          <w:szCs w:val="24"/>
          <w:highlight w:val="none"/>
        </w:rPr>
      </w:pPr>
      <w:r>
        <w:rPr>
          <w:rFonts w:hint="eastAsia" w:hAnsi="宋体" w:cs="Arial"/>
          <w:sz w:val="24"/>
          <w:szCs w:val="24"/>
          <w:highlight w:val="none"/>
          <w:lang w:eastAsia="zh-CN"/>
        </w:rPr>
        <w:t>（</w:t>
      </w:r>
      <w:r>
        <w:rPr>
          <w:rFonts w:hint="eastAsia" w:hAnsi="宋体" w:cs="Arial"/>
          <w:sz w:val="24"/>
          <w:szCs w:val="24"/>
          <w:highlight w:val="none"/>
          <w:lang w:val="en-US" w:eastAsia="zh-CN"/>
        </w:rPr>
        <w:t>2</w:t>
      </w:r>
      <w:r>
        <w:rPr>
          <w:rFonts w:hint="eastAsia" w:hAnsi="宋体" w:cs="Arial"/>
          <w:sz w:val="24"/>
          <w:szCs w:val="24"/>
          <w:highlight w:val="none"/>
          <w:lang w:eastAsia="zh-CN"/>
        </w:rPr>
        <w:t>）</w:t>
      </w:r>
      <w:r>
        <w:rPr>
          <w:rFonts w:hint="eastAsia" w:hAnsi="宋体" w:cs="Arial"/>
          <w:sz w:val="24"/>
          <w:szCs w:val="24"/>
          <w:highlight w:val="none"/>
        </w:rPr>
        <w:t>除磋商价格因素外，评标委员会应依据磋商文件规定的评审方法和评审标准对其他因素进行客观评审；</w:t>
      </w:r>
    </w:p>
    <w:p>
      <w:pPr>
        <w:pStyle w:val="13"/>
        <w:pageBreakBefore w:val="0"/>
        <w:numPr>
          <w:ilvl w:val="1"/>
          <w:numId w:val="18"/>
        </w:numPr>
        <w:kinsoku/>
        <w:wordWrap/>
        <w:overflowPunct/>
        <w:topLinePunct w:val="0"/>
        <w:bidi w:val="0"/>
        <w:spacing w:line="360" w:lineRule="auto"/>
        <w:ind w:firstLine="0" w:firstLineChars="0"/>
        <w:textAlignment w:val="auto"/>
        <w:rPr>
          <w:rFonts w:hint="eastAsia" w:hAnsi="宋体"/>
          <w:sz w:val="24"/>
          <w:szCs w:val="24"/>
          <w:highlight w:val="none"/>
        </w:rPr>
      </w:pPr>
      <w:r>
        <w:rPr>
          <w:rFonts w:hint="eastAsia" w:hAnsi="宋体" w:cs="宋体"/>
          <w:sz w:val="24"/>
          <w:szCs w:val="24"/>
          <w:highlight w:val="none"/>
          <w:lang w:val="zh-CN"/>
        </w:rPr>
        <w:t>磋商响应文件中含义不明确、同类问题表述不一致或者有明显文字和计算错误的内容，评标委员会应当以书面形式要求磋商人作出必要的澄清、说明或者补正。</w:t>
      </w:r>
    </w:p>
    <w:p>
      <w:pPr>
        <w:pStyle w:val="13"/>
        <w:pageBreakBefore w:val="0"/>
        <w:kinsoku/>
        <w:wordWrap/>
        <w:overflowPunct/>
        <w:topLinePunct w:val="0"/>
        <w:bidi w:val="0"/>
        <w:spacing w:line="360" w:lineRule="auto"/>
        <w:ind w:left="141" w:leftChars="67" w:firstLine="0" w:firstLineChars="0"/>
        <w:jc w:val="left"/>
        <w:textAlignment w:val="auto"/>
        <w:rPr>
          <w:rFonts w:hAnsi="宋体"/>
          <w:sz w:val="24"/>
          <w:szCs w:val="24"/>
          <w:highlight w:val="none"/>
        </w:rPr>
      </w:pPr>
      <w:r>
        <w:rPr>
          <w:rFonts w:hint="eastAsia" w:hAnsi="宋体" w:cs="宋体"/>
          <w:sz w:val="24"/>
          <w:szCs w:val="24"/>
          <w:highlight w:val="none"/>
          <w:lang w:val="zh-CN"/>
        </w:rPr>
        <w:t>磋商人的澄清、说明或者补正应当采用书面形式，并加盖公章，或者由法定代表人或其授权的代表签字。磋商人的澄清、说明或者补正不得超出磋商响应文件的范围或者改变磋商响应文件的实质性内容。</w:t>
      </w:r>
    </w:p>
    <w:p>
      <w:pPr>
        <w:pStyle w:val="13"/>
        <w:pageBreakBefore w:val="0"/>
        <w:numPr>
          <w:ilvl w:val="0"/>
          <w:numId w:val="19"/>
        </w:numPr>
        <w:kinsoku/>
        <w:wordWrap/>
        <w:overflowPunct/>
        <w:topLinePunct w:val="0"/>
        <w:bidi w:val="0"/>
        <w:spacing w:line="360" w:lineRule="auto"/>
        <w:ind w:firstLine="0" w:firstLineChars="0"/>
        <w:textAlignment w:val="auto"/>
        <w:rPr>
          <w:rFonts w:hAnsi="宋体" w:cs="Arial"/>
          <w:sz w:val="24"/>
          <w:szCs w:val="24"/>
          <w:highlight w:val="none"/>
        </w:rPr>
      </w:pPr>
      <w:r>
        <w:rPr>
          <w:rFonts w:hint="eastAsia" w:hAnsi="宋体" w:cs="Arial"/>
          <w:sz w:val="24"/>
          <w:szCs w:val="24"/>
          <w:highlight w:val="none"/>
        </w:rPr>
        <w:t>磋商人存在下列情况之一的，按无效磋商处理</w:t>
      </w:r>
      <w:r>
        <w:rPr>
          <w:rFonts w:hint="eastAsia" w:hAnsi="宋体" w:cs="宋体"/>
          <w:highlight w:val="none"/>
          <w:lang w:val="zh-CN"/>
        </w:rPr>
        <w:t>:</w:t>
      </w:r>
    </w:p>
    <w:p>
      <w:pPr>
        <w:pStyle w:val="13"/>
        <w:pageBreakBefore w:val="0"/>
        <w:numPr>
          <w:ilvl w:val="0"/>
          <w:numId w:val="20"/>
        </w:numPr>
        <w:kinsoku/>
        <w:wordWrap/>
        <w:overflowPunct/>
        <w:topLinePunct w:val="0"/>
        <w:bidi w:val="0"/>
        <w:spacing w:line="360" w:lineRule="auto"/>
        <w:ind w:firstLine="0" w:firstLineChars="0"/>
        <w:textAlignment w:val="auto"/>
        <w:rPr>
          <w:rFonts w:hAnsi="宋体" w:cs="Arial"/>
          <w:sz w:val="24"/>
          <w:szCs w:val="24"/>
          <w:highlight w:val="none"/>
        </w:rPr>
      </w:pPr>
      <w:r>
        <w:rPr>
          <w:rFonts w:hint="eastAsia" w:hAnsi="宋体" w:cs="Arial"/>
          <w:sz w:val="24"/>
          <w:szCs w:val="24"/>
          <w:highlight w:val="none"/>
        </w:rPr>
        <w:t>磋商响应文件未按磋商文件要求签署、盖章的；</w:t>
      </w:r>
    </w:p>
    <w:p>
      <w:pPr>
        <w:pStyle w:val="13"/>
        <w:pageBreakBefore w:val="0"/>
        <w:numPr>
          <w:ilvl w:val="0"/>
          <w:numId w:val="20"/>
        </w:numPr>
        <w:kinsoku/>
        <w:wordWrap/>
        <w:overflowPunct/>
        <w:topLinePunct w:val="0"/>
        <w:bidi w:val="0"/>
        <w:spacing w:line="360" w:lineRule="auto"/>
        <w:ind w:firstLine="0" w:firstLineChars="0"/>
        <w:textAlignment w:val="auto"/>
        <w:rPr>
          <w:rFonts w:hAnsi="宋体" w:cs="Arial"/>
          <w:sz w:val="24"/>
          <w:szCs w:val="24"/>
          <w:highlight w:val="none"/>
        </w:rPr>
      </w:pPr>
      <w:r>
        <w:rPr>
          <w:rFonts w:hint="eastAsia" w:hAnsi="宋体" w:cs="Arial"/>
          <w:sz w:val="24"/>
          <w:szCs w:val="24"/>
          <w:highlight w:val="none"/>
        </w:rPr>
        <w:t>报价超过磋商文件中规定的预算金额或者最高限价的；</w:t>
      </w:r>
    </w:p>
    <w:p>
      <w:pPr>
        <w:pStyle w:val="13"/>
        <w:pageBreakBefore w:val="0"/>
        <w:numPr>
          <w:ilvl w:val="0"/>
          <w:numId w:val="20"/>
        </w:numPr>
        <w:kinsoku/>
        <w:wordWrap/>
        <w:overflowPunct/>
        <w:topLinePunct w:val="0"/>
        <w:bidi w:val="0"/>
        <w:spacing w:line="360" w:lineRule="auto"/>
        <w:ind w:firstLine="0" w:firstLineChars="0"/>
        <w:textAlignment w:val="auto"/>
        <w:rPr>
          <w:rFonts w:hAnsi="宋体" w:cs="Arial"/>
          <w:sz w:val="24"/>
          <w:szCs w:val="24"/>
          <w:highlight w:val="none"/>
        </w:rPr>
      </w:pPr>
      <w:r>
        <w:rPr>
          <w:rFonts w:hint="eastAsia" w:hAnsi="宋体" w:cs="Arial"/>
          <w:sz w:val="24"/>
          <w:szCs w:val="24"/>
          <w:highlight w:val="none"/>
          <w:lang w:eastAsia="zh-CN"/>
        </w:rPr>
        <w:t>服务</w:t>
      </w:r>
      <w:r>
        <w:rPr>
          <w:rFonts w:hint="eastAsia" w:hAnsi="宋体" w:cs="Arial"/>
          <w:sz w:val="24"/>
          <w:szCs w:val="24"/>
          <w:highlight w:val="none"/>
        </w:rPr>
        <w:t>期、磋商有效期不能满足磋商文件要求的；</w:t>
      </w:r>
    </w:p>
    <w:p>
      <w:pPr>
        <w:pStyle w:val="13"/>
        <w:pageBreakBefore w:val="0"/>
        <w:numPr>
          <w:ilvl w:val="0"/>
          <w:numId w:val="20"/>
        </w:numPr>
        <w:kinsoku/>
        <w:wordWrap/>
        <w:overflowPunct/>
        <w:topLinePunct w:val="0"/>
        <w:bidi w:val="0"/>
        <w:spacing w:line="360" w:lineRule="auto"/>
        <w:ind w:firstLine="0" w:firstLineChars="0"/>
        <w:textAlignment w:val="auto"/>
        <w:rPr>
          <w:rFonts w:hAnsi="宋体" w:cs="Arial"/>
          <w:sz w:val="24"/>
          <w:szCs w:val="24"/>
          <w:highlight w:val="none"/>
        </w:rPr>
      </w:pPr>
      <w:r>
        <w:rPr>
          <w:rFonts w:hint="eastAsia" w:hAnsi="宋体" w:cs="Arial"/>
          <w:sz w:val="24"/>
          <w:szCs w:val="24"/>
          <w:highlight w:val="none"/>
        </w:rPr>
        <w:t>未按第11</w:t>
      </w:r>
      <w:r>
        <w:rPr>
          <w:rFonts w:hint="eastAsia" w:hAnsi="宋体" w:cs="Arial"/>
          <w:sz w:val="24"/>
          <w:szCs w:val="24"/>
          <w:highlight w:val="none"/>
          <w:lang w:eastAsia="zh-CN"/>
        </w:rPr>
        <w:t>.3</w:t>
      </w:r>
      <w:r>
        <w:rPr>
          <w:rFonts w:hint="eastAsia" w:hAnsi="宋体" w:cs="Arial"/>
          <w:sz w:val="24"/>
          <w:szCs w:val="24"/>
          <w:highlight w:val="none"/>
        </w:rPr>
        <w:t>款中</w:t>
      </w:r>
      <w:r>
        <w:rPr>
          <w:rFonts w:hint="eastAsia" w:hAnsi="宋体" w:cs="Arial"/>
          <w:sz w:val="24"/>
          <w:szCs w:val="24"/>
          <w:highlight w:val="none"/>
          <w:lang w:eastAsia="zh-CN"/>
        </w:rPr>
        <w:t>(12)-(14)</w:t>
      </w:r>
      <w:r>
        <w:rPr>
          <w:rFonts w:hint="eastAsia" w:hAnsi="宋体" w:cs="Arial"/>
          <w:sz w:val="24"/>
          <w:szCs w:val="24"/>
          <w:highlight w:val="none"/>
        </w:rPr>
        <w:t>要求提供相关资料的；</w:t>
      </w:r>
    </w:p>
    <w:p>
      <w:pPr>
        <w:pStyle w:val="13"/>
        <w:pageBreakBefore w:val="0"/>
        <w:numPr>
          <w:ilvl w:val="0"/>
          <w:numId w:val="20"/>
        </w:numPr>
        <w:kinsoku/>
        <w:wordWrap/>
        <w:overflowPunct/>
        <w:topLinePunct w:val="0"/>
        <w:bidi w:val="0"/>
        <w:spacing w:line="360" w:lineRule="auto"/>
        <w:ind w:firstLine="0" w:firstLineChars="0"/>
        <w:textAlignment w:val="auto"/>
        <w:rPr>
          <w:rFonts w:hAnsi="宋体" w:cs="Arial"/>
          <w:sz w:val="24"/>
          <w:szCs w:val="24"/>
          <w:highlight w:val="none"/>
        </w:rPr>
      </w:pPr>
      <w:r>
        <w:rPr>
          <w:rFonts w:hint="eastAsia" w:hAnsi="宋体" w:cs="Arial"/>
          <w:sz w:val="24"/>
          <w:szCs w:val="24"/>
          <w:highlight w:val="none"/>
        </w:rPr>
        <w:t>磋商响应文件中</w:t>
      </w:r>
      <w:r>
        <w:rPr>
          <w:rFonts w:hint="eastAsia" w:hAnsi="宋体" w:cs="Arial"/>
          <w:sz w:val="24"/>
          <w:szCs w:val="24"/>
          <w:highlight w:val="none"/>
          <w:lang w:eastAsia="zh-CN"/>
        </w:rPr>
        <w:t>含有</w:t>
      </w:r>
      <w:r>
        <w:rPr>
          <w:rFonts w:hint="eastAsia" w:hAnsi="宋体" w:cs="Arial"/>
          <w:sz w:val="24"/>
          <w:szCs w:val="24"/>
          <w:highlight w:val="none"/>
        </w:rPr>
        <w:t>采购单位不能接受的条件的；</w:t>
      </w:r>
    </w:p>
    <w:p>
      <w:pPr>
        <w:pStyle w:val="13"/>
        <w:pageBreakBefore w:val="0"/>
        <w:numPr>
          <w:ilvl w:val="0"/>
          <w:numId w:val="20"/>
        </w:numPr>
        <w:kinsoku/>
        <w:wordWrap/>
        <w:overflowPunct/>
        <w:topLinePunct w:val="0"/>
        <w:bidi w:val="0"/>
        <w:spacing w:line="360" w:lineRule="auto"/>
        <w:ind w:firstLine="0" w:firstLineChars="0"/>
        <w:textAlignment w:val="auto"/>
        <w:rPr>
          <w:rFonts w:hAnsi="宋体" w:cs="Arial"/>
          <w:sz w:val="24"/>
          <w:szCs w:val="24"/>
          <w:highlight w:val="none"/>
        </w:rPr>
      </w:pPr>
      <w:r>
        <w:rPr>
          <w:rFonts w:hint="eastAsia" w:hAnsi="宋体" w:cs="Arial"/>
          <w:sz w:val="24"/>
          <w:szCs w:val="24"/>
          <w:highlight w:val="none"/>
        </w:rPr>
        <w:t>存在串通投标行为；</w:t>
      </w:r>
    </w:p>
    <w:p>
      <w:pPr>
        <w:pStyle w:val="13"/>
        <w:pageBreakBefore w:val="0"/>
        <w:numPr>
          <w:ilvl w:val="0"/>
          <w:numId w:val="20"/>
        </w:numPr>
        <w:kinsoku/>
        <w:wordWrap/>
        <w:overflowPunct/>
        <w:topLinePunct w:val="0"/>
        <w:bidi w:val="0"/>
        <w:spacing w:line="360" w:lineRule="auto"/>
        <w:ind w:firstLine="0" w:firstLineChars="0"/>
        <w:textAlignment w:val="auto"/>
        <w:rPr>
          <w:rFonts w:hint="eastAsia" w:hAnsi="宋体" w:cs="Arial"/>
          <w:sz w:val="24"/>
          <w:szCs w:val="24"/>
          <w:highlight w:val="none"/>
        </w:rPr>
      </w:pPr>
      <w:r>
        <w:rPr>
          <w:rFonts w:hint="eastAsia" w:hAnsi="宋体" w:cs="Arial"/>
          <w:sz w:val="24"/>
          <w:szCs w:val="24"/>
          <w:highlight w:val="none"/>
        </w:rPr>
        <w:t>法律、法规和磋商文件规定的其他无效情形。</w:t>
      </w:r>
    </w:p>
    <w:p>
      <w:pPr>
        <w:pStyle w:val="13"/>
        <w:pageBreakBefore w:val="0"/>
        <w:numPr>
          <w:ilvl w:val="0"/>
          <w:numId w:val="19"/>
        </w:numPr>
        <w:kinsoku/>
        <w:wordWrap/>
        <w:overflowPunct/>
        <w:topLinePunct w:val="0"/>
        <w:bidi w:val="0"/>
        <w:spacing w:line="360" w:lineRule="auto"/>
        <w:ind w:firstLine="0" w:firstLineChars="0"/>
        <w:textAlignment w:val="auto"/>
        <w:rPr>
          <w:rFonts w:hint="eastAsia" w:hAnsi="宋体" w:cs="Arial"/>
          <w:sz w:val="24"/>
          <w:szCs w:val="24"/>
          <w:highlight w:val="none"/>
        </w:rPr>
      </w:pPr>
      <w:r>
        <w:rPr>
          <w:rFonts w:hint="eastAsia" w:hAnsi="宋体" w:cs="Arial"/>
          <w:sz w:val="24"/>
          <w:szCs w:val="24"/>
          <w:highlight w:val="none"/>
        </w:rPr>
        <w:t>磋商响应文件报价出现前后不一致的，按照下列规定修正：</w:t>
      </w:r>
    </w:p>
    <w:p>
      <w:pPr>
        <w:pStyle w:val="13"/>
        <w:pageBreakBefore w:val="0"/>
        <w:numPr>
          <w:ilvl w:val="0"/>
          <w:numId w:val="21"/>
        </w:numPr>
        <w:kinsoku/>
        <w:wordWrap/>
        <w:overflowPunct/>
        <w:topLinePunct w:val="0"/>
        <w:bidi w:val="0"/>
        <w:spacing w:line="360" w:lineRule="auto"/>
        <w:ind w:firstLine="0" w:firstLineChars="0"/>
        <w:textAlignment w:val="auto"/>
        <w:rPr>
          <w:rFonts w:hint="eastAsia" w:hAnsi="宋体" w:cs="Arial"/>
          <w:sz w:val="24"/>
          <w:szCs w:val="24"/>
          <w:highlight w:val="none"/>
        </w:rPr>
      </w:pPr>
      <w:r>
        <w:rPr>
          <w:rFonts w:hint="eastAsia" w:hAnsi="宋体" w:cs="Arial"/>
          <w:sz w:val="24"/>
          <w:szCs w:val="24"/>
          <w:highlight w:val="none"/>
        </w:rPr>
        <w:t>大写金额和小写金额不一致的，以大写金额为准；</w:t>
      </w:r>
    </w:p>
    <w:p>
      <w:pPr>
        <w:pStyle w:val="13"/>
        <w:pageBreakBefore w:val="0"/>
        <w:numPr>
          <w:ilvl w:val="0"/>
          <w:numId w:val="21"/>
        </w:numPr>
        <w:kinsoku/>
        <w:wordWrap/>
        <w:overflowPunct/>
        <w:topLinePunct w:val="0"/>
        <w:bidi w:val="0"/>
        <w:spacing w:line="360" w:lineRule="auto"/>
        <w:ind w:firstLine="0" w:firstLineChars="0"/>
        <w:textAlignment w:val="auto"/>
        <w:rPr>
          <w:rFonts w:hint="eastAsia" w:hAnsi="宋体" w:cs="Arial"/>
          <w:sz w:val="24"/>
          <w:szCs w:val="24"/>
          <w:highlight w:val="none"/>
        </w:rPr>
      </w:pPr>
      <w:r>
        <w:rPr>
          <w:rFonts w:hint="eastAsia" w:hAnsi="宋体" w:cs="Arial"/>
          <w:sz w:val="24"/>
          <w:szCs w:val="24"/>
          <w:highlight w:val="none"/>
        </w:rPr>
        <w:t>总价金额与按单价汇总金额不一致的，以单价金额计算结果为准。</w:t>
      </w:r>
    </w:p>
    <w:p>
      <w:pPr>
        <w:pStyle w:val="13"/>
        <w:pageBreakBefore w:val="0"/>
        <w:kinsoku/>
        <w:wordWrap/>
        <w:overflowPunct/>
        <w:topLinePunct w:val="0"/>
        <w:bidi w:val="0"/>
        <w:spacing w:line="360" w:lineRule="auto"/>
        <w:ind w:left="1129" w:firstLine="0" w:firstLineChars="0"/>
        <w:textAlignment w:val="auto"/>
        <w:rPr>
          <w:rFonts w:hint="eastAsia" w:hAnsi="宋体" w:cs="宋体"/>
          <w:sz w:val="24"/>
          <w:szCs w:val="24"/>
          <w:highlight w:val="none"/>
          <w:lang w:eastAsia="zh-CN"/>
        </w:rPr>
      </w:pPr>
      <w:r>
        <w:rPr>
          <w:rFonts w:hint="eastAsia" w:hAnsi="宋体" w:cs="宋体"/>
          <w:sz w:val="24"/>
          <w:szCs w:val="24"/>
          <w:highlight w:val="none"/>
        </w:rPr>
        <w:t>同时出现两种以上不一致的，按照前款规定的顺序修正。修正后的报价按</w:t>
      </w:r>
      <w:r>
        <w:rPr>
          <w:rFonts w:hint="eastAsia" w:hAnsi="宋体" w:cs="宋体"/>
          <w:sz w:val="24"/>
          <w:szCs w:val="24"/>
          <w:highlight w:val="none"/>
          <w:lang w:eastAsia="zh-CN"/>
        </w:rPr>
        <w:t>17.2</w:t>
      </w:r>
      <w:r>
        <w:rPr>
          <w:rFonts w:hint="eastAsia" w:hAnsi="宋体" w:cs="宋体"/>
          <w:sz w:val="24"/>
          <w:szCs w:val="24"/>
          <w:highlight w:val="none"/>
        </w:rPr>
        <w:t>第二款的规定经磋商人确认后产生约束力，磋商人不确认的，其投标无效。</w:t>
      </w:r>
    </w:p>
    <w:p>
      <w:pPr>
        <w:pStyle w:val="13"/>
        <w:pageBreakBefore w:val="0"/>
        <w:numPr>
          <w:ilvl w:val="1"/>
          <w:numId w:val="18"/>
        </w:numPr>
        <w:kinsoku/>
        <w:wordWrap/>
        <w:overflowPunct/>
        <w:topLinePunct w:val="0"/>
        <w:bidi w:val="0"/>
        <w:spacing w:line="360" w:lineRule="auto"/>
        <w:ind w:firstLine="0" w:firstLineChars="0"/>
        <w:textAlignment w:val="auto"/>
        <w:rPr>
          <w:rFonts w:hint="eastAsia" w:hAnsi="宋体" w:cs="Arial"/>
          <w:sz w:val="24"/>
          <w:szCs w:val="24"/>
          <w:highlight w:val="none"/>
          <w:lang w:eastAsia="zh-CN"/>
        </w:rPr>
      </w:pPr>
      <w:r>
        <w:rPr>
          <w:rFonts w:hint="eastAsia" w:hAnsi="宋体" w:cs="宋体"/>
          <w:sz w:val="24"/>
          <w:szCs w:val="24"/>
          <w:highlight w:val="none"/>
          <w:lang w:val="zh-CN"/>
        </w:rPr>
        <w:t>在评审过程中，</w:t>
      </w:r>
      <w:r>
        <w:rPr>
          <w:rFonts w:hint="eastAsia" w:hAnsi="宋体" w:cs="宋体"/>
          <w:sz w:val="24"/>
          <w:szCs w:val="24"/>
          <w:highlight w:val="none"/>
          <w:shd w:val="clear" w:color="auto" w:fill="FFFFFF"/>
        </w:rPr>
        <w:t>评标委员会成员对需要共同认定的事项存在争议的，应当按照少数服从多数的原则作出结论。持不同意见的评标委员会成员应当在评标报告上签署不同意见及理由，否则视为同意评标报告。</w:t>
      </w:r>
    </w:p>
    <w:p>
      <w:pPr>
        <w:pStyle w:val="13"/>
        <w:pageBreakBefore w:val="0"/>
        <w:numPr>
          <w:ilvl w:val="1"/>
          <w:numId w:val="18"/>
        </w:numPr>
        <w:kinsoku/>
        <w:wordWrap/>
        <w:overflowPunct/>
        <w:topLinePunct w:val="0"/>
        <w:bidi w:val="0"/>
        <w:spacing w:line="360" w:lineRule="auto"/>
        <w:ind w:firstLine="0" w:firstLineChars="0"/>
        <w:textAlignment w:val="auto"/>
        <w:rPr>
          <w:rFonts w:hint="eastAsia" w:hAnsi="宋体" w:cs="Arial"/>
          <w:sz w:val="24"/>
          <w:szCs w:val="24"/>
          <w:highlight w:val="none"/>
          <w:lang w:eastAsia="zh-CN"/>
        </w:rPr>
      </w:pPr>
      <w:r>
        <w:rPr>
          <w:rFonts w:hint="eastAsia" w:hAnsi="宋体" w:cs="宋体"/>
          <w:sz w:val="24"/>
          <w:szCs w:val="24"/>
          <w:highlight w:val="none"/>
          <w:shd w:val="clear" w:color="auto" w:fill="FFFFFF"/>
        </w:rPr>
        <w:t>评标委员会应当按照磋商文件中规定的评标方法和标准，对符合性审查合格的磋商响应文件进行商务和技术评估，综合比较与评价。</w:t>
      </w:r>
    </w:p>
    <w:p>
      <w:pPr>
        <w:pStyle w:val="13"/>
        <w:pageBreakBefore w:val="0"/>
        <w:numPr>
          <w:ilvl w:val="1"/>
          <w:numId w:val="18"/>
        </w:numPr>
        <w:kinsoku/>
        <w:wordWrap/>
        <w:overflowPunct/>
        <w:topLinePunct w:val="0"/>
        <w:bidi w:val="0"/>
        <w:spacing w:line="360" w:lineRule="auto"/>
        <w:ind w:firstLine="0" w:firstLineChars="0"/>
        <w:textAlignment w:val="auto"/>
        <w:rPr>
          <w:rFonts w:hint="eastAsia" w:hAnsi="宋体" w:cs="Arial"/>
          <w:sz w:val="24"/>
          <w:szCs w:val="24"/>
          <w:highlight w:val="none"/>
          <w:lang w:eastAsia="zh-CN"/>
        </w:rPr>
      </w:pPr>
      <w:r>
        <w:rPr>
          <w:rFonts w:hint="eastAsia" w:hAnsi="宋体" w:cs="宋体"/>
          <w:sz w:val="24"/>
          <w:szCs w:val="24"/>
          <w:highlight w:val="none"/>
          <w:shd w:val="clear" w:color="auto" w:fill="FFFFFF"/>
        </w:rPr>
        <w:t>评标委员会认为磋商人的报价明显低于其他通过符合性审查磋商人的报价，有可能影响</w:t>
      </w:r>
      <w:r>
        <w:rPr>
          <w:rFonts w:hint="eastAsia" w:hAnsi="宋体" w:cs="宋体"/>
          <w:sz w:val="24"/>
          <w:szCs w:val="24"/>
          <w:highlight w:val="none"/>
          <w:shd w:val="clear" w:color="auto" w:fill="FFFFFF"/>
          <w:lang w:eastAsia="zh-CN"/>
        </w:rPr>
        <w:t>服务</w:t>
      </w:r>
      <w:r>
        <w:rPr>
          <w:rFonts w:hint="eastAsia" w:hAnsi="宋体" w:cs="宋体"/>
          <w:sz w:val="24"/>
          <w:szCs w:val="24"/>
          <w:highlight w:val="none"/>
          <w:shd w:val="clear" w:color="auto" w:fill="FFFFFF"/>
        </w:rPr>
        <w:t>或者不能诚信履约的，应当要求其在评标现场合理的时间内提供书面说明，必要时提交相关证明材料；磋商人不能证明其报价合理性的，评标委员会应当将其作为无效投标处理。</w:t>
      </w:r>
    </w:p>
    <w:p>
      <w:pPr>
        <w:pStyle w:val="5"/>
        <w:pageBreakBefore w:val="0"/>
        <w:numPr>
          <w:ilvl w:val="0"/>
          <w:numId w:val="0"/>
        </w:numPr>
        <w:kinsoku/>
        <w:wordWrap/>
        <w:overflowPunct/>
        <w:topLinePunct w:val="0"/>
        <w:bidi w:val="0"/>
        <w:spacing w:before="0" w:after="0" w:line="360" w:lineRule="auto"/>
        <w:ind w:leftChars="0" w:firstLine="0" w:firstLineChars="0"/>
        <w:textAlignment w:val="auto"/>
        <w:rPr>
          <w:rFonts w:ascii="宋体" w:hAnsi="宋体"/>
          <w:b w:val="0"/>
          <w:highlight w:val="none"/>
        </w:rPr>
      </w:pPr>
      <w:bookmarkStart w:id="78" w:name="_Toc488673635"/>
      <w:bookmarkStart w:id="79" w:name="_Toc535421982"/>
      <w:r>
        <w:rPr>
          <w:rFonts w:hint="eastAsia" w:ascii="宋体" w:hAnsi="宋体"/>
          <w:b w:val="0"/>
          <w:highlight w:val="none"/>
          <w:lang w:val="en-US" w:eastAsia="zh-CN"/>
        </w:rPr>
        <w:t>18、</w:t>
      </w:r>
      <w:r>
        <w:rPr>
          <w:rFonts w:hint="eastAsia" w:ascii="宋体" w:hAnsi="宋体"/>
          <w:b w:val="0"/>
          <w:highlight w:val="none"/>
        </w:rPr>
        <w:t>评审办法</w:t>
      </w:r>
      <w:bookmarkEnd w:id="78"/>
      <w:bookmarkEnd w:id="79"/>
    </w:p>
    <w:p>
      <w:pPr>
        <w:pStyle w:val="13"/>
        <w:pageBreakBefore w:val="0"/>
        <w:numPr>
          <w:ilvl w:val="1"/>
          <w:numId w:val="22"/>
        </w:numPr>
        <w:kinsoku/>
        <w:wordWrap/>
        <w:overflowPunct/>
        <w:topLinePunct w:val="0"/>
        <w:bidi w:val="0"/>
        <w:spacing w:line="360" w:lineRule="auto"/>
        <w:ind w:firstLine="0" w:firstLineChars="0"/>
        <w:jc w:val="left"/>
        <w:textAlignment w:val="auto"/>
        <w:rPr>
          <w:rFonts w:hint="eastAsia" w:hAnsi="宋体"/>
          <w:sz w:val="24"/>
          <w:szCs w:val="28"/>
          <w:highlight w:val="none"/>
        </w:rPr>
      </w:pPr>
      <w:r>
        <w:rPr>
          <w:rFonts w:hint="eastAsia" w:hAnsi="宋体"/>
          <w:sz w:val="24"/>
          <w:szCs w:val="28"/>
          <w:highlight w:val="none"/>
        </w:rPr>
        <w:t>依照《中华人民共和国政府采购法》、《中华人民共和国政府采购法实施条例》、财政部《政府采购货物和服务招投标管理办法》、《政府采购竞争性磋商采购方式管理暂行办法》、财政部《关于加强政府采购货物和服务项目价格评审管理的通知》的规定，结合该项目的特点制定本评审办法。本次评审采用综合评分法，满分为100分。</w:t>
      </w:r>
    </w:p>
    <w:p>
      <w:pPr>
        <w:pStyle w:val="13"/>
        <w:pageBreakBefore w:val="0"/>
        <w:numPr>
          <w:ilvl w:val="1"/>
          <w:numId w:val="22"/>
        </w:numPr>
        <w:kinsoku/>
        <w:wordWrap/>
        <w:overflowPunct/>
        <w:topLinePunct w:val="0"/>
        <w:bidi w:val="0"/>
        <w:spacing w:line="360" w:lineRule="auto"/>
        <w:ind w:firstLine="0" w:firstLineChars="0"/>
        <w:jc w:val="left"/>
        <w:textAlignment w:val="auto"/>
        <w:rPr>
          <w:rFonts w:hAnsi="宋体"/>
          <w:sz w:val="24"/>
          <w:szCs w:val="24"/>
          <w:highlight w:val="none"/>
        </w:rPr>
      </w:pPr>
      <w:r>
        <w:rPr>
          <w:rFonts w:hint="eastAsia" w:hAnsi="宋体" w:cs="宋体"/>
          <w:sz w:val="24"/>
          <w:szCs w:val="24"/>
          <w:highlight w:val="none"/>
          <w:lang w:val="zh-CN"/>
        </w:rPr>
        <w:t>本次评审方法采用综合评分法</w:t>
      </w:r>
      <w:r>
        <w:rPr>
          <w:rFonts w:hint="eastAsia" w:hAnsi="宋体" w:cs="宋体"/>
          <w:sz w:val="24"/>
          <w:szCs w:val="24"/>
          <w:highlight w:val="none"/>
        </w:rPr>
        <w:t>。</w:t>
      </w:r>
    </w:p>
    <w:p>
      <w:pPr>
        <w:pStyle w:val="13"/>
        <w:numPr>
          <w:ilvl w:val="1"/>
          <w:numId w:val="22"/>
        </w:numPr>
        <w:spacing w:line="360" w:lineRule="auto"/>
        <w:ind w:left="621" w:leftChars="0" w:firstLine="16" w:firstLineChars="7"/>
        <w:jc w:val="left"/>
        <w:rPr>
          <w:rFonts w:hAnsi="宋体"/>
          <w:sz w:val="24"/>
          <w:highlight w:val="none"/>
        </w:rPr>
      </w:pPr>
      <w:r>
        <w:rPr>
          <w:rFonts w:hAnsi="宋体" w:cs="Arial"/>
          <w:sz w:val="24"/>
          <w:szCs w:val="24"/>
          <w:highlight w:val="none"/>
        </w:rPr>
        <w:t>评审标准和分值分配</w:t>
      </w:r>
      <w:r>
        <w:rPr>
          <w:rFonts w:hint="eastAsia" w:hAnsi="宋体" w:cs="Arial"/>
          <w:sz w:val="24"/>
          <w:szCs w:val="24"/>
          <w:highlight w:val="none"/>
        </w:rPr>
        <w:t>：</w:t>
      </w:r>
    </w:p>
    <w:p>
      <w:pPr>
        <w:pStyle w:val="13"/>
        <w:spacing w:line="360" w:lineRule="auto"/>
        <w:ind w:left="141"/>
        <w:jc w:val="left"/>
        <w:rPr>
          <w:rFonts w:hint="eastAsia" w:hAnsi="宋体"/>
          <w:b/>
          <w:sz w:val="24"/>
          <w:highlight w:val="none"/>
        </w:rPr>
      </w:pPr>
      <w:r>
        <w:rPr>
          <w:rFonts w:hint="eastAsia" w:hAnsi="宋体"/>
          <w:b/>
          <w:sz w:val="24"/>
          <w:highlight w:val="none"/>
        </w:rPr>
        <w:t>具体项目及评分细则</w:t>
      </w:r>
      <w:r>
        <w:rPr>
          <w:rFonts w:hint="eastAsia" w:hAnsi="宋体"/>
          <w:b/>
          <w:sz w:val="24"/>
          <w:highlight w:val="none"/>
          <w:lang w:eastAsia="zh-CN"/>
        </w:rPr>
        <w:t>如下</w:t>
      </w:r>
      <w:r>
        <w:rPr>
          <w:rFonts w:hint="eastAsia" w:hAnsi="宋体"/>
          <w:b/>
          <w:sz w:val="24"/>
          <w:highlight w:val="none"/>
        </w:rPr>
        <w:t>：</w:t>
      </w:r>
    </w:p>
    <w:p>
      <w:pPr>
        <w:pStyle w:val="13"/>
        <w:spacing w:line="360" w:lineRule="auto"/>
        <w:ind w:left="141"/>
        <w:jc w:val="left"/>
        <w:rPr>
          <w:rFonts w:hint="eastAsia" w:hAnsi="宋体"/>
          <w:b/>
          <w:sz w:val="24"/>
          <w:highlight w:val="none"/>
        </w:rPr>
      </w:pPr>
    </w:p>
    <w:p>
      <w:pPr>
        <w:pStyle w:val="13"/>
        <w:spacing w:line="360" w:lineRule="auto"/>
        <w:ind w:left="141"/>
        <w:jc w:val="left"/>
        <w:rPr>
          <w:rFonts w:hint="eastAsia" w:hAnsi="宋体"/>
          <w:b/>
          <w:sz w:val="24"/>
          <w:highlight w:val="none"/>
        </w:rPr>
      </w:pPr>
    </w:p>
    <w:p>
      <w:pPr>
        <w:pStyle w:val="13"/>
        <w:spacing w:line="360" w:lineRule="auto"/>
        <w:ind w:left="141"/>
        <w:jc w:val="left"/>
        <w:rPr>
          <w:rFonts w:hint="eastAsia" w:hAnsi="宋体"/>
          <w:b/>
          <w:sz w:val="24"/>
          <w:highlight w:val="none"/>
        </w:rPr>
      </w:pPr>
    </w:p>
    <w:tbl>
      <w:tblPr>
        <w:tblStyle w:val="27"/>
        <w:tblW w:w="98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1668"/>
        <w:gridCol w:w="770"/>
        <w:gridCol w:w="62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802" w:type="dxa"/>
            <w:gridSpan w:val="2"/>
            <w:shd w:val="clear" w:color="000000" w:fill="FFFFFF"/>
            <w:noWrap w:val="0"/>
            <w:vAlign w:val="center"/>
          </w:tcPr>
          <w:p>
            <w:pPr>
              <w:autoSpaceDE w:val="0"/>
              <w:autoSpaceDN w:val="0"/>
              <w:snapToGrid w:val="0"/>
              <w:spacing w:line="360" w:lineRule="auto"/>
              <w:ind w:firstLine="480" w:firstLineChars="200"/>
              <w:jc w:val="center"/>
              <w:rPr>
                <w:rFonts w:ascii="宋体" w:hAnsi="宋体" w:cs="宋体"/>
                <w:sz w:val="24"/>
                <w:szCs w:val="21"/>
                <w:highlight w:val="none"/>
                <w:lang w:val="zh-CN"/>
              </w:rPr>
            </w:pPr>
            <w:r>
              <w:rPr>
                <w:rFonts w:hint="eastAsia" w:ascii="宋体" w:hAnsi="宋体" w:cs="宋体"/>
                <w:sz w:val="24"/>
                <w:szCs w:val="21"/>
                <w:highlight w:val="none"/>
              </w:rPr>
              <w:t>评审因素</w:t>
            </w:r>
          </w:p>
        </w:tc>
        <w:tc>
          <w:tcPr>
            <w:tcW w:w="770" w:type="dxa"/>
            <w:shd w:val="clear" w:color="000000" w:fill="FFFFFF"/>
            <w:noWrap w:val="0"/>
            <w:vAlign w:val="center"/>
          </w:tcPr>
          <w:p>
            <w:pPr>
              <w:autoSpaceDE w:val="0"/>
              <w:autoSpaceDN w:val="0"/>
              <w:snapToGrid w:val="0"/>
              <w:spacing w:line="360" w:lineRule="auto"/>
              <w:ind w:left="0" w:leftChars="0" w:firstLine="0" w:firstLineChars="0"/>
              <w:jc w:val="both"/>
              <w:rPr>
                <w:rFonts w:ascii="宋体" w:hAnsi="宋体" w:cs="宋体"/>
                <w:sz w:val="24"/>
                <w:szCs w:val="21"/>
                <w:highlight w:val="none"/>
              </w:rPr>
            </w:pPr>
            <w:r>
              <w:rPr>
                <w:rFonts w:hint="eastAsia" w:ascii="宋体" w:hAnsi="宋体" w:cs="宋体"/>
                <w:sz w:val="24"/>
                <w:szCs w:val="21"/>
                <w:highlight w:val="none"/>
              </w:rPr>
              <w:t>评审分数</w:t>
            </w:r>
          </w:p>
        </w:tc>
        <w:tc>
          <w:tcPr>
            <w:tcW w:w="6269" w:type="dxa"/>
            <w:shd w:val="clear" w:color="000000" w:fill="FFFFFF"/>
            <w:noWrap w:val="0"/>
            <w:vAlign w:val="center"/>
          </w:tcPr>
          <w:p>
            <w:pPr>
              <w:autoSpaceDE w:val="0"/>
              <w:autoSpaceDN w:val="0"/>
              <w:snapToGrid w:val="0"/>
              <w:spacing w:line="360" w:lineRule="auto"/>
              <w:ind w:firstLine="1920" w:firstLineChars="800"/>
              <w:jc w:val="both"/>
              <w:rPr>
                <w:rFonts w:ascii="宋体" w:hAnsi="宋体" w:cs="宋体"/>
                <w:sz w:val="24"/>
                <w:szCs w:val="21"/>
                <w:highlight w:val="none"/>
              </w:rPr>
            </w:pPr>
            <w:r>
              <w:rPr>
                <w:rFonts w:hint="eastAsia" w:ascii="宋体" w:hAnsi="宋体" w:cs="宋体"/>
                <w:sz w:val="24"/>
                <w:szCs w:val="21"/>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1134" w:type="dxa"/>
            <w:shd w:val="clear" w:color="000000" w:fill="FFFFFF"/>
            <w:noWrap w:val="0"/>
            <w:vAlign w:val="center"/>
          </w:tcPr>
          <w:p>
            <w:pPr>
              <w:autoSpaceDE w:val="0"/>
              <w:autoSpaceDN w:val="0"/>
              <w:snapToGrid w:val="0"/>
              <w:spacing w:line="336" w:lineRule="auto"/>
              <w:ind w:left="0" w:leftChars="0" w:firstLine="0" w:firstLineChars="0"/>
              <w:jc w:val="both"/>
              <w:rPr>
                <w:rFonts w:ascii="宋体" w:hAnsi="宋体" w:cs="宋体"/>
                <w:color w:val="auto"/>
                <w:sz w:val="24"/>
                <w:szCs w:val="21"/>
                <w:highlight w:val="none"/>
              </w:rPr>
            </w:pPr>
            <w:r>
              <w:rPr>
                <w:rFonts w:hint="eastAsia" w:ascii="宋体" w:hAnsi="宋体" w:cs="宋体"/>
                <w:color w:val="auto"/>
                <w:sz w:val="24"/>
                <w:szCs w:val="21"/>
                <w:highlight w:val="none"/>
              </w:rPr>
              <w:t>投标报价10分</w:t>
            </w:r>
          </w:p>
        </w:tc>
        <w:tc>
          <w:tcPr>
            <w:tcW w:w="1668" w:type="dxa"/>
            <w:shd w:val="clear" w:color="000000" w:fill="FFFFFF"/>
            <w:noWrap w:val="0"/>
            <w:vAlign w:val="center"/>
          </w:tcPr>
          <w:p>
            <w:pPr>
              <w:autoSpaceDE w:val="0"/>
              <w:autoSpaceDN w:val="0"/>
              <w:snapToGrid w:val="0"/>
              <w:spacing w:line="336" w:lineRule="auto"/>
              <w:ind w:firstLine="480" w:firstLineChars="200"/>
              <w:jc w:val="both"/>
              <w:rPr>
                <w:rFonts w:ascii="宋体" w:hAnsi="宋体" w:cs="宋体"/>
                <w:color w:val="auto"/>
                <w:sz w:val="24"/>
                <w:szCs w:val="21"/>
                <w:highlight w:val="none"/>
                <w:lang w:val="zh-CN"/>
              </w:rPr>
            </w:pPr>
            <w:r>
              <w:rPr>
                <w:rFonts w:hint="eastAsia" w:ascii="宋体" w:hAnsi="宋体" w:cs="宋体"/>
                <w:color w:val="auto"/>
                <w:sz w:val="24"/>
                <w:szCs w:val="21"/>
                <w:highlight w:val="none"/>
                <w:lang w:val="zh-CN"/>
              </w:rPr>
              <w:t>报价分</w:t>
            </w:r>
          </w:p>
        </w:tc>
        <w:tc>
          <w:tcPr>
            <w:tcW w:w="770" w:type="dxa"/>
            <w:shd w:val="clear" w:color="000000" w:fill="FFFFFF"/>
            <w:noWrap w:val="0"/>
            <w:vAlign w:val="center"/>
          </w:tcPr>
          <w:p>
            <w:pPr>
              <w:autoSpaceDE w:val="0"/>
              <w:autoSpaceDN w:val="0"/>
              <w:snapToGrid w:val="0"/>
              <w:spacing w:line="336" w:lineRule="auto"/>
              <w:ind w:left="0" w:leftChars="0" w:firstLine="0" w:firstLineChars="0"/>
              <w:jc w:val="both"/>
              <w:rPr>
                <w:rFonts w:ascii="宋体" w:hAnsi="宋体" w:cs="宋体"/>
                <w:color w:val="auto"/>
                <w:sz w:val="24"/>
                <w:szCs w:val="21"/>
                <w:highlight w:val="none"/>
              </w:rPr>
            </w:pPr>
            <w:r>
              <w:rPr>
                <w:rFonts w:hint="eastAsia" w:ascii="宋体" w:hAnsi="宋体" w:cs="宋体"/>
                <w:color w:val="auto"/>
                <w:sz w:val="24"/>
                <w:szCs w:val="21"/>
                <w:highlight w:val="none"/>
              </w:rPr>
              <w:t>10分</w:t>
            </w:r>
          </w:p>
        </w:tc>
        <w:tc>
          <w:tcPr>
            <w:tcW w:w="6269" w:type="dxa"/>
            <w:shd w:val="clear" w:color="000000" w:fill="FFFFFF"/>
            <w:noWrap w:val="0"/>
            <w:vAlign w:val="center"/>
          </w:tcPr>
          <w:p>
            <w:pPr>
              <w:autoSpaceDE w:val="0"/>
              <w:autoSpaceDN w:val="0"/>
              <w:snapToGrid w:val="0"/>
              <w:spacing w:line="336" w:lineRule="auto"/>
              <w:ind w:left="0" w:leftChars="0" w:firstLine="0" w:firstLineChars="0"/>
              <w:jc w:val="left"/>
              <w:rPr>
                <w:rFonts w:ascii="宋体" w:hAnsi="宋体" w:cs="宋体"/>
                <w:color w:val="auto"/>
                <w:sz w:val="24"/>
                <w:szCs w:val="21"/>
                <w:highlight w:val="none"/>
              </w:rPr>
            </w:pPr>
            <w:r>
              <w:rPr>
                <w:rFonts w:hint="eastAsia" w:ascii="宋体" w:hAnsi="宋体" w:cs="宋体"/>
                <w:color w:val="auto"/>
                <w:sz w:val="24"/>
                <w:szCs w:val="21"/>
                <w:highlight w:val="none"/>
              </w:rPr>
              <w:t>在所有的有效投标报价中，以最低投标报价为基准价，其价格分为满分。其他投标人的报价分统一按下列公式计算：投标报价得分=(评标基准价／投标报价)×价格权值（10%）×100（四舍五入后保留小数点后两位）。</w:t>
            </w:r>
          </w:p>
          <w:p>
            <w:pPr>
              <w:autoSpaceDE w:val="0"/>
              <w:autoSpaceDN w:val="0"/>
              <w:snapToGrid w:val="0"/>
              <w:spacing w:line="336" w:lineRule="auto"/>
              <w:jc w:val="left"/>
              <w:rPr>
                <w:rFonts w:hint="eastAsia" w:ascii="宋体" w:hAnsi="宋体" w:cs="宋体"/>
                <w:color w:val="auto"/>
                <w:sz w:val="24"/>
                <w:szCs w:val="21"/>
                <w:highlight w:val="none"/>
              </w:rPr>
            </w:pPr>
            <w:r>
              <w:rPr>
                <w:rFonts w:hint="eastAsia" w:ascii="宋体" w:hAnsi="宋体" w:cs="宋体"/>
                <w:color w:val="auto"/>
                <w:sz w:val="24"/>
                <w:szCs w:val="21"/>
                <w:highlight w:val="none"/>
              </w:rPr>
              <w:t>注：1、根据《政府采购促进中小企业发展管理办法》（财库〔2020〕46 号）和《财政部关于进一步加大政府采购支持中小企业力度的通知》（财库〔2022〕19号）的规定，对于经主管预算单位统筹后未 预留份额专门面向中小企业采购的采购项目，以及预留份额项目中的非预留部分采购包，对符合规定的小微企业报价给予10%的扣除，用扣除后的价格参加评审。</w:t>
            </w:r>
          </w:p>
          <w:p>
            <w:pPr>
              <w:pStyle w:val="15"/>
              <w:spacing w:line="360" w:lineRule="auto"/>
              <w:ind w:firstLine="480" w:firstLineChars="200"/>
              <w:rPr>
                <w:rFonts w:ascii="宋体" w:hAnsi="宋体"/>
                <w:color w:val="auto"/>
                <w:sz w:val="24"/>
                <w:szCs w:val="21"/>
                <w:highlight w:val="none"/>
              </w:rPr>
            </w:pPr>
            <w:r>
              <w:rPr>
                <w:rFonts w:hint="eastAsia" w:ascii="宋体" w:hAnsi="宋体" w:cs="宋体"/>
                <w:color w:val="auto"/>
                <w:sz w:val="24"/>
                <w:szCs w:val="21"/>
                <w:highlight w:val="none"/>
              </w:rPr>
              <w:t>2、监狱企业、残疾人福利性单位属于小型、微型企业的，不重复享受政策。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9" w:hRule="atLeast"/>
          <w:jc w:val="center"/>
        </w:trPr>
        <w:tc>
          <w:tcPr>
            <w:tcW w:w="1134" w:type="dxa"/>
            <w:vMerge w:val="restart"/>
            <w:shd w:val="clear" w:color="000000" w:fill="FFFFFF"/>
            <w:noWrap w:val="0"/>
            <w:vAlign w:val="center"/>
          </w:tcPr>
          <w:p>
            <w:pPr>
              <w:autoSpaceDE w:val="0"/>
              <w:autoSpaceDN w:val="0"/>
              <w:snapToGrid w:val="0"/>
              <w:spacing w:line="336" w:lineRule="auto"/>
              <w:ind w:left="0" w:leftChars="0" w:firstLine="0" w:firstLineChars="0"/>
              <w:jc w:val="both"/>
              <w:rPr>
                <w:rFonts w:ascii="宋体" w:hAnsi="宋体" w:cs="宋体"/>
                <w:color w:val="auto"/>
                <w:sz w:val="24"/>
                <w:szCs w:val="21"/>
                <w:highlight w:val="none"/>
              </w:rPr>
            </w:pPr>
            <w:r>
              <w:rPr>
                <w:rFonts w:hint="eastAsia" w:ascii="宋体" w:hAnsi="宋体" w:cs="宋体"/>
                <w:color w:val="auto"/>
                <w:sz w:val="24"/>
                <w:szCs w:val="21"/>
                <w:highlight w:val="none"/>
              </w:rPr>
              <w:t>履约能力</w:t>
            </w:r>
            <w:r>
              <w:rPr>
                <w:rFonts w:hint="eastAsia" w:ascii="宋体" w:hAnsi="宋体" w:cs="宋体"/>
                <w:color w:val="auto"/>
                <w:sz w:val="24"/>
                <w:szCs w:val="21"/>
                <w:highlight w:val="none"/>
                <w:lang w:val="en-US" w:eastAsia="zh-CN"/>
              </w:rPr>
              <w:t>20</w:t>
            </w:r>
            <w:r>
              <w:rPr>
                <w:rFonts w:hint="eastAsia" w:ascii="宋体" w:hAnsi="宋体" w:cs="宋体"/>
                <w:color w:val="auto"/>
                <w:sz w:val="24"/>
                <w:szCs w:val="21"/>
                <w:highlight w:val="none"/>
              </w:rPr>
              <w:t>分</w:t>
            </w:r>
          </w:p>
        </w:tc>
        <w:tc>
          <w:tcPr>
            <w:tcW w:w="1668" w:type="dxa"/>
            <w:shd w:val="clear" w:color="000000" w:fill="FFFFFF"/>
            <w:noWrap w:val="0"/>
            <w:vAlign w:val="center"/>
          </w:tcPr>
          <w:p>
            <w:pPr>
              <w:autoSpaceDE w:val="0"/>
              <w:autoSpaceDN w:val="0"/>
              <w:snapToGrid w:val="0"/>
              <w:spacing w:line="336" w:lineRule="auto"/>
              <w:ind w:left="0" w:leftChars="0" w:firstLine="0" w:firstLineChars="0"/>
              <w:jc w:val="both"/>
              <w:rPr>
                <w:rFonts w:ascii="宋体" w:hAnsi="宋体" w:cs="宋体"/>
                <w:color w:val="auto"/>
                <w:sz w:val="24"/>
                <w:szCs w:val="21"/>
                <w:highlight w:val="none"/>
              </w:rPr>
            </w:pPr>
            <w:r>
              <w:rPr>
                <w:rFonts w:hint="eastAsia" w:ascii="宋体" w:hAnsi="宋体" w:cs="宋体"/>
                <w:color w:val="auto"/>
                <w:sz w:val="24"/>
                <w:szCs w:val="21"/>
                <w:highlight w:val="none"/>
              </w:rPr>
              <w:t>类似业绩情况</w:t>
            </w:r>
          </w:p>
        </w:tc>
        <w:tc>
          <w:tcPr>
            <w:tcW w:w="770" w:type="dxa"/>
            <w:shd w:val="clear" w:color="000000" w:fill="FFFFFF"/>
            <w:noWrap w:val="0"/>
            <w:vAlign w:val="center"/>
          </w:tcPr>
          <w:p>
            <w:pPr>
              <w:autoSpaceDE w:val="0"/>
              <w:autoSpaceDN w:val="0"/>
              <w:snapToGrid w:val="0"/>
              <w:spacing w:line="336" w:lineRule="auto"/>
              <w:ind w:left="0" w:leftChars="0" w:firstLine="0" w:firstLineChars="0"/>
              <w:jc w:val="both"/>
              <w:rPr>
                <w:rFonts w:ascii="宋体" w:hAnsi="宋体" w:cs="宋体"/>
                <w:color w:val="auto"/>
                <w:sz w:val="24"/>
                <w:szCs w:val="21"/>
                <w:highlight w:val="none"/>
              </w:rPr>
            </w:pPr>
            <w:r>
              <w:rPr>
                <w:rFonts w:hint="eastAsia" w:ascii="宋体" w:hAnsi="宋体" w:cs="宋体"/>
                <w:color w:val="auto"/>
                <w:sz w:val="24"/>
                <w:szCs w:val="21"/>
                <w:highlight w:val="none"/>
                <w:lang w:val="en-US" w:eastAsia="zh-CN"/>
              </w:rPr>
              <w:t>9</w:t>
            </w:r>
            <w:r>
              <w:rPr>
                <w:rFonts w:hint="eastAsia" w:ascii="宋体" w:hAnsi="宋体" w:cs="宋体"/>
                <w:color w:val="auto"/>
                <w:sz w:val="24"/>
                <w:szCs w:val="21"/>
                <w:highlight w:val="none"/>
              </w:rPr>
              <w:t>分</w:t>
            </w:r>
          </w:p>
        </w:tc>
        <w:tc>
          <w:tcPr>
            <w:tcW w:w="6269" w:type="dxa"/>
            <w:shd w:val="clear" w:color="000000" w:fill="FFFFFF"/>
            <w:noWrap w:val="0"/>
            <w:vAlign w:val="center"/>
          </w:tcPr>
          <w:p>
            <w:pPr>
              <w:autoSpaceDE w:val="0"/>
              <w:autoSpaceDN w:val="0"/>
              <w:snapToGrid w:val="0"/>
              <w:spacing w:line="360" w:lineRule="auto"/>
              <w:ind w:left="0" w:leftChars="0" w:firstLine="0" w:firstLineChars="0"/>
              <w:jc w:val="left"/>
              <w:rPr>
                <w:rFonts w:ascii="宋体" w:hAnsi="宋体" w:cs="宋体"/>
                <w:color w:val="auto"/>
                <w:sz w:val="24"/>
                <w:szCs w:val="21"/>
                <w:highlight w:val="none"/>
              </w:rPr>
            </w:pPr>
            <w:r>
              <w:rPr>
                <w:rFonts w:hint="eastAsia" w:ascii="宋体" w:hAnsi="宋体" w:cs="宋体"/>
                <w:color w:val="auto"/>
                <w:sz w:val="24"/>
                <w:szCs w:val="21"/>
                <w:highlight w:val="none"/>
              </w:rPr>
              <w:t>提供</w:t>
            </w:r>
            <w:r>
              <w:rPr>
                <w:rFonts w:hint="eastAsia" w:ascii="宋体" w:hAnsi="宋体" w:cs="宋体"/>
                <w:color w:val="auto"/>
                <w:sz w:val="24"/>
                <w:szCs w:val="21"/>
                <w:highlight w:val="none"/>
                <w:lang w:val="en-US" w:eastAsia="zh-CN"/>
              </w:rPr>
              <w:t>2021</w:t>
            </w:r>
            <w:r>
              <w:rPr>
                <w:rFonts w:hint="eastAsia" w:ascii="宋体" w:hAnsi="宋体" w:cs="宋体"/>
                <w:color w:val="auto"/>
                <w:sz w:val="24"/>
                <w:szCs w:val="21"/>
                <w:highlight w:val="none"/>
              </w:rPr>
              <w:t>年</w:t>
            </w:r>
            <w:r>
              <w:rPr>
                <w:rFonts w:hint="eastAsia" w:ascii="宋体" w:hAnsi="宋体" w:cs="宋体"/>
                <w:color w:val="auto"/>
                <w:sz w:val="24"/>
                <w:szCs w:val="21"/>
                <w:highlight w:val="none"/>
                <w:lang w:eastAsia="zh-CN"/>
              </w:rPr>
              <w:t>以来</w:t>
            </w:r>
            <w:r>
              <w:rPr>
                <w:rFonts w:hint="eastAsia" w:ascii="宋体" w:hAnsi="宋体" w:cs="宋体"/>
                <w:color w:val="auto"/>
                <w:sz w:val="24"/>
                <w:szCs w:val="24"/>
                <w:lang w:eastAsia="zh-CN"/>
              </w:rPr>
              <w:t>编写过初步设计及可研服务方案</w:t>
            </w:r>
            <w:r>
              <w:rPr>
                <w:rFonts w:hint="eastAsia" w:ascii="宋体" w:hAnsi="宋体" w:cs="宋体"/>
                <w:color w:val="auto"/>
                <w:sz w:val="24"/>
                <w:szCs w:val="21"/>
                <w:highlight w:val="none"/>
              </w:rPr>
              <w:t>的类似业绩证明材料，每提供一份相关业绩的，得</w:t>
            </w:r>
            <w:r>
              <w:rPr>
                <w:rFonts w:hint="eastAsia" w:ascii="宋体" w:hAnsi="宋体" w:cs="宋体"/>
                <w:color w:val="auto"/>
                <w:sz w:val="24"/>
                <w:szCs w:val="21"/>
                <w:highlight w:val="none"/>
                <w:lang w:val="en-US" w:eastAsia="zh-CN"/>
              </w:rPr>
              <w:t>3</w:t>
            </w:r>
            <w:r>
              <w:rPr>
                <w:rFonts w:hint="eastAsia" w:ascii="宋体" w:hAnsi="宋体" w:cs="宋体"/>
                <w:color w:val="auto"/>
                <w:sz w:val="24"/>
                <w:szCs w:val="21"/>
                <w:highlight w:val="none"/>
              </w:rPr>
              <w:t>分，满分</w:t>
            </w:r>
            <w:r>
              <w:rPr>
                <w:rFonts w:hint="eastAsia" w:ascii="宋体" w:hAnsi="宋体" w:cs="宋体"/>
                <w:color w:val="auto"/>
                <w:sz w:val="24"/>
                <w:szCs w:val="21"/>
                <w:highlight w:val="none"/>
                <w:lang w:val="en-US" w:eastAsia="zh-CN"/>
              </w:rPr>
              <w:t>9</w:t>
            </w:r>
            <w:r>
              <w:rPr>
                <w:rFonts w:hint="eastAsia" w:ascii="宋体" w:hAnsi="宋体" w:cs="宋体"/>
                <w:color w:val="auto"/>
                <w:sz w:val="24"/>
                <w:szCs w:val="21"/>
                <w:highlight w:val="none"/>
              </w:rPr>
              <w:t>分，不提供不得分。</w:t>
            </w:r>
          </w:p>
          <w:p>
            <w:pPr>
              <w:autoSpaceDE w:val="0"/>
              <w:autoSpaceDN w:val="0"/>
              <w:snapToGrid w:val="0"/>
              <w:spacing w:line="360" w:lineRule="auto"/>
              <w:ind w:left="0" w:leftChars="0" w:firstLine="0" w:firstLineChars="0"/>
              <w:jc w:val="left"/>
              <w:rPr>
                <w:rFonts w:ascii="宋体" w:hAnsi="宋体" w:cs="宋体"/>
                <w:color w:val="auto"/>
                <w:sz w:val="24"/>
                <w:szCs w:val="21"/>
                <w:highlight w:val="none"/>
              </w:rPr>
            </w:pPr>
            <w:r>
              <w:rPr>
                <w:rFonts w:hint="eastAsia" w:ascii="宋体" w:hAnsi="宋体" w:cs="宋体"/>
                <w:color w:val="auto"/>
                <w:sz w:val="24"/>
                <w:szCs w:val="21"/>
                <w:highlight w:val="none"/>
              </w:rPr>
              <w:t>注：以中标通知书或合同复印件为准，合同提供包含合同首页、标的及金额所在页、签字盖章页的扫描（或复印）件。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1134" w:type="dxa"/>
            <w:vMerge w:val="continue"/>
            <w:shd w:val="clear" w:color="000000" w:fill="FFFFFF"/>
            <w:noWrap w:val="0"/>
            <w:vAlign w:val="center"/>
          </w:tcPr>
          <w:p>
            <w:pPr>
              <w:autoSpaceDE w:val="0"/>
              <w:autoSpaceDN w:val="0"/>
              <w:snapToGrid w:val="0"/>
              <w:spacing w:line="336" w:lineRule="auto"/>
              <w:ind w:firstLine="480" w:firstLineChars="200"/>
              <w:jc w:val="center"/>
              <w:rPr>
                <w:rFonts w:hint="eastAsia" w:ascii="宋体" w:hAnsi="宋体" w:cs="宋体"/>
                <w:color w:val="auto"/>
                <w:sz w:val="24"/>
                <w:szCs w:val="21"/>
                <w:highlight w:val="none"/>
              </w:rPr>
            </w:pPr>
          </w:p>
        </w:tc>
        <w:tc>
          <w:tcPr>
            <w:tcW w:w="1668" w:type="dxa"/>
            <w:shd w:val="clear" w:color="000000" w:fill="FFFFFF"/>
            <w:noWrap w:val="0"/>
            <w:vAlign w:val="center"/>
          </w:tcPr>
          <w:p>
            <w:pPr>
              <w:widowControl/>
              <w:spacing w:line="360" w:lineRule="auto"/>
              <w:ind w:left="0" w:leftChars="0" w:firstLine="240" w:firstLineChars="100"/>
              <w:rPr>
                <w:rFonts w:hint="eastAsia" w:ascii="宋体" w:hAnsi="宋体"/>
                <w:color w:val="auto"/>
                <w:highlight w:val="none"/>
                <w:lang w:val="zh-CN"/>
              </w:rPr>
            </w:pPr>
            <w:r>
              <w:rPr>
                <w:rFonts w:hint="eastAsia" w:ascii="宋体" w:hAnsi="宋体" w:cs="宋体"/>
                <w:color w:val="auto"/>
                <w:sz w:val="24"/>
                <w:szCs w:val="21"/>
                <w:highlight w:val="none"/>
                <w:lang w:val="zh-CN"/>
              </w:rPr>
              <w:t>团队</w:t>
            </w:r>
          </w:p>
        </w:tc>
        <w:tc>
          <w:tcPr>
            <w:tcW w:w="770" w:type="dxa"/>
            <w:shd w:val="clear" w:color="000000" w:fill="FFFFFF"/>
            <w:noWrap w:val="0"/>
            <w:vAlign w:val="center"/>
          </w:tcPr>
          <w:p>
            <w:pPr>
              <w:widowControl/>
              <w:spacing w:line="360" w:lineRule="auto"/>
              <w:ind w:left="0" w:leftChars="0" w:firstLine="0" w:firstLineChars="0"/>
              <w:rPr>
                <w:rFonts w:hint="eastAsia" w:ascii="宋体" w:hAnsi="宋体"/>
                <w:color w:val="auto"/>
                <w:highlight w:val="none"/>
                <w:lang w:val="zh-CN"/>
              </w:rPr>
            </w:pPr>
            <w:r>
              <w:rPr>
                <w:rFonts w:hint="eastAsia" w:ascii="宋体" w:hAnsi="宋体" w:cs="宋体"/>
                <w:color w:val="auto"/>
                <w:sz w:val="24"/>
                <w:szCs w:val="21"/>
                <w:highlight w:val="none"/>
                <w:lang w:val="en-US" w:eastAsia="zh-CN"/>
              </w:rPr>
              <w:t>11</w:t>
            </w:r>
            <w:r>
              <w:rPr>
                <w:rFonts w:hint="eastAsia" w:ascii="宋体" w:hAnsi="宋体" w:cs="宋体"/>
                <w:color w:val="auto"/>
                <w:sz w:val="24"/>
                <w:szCs w:val="21"/>
                <w:highlight w:val="none"/>
                <w:lang w:val="zh-CN"/>
              </w:rPr>
              <w:t>分</w:t>
            </w:r>
          </w:p>
        </w:tc>
        <w:tc>
          <w:tcPr>
            <w:tcW w:w="6269" w:type="dxa"/>
            <w:shd w:val="clear" w:color="000000" w:fill="FFFFFF"/>
            <w:noWrap w:val="0"/>
            <w:vAlign w:val="center"/>
          </w:tcPr>
          <w:p>
            <w:pPr>
              <w:widowControl/>
              <w:spacing w:line="360" w:lineRule="auto"/>
              <w:ind w:left="0" w:leftChars="0" w:firstLine="0" w:firstLineChars="0"/>
              <w:jc w:val="left"/>
              <w:rPr>
                <w:rFonts w:hint="eastAsia" w:ascii="宋体" w:hAnsi="宋体" w:cs="宋体"/>
                <w:color w:val="auto"/>
                <w:sz w:val="24"/>
                <w:szCs w:val="21"/>
                <w:highlight w:val="none"/>
                <w:lang w:val="en-US" w:eastAsia="zh-CN"/>
              </w:rPr>
            </w:pPr>
            <w:r>
              <w:rPr>
                <w:rFonts w:hint="eastAsia" w:ascii="宋体" w:hAnsi="宋体" w:cs="宋体"/>
                <w:color w:val="auto"/>
                <w:sz w:val="24"/>
                <w:szCs w:val="21"/>
                <w:highlight w:val="none"/>
                <w:lang w:val="en-US" w:eastAsia="zh-CN"/>
              </w:rPr>
              <w:t xml:space="preserve">其他拟投入本项目的设计团队人员（不含项目负责人）具 </w:t>
            </w:r>
          </w:p>
          <w:p>
            <w:pPr>
              <w:widowControl/>
              <w:spacing w:line="360" w:lineRule="auto"/>
              <w:ind w:left="0" w:leftChars="0" w:firstLine="0" w:firstLineChars="0"/>
              <w:jc w:val="left"/>
              <w:rPr>
                <w:rFonts w:hint="eastAsia" w:ascii="宋体" w:hAnsi="宋体" w:cs="宋体"/>
                <w:color w:val="auto"/>
                <w:sz w:val="24"/>
                <w:szCs w:val="21"/>
                <w:highlight w:val="none"/>
                <w:lang w:val="en-US" w:eastAsia="zh-CN"/>
              </w:rPr>
            </w:pPr>
            <w:r>
              <w:rPr>
                <w:rFonts w:hint="eastAsia" w:ascii="宋体" w:hAnsi="宋体" w:cs="宋体"/>
                <w:color w:val="auto"/>
                <w:sz w:val="24"/>
                <w:szCs w:val="21"/>
                <w:highlight w:val="none"/>
                <w:lang w:val="en-US" w:eastAsia="zh-CN"/>
              </w:rPr>
              <w:t xml:space="preserve">有工程类相关专业高级职称的，每提供 1 名的得 3分，最高得 6分；具有工程类相关专业中级职称的，每提供 </w:t>
            </w:r>
            <w:r>
              <w:rPr>
                <w:rFonts w:hint="default" w:ascii="宋体" w:hAnsi="宋体" w:cs="宋体"/>
                <w:color w:val="auto"/>
                <w:sz w:val="24"/>
                <w:szCs w:val="21"/>
                <w:highlight w:val="none"/>
                <w:lang w:val="en-US" w:eastAsia="zh-CN"/>
              </w:rPr>
              <w:t xml:space="preserve">1 </w:t>
            </w:r>
            <w:r>
              <w:rPr>
                <w:rFonts w:hint="eastAsia" w:ascii="宋体" w:hAnsi="宋体" w:cs="宋体"/>
                <w:color w:val="auto"/>
                <w:sz w:val="24"/>
                <w:szCs w:val="21"/>
                <w:highlight w:val="none"/>
                <w:lang w:val="en-US" w:eastAsia="zh-CN"/>
              </w:rPr>
              <w:t xml:space="preserve">名的得 2分，最高得4分；具有工程类相关专业初级职称的，每提供 </w:t>
            </w:r>
            <w:r>
              <w:rPr>
                <w:rFonts w:hint="default" w:ascii="宋体" w:hAnsi="宋体" w:cs="宋体"/>
                <w:color w:val="auto"/>
                <w:sz w:val="24"/>
                <w:szCs w:val="21"/>
                <w:highlight w:val="none"/>
                <w:lang w:val="en-US" w:eastAsia="zh-CN"/>
              </w:rPr>
              <w:t xml:space="preserve">1 </w:t>
            </w:r>
            <w:r>
              <w:rPr>
                <w:rFonts w:hint="eastAsia" w:ascii="宋体" w:hAnsi="宋体" w:cs="宋体"/>
                <w:color w:val="auto"/>
                <w:sz w:val="24"/>
                <w:szCs w:val="21"/>
                <w:highlight w:val="none"/>
                <w:lang w:val="en-US" w:eastAsia="zh-CN"/>
              </w:rPr>
              <w:t xml:space="preserve">名的 得 0.5分，最高得 1分； </w:t>
            </w:r>
          </w:p>
          <w:p>
            <w:pPr>
              <w:widowControl/>
              <w:spacing w:line="360" w:lineRule="auto"/>
              <w:ind w:left="0" w:leftChars="0" w:firstLine="0" w:firstLineChars="0"/>
              <w:jc w:val="left"/>
              <w:rPr>
                <w:rFonts w:hint="eastAsia" w:ascii="宋体" w:hAnsi="宋体" w:cs="宋体"/>
                <w:color w:val="auto"/>
                <w:sz w:val="24"/>
                <w:szCs w:val="21"/>
                <w:highlight w:val="none"/>
                <w:lang w:val="en-US" w:eastAsia="zh-CN"/>
              </w:rPr>
            </w:pPr>
            <w:r>
              <w:rPr>
                <w:rFonts w:hint="eastAsia" w:ascii="宋体" w:hAnsi="宋体" w:cs="宋体"/>
                <w:color w:val="auto"/>
                <w:sz w:val="24"/>
                <w:szCs w:val="21"/>
                <w:highlight w:val="none"/>
                <w:lang w:val="en-US" w:eastAsia="zh-CN"/>
              </w:rPr>
              <w:t xml:space="preserve">注：投标人需提供拟投入人员身份证、职称证及人员社保 </w:t>
            </w:r>
          </w:p>
          <w:p>
            <w:pPr>
              <w:widowControl/>
              <w:spacing w:line="360" w:lineRule="auto"/>
              <w:ind w:left="0" w:leftChars="0" w:firstLine="0" w:firstLineChars="0"/>
              <w:jc w:val="left"/>
              <w:rPr>
                <w:rFonts w:hint="eastAsia"/>
                <w:color w:val="auto"/>
              </w:rPr>
            </w:pPr>
            <w:r>
              <w:rPr>
                <w:rFonts w:hint="eastAsia" w:ascii="宋体" w:hAnsi="宋体" w:cs="宋体"/>
                <w:color w:val="auto"/>
                <w:sz w:val="24"/>
                <w:szCs w:val="21"/>
                <w:highlight w:val="none"/>
                <w:lang w:val="en-US" w:eastAsia="zh-CN"/>
              </w:rPr>
              <w:t>等扫描件，未提供的不得分。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134" w:type="dxa"/>
            <w:vMerge w:val="restart"/>
            <w:shd w:val="clear" w:color="000000" w:fill="FFFFFF"/>
            <w:noWrap w:val="0"/>
            <w:vAlign w:val="center"/>
          </w:tcPr>
          <w:p>
            <w:pPr>
              <w:autoSpaceDE w:val="0"/>
              <w:autoSpaceDN w:val="0"/>
              <w:snapToGrid w:val="0"/>
              <w:spacing w:line="336" w:lineRule="auto"/>
              <w:ind w:left="0" w:leftChars="0" w:firstLine="0" w:firstLineChars="0"/>
              <w:jc w:val="both"/>
              <w:rPr>
                <w:rFonts w:ascii="宋体" w:hAnsi="宋体" w:cs="宋体"/>
                <w:color w:val="auto"/>
                <w:sz w:val="24"/>
                <w:szCs w:val="21"/>
                <w:highlight w:val="none"/>
                <w:lang w:val="zh-CN"/>
              </w:rPr>
            </w:pPr>
            <w:r>
              <w:rPr>
                <w:rFonts w:hint="eastAsia" w:ascii="宋体" w:hAnsi="宋体" w:cs="宋体"/>
                <w:color w:val="auto"/>
                <w:sz w:val="24"/>
                <w:szCs w:val="21"/>
                <w:highlight w:val="none"/>
              </w:rPr>
              <w:t>技术水平</w:t>
            </w:r>
            <w:r>
              <w:rPr>
                <w:rFonts w:hint="eastAsia" w:ascii="宋体" w:hAnsi="宋体" w:cs="宋体"/>
                <w:color w:val="auto"/>
                <w:sz w:val="24"/>
                <w:szCs w:val="21"/>
                <w:highlight w:val="none"/>
                <w:lang w:val="en-US" w:eastAsia="zh-CN"/>
              </w:rPr>
              <w:t>70</w:t>
            </w:r>
            <w:r>
              <w:rPr>
                <w:rFonts w:hint="eastAsia" w:ascii="宋体" w:hAnsi="宋体" w:cs="宋体"/>
                <w:color w:val="auto"/>
                <w:sz w:val="24"/>
                <w:szCs w:val="21"/>
                <w:highlight w:val="none"/>
              </w:rPr>
              <w:t>分</w:t>
            </w:r>
          </w:p>
        </w:tc>
        <w:tc>
          <w:tcPr>
            <w:tcW w:w="1668" w:type="dxa"/>
            <w:shd w:val="clear" w:color="000000" w:fill="FFFFFF"/>
            <w:noWrap w:val="0"/>
            <w:vAlign w:val="center"/>
          </w:tcPr>
          <w:p>
            <w:pPr>
              <w:autoSpaceDE w:val="0"/>
              <w:autoSpaceDN w:val="0"/>
              <w:snapToGrid w:val="0"/>
              <w:spacing w:line="336" w:lineRule="auto"/>
              <w:ind w:left="0" w:leftChars="0" w:firstLine="0" w:firstLineChars="0"/>
              <w:jc w:val="both"/>
              <w:rPr>
                <w:rFonts w:ascii="宋体" w:hAnsi="宋体" w:cs="宋体"/>
                <w:color w:val="auto"/>
                <w:sz w:val="24"/>
                <w:szCs w:val="21"/>
                <w:highlight w:val="none"/>
              </w:rPr>
            </w:pPr>
            <w:r>
              <w:rPr>
                <w:rFonts w:hint="eastAsia" w:ascii="宋体" w:hAnsi="宋体" w:cs="宋体"/>
                <w:color w:val="auto"/>
                <w:sz w:val="24"/>
                <w:szCs w:val="21"/>
                <w:highlight w:val="none"/>
                <w:lang w:eastAsia="zh-CN"/>
              </w:rPr>
              <w:t>可研及初设</w:t>
            </w:r>
            <w:r>
              <w:rPr>
                <w:rFonts w:ascii="宋体" w:hAnsi="宋体" w:cs="宋体"/>
                <w:color w:val="auto"/>
                <w:sz w:val="24"/>
                <w:szCs w:val="21"/>
                <w:highlight w:val="none"/>
              </w:rPr>
              <w:t>方案</w:t>
            </w:r>
          </w:p>
        </w:tc>
        <w:tc>
          <w:tcPr>
            <w:tcW w:w="770" w:type="dxa"/>
            <w:shd w:val="clear" w:color="000000" w:fill="FFFFFF"/>
            <w:noWrap w:val="0"/>
            <w:vAlign w:val="center"/>
          </w:tcPr>
          <w:p>
            <w:pPr>
              <w:autoSpaceDE w:val="0"/>
              <w:autoSpaceDN w:val="0"/>
              <w:snapToGrid w:val="0"/>
              <w:spacing w:line="336" w:lineRule="auto"/>
              <w:ind w:left="0" w:leftChars="0" w:firstLine="0" w:firstLineChars="0"/>
              <w:jc w:val="both"/>
              <w:rPr>
                <w:rFonts w:ascii="宋体" w:hAnsi="宋体" w:cs="宋体"/>
                <w:color w:val="auto"/>
                <w:sz w:val="24"/>
                <w:szCs w:val="21"/>
                <w:highlight w:val="none"/>
              </w:rPr>
            </w:pPr>
            <w:r>
              <w:rPr>
                <w:rFonts w:hint="eastAsia" w:ascii="宋体" w:hAnsi="宋体" w:cs="宋体"/>
                <w:color w:val="auto"/>
                <w:sz w:val="24"/>
                <w:szCs w:val="21"/>
                <w:highlight w:val="none"/>
                <w:lang w:val="en-US" w:eastAsia="zh-CN"/>
              </w:rPr>
              <w:t>15</w:t>
            </w:r>
            <w:r>
              <w:rPr>
                <w:rFonts w:hint="eastAsia" w:ascii="宋体" w:hAnsi="宋体" w:cs="宋体"/>
                <w:color w:val="auto"/>
                <w:sz w:val="24"/>
                <w:szCs w:val="21"/>
                <w:highlight w:val="none"/>
              </w:rPr>
              <w:t>分</w:t>
            </w:r>
          </w:p>
        </w:tc>
        <w:tc>
          <w:tcPr>
            <w:tcW w:w="6269" w:type="dxa"/>
            <w:shd w:val="clear" w:color="000000" w:fill="FFFFFF"/>
            <w:noWrap w:val="0"/>
            <w:vAlign w:val="center"/>
          </w:tcPr>
          <w:p>
            <w:pPr>
              <w:widowControl/>
              <w:spacing w:line="360" w:lineRule="auto"/>
              <w:ind w:left="0" w:leftChars="0" w:firstLine="0" w:firstLineChars="0"/>
              <w:jc w:val="left"/>
              <w:rPr>
                <w:rFonts w:ascii="宋体" w:hAnsi="宋体" w:cs="宋体"/>
                <w:color w:val="auto"/>
                <w:sz w:val="24"/>
                <w:szCs w:val="21"/>
                <w:highlight w:val="none"/>
              </w:rPr>
            </w:pPr>
            <w:r>
              <w:rPr>
                <w:rFonts w:hint="eastAsia" w:ascii="宋体" w:hAnsi="宋体" w:cs="宋体"/>
                <w:color w:val="auto"/>
                <w:sz w:val="24"/>
                <w:szCs w:val="21"/>
                <w:highlight w:val="none"/>
                <w:lang w:val="en-US" w:eastAsia="zh-CN"/>
              </w:rPr>
              <w:t>对本次项目说明完善、科学合理、满足本项目需求及采购人服务要求，思路清晰、定位明确的得15分，方案基本完整，内容详细无明显不合理问题的得10分，仅提供简单方案内容基本完整，操作性差的得5分,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1134" w:type="dxa"/>
            <w:vMerge w:val="continue"/>
            <w:shd w:val="clear" w:color="000000" w:fill="FFFFFF"/>
            <w:noWrap w:val="0"/>
            <w:vAlign w:val="center"/>
          </w:tcPr>
          <w:p>
            <w:pPr>
              <w:autoSpaceDE w:val="0"/>
              <w:autoSpaceDN w:val="0"/>
              <w:snapToGrid w:val="0"/>
              <w:spacing w:line="336" w:lineRule="auto"/>
              <w:ind w:firstLine="480" w:firstLineChars="200"/>
              <w:jc w:val="center"/>
              <w:rPr>
                <w:rFonts w:ascii="宋体" w:hAnsi="宋体" w:cs="宋体"/>
                <w:color w:val="auto"/>
                <w:sz w:val="24"/>
                <w:szCs w:val="21"/>
                <w:highlight w:val="none"/>
                <w:lang w:val="zh-CN"/>
              </w:rPr>
            </w:pPr>
          </w:p>
        </w:tc>
        <w:tc>
          <w:tcPr>
            <w:tcW w:w="1668" w:type="dxa"/>
            <w:shd w:val="clear" w:color="000000" w:fill="FFFFFF"/>
            <w:noWrap w:val="0"/>
            <w:vAlign w:val="center"/>
          </w:tcPr>
          <w:p>
            <w:pPr>
              <w:pStyle w:val="13"/>
              <w:spacing w:line="360" w:lineRule="auto"/>
              <w:ind w:left="0" w:leftChars="0" w:firstLine="0" w:firstLineChars="0"/>
              <w:jc w:val="both"/>
              <w:rPr>
                <w:rFonts w:ascii="宋体" w:hAnsi="宋体" w:cs="宋体"/>
                <w:color w:val="auto"/>
                <w:sz w:val="24"/>
                <w:szCs w:val="21"/>
                <w:highlight w:val="none"/>
              </w:rPr>
            </w:pPr>
            <w:r>
              <w:rPr>
                <w:rFonts w:cs="宋体"/>
                <w:color w:val="auto"/>
                <w:sz w:val="24"/>
                <w:szCs w:val="24"/>
                <w:highlight w:val="none"/>
                <w:shd w:val="clear" w:color="auto" w:fill="FFFFFF"/>
              </w:rPr>
              <w:t>质量、</w:t>
            </w:r>
            <w:r>
              <w:rPr>
                <w:rFonts w:hint="eastAsia" w:cs="宋体"/>
                <w:color w:val="auto"/>
                <w:sz w:val="24"/>
                <w:szCs w:val="24"/>
                <w:highlight w:val="none"/>
                <w:shd w:val="clear" w:color="auto" w:fill="FFFFFF"/>
              </w:rPr>
              <w:t>保密</w:t>
            </w:r>
            <w:r>
              <w:rPr>
                <w:rFonts w:cs="宋体"/>
                <w:color w:val="auto"/>
                <w:sz w:val="24"/>
                <w:szCs w:val="24"/>
                <w:highlight w:val="none"/>
                <w:shd w:val="clear" w:color="auto" w:fill="FFFFFF"/>
              </w:rPr>
              <w:t>保证措施</w:t>
            </w:r>
          </w:p>
        </w:tc>
        <w:tc>
          <w:tcPr>
            <w:tcW w:w="770" w:type="dxa"/>
            <w:shd w:val="clear" w:color="000000" w:fill="FFFFFF"/>
            <w:noWrap w:val="0"/>
            <w:vAlign w:val="center"/>
          </w:tcPr>
          <w:p>
            <w:pPr>
              <w:autoSpaceDE w:val="0"/>
              <w:autoSpaceDN w:val="0"/>
              <w:snapToGrid w:val="0"/>
              <w:spacing w:line="336" w:lineRule="auto"/>
              <w:ind w:left="0" w:leftChars="0" w:firstLine="0" w:firstLineChars="0"/>
              <w:jc w:val="both"/>
              <w:rPr>
                <w:rFonts w:ascii="宋体" w:hAnsi="宋体" w:cs="宋体"/>
                <w:color w:val="auto"/>
                <w:sz w:val="24"/>
                <w:szCs w:val="21"/>
                <w:highlight w:val="none"/>
              </w:rPr>
            </w:pPr>
            <w:r>
              <w:rPr>
                <w:rFonts w:hint="eastAsia" w:ascii="宋体" w:hAnsi="宋体" w:cs="宋体"/>
                <w:color w:val="auto"/>
                <w:sz w:val="24"/>
                <w:szCs w:val="21"/>
                <w:highlight w:val="none"/>
                <w:lang w:val="en-US" w:eastAsia="zh-CN"/>
              </w:rPr>
              <w:t>10</w:t>
            </w:r>
            <w:r>
              <w:rPr>
                <w:rFonts w:hint="eastAsia" w:ascii="宋体" w:hAnsi="宋体" w:cs="宋体"/>
                <w:color w:val="auto"/>
                <w:sz w:val="24"/>
                <w:szCs w:val="21"/>
                <w:highlight w:val="none"/>
              </w:rPr>
              <w:t>分</w:t>
            </w:r>
          </w:p>
        </w:tc>
        <w:tc>
          <w:tcPr>
            <w:tcW w:w="6269" w:type="dxa"/>
            <w:shd w:val="clear" w:color="000000" w:fill="FFFFFF"/>
            <w:noWrap w:val="0"/>
            <w:vAlign w:val="center"/>
          </w:tcPr>
          <w:p>
            <w:pPr>
              <w:pStyle w:val="13"/>
              <w:spacing w:line="360" w:lineRule="auto"/>
              <w:ind w:left="0" w:leftChars="0" w:firstLine="0" w:firstLineChars="0"/>
              <w:rPr>
                <w:rFonts w:ascii="宋体" w:hAnsi="宋体" w:cs="宋体"/>
                <w:color w:val="auto"/>
                <w:sz w:val="24"/>
                <w:szCs w:val="21"/>
                <w:highlight w:val="none"/>
              </w:rPr>
            </w:pPr>
            <w:r>
              <w:rPr>
                <w:rFonts w:cs="宋体"/>
                <w:color w:val="auto"/>
                <w:sz w:val="24"/>
                <w:szCs w:val="24"/>
                <w:highlight w:val="none"/>
                <w:shd w:val="clear" w:color="auto" w:fill="FFFFFF"/>
              </w:rPr>
              <w:t>质量、保密等保证措施内容全面、切实可行、有针对性的，得</w:t>
            </w:r>
            <w:r>
              <w:rPr>
                <w:rFonts w:hint="eastAsia" w:cs="宋体"/>
                <w:color w:val="auto"/>
                <w:sz w:val="24"/>
                <w:szCs w:val="24"/>
                <w:highlight w:val="none"/>
                <w:shd w:val="clear" w:color="auto" w:fill="FFFFFF"/>
                <w:lang w:val="en-US" w:eastAsia="zh-CN"/>
              </w:rPr>
              <w:t>10</w:t>
            </w:r>
            <w:r>
              <w:rPr>
                <w:rFonts w:hint="eastAsia" w:cs="宋体"/>
                <w:color w:val="auto"/>
                <w:sz w:val="24"/>
                <w:szCs w:val="24"/>
                <w:highlight w:val="none"/>
                <w:shd w:val="clear" w:color="auto" w:fill="FFFFFF"/>
              </w:rPr>
              <w:t>分</w:t>
            </w:r>
            <w:r>
              <w:rPr>
                <w:rFonts w:cs="宋体"/>
                <w:color w:val="auto"/>
                <w:sz w:val="24"/>
                <w:szCs w:val="24"/>
                <w:highlight w:val="none"/>
                <w:shd w:val="clear" w:color="auto" w:fill="FFFFFF"/>
              </w:rPr>
              <w:t>；质量、保密等保证措施</w:t>
            </w:r>
            <w:r>
              <w:rPr>
                <w:rFonts w:hint="eastAsia" w:cs="宋体"/>
                <w:color w:val="auto"/>
                <w:sz w:val="24"/>
                <w:szCs w:val="24"/>
                <w:highlight w:val="none"/>
                <w:shd w:val="clear" w:color="auto" w:fill="FFFFFF"/>
              </w:rPr>
              <w:t>基本满足要求的，得</w:t>
            </w:r>
            <w:r>
              <w:rPr>
                <w:rFonts w:hint="eastAsia" w:cs="宋体"/>
                <w:color w:val="auto"/>
                <w:sz w:val="24"/>
                <w:szCs w:val="24"/>
                <w:highlight w:val="none"/>
                <w:shd w:val="clear" w:color="auto" w:fill="FFFFFF"/>
                <w:lang w:val="en-US" w:eastAsia="zh-CN"/>
              </w:rPr>
              <w:t>7</w:t>
            </w:r>
            <w:r>
              <w:rPr>
                <w:rFonts w:hint="eastAsia" w:cs="宋体"/>
                <w:color w:val="auto"/>
                <w:sz w:val="24"/>
                <w:szCs w:val="24"/>
                <w:highlight w:val="none"/>
                <w:shd w:val="clear" w:color="auto" w:fill="FFFFFF"/>
              </w:rPr>
              <w:t>分；</w:t>
            </w:r>
            <w:r>
              <w:rPr>
                <w:rFonts w:cs="宋体"/>
                <w:color w:val="auto"/>
                <w:sz w:val="24"/>
                <w:szCs w:val="24"/>
                <w:highlight w:val="none"/>
                <w:shd w:val="clear" w:color="auto" w:fill="FFFFFF"/>
              </w:rPr>
              <w:t>质量、保密等保证措施可行的得</w:t>
            </w:r>
            <w:r>
              <w:rPr>
                <w:rFonts w:hint="eastAsia" w:cs="宋体"/>
                <w:color w:val="auto"/>
                <w:sz w:val="24"/>
                <w:szCs w:val="24"/>
                <w:highlight w:val="none"/>
                <w:shd w:val="clear" w:color="auto" w:fill="FFFFFF"/>
                <w:lang w:val="en-US" w:eastAsia="zh-CN"/>
              </w:rPr>
              <w:t>4</w:t>
            </w:r>
            <w:r>
              <w:rPr>
                <w:rFonts w:hint="eastAsia" w:cs="宋体"/>
                <w:color w:val="auto"/>
                <w:sz w:val="24"/>
                <w:szCs w:val="24"/>
                <w:highlight w:val="none"/>
                <w:shd w:val="clear" w:color="auto" w:fill="FFFFFF"/>
              </w:rPr>
              <w:t>分；仅提供了简单的</w:t>
            </w:r>
            <w:r>
              <w:rPr>
                <w:rFonts w:cs="宋体"/>
                <w:color w:val="auto"/>
                <w:sz w:val="24"/>
                <w:szCs w:val="24"/>
                <w:highlight w:val="none"/>
                <w:shd w:val="clear" w:color="auto" w:fill="FFFFFF"/>
              </w:rPr>
              <w:t>质量、</w:t>
            </w:r>
            <w:r>
              <w:rPr>
                <w:rFonts w:hint="eastAsia" w:cs="宋体"/>
                <w:color w:val="auto"/>
                <w:sz w:val="24"/>
                <w:szCs w:val="24"/>
                <w:highlight w:val="none"/>
                <w:shd w:val="clear" w:color="auto" w:fill="FFFFFF"/>
                <w:lang w:eastAsia="zh-CN"/>
              </w:rPr>
              <w:t>守</w:t>
            </w:r>
            <w:r>
              <w:rPr>
                <w:rFonts w:cs="宋体"/>
                <w:color w:val="auto"/>
                <w:sz w:val="24"/>
                <w:szCs w:val="24"/>
                <w:highlight w:val="none"/>
                <w:shd w:val="clear" w:color="auto" w:fill="FFFFFF"/>
              </w:rPr>
              <w:t>密等保证措施的，得</w:t>
            </w:r>
            <w:r>
              <w:rPr>
                <w:rFonts w:hint="eastAsia" w:cs="宋体"/>
                <w:color w:val="auto"/>
                <w:sz w:val="24"/>
                <w:szCs w:val="24"/>
                <w:highlight w:val="none"/>
                <w:shd w:val="clear" w:color="auto" w:fill="FFFFFF"/>
                <w:lang w:val="en-US" w:eastAsia="zh-CN"/>
              </w:rPr>
              <w:t>2</w:t>
            </w:r>
            <w:r>
              <w:rPr>
                <w:rFonts w:hint="eastAsia" w:cs="宋体"/>
                <w:color w:val="auto"/>
                <w:sz w:val="24"/>
                <w:szCs w:val="24"/>
                <w:highlight w:val="none"/>
                <w:shd w:val="clear" w:color="auto" w:fill="FFFFFF"/>
              </w:rPr>
              <w:t>分</w:t>
            </w:r>
            <w:r>
              <w:rPr>
                <w:rFonts w:cs="宋体"/>
                <w:color w:val="auto"/>
                <w:sz w:val="24"/>
                <w:szCs w:val="24"/>
                <w:highlight w:val="none"/>
                <w:shd w:val="clear" w:color="auto" w:fill="FFFFFF"/>
              </w:rPr>
              <w:t>；</w:t>
            </w:r>
            <w:r>
              <w:rPr>
                <w:rFonts w:hint="eastAsia" w:cs="宋体"/>
                <w:color w:val="auto"/>
                <w:sz w:val="24"/>
                <w:szCs w:val="24"/>
                <w:highlight w:val="none"/>
                <w:shd w:val="clear" w:color="auto" w:fill="FFFFFF"/>
              </w:rPr>
              <w:t>不提供的不得分。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6" w:hRule="atLeast"/>
          <w:jc w:val="center"/>
        </w:trPr>
        <w:tc>
          <w:tcPr>
            <w:tcW w:w="1134" w:type="dxa"/>
            <w:vMerge w:val="continue"/>
            <w:shd w:val="clear" w:color="000000" w:fill="FFFFFF"/>
            <w:noWrap w:val="0"/>
            <w:vAlign w:val="center"/>
          </w:tcPr>
          <w:p>
            <w:pPr>
              <w:autoSpaceDE w:val="0"/>
              <w:autoSpaceDN w:val="0"/>
              <w:snapToGrid w:val="0"/>
              <w:spacing w:line="336" w:lineRule="auto"/>
              <w:ind w:firstLine="480" w:firstLineChars="200"/>
              <w:jc w:val="center"/>
              <w:rPr>
                <w:rFonts w:ascii="宋体" w:hAnsi="宋体" w:cs="宋体"/>
                <w:color w:val="auto"/>
                <w:sz w:val="24"/>
                <w:szCs w:val="21"/>
                <w:highlight w:val="none"/>
                <w:lang w:val="zh-CN"/>
              </w:rPr>
            </w:pPr>
          </w:p>
        </w:tc>
        <w:tc>
          <w:tcPr>
            <w:tcW w:w="1668" w:type="dxa"/>
            <w:shd w:val="clear" w:color="000000" w:fill="FFFFFF"/>
            <w:noWrap w:val="0"/>
            <w:vAlign w:val="center"/>
          </w:tcPr>
          <w:p>
            <w:pPr>
              <w:pStyle w:val="13"/>
              <w:spacing w:line="360" w:lineRule="auto"/>
              <w:ind w:left="0" w:leftChars="0" w:firstLine="0" w:firstLineChars="0"/>
              <w:jc w:val="both"/>
              <w:rPr>
                <w:rFonts w:cs="宋体"/>
                <w:color w:val="auto"/>
                <w:sz w:val="24"/>
                <w:szCs w:val="24"/>
                <w:highlight w:val="none"/>
                <w:shd w:val="clear" w:color="auto" w:fill="FFFFFF"/>
              </w:rPr>
            </w:pPr>
            <w:r>
              <w:rPr>
                <w:rFonts w:cs="宋体"/>
                <w:color w:val="auto"/>
                <w:sz w:val="24"/>
                <w:szCs w:val="24"/>
                <w:highlight w:val="none"/>
                <w:shd w:val="clear" w:color="auto" w:fill="FFFFFF"/>
              </w:rPr>
              <w:t>工作重点、难点分析</w:t>
            </w:r>
          </w:p>
        </w:tc>
        <w:tc>
          <w:tcPr>
            <w:tcW w:w="770" w:type="dxa"/>
            <w:shd w:val="clear" w:color="000000" w:fill="FFFFFF"/>
            <w:noWrap w:val="0"/>
            <w:vAlign w:val="center"/>
          </w:tcPr>
          <w:p>
            <w:pPr>
              <w:autoSpaceDE w:val="0"/>
              <w:autoSpaceDN w:val="0"/>
              <w:snapToGrid w:val="0"/>
              <w:spacing w:line="336" w:lineRule="auto"/>
              <w:ind w:left="0" w:leftChars="0" w:firstLine="0" w:firstLineChars="0"/>
              <w:jc w:val="both"/>
              <w:rPr>
                <w:rFonts w:ascii="宋体" w:hAnsi="宋体" w:cs="宋体"/>
                <w:color w:val="auto"/>
                <w:sz w:val="24"/>
                <w:szCs w:val="21"/>
                <w:highlight w:val="none"/>
              </w:rPr>
            </w:pPr>
            <w:r>
              <w:rPr>
                <w:rFonts w:hint="eastAsia" w:ascii="宋体" w:hAnsi="宋体" w:cs="宋体"/>
                <w:color w:val="auto"/>
                <w:sz w:val="24"/>
                <w:szCs w:val="21"/>
                <w:highlight w:val="none"/>
                <w:lang w:val="en-US" w:eastAsia="zh-CN"/>
              </w:rPr>
              <w:t>20</w:t>
            </w:r>
            <w:r>
              <w:rPr>
                <w:rFonts w:hint="eastAsia" w:ascii="宋体" w:hAnsi="宋体" w:cs="宋体"/>
                <w:color w:val="auto"/>
                <w:sz w:val="24"/>
                <w:szCs w:val="21"/>
                <w:highlight w:val="none"/>
              </w:rPr>
              <w:t>分</w:t>
            </w:r>
          </w:p>
        </w:tc>
        <w:tc>
          <w:tcPr>
            <w:tcW w:w="6269" w:type="dxa"/>
            <w:shd w:val="clear" w:color="000000" w:fill="FFFFFF"/>
            <w:noWrap w:val="0"/>
            <w:vAlign w:val="center"/>
          </w:tcPr>
          <w:p>
            <w:pPr>
              <w:pStyle w:val="13"/>
              <w:spacing w:line="360" w:lineRule="auto"/>
              <w:ind w:left="0" w:leftChars="0" w:firstLine="0" w:firstLineChars="0"/>
              <w:rPr>
                <w:rFonts w:cs="宋体"/>
                <w:color w:val="auto"/>
                <w:sz w:val="24"/>
                <w:szCs w:val="24"/>
                <w:highlight w:val="none"/>
                <w:shd w:val="clear" w:color="auto" w:fill="FFFFFF"/>
              </w:rPr>
            </w:pPr>
            <w:r>
              <w:rPr>
                <w:rFonts w:hint="eastAsia" w:cs="宋体"/>
                <w:color w:val="auto"/>
                <w:sz w:val="24"/>
                <w:szCs w:val="24"/>
                <w:highlight w:val="none"/>
                <w:shd w:val="clear" w:color="auto" w:fill="FFFFFF"/>
                <w:lang w:val="en-US" w:eastAsia="zh-CN"/>
              </w:rPr>
              <w:t>对本项目的理解程度、对项目做出的重点难点分析及下阶段工作应注意的事项。理解清晰，重点难点准确，分析透彻、全面、合理得20分，难点、分析</w:t>
            </w:r>
            <w:r>
              <w:rPr>
                <w:rFonts w:hint="eastAsia" w:cs="宋体"/>
                <w:color w:val="auto"/>
                <w:sz w:val="24"/>
                <w:szCs w:val="24"/>
                <w:highlight w:val="none"/>
                <w:shd w:val="clear" w:color="auto" w:fill="FFFFFF"/>
              </w:rPr>
              <w:t>基本</w:t>
            </w:r>
            <w:r>
              <w:rPr>
                <w:rFonts w:hint="eastAsia" w:cs="宋体"/>
                <w:color w:val="auto"/>
                <w:sz w:val="24"/>
                <w:szCs w:val="24"/>
                <w:highlight w:val="none"/>
                <w:shd w:val="clear" w:color="auto" w:fill="FFFFFF"/>
                <w:lang w:val="en-US" w:eastAsia="zh-CN"/>
              </w:rPr>
              <w:t>把握、合理的得12分，基本阐述合理但不足以满足文件要求的得5分,不提供不得分。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jc w:val="center"/>
        </w:trPr>
        <w:tc>
          <w:tcPr>
            <w:tcW w:w="1134" w:type="dxa"/>
            <w:vMerge w:val="continue"/>
            <w:shd w:val="clear" w:color="000000" w:fill="FFFFFF"/>
            <w:noWrap w:val="0"/>
            <w:vAlign w:val="center"/>
          </w:tcPr>
          <w:p>
            <w:pPr>
              <w:autoSpaceDE w:val="0"/>
              <w:autoSpaceDN w:val="0"/>
              <w:snapToGrid w:val="0"/>
              <w:spacing w:line="336" w:lineRule="auto"/>
              <w:ind w:firstLine="480" w:firstLineChars="200"/>
              <w:jc w:val="center"/>
              <w:rPr>
                <w:rFonts w:ascii="宋体" w:hAnsi="宋体" w:cs="宋体"/>
                <w:color w:val="auto"/>
                <w:sz w:val="24"/>
                <w:szCs w:val="21"/>
                <w:highlight w:val="none"/>
                <w:lang w:val="zh-CN"/>
              </w:rPr>
            </w:pPr>
          </w:p>
        </w:tc>
        <w:tc>
          <w:tcPr>
            <w:tcW w:w="1668" w:type="dxa"/>
            <w:shd w:val="clear" w:color="000000" w:fill="FFFFFF"/>
            <w:noWrap w:val="0"/>
            <w:vAlign w:val="center"/>
          </w:tcPr>
          <w:p>
            <w:pPr>
              <w:pStyle w:val="13"/>
              <w:spacing w:line="360" w:lineRule="auto"/>
              <w:ind w:left="0" w:leftChars="0" w:firstLine="0" w:firstLineChars="0"/>
              <w:jc w:val="both"/>
              <w:rPr>
                <w:rFonts w:hint="eastAsia" w:cs="宋体"/>
                <w:color w:val="auto"/>
                <w:sz w:val="24"/>
                <w:szCs w:val="24"/>
                <w:highlight w:val="none"/>
                <w:shd w:val="clear" w:color="auto" w:fill="FFFFFF"/>
              </w:rPr>
            </w:pPr>
            <w:r>
              <w:rPr>
                <w:rFonts w:hint="eastAsia" w:cs="宋体"/>
                <w:color w:val="auto"/>
                <w:sz w:val="24"/>
                <w:szCs w:val="24"/>
                <w:highlight w:val="none"/>
                <w:shd w:val="clear" w:color="auto" w:fill="FFFFFF"/>
              </w:rPr>
              <w:t>进度安排</w:t>
            </w:r>
          </w:p>
        </w:tc>
        <w:tc>
          <w:tcPr>
            <w:tcW w:w="770" w:type="dxa"/>
            <w:shd w:val="clear" w:color="000000" w:fill="FFFFFF"/>
            <w:noWrap w:val="0"/>
            <w:vAlign w:val="center"/>
          </w:tcPr>
          <w:p>
            <w:pPr>
              <w:autoSpaceDE w:val="0"/>
              <w:autoSpaceDN w:val="0"/>
              <w:snapToGrid w:val="0"/>
              <w:spacing w:line="336" w:lineRule="auto"/>
              <w:ind w:left="0" w:leftChars="0" w:firstLine="0" w:firstLineChars="0"/>
              <w:jc w:val="both"/>
              <w:rPr>
                <w:rFonts w:hint="eastAsia" w:ascii="宋体" w:hAnsi="宋体" w:cs="宋体"/>
                <w:color w:val="auto"/>
                <w:sz w:val="24"/>
                <w:szCs w:val="21"/>
                <w:highlight w:val="none"/>
              </w:rPr>
            </w:pPr>
            <w:r>
              <w:rPr>
                <w:rFonts w:hint="eastAsia" w:ascii="宋体" w:hAnsi="宋体" w:cs="宋体"/>
                <w:color w:val="auto"/>
                <w:sz w:val="24"/>
                <w:szCs w:val="21"/>
                <w:highlight w:val="none"/>
                <w:lang w:val="en-US" w:eastAsia="zh-CN"/>
              </w:rPr>
              <w:t>6</w:t>
            </w:r>
            <w:r>
              <w:rPr>
                <w:rFonts w:hint="eastAsia" w:ascii="宋体" w:hAnsi="宋体" w:cs="宋体"/>
                <w:color w:val="auto"/>
                <w:sz w:val="24"/>
                <w:szCs w:val="21"/>
                <w:highlight w:val="none"/>
              </w:rPr>
              <w:t>分</w:t>
            </w:r>
          </w:p>
        </w:tc>
        <w:tc>
          <w:tcPr>
            <w:tcW w:w="6269" w:type="dxa"/>
            <w:shd w:val="clear" w:color="000000" w:fill="FFFFFF"/>
            <w:noWrap w:val="0"/>
            <w:vAlign w:val="center"/>
          </w:tcPr>
          <w:p>
            <w:pPr>
              <w:pStyle w:val="13"/>
              <w:spacing w:line="360" w:lineRule="auto"/>
              <w:ind w:left="0" w:leftChars="0" w:firstLine="0" w:firstLineChars="0"/>
              <w:rPr>
                <w:rFonts w:hint="eastAsia" w:cs="宋体"/>
                <w:color w:val="auto"/>
                <w:sz w:val="24"/>
                <w:szCs w:val="24"/>
                <w:highlight w:val="none"/>
                <w:shd w:val="clear" w:color="auto" w:fill="FFFFFF"/>
              </w:rPr>
            </w:pPr>
            <w:r>
              <w:rPr>
                <w:rFonts w:hint="eastAsia" w:cs="宋体"/>
                <w:color w:val="auto"/>
                <w:sz w:val="24"/>
                <w:szCs w:val="24"/>
                <w:highlight w:val="none"/>
                <w:shd w:val="clear" w:color="auto" w:fill="FFFFFF"/>
              </w:rPr>
              <w:t>进度安排完全满足项目需求且合理、对影响因素的考虑全面、合理的，得</w:t>
            </w:r>
            <w:r>
              <w:rPr>
                <w:rFonts w:hint="eastAsia" w:cs="宋体"/>
                <w:color w:val="auto"/>
                <w:sz w:val="24"/>
                <w:szCs w:val="24"/>
                <w:highlight w:val="none"/>
                <w:shd w:val="clear" w:color="auto" w:fill="FFFFFF"/>
                <w:lang w:val="en-US" w:eastAsia="zh-CN"/>
              </w:rPr>
              <w:t>6</w:t>
            </w:r>
            <w:r>
              <w:rPr>
                <w:rFonts w:hint="eastAsia" w:cs="宋体"/>
                <w:color w:val="auto"/>
                <w:sz w:val="24"/>
                <w:szCs w:val="24"/>
                <w:highlight w:val="none"/>
                <w:shd w:val="clear" w:color="auto" w:fill="FFFFFF"/>
              </w:rPr>
              <w:t>分；进度安排基本能满足要求的，得</w:t>
            </w:r>
            <w:r>
              <w:rPr>
                <w:rFonts w:hint="eastAsia" w:cs="宋体"/>
                <w:color w:val="auto"/>
                <w:sz w:val="24"/>
                <w:szCs w:val="24"/>
                <w:highlight w:val="none"/>
                <w:shd w:val="clear" w:color="auto" w:fill="FFFFFF"/>
                <w:lang w:val="en-US" w:eastAsia="zh-CN"/>
              </w:rPr>
              <w:t>4</w:t>
            </w:r>
            <w:r>
              <w:rPr>
                <w:rFonts w:hint="eastAsia" w:cs="宋体"/>
                <w:color w:val="auto"/>
                <w:sz w:val="24"/>
                <w:szCs w:val="24"/>
                <w:highlight w:val="none"/>
                <w:shd w:val="clear" w:color="auto" w:fill="FFFFFF"/>
              </w:rPr>
              <w:t>分；进度安排可行的，得</w:t>
            </w:r>
            <w:r>
              <w:rPr>
                <w:rFonts w:hint="eastAsia" w:cs="宋体"/>
                <w:color w:val="auto"/>
                <w:sz w:val="24"/>
                <w:szCs w:val="24"/>
                <w:highlight w:val="none"/>
                <w:shd w:val="clear" w:color="auto" w:fill="FFFFFF"/>
                <w:lang w:val="en-US" w:eastAsia="zh-CN"/>
              </w:rPr>
              <w:t>2</w:t>
            </w:r>
            <w:r>
              <w:rPr>
                <w:rFonts w:hint="eastAsia" w:cs="宋体"/>
                <w:color w:val="auto"/>
                <w:sz w:val="24"/>
                <w:szCs w:val="24"/>
                <w:highlight w:val="none"/>
                <w:shd w:val="clear" w:color="auto" w:fill="FFFFFF"/>
              </w:rPr>
              <w:t>分；仅提供了简单的进度安排的，得</w:t>
            </w:r>
            <w:r>
              <w:rPr>
                <w:rFonts w:hint="eastAsia" w:cs="宋体"/>
                <w:color w:val="auto"/>
                <w:sz w:val="24"/>
                <w:szCs w:val="24"/>
                <w:highlight w:val="none"/>
                <w:shd w:val="clear" w:color="auto" w:fill="FFFFFF"/>
                <w:lang w:val="en-US" w:eastAsia="zh-CN"/>
              </w:rPr>
              <w:t>1</w:t>
            </w:r>
            <w:r>
              <w:rPr>
                <w:rFonts w:hint="eastAsia" w:cs="宋体"/>
                <w:color w:val="auto"/>
                <w:sz w:val="24"/>
                <w:szCs w:val="24"/>
                <w:highlight w:val="none"/>
                <w:shd w:val="clear" w:color="auto" w:fill="FFFFFF"/>
              </w:rPr>
              <w:t>分；不提供的不得分。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0" w:hRule="atLeast"/>
          <w:jc w:val="center"/>
        </w:trPr>
        <w:tc>
          <w:tcPr>
            <w:tcW w:w="1134" w:type="dxa"/>
            <w:vMerge w:val="continue"/>
            <w:shd w:val="clear" w:color="000000" w:fill="FFFFFF"/>
            <w:noWrap w:val="0"/>
            <w:vAlign w:val="center"/>
          </w:tcPr>
          <w:p>
            <w:pPr>
              <w:autoSpaceDE w:val="0"/>
              <w:autoSpaceDN w:val="0"/>
              <w:snapToGrid w:val="0"/>
              <w:spacing w:line="336" w:lineRule="auto"/>
              <w:ind w:firstLine="480" w:firstLineChars="200"/>
              <w:jc w:val="center"/>
              <w:rPr>
                <w:rFonts w:ascii="宋体" w:hAnsi="宋体" w:cs="宋体"/>
                <w:color w:val="auto"/>
                <w:sz w:val="24"/>
                <w:szCs w:val="21"/>
                <w:highlight w:val="none"/>
                <w:lang w:val="zh-CN"/>
              </w:rPr>
            </w:pPr>
          </w:p>
        </w:tc>
        <w:tc>
          <w:tcPr>
            <w:tcW w:w="1668" w:type="dxa"/>
            <w:shd w:val="clear" w:color="000000" w:fill="FFFFFF"/>
            <w:noWrap w:val="0"/>
            <w:vAlign w:val="center"/>
          </w:tcPr>
          <w:p>
            <w:pPr>
              <w:pStyle w:val="13"/>
              <w:spacing w:line="360" w:lineRule="auto"/>
              <w:ind w:left="0" w:leftChars="0" w:firstLine="0" w:firstLineChars="0"/>
              <w:rPr>
                <w:rFonts w:hint="eastAsia" w:ascii="宋体" w:cs="宋体"/>
                <w:color w:val="auto"/>
                <w:sz w:val="24"/>
                <w:szCs w:val="24"/>
                <w:highlight w:val="none"/>
                <w:shd w:val="clear" w:color="auto" w:fill="FFFFFF"/>
              </w:rPr>
            </w:pPr>
            <w:r>
              <w:rPr>
                <w:rFonts w:hint="eastAsia" w:ascii="宋体" w:cs="宋体"/>
                <w:color w:val="auto"/>
                <w:sz w:val="24"/>
                <w:szCs w:val="24"/>
                <w:highlight w:val="none"/>
                <w:shd w:val="clear" w:color="auto" w:fill="FFFFFF"/>
              </w:rPr>
              <w:t>机构设置和岗位职责</w:t>
            </w:r>
          </w:p>
        </w:tc>
        <w:tc>
          <w:tcPr>
            <w:tcW w:w="770" w:type="dxa"/>
            <w:shd w:val="clear" w:color="000000" w:fill="FFFFFF"/>
            <w:noWrap w:val="0"/>
            <w:vAlign w:val="center"/>
          </w:tcPr>
          <w:p>
            <w:pPr>
              <w:pStyle w:val="13"/>
              <w:spacing w:line="360" w:lineRule="auto"/>
              <w:ind w:left="0" w:leftChars="0" w:firstLine="0" w:firstLineChars="0"/>
              <w:rPr>
                <w:rFonts w:hint="eastAsia" w:ascii="宋体" w:cs="宋体"/>
                <w:color w:val="auto"/>
                <w:sz w:val="24"/>
                <w:szCs w:val="24"/>
                <w:highlight w:val="none"/>
                <w:shd w:val="clear" w:color="auto" w:fill="FFFFFF"/>
              </w:rPr>
            </w:pPr>
            <w:r>
              <w:rPr>
                <w:rFonts w:hint="eastAsia" w:ascii="宋体" w:cs="宋体"/>
                <w:color w:val="auto"/>
                <w:sz w:val="24"/>
                <w:szCs w:val="24"/>
                <w:highlight w:val="none"/>
                <w:shd w:val="clear" w:color="auto" w:fill="FFFFFF"/>
                <w:lang w:val="en-US" w:eastAsia="zh-CN"/>
              </w:rPr>
              <w:t>8</w:t>
            </w:r>
            <w:r>
              <w:rPr>
                <w:rFonts w:hint="eastAsia" w:ascii="宋体" w:cs="宋体"/>
                <w:color w:val="auto"/>
                <w:sz w:val="24"/>
                <w:szCs w:val="24"/>
                <w:highlight w:val="none"/>
                <w:shd w:val="clear" w:color="auto" w:fill="FFFFFF"/>
              </w:rPr>
              <w:t>分</w:t>
            </w:r>
          </w:p>
        </w:tc>
        <w:tc>
          <w:tcPr>
            <w:tcW w:w="6269" w:type="dxa"/>
            <w:shd w:val="clear" w:color="000000" w:fill="FFFFFF"/>
            <w:noWrap w:val="0"/>
            <w:vAlign w:val="center"/>
          </w:tcPr>
          <w:p>
            <w:pPr>
              <w:pStyle w:val="13"/>
              <w:spacing w:line="360" w:lineRule="auto"/>
              <w:ind w:left="0" w:leftChars="0" w:firstLine="0" w:firstLineChars="0"/>
              <w:rPr>
                <w:rFonts w:hint="eastAsia" w:ascii="宋体" w:cs="宋体"/>
                <w:color w:val="auto"/>
                <w:sz w:val="24"/>
                <w:szCs w:val="24"/>
                <w:highlight w:val="none"/>
                <w:shd w:val="clear" w:color="auto" w:fill="FFFFFF"/>
              </w:rPr>
            </w:pPr>
            <w:r>
              <w:rPr>
                <w:rFonts w:hint="eastAsia" w:ascii="宋体" w:cs="宋体"/>
                <w:color w:val="auto"/>
                <w:sz w:val="24"/>
                <w:szCs w:val="24"/>
                <w:highlight w:val="none"/>
                <w:shd w:val="clear" w:color="auto" w:fill="FFFFFF"/>
              </w:rPr>
              <w:t>根据服务内容，供应商须设置项目管理机构</w:t>
            </w:r>
          </w:p>
          <w:p>
            <w:pPr>
              <w:pStyle w:val="13"/>
              <w:spacing w:line="360" w:lineRule="auto"/>
              <w:ind w:left="0" w:leftChars="0" w:firstLine="0" w:firstLineChars="0"/>
              <w:rPr>
                <w:rFonts w:hint="eastAsia" w:ascii="宋体" w:cs="宋体"/>
                <w:color w:val="auto"/>
                <w:sz w:val="24"/>
                <w:szCs w:val="24"/>
                <w:highlight w:val="none"/>
                <w:shd w:val="clear" w:color="auto" w:fill="FFFFFF"/>
              </w:rPr>
            </w:pPr>
            <w:r>
              <w:rPr>
                <w:rFonts w:hint="eastAsia" w:ascii="宋体" w:cs="宋体"/>
                <w:color w:val="auto"/>
                <w:sz w:val="24"/>
                <w:szCs w:val="24"/>
                <w:highlight w:val="none"/>
                <w:shd w:val="clear" w:color="auto" w:fill="FFFFFF"/>
              </w:rPr>
              <w:t>人员配备合理，人员分工明确，人员责任及服务范围清晰，得8分；人员配备较合理，人员分工较明确，人员责任及服务范围较清晰，得</w:t>
            </w:r>
            <w:r>
              <w:rPr>
                <w:rFonts w:hint="eastAsia" w:ascii="宋体" w:cs="宋体"/>
                <w:color w:val="auto"/>
                <w:sz w:val="24"/>
                <w:szCs w:val="24"/>
                <w:highlight w:val="none"/>
                <w:shd w:val="clear" w:color="auto" w:fill="FFFFFF"/>
                <w:lang w:val="en-US" w:eastAsia="zh-CN"/>
              </w:rPr>
              <w:t>5</w:t>
            </w:r>
            <w:r>
              <w:rPr>
                <w:rFonts w:hint="eastAsia" w:ascii="宋体" w:cs="宋体"/>
                <w:color w:val="auto"/>
                <w:sz w:val="24"/>
                <w:szCs w:val="24"/>
                <w:highlight w:val="none"/>
                <w:shd w:val="clear" w:color="auto" w:fill="FFFFFF"/>
              </w:rPr>
              <w:t>分；人员配备不够合理，人员分工不明确，人员责任及服务范围不够清晰，得</w:t>
            </w:r>
            <w:r>
              <w:rPr>
                <w:rFonts w:hint="eastAsia" w:ascii="宋体" w:cs="宋体"/>
                <w:color w:val="auto"/>
                <w:sz w:val="24"/>
                <w:szCs w:val="24"/>
                <w:highlight w:val="none"/>
                <w:shd w:val="clear" w:color="auto" w:fill="FFFFFF"/>
                <w:lang w:val="en-US" w:eastAsia="zh-CN"/>
              </w:rPr>
              <w:t>3</w:t>
            </w:r>
            <w:r>
              <w:rPr>
                <w:rFonts w:hint="eastAsia" w:ascii="宋体" w:cs="宋体"/>
                <w:color w:val="auto"/>
                <w:sz w:val="24"/>
                <w:szCs w:val="24"/>
                <w:highlight w:val="none"/>
                <w:shd w:val="clear" w:color="auto" w:fill="FFFFFF"/>
              </w:rPr>
              <w:t>分；</w:t>
            </w:r>
          </w:p>
          <w:p>
            <w:pPr>
              <w:pStyle w:val="13"/>
              <w:spacing w:line="360" w:lineRule="auto"/>
              <w:ind w:left="0" w:leftChars="0" w:firstLine="0" w:firstLineChars="0"/>
              <w:rPr>
                <w:rFonts w:hint="eastAsia" w:ascii="宋体" w:cs="宋体"/>
                <w:color w:val="auto"/>
                <w:sz w:val="24"/>
                <w:szCs w:val="24"/>
                <w:highlight w:val="none"/>
                <w:shd w:val="clear" w:color="auto" w:fill="FFFFFF"/>
              </w:rPr>
            </w:pPr>
            <w:r>
              <w:rPr>
                <w:rFonts w:hint="eastAsia" w:ascii="宋体" w:cs="宋体"/>
                <w:color w:val="auto"/>
                <w:sz w:val="24"/>
                <w:szCs w:val="24"/>
                <w:highlight w:val="none"/>
                <w:shd w:val="clear" w:color="auto" w:fill="FFFFFF"/>
              </w:rPr>
              <w:t>未设置项目管理机构及未提供人员分工、人员责任、服务范围不得分。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1134" w:type="dxa"/>
            <w:vMerge w:val="continue"/>
            <w:shd w:val="clear" w:color="000000" w:fill="FFFFFF"/>
            <w:noWrap w:val="0"/>
            <w:vAlign w:val="center"/>
          </w:tcPr>
          <w:p>
            <w:pPr>
              <w:autoSpaceDE w:val="0"/>
              <w:autoSpaceDN w:val="0"/>
              <w:snapToGrid w:val="0"/>
              <w:spacing w:line="336" w:lineRule="auto"/>
              <w:ind w:firstLine="480" w:firstLineChars="200"/>
              <w:jc w:val="center"/>
              <w:rPr>
                <w:rFonts w:ascii="宋体" w:hAnsi="宋体" w:cs="宋体"/>
                <w:color w:val="auto"/>
                <w:sz w:val="24"/>
                <w:szCs w:val="21"/>
                <w:highlight w:val="none"/>
                <w:lang w:val="zh-CN"/>
              </w:rPr>
            </w:pPr>
          </w:p>
        </w:tc>
        <w:tc>
          <w:tcPr>
            <w:tcW w:w="1668" w:type="dxa"/>
            <w:shd w:val="clear" w:color="000000" w:fill="FFFFFF"/>
            <w:noWrap w:val="0"/>
            <w:vAlign w:val="center"/>
          </w:tcPr>
          <w:p>
            <w:pPr>
              <w:pStyle w:val="13"/>
              <w:spacing w:line="360" w:lineRule="auto"/>
              <w:ind w:left="0" w:leftChars="0" w:firstLine="0" w:firstLineChars="0"/>
              <w:jc w:val="both"/>
              <w:rPr>
                <w:rFonts w:cs="宋体"/>
                <w:color w:val="auto"/>
                <w:sz w:val="24"/>
                <w:szCs w:val="24"/>
                <w:highlight w:val="none"/>
                <w:shd w:val="clear" w:color="auto" w:fill="FFFFFF"/>
              </w:rPr>
            </w:pPr>
            <w:r>
              <w:rPr>
                <w:rFonts w:hint="eastAsia" w:cs="宋体"/>
                <w:color w:val="auto"/>
                <w:sz w:val="24"/>
                <w:szCs w:val="24"/>
                <w:highlight w:val="none"/>
                <w:shd w:val="clear" w:color="auto" w:fill="FFFFFF"/>
              </w:rPr>
              <w:t>合理化建议</w:t>
            </w:r>
          </w:p>
        </w:tc>
        <w:tc>
          <w:tcPr>
            <w:tcW w:w="770" w:type="dxa"/>
            <w:shd w:val="clear" w:color="000000" w:fill="FFFFFF"/>
            <w:noWrap w:val="0"/>
            <w:vAlign w:val="center"/>
          </w:tcPr>
          <w:p>
            <w:pPr>
              <w:autoSpaceDE w:val="0"/>
              <w:autoSpaceDN w:val="0"/>
              <w:snapToGrid w:val="0"/>
              <w:spacing w:line="336" w:lineRule="auto"/>
              <w:ind w:left="0" w:leftChars="0" w:firstLine="0" w:firstLineChars="0"/>
              <w:jc w:val="both"/>
              <w:rPr>
                <w:rFonts w:ascii="宋体" w:hAnsi="宋体" w:cs="宋体"/>
                <w:color w:val="auto"/>
                <w:sz w:val="24"/>
                <w:szCs w:val="21"/>
                <w:highlight w:val="none"/>
              </w:rPr>
            </w:pPr>
            <w:r>
              <w:rPr>
                <w:rFonts w:hint="eastAsia" w:ascii="宋体" w:hAnsi="宋体" w:cs="宋体"/>
                <w:color w:val="auto"/>
                <w:sz w:val="24"/>
                <w:szCs w:val="21"/>
                <w:highlight w:val="none"/>
                <w:lang w:val="en-US" w:eastAsia="zh-CN"/>
              </w:rPr>
              <w:t>8</w:t>
            </w:r>
            <w:r>
              <w:rPr>
                <w:rFonts w:hint="eastAsia" w:ascii="宋体" w:hAnsi="宋体" w:cs="宋体"/>
                <w:color w:val="auto"/>
                <w:sz w:val="24"/>
                <w:szCs w:val="21"/>
                <w:highlight w:val="none"/>
              </w:rPr>
              <w:t>分</w:t>
            </w:r>
          </w:p>
        </w:tc>
        <w:tc>
          <w:tcPr>
            <w:tcW w:w="6269" w:type="dxa"/>
            <w:shd w:val="clear" w:color="000000" w:fill="FFFFFF"/>
            <w:noWrap w:val="0"/>
            <w:vAlign w:val="center"/>
          </w:tcPr>
          <w:p>
            <w:pPr>
              <w:pStyle w:val="13"/>
              <w:spacing w:line="360" w:lineRule="auto"/>
              <w:ind w:left="0" w:leftChars="0" w:firstLine="0" w:firstLineChars="0"/>
              <w:rPr>
                <w:rFonts w:cs="宋体"/>
                <w:color w:val="auto"/>
                <w:sz w:val="24"/>
                <w:szCs w:val="24"/>
                <w:highlight w:val="none"/>
                <w:shd w:val="clear" w:color="auto" w:fill="FFFFFF"/>
              </w:rPr>
            </w:pPr>
            <w:r>
              <w:rPr>
                <w:rFonts w:hint="eastAsia" w:cs="宋体"/>
                <w:color w:val="auto"/>
                <w:sz w:val="24"/>
                <w:szCs w:val="24"/>
                <w:highlight w:val="none"/>
                <w:shd w:val="clear" w:color="auto" w:fill="FFFFFF"/>
              </w:rPr>
              <w:t>根据</w:t>
            </w:r>
            <w:r>
              <w:rPr>
                <w:rFonts w:hint="eastAsia" w:cs="宋体"/>
                <w:color w:val="auto"/>
                <w:sz w:val="24"/>
                <w:szCs w:val="24"/>
                <w:highlight w:val="none"/>
                <w:shd w:val="clear" w:color="auto" w:fill="FFFFFF"/>
                <w:lang w:val="en-US" w:eastAsia="zh-CN"/>
              </w:rPr>
              <w:t>磋商供应商</w:t>
            </w:r>
            <w:r>
              <w:rPr>
                <w:rFonts w:hint="eastAsia" w:cs="宋体"/>
                <w:color w:val="auto"/>
                <w:sz w:val="24"/>
                <w:szCs w:val="24"/>
                <w:highlight w:val="none"/>
                <w:shd w:val="clear" w:color="auto" w:fill="FFFFFF"/>
              </w:rPr>
              <w:t>提供的合理化建议科学、具体、完整的，得</w:t>
            </w:r>
            <w:r>
              <w:rPr>
                <w:rFonts w:hint="eastAsia" w:cs="宋体"/>
                <w:color w:val="auto"/>
                <w:sz w:val="24"/>
                <w:szCs w:val="24"/>
                <w:highlight w:val="none"/>
                <w:shd w:val="clear" w:color="auto" w:fill="FFFFFF"/>
                <w:lang w:val="en-US" w:eastAsia="zh-CN"/>
              </w:rPr>
              <w:t>8</w:t>
            </w:r>
            <w:r>
              <w:rPr>
                <w:rFonts w:hint="eastAsia" w:cs="宋体"/>
                <w:color w:val="auto"/>
                <w:sz w:val="24"/>
                <w:szCs w:val="24"/>
                <w:highlight w:val="none"/>
                <w:shd w:val="clear" w:color="auto" w:fill="FFFFFF"/>
              </w:rPr>
              <w:t>分；提供的合理化建议切合本项目的，得</w:t>
            </w:r>
            <w:r>
              <w:rPr>
                <w:rFonts w:hint="eastAsia" w:cs="宋体"/>
                <w:color w:val="auto"/>
                <w:sz w:val="24"/>
                <w:szCs w:val="24"/>
                <w:highlight w:val="none"/>
                <w:shd w:val="clear" w:color="auto" w:fill="FFFFFF"/>
                <w:lang w:val="en-US" w:eastAsia="zh-CN"/>
              </w:rPr>
              <w:t>6</w:t>
            </w:r>
            <w:r>
              <w:rPr>
                <w:rFonts w:hint="eastAsia" w:cs="宋体"/>
                <w:color w:val="auto"/>
                <w:sz w:val="24"/>
                <w:szCs w:val="24"/>
                <w:highlight w:val="none"/>
                <w:shd w:val="clear" w:color="auto" w:fill="FFFFFF"/>
              </w:rPr>
              <w:t>分；提供的合理化建议可行的，得</w:t>
            </w:r>
            <w:r>
              <w:rPr>
                <w:rFonts w:hint="eastAsia" w:cs="宋体"/>
                <w:color w:val="auto"/>
                <w:sz w:val="24"/>
                <w:szCs w:val="24"/>
                <w:highlight w:val="none"/>
                <w:shd w:val="clear" w:color="auto" w:fill="FFFFFF"/>
                <w:lang w:val="en-US" w:eastAsia="zh-CN"/>
              </w:rPr>
              <w:t>4</w:t>
            </w:r>
            <w:r>
              <w:rPr>
                <w:rFonts w:hint="eastAsia" w:cs="宋体"/>
                <w:color w:val="auto"/>
                <w:sz w:val="24"/>
                <w:szCs w:val="24"/>
                <w:highlight w:val="none"/>
                <w:shd w:val="clear" w:color="auto" w:fill="FFFFFF"/>
              </w:rPr>
              <w:t>分；仅简单提供了合理化建议的，得</w:t>
            </w:r>
            <w:r>
              <w:rPr>
                <w:rFonts w:hint="eastAsia" w:cs="宋体"/>
                <w:color w:val="auto"/>
                <w:sz w:val="24"/>
                <w:szCs w:val="24"/>
                <w:highlight w:val="none"/>
                <w:shd w:val="clear" w:color="auto" w:fill="FFFFFF"/>
                <w:lang w:val="en-US" w:eastAsia="zh-CN"/>
              </w:rPr>
              <w:t>2</w:t>
            </w:r>
            <w:r>
              <w:rPr>
                <w:rFonts w:hint="eastAsia" w:cs="宋体"/>
                <w:color w:val="auto"/>
                <w:sz w:val="24"/>
                <w:szCs w:val="24"/>
                <w:highlight w:val="none"/>
                <w:shd w:val="clear" w:color="auto" w:fill="FFFFFF"/>
              </w:rPr>
              <w:t>分；不提供的不得分。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1134" w:type="dxa"/>
            <w:shd w:val="clear" w:color="000000" w:fill="FFFFFF"/>
            <w:noWrap w:val="0"/>
            <w:vAlign w:val="center"/>
          </w:tcPr>
          <w:p>
            <w:pPr>
              <w:autoSpaceDE w:val="0"/>
              <w:autoSpaceDN w:val="0"/>
              <w:snapToGrid w:val="0"/>
              <w:spacing w:line="336" w:lineRule="auto"/>
              <w:ind w:firstLine="480" w:firstLineChars="200"/>
              <w:jc w:val="center"/>
              <w:rPr>
                <w:rFonts w:ascii="宋体" w:hAnsi="宋体" w:cs="宋体"/>
                <w:color w:val="auto"/>
                <w:sz w:val="24"/>
                <w:szCs w:val="21"/>
                <w:highlight w:val="none"/>
                <w:lang w:val="zh-CN"/>
              </w:rPr>
            </w:pPr>
          </w:p>
        </w:tc>
        <w:tc>
          <w:tcPr>
            <w:tcW w:w="1668" w:type="dxa"/>
            <w:shd w:val="clear" w:color="000000" w:fill="FFFFFF"/>
            <w:noWrap w:val="0"/>
            <w:vAlign w:val="center"/>
          </w:tcPr>
          <w:p>
            <w:pPr>
              <w:pStyle w:val="13"/>
              <w:spacing w:line="360" w:lineRule="auto"/>
              <w:ind w:left="0" w:leftChars="0" w:firstLine="0" w:firstLineChars="0"/>
              <w:jc w:val="both"/>
              <w:rPr>
                <w:rFonts w:hint="eastAsia" w:cs="宋体"/>
                <w:color w:val="auto"/>
                <w:sz w:val="24"/>
                <w:szCs w:val="24"/>
                <w:highlight w:val="none"/>
                <w:shd w:val="clear" w:color="auto" w:fill="FFFFFF"/>
              </w:rPr>
            </w:pPr>
            <w:r>
              <w:rPr>
                <w:rFonts w:hint="eastAsia" w:ascii="宋体" w:hAnsi="宋体" w:cs="宋体"/>
                <w:color w:val="auto"/>
                <w:sz w:val="24"/>
                <w:szCs w:val="24"/>
                <w:lang w:eastAsia="zh-CN"/>
              </w:rPr>
              <w:t>售后服务承诺</w:t>
            </w:r>
          </w:p>
        </w:tc>
        <w:tc>
          <w:tcPr>
            <w:tcW w:w="770" w:type="dxa"/>
            <w:shd w:val="clear" w:color="000000" w:fill="FFFFFF"/>
            <w:noWrap w:val="0"/>
            <w:vAlign w:val="center"/>
          </w:tcPr>
          <w:p>
            <w:pPr>
              <w:autoSpaceDE w:val="0"/>
              <w:autoSpaceDN w:val="0"/>
              <w:snapToGrid w:val="0"/>
              <w:spacing w:line="336" w:lineRule="auto"/>
              <w:ind w:left="0" w:leftChars="0" w:firstLine="0" w:firstLineChars="0"/>
              <w:jc w:val="both"/>
              <w:rPr>
                <w:rFonts w:hint="default" w:ascii="宋体" w:hAnsi="宋体" w:cs="宋体"/>
                <w:color w:val="auto"/>
                <w:sz w:val="24"/>
                <w:szCs w:val="21"/>
                <w:highlight w:val="none"/>
                <w:lang w:val="en-US" w:eastAsia="zh-CN"/>
              </w:rPr>
            </w:pPr>
            <w:r>
              <w:rPr>
                <w:rFonts w:hint="eastAsia" w:ascii="宋体" w:hAnsi="宋体" w:cs="宋体"/>
                <w:color w:val="auto"/>
                <w:sz w:val="24"/>
                <w:szCs w:val="21"/>
                <w:highlight w:val="none"/>
                <w:lang w:val="en-US" w:eastAsia="zh-CN"/>
              </w:rPr>
              <w:t>3分</w:t>
            </w:r>
          </w:p>
        </w:tc>
        <w:tc>
          <w:tcPr>
            <w:tcW w:w="6269" w:type="dxa"/>
            <w:shd w:val="clear" w:color="000000" w:fill="FFFFFF"/>
            <w:noWrap w:val="0"/>
            <w:vAlign w:val="center"/>
          </w:tcPr>
          <w:p>
            <w:pPr>
              <w:pStyle w:val="13"/>
              <w:spacing w:line="360" w:lineRule="auto"/>
              <w:ind w:left="0" w:leftChars="0" w:firstLine="0" w:firstLineChars="0"/>
              <w:rPr>
                <w:rFonts w:hint="eastAsia" w:cs="宋体"/>
                <w:color w:val="auto"/>
                <w:sz w:val="24"/>
                <w:szCs w:val="24"/>
                <w:highlight w:val="none"/>
                <w:shd w:val="clear" w:color="auto" w:fill="FFFFFF"/>
              </w:rPr>
            </w:pPr>
            <w:r>
              <w:rPr>
                <w:rFonts w:hint="eastAsia" w:ascii="宋体" w:hAnsi="宋体" w:cs="宋体"/>
                <w:color w:val="auto"/>
                <w:sz w:val="24"/>
                <w:szCs w:val="24"/>
                <w:lang w:eastAsia="zh-CN"/>
              </w:rPr>
              <w:t>针对后期服务方案，服务计划、服务响应时间、应急处理等措施及相关承诺所述内容横向评比，内容全面切实可行得</w:t>
            </w:r>
            <w:r>
              <w:rPr>
                <w:rFonts w:hint="eastAsia" w:hAnsi="宋体" w:cs="宋体"/>
                <w:color w:val="auto"/>
                <w:sz w:val="24"/>
                <w:szCs w:val="24"/>
                <w:lang w:val="en-US" w:eastAsia="zh-CN"/>
              </w:rPr>
              <w:t>3</w:t>
            </w:r>
            <w:r>
              <w:rPr>
                <w:rFonts w:hint="eastAsia" w:ascii="宋体" w:hAnsi="宋体" w:cs="宋体"/>
                <w:color w:val="auto"/>
                <w:sz w:val="24"/>
                <w:szCs w:val="24"/>
                <w:lang w:eastAsia="zh-CN"/>
              </w:rPr>
              <w:t>分，基本满足要求的得</w:t>
            </w:r>
            <w:r>
              <w:rPr>
                <w:rFonts w:hint="eastAsia" w:hAnsi="宋体" w:cs="宋体"/>
                <w:color w:val="auto"/>
                <w:sz w:val="24"/>
                <w:szCs w:val="24"/>
                <w:lang w:val="en-US" w:eastAsia="zh-CN"/>
              </w:rPr>
              <w:t>2</w:t>
            </w:r>
            <w:r>
              <w:rPr>
                <w:rFonts w:hint="eastAsia" w:ascii="宋体" w:hAnsi="宋体" w:cs="宋体"/>
                <w:color w:val="auto"/>
                <w:sz w:val="24"/>
                <w:szCs w:val="24"/>
                <w:lang w:eastAsia="zh-CN"/>
              </w:rPr>
              <w:t>分，仅提供简单的方案、承诺的得</w:t>
            </w:r>
            <w:r>
              <w:rPr>
                <w:rFonts w:hint="eastAsia" w:hAnsi="宋体" w:cs="宋体"/>
                <w:color w:val="auto"/>
                <w:sz w:val="24"/>
                <w:szCs w:val="24"/>
                <w:lang w:val="en-US" w:eastAsia="zh-CN"/>
              </w:rPr>
              <w:t>1</w:t>
            </w:r>
            <w:r>
              <w:rPr>
                <w:rFonts w:hint="eastAsia" w:ascii="宋体" w:hAnsi="宋体" w:cs="宋体"/>
                <w:color w:val="auto"/>
                <w:sz w:val="24"/>
                <w:szCs w:val="24"/>
                <w:lang w:eastAsia="zh-CN"/>
              </w:rPr>
              <w:t>分,不提供不得分。</w:t>
            </w:r>
          </w:p>
        </w:tc>
      </w:tr>
    </w:tbl>
    <w:p>
      <w:pPr>
        <w:pStyle w:val="13"/>
        <w:spacing w:line="360" w:lineRule="auto"/>
        <w:jc w:val="left"/>
        <w:rPr>
          <w:rFonts w:hint="eastAsia" w:cs="宋体"/>
          <w:sz w:val="24"/>
          <w:highlight w:val="none"/>
        </w:rPr>
      </w:pPr>
    </w:p>
    <w:p>
      <w:pPr>
        <w:pStyle w:val="4"/>
        <w:jc w:val="center"/>
        <w:rPr>
          <w:rFonts w:hint="eastAsia" w:hAnsi="宋体"/>
          <w:b/>
          <w:sz w:val="24"/>
          <w:highlight w:val="none"/>
        </w:rPr>
      </w:pPr>
      <w:bookmarkStart w:id="80" w:name="_Toc124761931"/>
      <w:r>
        <w:rPr>
          <w:rFonts w:hint="eastAsia" w:cs="宋体"/>
          <w:b/>
          <w:sz w:val="32"/>
          <w:szCs w:val="32"/>
          <w:highlight w:val="none"/>
          <w:lang w:eastAsia="zh-CN"/>
        </w:rPr>
        <w:t>八、</w:t>
      </w:r>
      <w:r>
        <w:rPr>
          <w:rFonts w:hint="eastAsia" w:cs="宋体"/>
          <w:b/>
          <w:sz w:val="32"/>
          <w:szCs w:val="32"/>
          <w:highlight w:val="none"/>
        </w:rPr>
        <w:t>定标</w:t>
      </w:r>
      <w:bookmarkEnd w:id="80"/>
    </w:p>
    <w:p>
      <w:pPr>
        <w:pStyle w:val="5"/>
        <w:numPr>
          <w:ilvl w:val="0"/>
          <w:numId w:val="0"/>
        </w:numPr>
        <w:spacing w:before="0" w:after="0" w:line="360" w:lineRule="auto"/>
        <w:ind w:leftChars="0"/>
        <w:rPr>
          <w:rFonts w:ascii="宋体" w:hAnsi="宋体"/>
          <w:b w:val="0"/>
          <w:highlight w:val="none"/>
        </w:rPr>
      </w:pPr>
      <w:bookmarkStart w:id="81" w:name="_Toc488673637"/>
      <w:bookmarkStart w:id="82" w:name="_Toc535421984"/>
      <w:r>
        <w:rPr>
          <w:rFonts w:hint="eastAsia" w:ascii="宋体" w:hAnsi="宋体"/>
          <w:b w:val="0"/>
          <w:highlight w:val="none"/>
          <w:lang w:val="en-US" w:eastAsia="zh-CN"/>
        </w:rPr>
        <w:t>19、</w:t>
      </w:r>
      <w:r>
        <w:rPr>
          <w:rFonts w:hint="eastAsia" w:ascii="宋体" w:hAnsi="宋体"/>
          <w:b w:val="0"/>
          <w:highlight w:val="none"/>
        </w:rPr>
        <w:t>推荐并确定中标磋商供应商</w:t>
      </w:r>
      <w:bookmarkEnd w:id="81"/>
      <w:bookmarkEnd w:id="82"/>
    </w:p>
    <w:p>
      <w:pPr>
        <w:pStyle w:val="13"/>
        <w:numPr>
          <w:ilvl w:val="1"/>
          <w:numId w:val="23"/>
        </w:numPr>
        <w:spacing w:line="360" w:lineRule="auto"/>
        <w:ind w:left="199" w:leftChars="95" w:firstLine="19" w:firstLineChars="8"/>
        <w:jc w:val="left"/>
        <w:rPr>
          <w:rFonts w:hAnsi="宋体"/>
          <w:sz w:val="24"/>
          <w:szCs w:val="24"/>
          <w:highlight w:val="none"/>
        </w:rPr>
      </w:pPr>
      <w:r>
        <w:rPr>
          <w:rFonts w:hint="eastAsia" w:hAnsi="宋体" w:cs="宋体"/>
          <w:b/>
          <w:bCs/>
          <w:sz w:val="24"/>
          <w:szCs w:val="24"/>
          <w:highlight w:val="none"/>
        </w:rPr>
        <w:t>采用综合评分法的，</w:t>
      </w:r>
      <w:r>
        <w:rPr>
          <w:rFonts w:hint="eastAsia" w:hAnsi="宋体" w:cs="宋体"/>
          <w:sz w:val="24"/>
          <w:szCs w:val="24"/>
          <w:highlight w:val="none"/>
          <w:shd w:val="clear" w:color="auto" w:fill="FFFFFF"/>
        </w:rPr>
        <w:t>评标结果按评审后得分由高到低顺序排列。得分相同的，按投标报价由低到高顺序排列。得分且投标报价相同的并列。磋商响应文件满足磋商文件全部实质性要求，且按照评审因素的量化指标评审得分最高的磋商人为排名第一的中标候选人。</w:t>
      </w:r>
    </w:p>
    <w:p>
      <w:pPr>
        <w:pStyle w:val="13"/>
        <w:numPr>
          <w:ilvl w:val="1"/>
          <w:numId w:val="23"/>
        </w:numPr>
        <w:spacing w:line="360" w:lineRule="auto"/>
        <w:ind w:left="398" w:leftChars="104" w:hanging="180" w:hangingChars="75"/>
        <w:jc w:val="left"/>
        <w:rPr>
          <w:rFonts w:hint="eastAsia" w:hAnsi="宋体"/>
          <w:sz w:val="24"/>
          <w:szCs w:val="28"/>
          <w:highlight w:val="none"/>
        </w:rPr>
      </w:pPr>
      <w:r>
        <w:rPr>
          <w:rFonts w:hint="eastAsia" w:hAnsi="宋体"/>
          <w:sz w:val="24"/>
          <w:szCs w:val="28"/>
          <w:highlight w:val="none"/>
        </w:rPr>
        <w:t>中标磋商供应商因不可抗力或自身原因不能履行合同时，采购单位可以按照评审报告推荐的预中标候选磋商供应商名单排序，确定下一候选磋商供应商为中标磋商供应商，也可重新开展政府采购活动。</w:t>
      </w:r>
    </w:p>
    <w:p>
      <w:pPr>
        <w:pStyle w:val="13"/>
        <w:numPr>
          <w:ilvl w:val="1"/>
          <w:numId w:val="23"/>
        </w:numPr>
        <w:spacing w:line="360" w:lineRule="auto"/>
        <w:ind w:left="197" w:leftChars="94" w:firstLine="19" w:firstLineChars="8"/>
        <w:jc w:val="left"/>
        <w:rPr>
          <w:rFonts w:hint="eastAsia" w:hAnsi="宋体"/>
          <w:sz w:val="24"/>
          <w:szCs w:val="24"/>
          <w:highlight w:val="none"/>
        </w:rPr>
      </w:pPr>
      <w:r>
        <w:rPr>
          <w:rFonts w:hint="eastAsia" w:hAnsi="宋体" w:cs="宋体"/>
          <w:sz w:val="24"/>
          <w:szCs w:val="24"/>
          <w:highlight w:val="none"/>
          <w:shd w:val="clear" w:color="auto" w:fill="FFFFFF"/>
        </w:rPr>
        <w:t>评标结果汇总完成后，除下列情形外，任何人不得修改评标结果：</w:t>
      </w:r>
    </w:p>
    <w:p>
      <w:pPr>
        <w:pStyle w:val="13"/>
        <w:numPr>
          <w:ilvl w:val="0"/>
          <w:numId w:val="24"/>
        </w:numPr>
        <w:spacing w:line="360" w:lineRule="auto"/>
        <w:ind w:left="-219" w:leftChars="0"/>
        <w:jc w:val="left"/>
        <w:rPr>
          <w:rFonts w:hint="eastAsia" w:hAnsi="宋体"/>
          <w:sz w:val="24"/>
          <w:szCs w:val="24"/>
          <w:highlight w:val="none"/>
        </w:rPr>
      </w:pPr>
      <w:r>
        <w:rPr>
          <w:rFonts w:hint="eastAsia" w:hAnsi="宋体" w:cs="宋体"/>
          <w:sz w:val="24"/>
          <w:szCs w:val="24"/>
          <w:highlight w:val="none"/>
          <w:shd w:val="clear" w:color="auto" w:fill="FFFFFF"/>
        </w:rPr>
        <w:t>分值汇总计算错误的；</w:t>
      </w:r>
    </w:p>
    <w:p>
      <w:pPr>
        <w:pStyle w:val="13"/>
        <w:numPr>
          <w:ilvl w:val="0"/>
          <w:numId w:val="24"/>
        </w:numPr>
        <w:spacing w:line="360" w:lineRule="auto"/>
        <w:ind w:left="-219" w:leftChars="0"/>
        <w:jc w:val="left"/>
        <w:rPr>
          <w:rFonts w:hint="eastAsia" w:hAnsi="宋体"/>
          <w:sz w:val="24"/>
          <w:szCs w:val="24"/>
          <w:highlight w:val="none"/>
        </w:rPr>
      </w:pPr>
      <w:r>
        <w:rPr>
          <w:rFonts w:hint="eastAsia" w:hAnsi="宋体" w:cs="宋体"/>
          <w:sz w:val="24"/>
          <w:szCs w:val="24"/>
          <w:highlight w:val="none"/>
          <w:shd w:val="clear" w:color="auto" w:fill="FFFFFF"/>
        </w:rPr>
        <w:t>分项评分超出评分标准范围的；</w:t>
      </w:r>
    </w:p>
    <w:p>
      <w:pPr>
        <w:pStyle w:val="13"/>
        <w:numPr>
          <w:ilvl w:val="0"/>
          <w:numId w:val="24"/>
        </w:numPr>
        <w:spacing w:line="360" w:lineRule="auto"/>
        <w:ind w:left="-219" w:leftChars="0"/>
        <w:jc w:val="left"/>
        <w:rPr>
          <w:rFonts w:hint="eastAsia" w:hAnsi="宋体"/>
          <w:sz w:val="24"/>
          <w:szCs w:val="24"/>
          <w:highlight w:val="none"/>
        </w:rPr>
      </w:pPr>
      <w:r>
        <w:rPr>
          <w:rFonts w:hint="eastAsia" w:hAnsi="宋体" w:cs="宋体"/>
          <w:sz w:val="24"/>
          <w:szCs w:val="24"/>
          <w:highlight w:val="none"/>
          <w:shd w:val="clear" w:color="auto" w:fill="FFFFFF"/>
        </w:rPr>
        <w:t>评标委员会成员对客观评审因素评分不一致的；</w:t>
      </w:r>
    </w:p>
    <w:p>
      <w:pPr>
        <w:pStyle w:val="13"/>
        <w:numPr>
          <w:ilvl w:val="0"/>
          <w:numId w:val="24"/>
        </w:numPr>
        <w:spacing w:line="360" w:lineRule="auto"/>
        <w:ind w:left="-219" w:leftChars="0"/>
        <w:jc w:val="left"/>
        <w:rPr>
          <w:rFonts w:hint="eastAsia" w:hAnsi="宋体"/>
          <w:sz w:val="24"/>
          <w:szCs w:val="24"/>
          <w:highlight w:val="none"/>
        </w:rPr>
      </w:pPr>
      <w:r>
        <w:rPr>
          <w:rFonts w:hint="eastAsia" w:hAnsi="宋体" w:cs="宋体"/>
          <w:sz w:val="24"/>
          <w:szCs w:val="24"/>
          <w:highlight w:val="none"/>
          <w:shd w:val="clear" w:color="auto" w:fill="FFFFFF"/>
        </w:rPr>
        <w:t>经评标委员会认定评分畸高、畸低的。</w:t>
      </w:r>
    </w:p>
    <w:p>
      <w:pPr>
        <w:autoSpaceDE w:val="0"/>
        <w:autoSpaceDN w:val="0"/>
        <w:spacing w:line="360" w:lineRule="auto"/>
        <w:ind w:firstLine="720" w:firstLineChars="300"/>
        <w:rPr>
          <w:rFonts w:hint="eastAsia" w:ascii="宋体" w:hAnsi="宋体" w:cs="宋体"/>
          <w:sz w:val="24"/>
          <w:highlight w:val="none"/>
          <w:shd w:val="clear" w:color="auto" w:fill="FFFFFF"/>
        </w:rPr>
      </w:pPr>
      <w:r>
        <w:rPr>
          <w:rFonts w:hint="eastAsia" w:ascii="宋体" w:hAnsi="宋体" w:cs="宋体"/>
          <w:sz w:val="24"/>
          <w:highlight w:val="none"/>
          <w:shd w:val="clear" w:color="auto" w:fill="FFFFFF"/>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pStyle w:val="13"/>
        <w:spacing w:line="360" w:lineRule="auto"/>
        <w:ind w:firstLine="720" w:firstLineChars="300"/>
        <w:jc w:val="left"/>
        <w:rPr>
          <w:rFonts w:hAnsi="宋体"/>
          <w:sz w:val="24"/>
          <w:szCs w:val="24"/>
          <w:highlight w:val="none"/>
        </w:rPr>
      </w:pPr>
      <w:r>
        <w:rPr>
          <w:rFonts w:hint="eastAsia" w:hAnsi="宋体" w:cs="宋体"/>
          <w:sz w:val="24"/>
          <w:szCs w:val="24"/>
          <w:highlight w:val="none"/>
          <w:shd w:val="clear" w:color="auto" w:fill="FFFFFF"/>
        </w:rPr>
        <w:t>磋商人对以上情形提出质疑的，采购人或者采购代理机构可以组织原评标委员会进行重新评审，重新评审改变评标结果的，应当书面报告本级财政部门。</w:t>
      </w:r>
    </w:p>
    <w:p>
      <w:pPr>
        <w:pStyle w:val="5"/>
        <w:numPr>
          <w:ilvl w:val="0"/>
          <w:numId w:val="0"/>
        </w:numPr>
        <w:spacing w:before="0" w:after="0" w:line="360" w:lineRule="auto"/>
        <w:ind w:leftChars="0"/>
        <w:rPr>
          <w:rFonts w:ascii="宋体" w:hAnsi="宋体"/>
          <w:b w:val="0"/>
          <w:highlight w:val="none"/>
        </w:rPr>
      </w:pPr>
      <w:bookmarkStart w:id="83" w:name="_Toc535421985"/>
      <w:bookmarkStart w:id="84" w:name="_Toc488673638"/>
      <w:r>
        <w:rPr>
          <w:rFonts w:hint="eastAsia" w:ascii="宋体" w:hAnsi="宋体"/>
          <w:b w:val="0"/>
          <w:highlight w:val="none"/>
          <w:lang w:val="en-US" w:eastAsia="zh-CN"/>
        </w:rPr>
        <w:t>20、</w:t>
      </w:r>
      <w:r>
        <w:rPr>
          <w:rFonts w:hint="eastAsia" w:ascii="宋体" w:hAnsi="宋体"/>
          <w:b w:val="0"/>
          <w:highlight w:val="none"/>
        </w:rPr>
        <w:t>中标通知</w:t>
      </w:r>
      <w:bookmarkEnd w:id="83"/>
      <w:bookmarkEnd w:id="84"/>
    </w:p>
    <w:p>
      <w:pPr>
        <w:pStyle w:val="13"/>
        <w:numPr>
          <w:ilvl w:val="1"/>
          <w:numId w:val="25"/>
        </w:numPr>
        <w:spacing w:line="360" w:lineRule="auto"/>
        <w:ind w:left="436" w:leftChars="200" w:hanging="16" w:hangingChars="7"/>
        <w:jc w:val="left"/>
        <w:rPr>
          <w:rFonts w:hint="eastAsia" w:hAnsi="宋体"/>
          <w:b/>
          <w:bCs/>
          <w:sz w:val="24"/>
          <w:szCs w:val="24"/>
          <w:highlight w:val="none"/>
        </w:rPr>
      </w:pPr>
      <w:r>
        <w:rPr>
          <w:rFonts w:hint="eastAsia" w:hAnsi="宋体" w:cs="宋体"/>
          <w:sz w:val="24"/>
          <w:szCs w:val="24"/>
          <w:highlight w:val="none"/>
        </w:rPr>
        <w:t>采购代理机构应当在评标结束后2个工作日内将评标报告送采购人。采购人应当自收到评标报告之日起５个工作日内，在评标报告确定的中标候选人名单中按顺序确定中标人。中标候选人并列的，由采购人或者采购人委托评标委员会按照磋商文件规定的方式确定中标人；磋商文件未规定的，采取随机抽取的方式确定。</w:t>
      </w:r>
    </w:p>
    <w:p>
      <w:pPr>
        <w:pStyle w:val="13"/>
        <w:numPr>
          <w:ilvl w:val="1"/>
          <w:numId w:val="25"/>
        </w:numPr>
        <w:spacing w:line="360" w:lineRule="auto"/>
        <w:ind w:left="216" w:leftChars="103" w:firstLine="201" w:firstLineChars="84"/>
        <w:jc w:val="left"/>
        <w:rPr>
          <w:rFonts w:hint="eastAsia" w:hAnsi="宋体"/>
          <w:b/>
          <w:bCs/>
          <w:sz w:val="24"/>
          <w:szCs w:val="24"/>
          <w:highlight w:val="none"/>
        </w:rPr>
      </w:pPr>
      <w:r>
        <w:rPr>
          <w:rFonts w:hint="eastAsia" w:hAnsi="宋体" w:cs="宋体"/>
          <w:sz w:val="24"/>
          <w:szCs w:val="24"/>
          <w:highlight w:val="none"/>
        </w:rPr>
        <w:t>采购人在收到评标报告5个工作日内未按评标报告推荐的中标候选人顺序确定中标人，又不能说明合法理由的，视同按评标报告推荐的顺序确定排名第一的中标候选人为中标人。</w:t>
      </w:r>
    </w:p>
    <w:p>
      <w:pPr>
        <w:pStyle w:val="13"/>
        <w:numPr>
          <w:ilvl w:val="1"/>
          <w:numId w:val="25"/>
        </w:numPr>
        <w:spacing w:line="360" w:lineRule="auto"/>
        <w:ind w:left="436" w:leftChars="200" w:hanging="16" w:hangingChars="7"/>
        <w:jc w:val="left"/>
        <w:rPr>
          <w:rFonts w:hint="eastAsia" w:hAnsi="宋体"/>
          <w:b/>
          <w:bCs/>
          <w:sz w:val="32"/>
          <w:highlight w:val="none"/>
        </w:rPr>
      </w:pPr>
      <w:r>
        <w:rPr>
          <w:rFonts w:hint="eastAsia" w:hAnsi="宋体"/>
          <w:sz w:val="24"/>
          <w:szCs w:val="28"/>
          <w:highlight w:val="none"/>
        </w:rPr>
        <w:t>采购代理机构自中标磋商供应商确定之日起2个工作日内发出《中标通知书》，并在</w:t>
      </w:r>
      <w:r>
        <w:rPr>
          <w:rFonts w:hint="eastAsia" w:ascii="宋体" w:hAnsi="宋体" w:eastAsia="宋体" w:cs="宋体"/>
          <w:sz w:val="24"/>
          <w:szCs w:val="24"/>
          <w:highlight w:val="none"/>
          <w:lang w:val="zh-CN"/>
        </w:rPr>
        <w:t>《青海政府采购网》、《青海公共资源交易网》、《中国采购与招标网》</w:t>
      </w:r>
      <w:r>
        <w:rPr>
          <w:rFonts w:hint="eastAsia" w:hAnsi="宋体"/>
          <w:sz w:val="24"/>
          <w:szCs w:val="28"/>
          <w:highlight w:val="none"/>
        </w:rPr>
        <w:t>等媒体上公告中标结果。</w:t>
      </w:r>
    </w:p>
    <w:p>
      <w:pPr>
        <w:pStyle w:val="13"/>
        <w:numPr>
          <w:ilvl w:val="1"/>
          <w:numId w:val="25"/>
        </w:numPr>
        <w:spacing w:line="360" w:lineRule="auto"/>
        <w:ind w:left="218" w:leftChars="104" w:firstLine="199" w:firstLineChars="83"/>
        <w:jc w:val="left"/>
        <w:rPr>
          <w:rFonts w:hint="eastAsia" w:hAnsi="宋体"/>
          <w:b/>
          <w:bCs/>
          <w:sz w:val="24"/>
          <w:szCs w:val="24"/>
          <w:highlight w:val="none"/>
        </w:rPr>
      </w:pPr>
      <w:r>
        <w:rPr>
          <w:rFonts w:hint="eastAsia" w:hAnsi="宋体" w:cs="宋体"/>
          <w:sz w:val="24"/>
          <w:szCs w:val="24"/>
          <w:highlight w:val="none"/>
        </w:rPr>
        <w:t>中标结果公告内容应当包括采购人及其委托的采购代理机构的名称、地址、联系方式，项目名称和项目编号，中标人名称、地址和中标金额，主要中标标的的名称、规格型号、数量、单价、服务要求，中标公告期限以及评审专家名单。</w:t>
      </w:r>
    </w:p>
    <w:p>
      <w:pPr>
        <w:pStyle w:val="13"/>
        <w:numPr>
          <w:ilvl w:val="1"/>
          <w:numId w:val="25"/>
        </w:numPr>
        <w:spacing w:line="360" w:lineRule="auto"/>
        <w:ind w:left="218" w:leftChars="104" w:firstLine="199" w:firstLineChars="83"/>
        <w:jc w:val="left"/>
        <w:rPr>
          <w:rFonts w:hint="eastAsia" w:hAnsi="宋体"/>
          <w:b/>
          <w:bCs/>
          <w:sz w:val="24"/>
          <w:szCs w:val="24"/>
          <w:highlight w:val="none"/>
        </w:rPr>
      </w:pPr>
      <w:r>
        <w:rPr>
          <w:rFonts w:hint="eastAsia" w:hAnsi="宋体" w:cs="宋体"/>
          <w:sz w:val="24"/>
          <w:szCs w:val="24"/>
          <w:highlight w:val="none"/>
        </w:rPr>
        <w:t>中标公告期限为</w:t>
      </w:r>
      <w:r>
        <w:rPr>
          <w:rFonts w:hint="eastAsia" w:hAnsi="宋体" w:cs="宋体"/>
          <w:sz w:val="24"/>
          <w:szCs w:val="24"/>
          <w:highlight w:val="none"/>
          <w:lang w:val="en-US" w:eastAsia="zh-CN"/>
        </w:rPr>
        <w:t>1</w:t>
      </w:r>
      <w:r>
        <w:rPr>
          <w:rFonts w:hint="eastAsia" w:hAnsi="宋体" w:cs="宋体"/>
          <w:sz w:val="24"/>
          <w:szCs w:val="24"/>
          <w:highlight w:val="none"/>
        </w:rPr>
        <w:t>个工作日。</w:t>
      </w:r>
    </w:p>
    <w:p>
      <w:pPr>
        <w:pStyle w:val="13"/>
        <w:numPr>
          <w:ilvl w:val="1"/>
          <w:numId w:val="25"/>
        </w:numPr>
        <w:spacing w:line="360" w:lineRule="auto"/>
        <w:ind w:left="436" w:leftChars="200" w:hanging="16" w:hangingChars="7"/>
        <w:jc w:val="left"/>
        <w:rPr>
          <w:rFonts w:hint="eastAsia" w:hAnsi="宋体"/>
          <w:b/>
          <w:bCs/>
          <w:sz w:val="24"/>
          <w:szCs w:val="24"/>
          <w:highlight w:val="none"/>
        </w:rPr>
      </w:pPr>
      <w:r>
        <w:rPr>
          <w:rFonts w:hint="eastAsia" w:hAnsi="宋体" w:cs="宋体"/>
          <w:sz w:val="24"/>
          <w:szCs w:val="24"/>
          <w:highlight w:val="none"/>
        </w:rPr>
        <w:t>在公告中标结果的同时，</w:t>
      </w:r>
      <w:r>
        <w:rPr>
          <w:rFonts w:hint="eastAsia" w:hAnsi="宋体" w:cs="宋体"/>
          <w:sz w:val="24"/>
          <w:szCs w:val="24"/>
          <w:highlight w:val="none"/>
          <w:shd w:val="clear" w:color="auto" w:fill="FFFFFF"/>
        </w:rPr>
        <w:t>采购人或者采购代理机构</w:t>
      </w:r>
      <w:r>
        <w:rPr>
          <w:rFonts w:hint="eastAsia" w:hAnsi="宋体" w:cs="宋体"/>
          <w:sz w:val="24"/>
          <w:szCs w:val="24"/>
          <w:highlight w:val="none"/>
        </w:rPr>
        <w:t>应当向中标人发出中标通知书；采用综合评分法评审的，还应当告知未中标人本人的评审得分与排序。</w:t>
      </w:r>
    </w:p>
    <w:p>
      <w:pPr>
        <w:pStyle w:val="13"/>
        <w:numPr>
          <w:ilvl w:val="1"/>
          <w:numId w:val="25"/>
        </w:numPr>
        <w:spacing w:line="360" w:lineRule="auto"/>
        <w:ind w:left="216" w:leftChars="103" w:firstLine="201" w:firstLineChars="84"/>
        <w:jc w:val="left"/>
        <w:rPr>
          <w:rFonts w:hAnsi="宋体"/>
          <w:b/>
          <w:bCs/>
          <w:sz w:val="24"/>
          <w:szCs w:val="24"/>
          <w:highlight w:val="none"/>
        </w:rPr>
      </w:pPr>
      <w:r>
        <w:rPr>
          <w:rFonts w:hint="eastAsia" w:hAnsi="宋体" w:cs="宋体"/>
          <w:sz w:val="24"/>
          <w:szCs w:val="24"/>
          <w:highlight w:val="none"/>
        </w:rPr>
        <w:t>中标通知书发出后，采购人不得违法改变中标结果，中标人无正当理由不得放弃中标。</w:t>
      </w:r>
    </w:p>
    <w:p>
      <w:pPr>
        <w:pStyle w:val="13"/>
        <w:numPr>
          <w:ilvl w:val="1"/>
          <w:numId w:val="25"/>
        </w:numPr>
        <w:spacing w:line="360" w:lineRule="auto"/>
        <w:ind w:left="218" w:leftChars="104" w:firstLine="199" w:firstLineChars="83"/>
        <w:jc w:val="left"/>
        <w:rPr>
          <w:rFonts w:hAnsi="宋体"/>
          <w:b/>
          <w:bCs/>
          <w:sz w:val="32"/>
          <w:highlight w:val="none"/>
        </w:rPr>
      </w:pPr>
      <w:r>
        <w:rPr>
          <w:rFonts w:hint="eastAsia" w:hAnsi="宋体"/>
          <w:sz w:val="24"/>
          <w:szCs w:val="28"/>
          <w:highlight w:val="none"/>
        </w:rPr>
        <w:t>《中标通知书》对采购单位和中标磋商供应商具有同等效力，《中标通知书》发出后，采购单位改变中标结果的，或者中标磋商供应商无正当理由放弃中标项目的，依法承担法律责任。</w:t>
      </w:r>
    </w:p>
    <w:p>
      <w:pPr>
        <w:pStyle w:val="4"/>
        <w:tabs>
          <w:tab w:val="left" w:pos="720"/>
        </w:tabs>
        <w:jc w:val="center"/>
        <w:rPr>
          <w:rFonts w:hAnsi="宋体"/>
          <w:b/>
          <w:highlight w:val="none"/>
        </w:rPr>
      </w:pPr>
      <w:bookmarkStart w:id="85" w:name="_Toc8816_WPSOffice_Level2"/>
      <w:bookmarkStart w:id="86" w:name="_Toc535421986"/>
      <w:bookmarkStart w:id="87" w:name="_Toc3627"/>
      <w:r>
        <w:rPr>
          <w:rFonts w:hint="eastAsia" w:hAnsi="宋体"/>
          <w:b/>
          <w:highlight w:val="none"/>
        </w:rPr>
        <w:t>授予合同</w:t>
      </w:r>
      <w:bookmarkEnd w:id="85"/>
      <w:bookmarkEnd w:id="86"/>
      <w:bookmarkEnd w:id="87"/>
    </w:p>
    <w:p>
      <w:pPr>
        <w:pStyle w:val="5"/>
        <w:numPr>
          <w:ilvl w:val="0"/>
          <w:numId w:val="0"/>
        </w:numPr>
        <w:spacing w:before="0" w:after="0" w:line="360" w:lineRule="auto"/>
        <w:ind w:leftChars="0"/>
        <w:rPr>
          <w:rFonts w:ascii="宋体" w:hAnsi="宋体"/>
          <w:b w:val="0"/>
          <w:highlight w:val="none"/>
        </w:rPr>
      </w:pPr>
      <w:bookmarkStart w:id="88" w:name="_Toc535421987"/>
      <w:bookmarkStart w:id="89" w:name="_Toc488673640"/>
      <w:r>
        <w:rPr>
          <w:rFonts w:hint="eastAsia" w:ascii="宋体" w:hAnsi="宋体"/>
          <w:b w:val="0"/>
          <w:highlight w:val="none"/>
          <w:lang w:val="en-US" w:eastAsia="zh-CN"/>
        </w:rPr>
        <w:t>21、</w:t>
      </w:r>
      <w:r>
        <w:rPr>
          <w:rFonts w:hint="eastAsia" w:ascii="宋体" w:hAnsi="宋体"/>
          <w:b w:val="0"/>
          <w:highlight w:val="none"/>
        </w:rPr>
        <w:t>签订合同</w:t>
      </w:r>
      <w:bookmarkEnd w:id="88"/>
      <w:bookmarkEnd w:id="89"/>
    </w:p>
    <w:p>
      <w:pPr>
        <w:pStyle w:val="13"/>
        <w:numPr>
          <w:ilvl w:val="1"/>
          <w:numId w:val="26"/>
        </w:numPr>
        <w:spacing w:line="360" w:lineRule="auto"/>
        <w:ind w:left="621" w:leftChars="0" w:firstLine="16" w:firstLineChars="7"/>
        <w:jc w:val="left"/>
        <w:rPr>
          <w:rFonts w:hAnsi="宋体"/>
          <w:sz w:val="24"/>
          <w:szCs w:val="28"/>
          <w:highlight w:val="none"/>
        </w:rPr>
      </w:pPr>
      <w:r>
        <w:rPr>
          <w:rFonts w:hint="eastAsia" w:hAnsi="宋体"/>
          <w:sz w:val="24"/>
          <w:szCs w:val="28"/>
          <w:highlight w:val="none"/>
        </w:rPr>
        <w:t>采购单位与中标磋商供应商双方应当自《中标通知书》发出之日起30日内，签订采购合同，送采购代理机构审核并备案；</w:t>
      </w:r>
    </w:p>
    <w:p>
      <w:pPr>
        <w:pStyle w:val="13"/>
        <w:numPr>
          <w:ilvl w:val="1"/>
          <w:numId w:val="26"/>
        </w:numPr>
        <w:spacing w:line="360" w:lineRule="auto"/>
        <w:ind w:left="621" w:leftChars="0" w:firstLine="16" w:firstLineChars="7"/>
        <w:jc w:val="left"/>
        <w:rPr>
          <w:rFonts w:hAnsi="宋体"/>
          <w:sz w:val="24"/>
          <w:szCs w:val="28"/>
          <w:highlight w:val="none"/>
        </w:rPr>
      </w:pPr>
      <w:r>
        <w:rPr>
          <w:rFonts w:hint="eastAsia" w:hAnsi="宋体"/>
          <w:sz w:val="24"/>
          <w:szCs w:val="28"/>
          <w:highlight w:val="none"/>
        </w:rPr>
        <w:t>中标磋商供应商在法定期限内无正当理由拒签合同的，按违约处理。同时，采购代理机构和采购单位可依评标排序重新确定中标磋商供应商，并协调双方签订采购合同，或重新组织采购活动；</w:t>
      </w:r>
    </w:p>
    <w:p>
      <w:pPr>
        <w:pStyle w:val="13"/>
        <w:numPr>
          <w:ilvl w:val="1"/>
          <w:numId w:val="26"/>
        </w:numPr>
        <w:spacing w:line="360" w:lineRule="auto"/>
        <w:ind w:left="621" w:leftChars="0" w:firstLine="16" w:firstLineChars="7"/>
        <w:jc w:val="left"/>
        <w:rPr>
          <w:rFonts w:hAnsi="宋体"/>
          <w:sz w:val="24"/>
          <w:szCs w:val="28"/>
          <w:highlight w:val="none"/>
        </w:rPr>
      </w:pPr>
      <w:r>
        <w:rPr>
          <w:rFonts w:hint="eastAsia" w:hAnsi="宋体"/>
          <w:sz w:val="24"/>
          <w:szCs w:val="28"/>
          <w:highlight w:val="none"/>
        </w:rPr>
        <w:t>采购单位不得向中标供应商提出任何不合理的要求作为订立合同的条件，采购单位和中标供应商不得私下订立背离合同实质性内容的协议；</w:t>
      </w:r>
    </w:p>
    <w:p>
      <w:pPr>
        <w:pStyle w:val="13"/>
        <w:numPr>
          <w:ilvl w:val="1"/>
          <w:numId w:val="26"/>
        </w:numPr>
        <w:spacing w:line="360" w:lineRule="auto"/>
        <w:ind w:left="621" w:leftChars="0" w:firstLine="16" w:firstLineChars="7"/>
        <w:jc w:val="left"/>
        <w:rPr>
          <w:rFonts w:hint="eastAsia" w:hAnsi="宋体"/>
          <w:sz w:val="24"/>
          <w:szCs w:val="28"/>
          <w:highlight w:val="none"/>
        </w:rPr>
      </w:pPr>
      <w:r>
        <w:rPr>
          <w:rFonts w:hint="eastAsia" w:hAnsi="宋体"/>
          <w:sz w:val="24"/>
          <w:szCs w:val="28"/>
          <w:highlight w:val="none"/>
        </w:rPr>
        <w:t>磋商文件、中标磋商供应商的磋商响应文件、《中标通知书》及其澄清、说明文件、承诺等，均为签订采购合同的依据，作为采购合同的组成部分；</w:t>
      </w:r>
    </w:p>
    <w:p>
      <w:pPr>
        <w:pStyle w:val="13"/>
        <w:numPr>
          <w:ilvl w:val="1"/>
          <w:numId w:val="26"/>
        </w:numPr>
        <w:spacing w:line="360" w:lineRule="auto"/>
        <w:ind w:left="621" w:leftChars="0" w:firstLine="16" w:firstLineChars="7"/>
        <w:jc w:val="left"/>
        <w:rPr>
          <w:rFonts w:hint="eastAsia" w:hAnsi="宋体"/>
          <w:sz w:val="24"/>
          <w:szCs w:val="28"/>
          <w:highlight w:val="none"/>
        </w:rPr>
      </w:pPr>
      <w:r>
        <w:rPr>
          <w:rFonts w:hint="eastAsia" w:hAnsi="宋体"/>
          <w:sz w:val="24"/>
          <w:szCs w:val="28"/>
          <w:highlight w:val="none"/>
        </w:rPr>
        <w:t>采购人与中标人应当根据合同的约定依法履行合同义务。政府采购合同的履行、违约责任和解决争议的方法等适用《中华人民共和国合同法》。</w:t>
      </w:r>
    </w:p>
    <w:p>
      <w:pPr>
        <w:pStyle w:val="13"/>
        <w:numPr>
          <w:ilvl w:val="1"/>
          <w:numId w:val="26"/>
        </w:numPr>
        <w:spacing w:line="360" w:lineRule="auto"/>
        <w:ind w:left="621" w:leftChars="0" w:firstLine="16" w:firstLineChars="7"/>
        <w:jc w:val="left"/>
        <w:rPr>
          <w:rFonts w:hint="eastAsia" w:hAnsi="宋体"/>
          <w:sz w:val="24"/>
          <w:szCs w:val="28"/>
          <w:highlight w:val="none"/>
        </w:rPr>
      </w:pPr>
      <w:r>
        <w:rPr>
          <w:rFonts w:hint="eastAsia" w:hAnsi="宋体"/>
          <w:sz w:val="24"/>
          <w:szCs w:val="28"/>
          <w:highlight w:val="none"/>
        </w:rPr>
        <w:t>采购人应当及时对采购项目进行验收。采购人可以邀请参加本项目的其他磋商人或者第三方机构参与验收。参与验收的磋商人或者第三方机构的意见作为验收书的参考资料一并存档。</w:t>
      </w:r>
    </w:p>
    <w:p>
      <w:pPr>
        <w:pStyle w:val="13"/>
        <w:numPr>
          <w:ilvl w:val="1"/>
          <w:numId w:val="26"/>
        </w:numPr>
        <w:spacing w:line="360" w:lineRule="auto"/>
        <w:ind w:left="621" w:leftChars="0" w:firstLine="16" w:firstLineChars="7"/>
        <w:jc w:val="left"/>
        <w:rPr>
          <w:rFonts w:hAnsi="宋体"/>
          <w:sz w:val="24"/>
          <w:szCs w:val="28"/>
          <w:highlight w:val="none"/>
        </w:rPr>
      </w:pPr>
      <w:r>
        <w:rPr>
          <w:rFonts w:hint="eastAsia" w:hAnsi="宋体"/>
          <w:sz w:val="24"/>
          <w:szCs w:val="28"/>
          <w:highlight w:val="none"/>
        </w:rPr>
        <w:t>采购人应当加强对中标人的履约管理，并按照采购合同约定，及时向中标人支付采购资金。对于中标人违反采购合同约定的行为，采购人应当及时处理，依法追究其违约责任。</w:t>
      </w:r>
    </w:p>
    <w:p>
      <w:pPr>
        <w:pStyle w:val="13"/>
        <w:numPr>
          <w:ilvl w:val="1"/>
          <w:numId w:val="26"/>
        </w:numPr>
        <w:spacing w:line="360" w:lineRule="auto"/>
        <w:ind w:left="621" w:leftChars="0" w:firstLine="16" w:firstLineChars="7"/>
        <w:jc w:val="left"/>
        <w:rPr>
          <w:rFonts w:hint="eastAsia" w:hAnsi="宋体"/>
          <w:sz w:val="24"/>
          <w:szCs w:val="28"/>
          <w:highlight w:val="none"/>
        </w:rPr>
      </w:pPr>
      <w:r>
        <w:rPr>
          <w:rFonts w:hint="eastAsia" w:hAnsi="宋体"/>
          <w:sz w:val="24"/>
          <w:szCs w:val="28"/>
          <w:highlight w:val="none"/>
        </w:rPr>
        <w:t>采购合同签订之日起2个工作日内，由采购单位将采购合同在青海政府采购网、</w:t>
      </w:r>
      <w:r>
        <w:rPr>
          <w:rFonts w:hint="eastAsia" w:hAnsi="宋体" w:eastAsia="宋体"/>
          <w:sz w:val="24"/>
          <w:szCs w:val="28"/>
          <w:highlight w:val="none"/>
          <w:lang w:eastAsia="zh-CN"/>
        </w:rPr>
        <w:t>中国招标投标公共服务平台</w:t>
      </w:r>
      <w:r>
        <w:rPr>
          <w:rFonts w:hint="eastAsia" w:hAnsi="宋体"/>
          <w:sz w:val="24"/>
          <w:szCs w:val="28"/>
          <w:highlight w:val="none"/>
        </w:rPr>
        <w:t>等媒体上公告，但采购合同中涉及国家秘密、商业秘密的内容除外。</w:t>
      </w:r>
    </w:p>
    <w:p>
      <w:pPr>
        <w:pStyle w:val="13"/>
        <w:numPr>
          <w:ilvl w:val="1"/>
          <w:numId w:val="26"/>
        </w:numPr>
        <w:spacing w:line="360" w:lineRule="auto"/>
        <w:ind w:left="621" w:leftChars="0" w:firstLine="16" w:firstLineChars="7"/>
        <w:jc w:val="left"/>
        <w:rPr>
          <w:rFonts w:hAnsi="宋体"/>
          <w:sz w:val="24"/>
          <w:szCs w:val="28"/>
          <w:highlight w:val="none"/>
        </w:rPr>
      </w:pPr>
      <w:r>
        <w:rPr>
          <w:rFonts w:hint="eastAsia" w:hAnsi="宋体"/>
          <w:sz w:val="24"/>
          <w:szCs w:val="28"/>
          <w:highlight w:val="none"/>
        </w:rPr>
        <w:t>采购人、采购代理机构应当建立真实完整的招标采购档案，妥善保存每项采购活动的采购文件。</w:t>
      </w:r>
    </w:p>
    <w:p>
      <w:pPr>
        <w:pStyle w:val="4"/>
        <w:tabs>
          <w:tab w:val="left" w:pos="720"/>
        </w:tabs>
        <w:jc w:val="center"/>
        <w:rPr>
          <w:rFonts w:hAnsi="宋体"/>
          <w:b/>
          <w:highlight w:val="none"/>
        </w:rPr>
      </w:pPr>
      <w:bookmarkStart w:id="90" w:name="_Toc535421988"/>
      <w:bookmarkStart w:id="91" w:name="_Toc16689"/>
      <w:bookmarkStart w:id="92" w:name="_Toc13619_WPSOffice_Level2"/>
      <w:r>
        <w:rPr>
          <w:rFonts w:hint="eastAsia" w:hAnsi="宋体"/>
          <w:b/>
          <w:highlight w:val="none"/>
        </w:rPr>
        <w:t>废标条款</w:t>
      </w:r>
      <w:bookmarkEnd w:id="90"/>
      <w:bookmarkEnd w:id="91"/>
      <w:bookmarkEnd w:id="92"/>
    </w:p>
    <w:p>
      <w:pPr>
        <w:pStyle w:val="5"/>
        <w:numPr>
          <w:ilvl w:val="0"/>
          <w:numId w:val="0"/>
        </w:numPr>
        <w:spacing w:before="0" w:after="0" w:line="360" w:lineRule="auto"/>
        <w:ind w:leftChars="0"/>
        <w:rPr>
          <w:rFonts w:ascii="宋体" w:hAnsi="宋体"/>
          <w:b w:val="0"/>
          <w:highlight w:val="none"/>
        </w:rPr>
      </w:pPr>
      <w:bookmarkStart w:id="93" w:name="_Toc488673642"/>
      <w:bookmarkStart w:id="94" w:name="_Toc535421989"/>
      <w:r>
        <w:rPr>
          <w:rFonts w:hint="eastAsia" w:ascii="宋体" w:hAnsi="宋体"/>
          <w:b w:val="0"/>
          <w:highlight w:val="none"/>
          <w:lang w:val="en-US" w:eastAsia="zh-CN"/>
        </w:rPr>
        <w:t>22、</w:t>
      </w:r>
      <w:r>
        <w:rPr>
          <w:rFonts w:hint="eastAsia" w:ascii="宋体" w:hAnsi="宋体"/>
          <w:b w:val="0"/>
          <w:highlight w:val="none"/>
        </w:rPr>
        <w:t>废标情形</w:t>
      </w:r>
      <w:bookmarkEnd w:id="93"/>
      <w:bookmarkEnd w:id="94"/>
    </w:p>
    <w:p>
      <w:pPr>
        <w:pStyle w:val="13"/>
        <w:numPr>
          <w:ilvl w:val="1"/>
          <w:numId w:val="27"/>
        </w:numPr>
        <w:spacing w:line="360" w:lineRule="auto"/>
        <w:ind w:left="606" w:leftChars="0" w:firstLine="33" w:firstLineChars="14"/>
        <w:jc w:val="left"/>
        <w:rPr>
          <w:rFonts w:hAnsi="宋体"/>
          <w:sz w:val="24"/>
          <w:szCs w:val="28"/>
          <w:highlight w:val="none"/>
        </w:rPr>
      </w:pPr>
      <w:r>
        <w:rPr>
          <w:rFonts w:hAnsi="宋体" w:cs="Arial"/>
          <w:sz w:val="24"/>
          <w:szCs w:val="24"/>
          <w:highlight w:val="none"/>
        </w:rPr>
        <w:t>在磋商采购中，出现下列情形之一的，应予废标</w:t>
      </w:r>
      <w:r>
        <w:rPr>
          <w:rFonts w:hint="eastAsia" w:hAnsi="宋体" w:cs="Arial"/>
          <w:sz w:val="24"/>
          <w:szCs w:val="24"/>
          <w:highlight w:val="none"/>
        </w:rPr>
        <w:t>：</w:t>
      </w:r>
    </w:p>
    <w:p>
      <w:pPr>
        <w:pStyle w:val="13"/>
        <w:numPr>
          <w:ilvl w:val="0"/>
          <w:numId w:val="28"/>
        </w:numPr>
        <w:spacing w:line="360" w:lineRule="auto"/>
        <w:ind w:left="845" w:leftChars="0" w:hanging="5" w:firstLineChars="0"/>
        <w:rPr>
          <w:rFonts w:hAnsi="宋体" w:cs="Arial"/>
          <w:sz w:val="24"/>
          <w:szCs w:val="24"/>
          <w:highlight w:val="none"/>
        </w:rPr>
      </w:pPr>
      <w:r>
        <w:rPr>
          <w:rFonts w:hint="eastAsia" w:hAnsi="宋体" w:cs="Arial"/>
          <w:sz w:val="24"/>
          <w:szCs w:val="24"/>
          <w:highlight w:val="none"/>
        </w:rPr>
        <w:t>符合磋商条件的磋商供应商或者对磋商文件作出实质性响应的磋商供应商不足三家的；</w:t>
      </w:r>
    </w:p>
    <w:p>
      <w:pPr>
        <w:pStyle w:val="13"/>
        <w:numPr>
          <w:ilvl w:val="0"/>
          <w:numId w:val="28"/>
        </w:numPr>
        <w:spacing w:line="360" w:lineRule="auto"/>
        <w:ind w:left="845" w:leftChars="0" w:hanging="5" w:firstLineChars="0"/>
        <w:rPr>
          <w:rFonts w:hAnsi="宋体" w:cs="Arial"/>
          <w:sz w:val="24"/>
          <w:szCs w:val="24"/>
          <w:highlight w:val="none"/>
        </w:rPr>
      </w:pPr>
      <w:r>
        <w:rPr>
          <w:rFonts w:hint="eastAsia" w:hAnsi="宋体" w:cs="Arial"/>
          <w:sz w:val="24"/>
          <w:szCs w:val="24"/>
          <w:highlight w:val="none"/>
        </w:rPr>
        <w:t>出现影响采购活动正常推进的违法、违规行为的；</w:t>
      </w:r>
    </w:p>
    <w:p>
      <w:pPr>
        <w:pStyle w:val="13"/>
        <w:numPr>
          <w:ilvl w:val="0"/>
          <w:numId w:val="28"/>
        </w:numPr>
        <w:spacing w:line="360" w:lineRule="auto"/>
        <w:ind w:left="845" w:leftChars="0" w:hanging="5" w:firstLineChars="0"/>
        <w:rPr>
          <w:rFonts w:hAnsi="宋体" w:cs="Arial"/>
          <w:sz w:val="24"/>
          <w:szCs w:val="24"/>
          <w:highlight w:val="none"/>
        </w:rPr>
      </w:pPr>
      <w:r>
        <w:rPr>
          <w:rFonts w:hint="eastAsia" w:hAnsi="宋体" w:cs="Arial"/>
          <w:sz w:val="24"/>
          <w:szCs w:val="24"/>
          <w:highlight w:val="none"/>
        </w:rPr>
        <w:t>磋商供应商的报价均超出采购预算额度，采购单位不能支付的；</w:t>
      </w:r>
    </w:p>
    <w:p>
      <w:pPr>
        <w:pStyle w:val="13"/>
        <w:numPr>
          <w:ilvl w:val="0"/>
          <w:numId w:val="28"/>
        </w:numPr>
        <w:spacing w:line="360" w:lineRule="auto"/>
        <w:ind w:left="845" w:leftChars="0" w:hanging="5" w:firstLineChars="0"/>
        <w:rPr>
          <w:rFonts w:hAnsi="宋体" w:cs="Arial"/>
          <w:sz w:val="24"/>
          <w:szCs w:val="24"/>
          <w:highlight w:val="none"/>
        </w:rPr>
      </w:pPr>
      <w:r>
        <w:rPr>
          <w:rFonts w:hint="eastAsia" w:hAnsi="宋体" w:cs="Arial"/>
          <w:sz w:val="24"/>
          <w:szCs w:val="24"/>
          <w:highlight w:val="none"/>
        </w:rPr>
        <w:t>因重大变故，采购任务取消的。</w:t>
      </w:r>
    </w:p>
    <w:p>
      <w:pPr>
        <w:pStyle w:val="13"/>
        <w:numPr>
          <w:ilvl w:val="0"/>
          <w:numId w:val="0"/>
        </w:numPr>
        <w:spacing w:line="360" w:lineRule="auto"/>
        <w:ind w:leftChars="5" w:firstLine="480" w:firstLineChars="200"/>
        <w:jc w:val="left"/>
        <w:rPr>
          <w:rFonts w:hAnsi="宋体"/>
          <w:sz w:val="24"/>
          <w:szCs w:val="28"/>
          <w:highlight w:val="none"/>
        </w:rPr>
      </w:pPr>
      <w:r>
        <w:rPr>
          <w:rFonts w:hint="eastAsia" w:hAnsi="宋体"/>
          <w:sz w:val="24"/>
          <w:szCs w:val="28"/>
          <w:highlight w:val="none"/>
          <w:lang w:val="en-US" w:eastAsia="zh-CN"/>
        </w:rPr>
        <w:t>23</w:t>
      </w:r>
      <w:r>
        <w:rPr>
          <w:rFonts w:hint="eastAsia" w:hAnsi="宋体"/>
          <w:sz w:val="24"/>
          <w:szCs w:val="28"/>
          <w:highlight w:val="none"/>
        </w:rPr>
        <w:t>废标后，由采购代理机构发布废标公告。</w:t>
      </w:r>
    </w:p>
    <w:p>
      <w:pPr>
        <w:pStyle w:val="4"/>
        <w:tabs>
          <w:tab w:val="left" w:pos="720"/>
        </w:tabs>
        <w:jc w:val="center"/>
        <w:rPr>
          <w:rFonts w:hAnsi="宋体"/>
          <w:b/>
          <w:highlight w:val="none"/>
        </w:rPr>
      </w:pPr>
      <w:bookmarkStart w:id="95" w:name="_Toc535421990"/>
      <w:bookmarkStart w:id="96" w:name="_Toc12037_WPSOffice_Level2"/>
      <w:bookmarkStart w:id="97" w:name="_Toc7867"/>
      <w:r>
        <w:rPr>
          <w:rFonts w:hint="eastAsia" w:hAnsi="宋体"/>
          <w:b/>
          <w:highlight w:val="none"/>
          <w:lang w:eastAsia="zh-CN"/>
        </w:rPr>
        <w:t>其他</w:t>
      </w:r>
      <w:bookmarkEnd w:id="95"/>
      <w:bookmarkEnd w:id="96"/>
      <w:bookmarkEnd w:id="97"/>
    </w:p>
    <w:p>
      <w:pPr>
        <w:pStyle w:val="5"/>
        <w:numPr>
          <w:ilvl w:val="0"/>
          <w:numId w:val="0"/>
        </w:numPr>
        <w:spacing w:before="0" w:after="0" w:line="360" w:lineRule="auto"/>
        <w:ind w:leftChars="200"/>
        <w:rPr>
          <w:rFonts w:ascii="宋体" w:hAnsi="宋体"/>
          <w:b w:val="0"/>
          <w:highlight w:val="none"/>
        </w:rPr>
      </w:pPr>
      <w:bookmarkStart w:id="98" w:name="_Toc535421991"/>
      <w:bookmarkStart w:id="99" w:name="_Toc488673644"/>
      <w:r>
        <w:rPr>
          <w:rFonts w:hint="eastAsia" w:ascii="宋体" w:hAnsi="宋体"/>
          <w:b w:val="0"/>
          <w:highlight w:val="none"/>
          <w:lang w:val="en-US" w:eastAsia="zh-CN"/>
        </w:rPr>
        <w:t>24、</w:t>
      </w:r>
      <w:r>
        <w:rPr>
          <w:rFonts w:hint="eastAsia" w:ascii="宋体" w:hAnsi="宋体"/>
          <w:b w:val="0"/>
          <w:highlight w:val="none"/>
          <w:lang w:eastAsia="zh-CN"/>
        </w:rPr>
        <w:t>串标</w:t>
      </w:r>
      <w:r>
        <w:rPr>
          <w:rFonts w:hint="eastAsia" w:ascii="宋体" w:hAnsi="宋体"/>
          <w:b w:val="0"/>
          <w:highlight w:val="none"/>
        </w:rPr>
        <w:t>情形</w:t>
      </w:r>
      <w:bookmarkEnd w:id="98"/>
      <w:bookmarkEnd w:id="99"/>
    </w:p>
    <w:p>
      <w:pPr>
        <w:pStyle w:val="13"/>
        <w:numPr>
          <w:ilvl w:val="0"/>
          <w:numId w:val="29"/>
        </w:numPr>
        <w:spacing w:line="360" w:lineRule="auto"/>
        <w:ind w:left="1041" w:leftChars="0" w:firstLine="16" w:firstLineChars="7"/>
        <w:jc w:val="left"/>
        <w:rPr>
          <w:rFonts w:hint="eastAsia" w:hAnsi="宋体"/>
          <w:sz w:val="24"/>
          <w:szCs w:val="28"/>
          <w:highlight w:val="none"/>
        </w:rPr>
      </w:pPr>
      <w:r>
        <w:rPr>
          <w:rFonts w:hint="eastAsia" w:hAnsi="宋体"/>
          <w:sz w:val="24"/>
          <w:szCs w:val="28"/>
          <w:highlight w:val="none"/>
        </w:rPr>
        <w:t>磋商人应当遵循公平竞争的原则，不得恶意串通，不得妨碍其他磋商人的竞争行为，不得损害采购人或者其他磋商人的合法权益</w:t>
      </w:r>
      <w:r>
        <w:rPr>
          <w:rFonts w:hint="eastAsia" w:hAnsi="宋体" w:cs="宋体"/>
          <w:highlight w:val="none"/>
        </w:rPr>
        <w:t>。</w:t>
      </w:r>
    </w:p>
    <w:p>
      <w:pPr>
        <w:pStyle w:val="13"/>
        <w:spacing w:line="360" w:lineRule="auto"/>
        <w:ind w:left="1042" w:leftChars="496" w:firstLine="480" w:firstLineChars="200"/>
        <w:jc w:val="left"/>
        <w:rPr>
          <w:rFonts w:hint="eastAsia" w:hAnsi="宋体" w:cs="宋体"/>
          <w:highlight w:val="none"/>
          <w:lang w:eastAsia="zh-CN"/>
        </w:rPr>
      </w:pPr>
      <w:r>
        <w:rPr>
          <w:rFonts w:hint="eastAsia" w:hAnsi="宋体"/>
          <w:sz w:val="24"/>
          <w:szCs w:val="28"/>
          <w:highlight w:val="none"/>
        </w:rPr>
        <w:t>在评标过程中发现磋商人有上述情形的，评标委员会应当认定其投标无效，并书面报告本级财政部门</w:t>
      </w:r>
      <w:r>
        <w:rPr>
          <w:rFonts w:hint="eastAsia" w:hAnsi="宋体" w:cs="宋体"/>
          <w:highlight w:val="none"/>
        </w:rPr>
        <w:t>。</w:t>
      </w:r>
    </w:p>
    <w:p>
      <w:pPr>
        <w:pStyle w:val="13"/>
        <w:numPr>
          <w:ilvl w:val="0"/>
          <w:numId w:val="29"/>
        </w:numPr>
        <w:spacing w:line="360" w:lineRule="auto"/>
        <w:ind w:left="1041" w:leftChars="0" w:firstLine="16" w:firstLineChars="7"/>
        <w:jc w:val="left"/>
        <w:rPr>
          <w:rFonts w:hint="eastAsia" w:hAnsi="宋体"/>
          <w:sz w:val="24"/>
          <w:szCs w:val="28"/>
          <w:highlight w:val="none"/>
        </w:rPr>
      </w:pPr>
      <w:r>
        <w:rPr>
          <w:rFonts w:hint="eastAsia" w:hAnsi="宋体"/>
          <w:sz w:val="24"/>
          <w:szCs w:val="28"/>
          <w:highlight w:val="none"/>
        </w:rPr>
        <w:t>有下列情形之一的，视为磋商人串通投标，其投标无效：</w:t>
      </w:r>
    </w:p>
    <w:p>
      <w:pPr>
        <w:pStyle w:val="13"/>
        <w:numPr>
          <w:ilvl w:val="0"/>
          <w:numId w:val="30"/>
        </w:numPr>
        <w:spacing w:line="360" w:lineRule="auto"/>
        <w:ind w:left="1041" w:leftChars="0"/>
        <w:jc w:val="left"/>
        <w:rPr>
          <w:rFonts w:hint="eastAsia" w:hAnsi="宋体"/>
          <w:sz w:val="24"/>
          <w:szCs w:val="24"/>
          <w:highlight w:val="none"/>
        </w:rPr>
      </w:pPr>
      <w:r>
        <w:rPr>
          <w:rFonts w:hint="eastAsia" w:hAnsi="宋体" w:cs="宋体"/>
          <w:sz w:val="24"/>
          <w:szCs w:val="24"/>
          <w:highlight w:val="none"/>
        </w:rPr>
        <w:t>不同磋商人的磋商响应文件由同一单位或者个人编制；</w:t>
      </w:r>
    </w:p>
    <w:p>
      <w:pPr>
        <w:pStyle w:val="13"/>
        <w:numPr>
          <w:ilvl w:val="0"/>
          <w:numId w:val="30"/>
        </w:numPr>
        <w:spacing w:line="360" w:lineRule="auto"/>
        <w:ind w:left="1041" w:leftChars="0"/>
        <w:jc w:val="left"/>
        <w:rPr>
          <w:rFonts w:hint="eastAsia" w:hAnsi="宋体"/>
          <w:sz w:val="24"/>
          <w:szCs w:val="24"/>
          <w:highlight w:val="none"/>
        </w:rPr>
      </w:pPr>
      <w:r>
        <w:rPr>
          <w:rFonts w:hint="eastAsia" w:hAnsi="宋体" w:cs="宋体"/>
          <w:sz w:val="24"/>
          <w:szCs w:val="24"/>
          <w:highlight w:val="none"/>
        </w:rPr>
        <w:t>不同磋商人委托同一单位或者个人办理投标事宜；</w:t>
      </w:r>
    </w:p>
    <w:p>
      <w:pPr>
        <w:pStyle w:val="13"/>
        <w:numPr>
          <w:ilvl w:val="0"/>
          <w:numId w:val="30"/>
        </w:numPr>
        <w:spacing w:line="360" w:lineRule="auto"/>
        <w:ind w:left="1041" w:leftChars="0"/>
        <w:jc w:val="left"/>
        <w:rPr>
          <w:rFonts w:hint="eastAsia" w:hAnsi="宋体"/>
          <w:sz w:val="24"/>
          <w:szCs w:val="24"/>
          <w:highlight w:val="none"/>
        </w:rPr>
      </w:pPr>
      <w:r>
        <w:rPr>
          <w:rFonts w:hint="eastAsia" w:hAnsi="宋体" w:cs="宋体"/>
          <w:sz w:val="24"/>
          <w:szCs w:val="24"/>
          <w:highlight w:val="none"/>
        </w:rPr>
        <w:t>不同磋商人的磋商响应文件载明的项目管理成员或者联系人员为</w:t>
      </w:r>
      <w:r>
        <w:rPr>
          <w:rFonts w:hint="eastAsia" w:hAnsi="宋体" w:cs="宋体"/>
          <w:sz w:val="24"/>
          <w:szCs w:val="24"/>
          <w:highlight w:val="none"/>
          <w:lang w:val="en-US" w:eastAsia="zh-CN"/>
        </w:rPr>
        <w:t xml:space="preserve"> </w:t>
      </w:r>
      <w:r>
        <w:rPr>
          <w:rFonts w:hint="eastAsia" w:hAnsi="宋体" w:cs="宋体"/>
          <w:sz w:val="24"/>
          <w:szCs w:val="24"/>
          <w:highlight w:val="none"/>
        </w:rPr>
        <w:t>同一人；</w:t>
      </w:r>
    </w:p>
    <w:p>
      <w:pPr>
        <w:pStyle w:val="13"/>
        <w:numPr>
          <w:ilvl w:val="0"/>
          <w:numId w:val="30"/>
        </w:numPr>
        <w:spacing w:line="360" w:lineRule="auto"/>
        <w:ind w:left="1041" w:leftChars="0"/>
        <w:jc w:val="left"/>
        <w:rPr>
          <w:rFonts w:hint="eastAsia" w:hAnsi="宋体"/>
          <w:sz w:val="24"/>
          <w:szCs w:val="24"/>
          <w:highlight w:val="none"/>
        </w:rPr>
      </w:pPr>
      <w:r>
        <w:rPr>
          <w:rFonts w:hint="eastAsia" w:hAnsi="宋体" w:cs="宋体"/>
          <w:sz w:val="24"/>
          <w:szCs w:val="24"/>
          <w:highlight w:val="none"/>
        </w:rPr>
        <w:t>不同磋商人的磋商响应文件异常一致或者投标报价呈规律性差异；</w:t>
      </w:r>
    </w:p>
    <w:p>
      <w:pPr>
        <w:pStyle w:val="13"/>
        <w:numPr>
          <w:ilvl w:val="0"/>
          <w:numId w:val="30"/>
        </w:numPr>
        <w:spacing w:line="360" w:lineRule="auto"/>
        <w:ind w:left="1041" w:leftChars="0"/>
        <w:jc w:val="left"/>
        <w:rPr>
          <w:rFonts w:hint="eastAsia" w:hAnsi="宋体"/>
          <w:sz w:val="24"/>
          <w:szCs w:val="24"/>
          <w:highlight w:val="none"/>
        </w:rPr>
      </w:pPr>
      <w:r>
        <w:rPr>
          <w:rFonts w:hint="eastAsia" w:hAnsi="宋体" w:cs="宋体"/>
          <w:sz w:val="24"/>
          <w:szCs w:val="24"/>
          <w:highlight w:val="none"/>
        </w:rPr>
        <w:t>不同磋商人的磋商响应文件相互混装；</w:t>
      </w:r>
    </w:p>
    <w:p>
      <w:pPr>
        <w:pStyle w:val="13"/>
        <w:numPr>
          <w:ilvl w:val="0"/>
          <w:numId w:val="30"/>
        </w:numPr>
        <w:spacing w:line="360" w:lineRule="auto"/>
        <w:ind w:left="1041" w:leftChars="0"/>
        <w:jc w:val="left"/>
        <w:rPr>
          <w:rFonts w:hint="eastAsia" w:hAnsi="宋体"/>
          <w:sz w:val="24"/>
          <w:szCs w:val="24"/>
          <w:highlight w:val="none"/>
        </w:rPr>
      </w:pPr>
      <w:r>
        <w:rPr>
          <w:rFonts w:hint="eastAsia" w:hAnsi="宋体" w:cs="宋体"/>
          <w:sz w:val="24"/>
          <w:szCs w:val="24"/>
          <w:highlight w:val="none"/>
        </w:rPr>
        <w:t>不同磋商人的投标保证金从同一单位或者个人的账户转出。</w:t>
      </w:r>
    </w:p>
    <w:p>
      <w:pPr>
        <w:pStyle w:val="13"/>
        <w:spacing w:line="360" w:lineRule="auto"/>
        <w:ind w:firstLine="960" w:firstLineChars="400"/>
        <w:jc w:val="left"/>
        <w:rPr>
          <w:rFonts w:hAnsi="宋体"/>
          <w:sz w:val="24"/>
          <w:szCs w:val="28"/>
          <w:highlight w:val="none"/>
        </w:rPr>
      </w:pPr>
      <w:r>
        <w:rPr>
          <w:rFonts w:hint="eastAsia" w:hAnsi="宋体"/>
          <w:sz w:val="24"/>
          <w:szCs w:val="28"/>
          <w:highlight w:val="none"/>
        </w:rPr>
        <w:t>算。</w:t>
      </w:r>
    </w:p>
    <w:p>
      <w:pPr>
        <w:pStyle w:val="13"/>
        <w:numPr>
          <w:ilvl w:val="0"/>
          <w:numId w:val="29"/>
        </w:numPr>
        <w:spacing w:line="360" w:lineRule="auto"/>
        <w:ind w:left="1041" w:leftChars="0" w:firstLine="16" w:firstLineChars="7"/>
        <w:jc w:val="left"/>
        <w:rPr>
          <w:rFonts w:hAnsi="宋体"/>
          <w:sz w:val="24"/>
          <w:szCs w:val="28"/>
          <w:highlight w:val="none"/>
        </w:rPr>
      </w:pPr>
      <w:r>
        <w:rPr>
          <w:rFonts w:hint="eastAsia" w:hAnsi="宋体"/>
          <w:sz w:val="24"/>
          <w:szCs w:val="28"/>
          <w:highlight w:val="none"/>
        </w:rPr>
        <w:t>其他未尽事宜，按照《中华人民共和国政府采购法》、《中华人民共和国合同法》、《中华人民共和国政府采购法实施条例》、《政府采购竞争性磋商采购方式管理暂行办法》等法律法规的有关条款执行。</w:t>
      </w:r>
    </w:p>
    <w:p>
      <w:pPr>
        <w:wordWrap w:val="0"/>
        <w:spacing w:line="360" w:lineRule="auto"/>
        <w:ind w:firstLine="480"/>
        <w:rPr>
          <w:rFonts w:ascii="宋体" w:hAnsi="宋体" w:eastAsia="宋体" w:cs="宋体"/>
          <w:sz w:val="24"/>
          <w:szCs w:val="24"/>
          <w:highlight w:val="none"/>
        </w:rPr>
      </w:pPr>
      <w:r>
        <w:rPr>
          <w:rFonts w:hAnsi="宋体"/>
          <w:sz w:val="24"/>
          <w:szCs w:val="28"/>
          <w:highlight w:val="none"/>
        </w:rPr>
        <w:br w:type="page"/>
      </w:r>
    </w:p>
    <w:p>
      <w:pPr>
        <w:pStyle w:val="18"/>
        <w:spacing w:before="0" w:after="0" w:line="360" w:lineRule="auto"/>
        <w:outlineLvl w:val="0"/>
        <w:rPr>
          <w:rFonts w:hint="eastAsia" w:ascii="宋体" w:hAnsi="宋体" w:eastAsiaTheme="minorEastAsia"/>
          <w:sz w:val="48"/>
          <w:highlight w:val="none"/>
          <w:lang w:eastAsia="zh-CN"/>
        </w:rPr>
      </w:pPr>
      <w:bookmarkStart w:id="100" w:name="_Toc7942"/>
      <w:r>
        <w:rPr>
          <w:rFonts w:hint="eastAsia" w:ascii="宋体" w:hAnsi="宋体"/>
          <w:sz w:val="48"/>
          <w:highlight w:val="none"/>
        </w:rPr>
        <w:t xml:space="preserve">第四部分 </w:t>
      </w:r>
      <w:r>
        <w:rPr>
          <w:rFonts w:ascii="宋体" w:hAnsi="宋体"/>
          <w:sz w:val="48"/>
          <w:highlight w:val="none"/>
        </w:rPr>
        <w:t xml:space="preserve"> </w:t>
      </w:r>
      <w:r>
        <w:rPr>
          <w:rFonts w:hint="eastAsia" w:ascii="宋体" w:hAnsi="宋体"/>
          <w:sz w:val="48"/>
          <w:highlight w:val="none"/>
        </w:rPr>
        <w:t>青海省政府采购合同文本</w:t>
      </w:r>
      <w:r>
        <w:rPr>
          <w:rFonts w:hint="eastAsia" w:ascii="宋体" w:hAnsi="宋体"/>
          <w:sz w:val="48"/>
          <w:highlight w:val="none"/>
          <w:lang w:eastAsia="zh-CN"/>
        </w:rPr>
        <w:t>范本</w:t>
      </w:r>
      <w:bookmarkEnd w:id="100"/>
    </w:p>
    <w:p>
      <w:pPr>
        <w:pStyle w:val="13"/>
        <w:spacing w:line="360" w:lineRule="auto"/>
        <w:ind w:firstLine="1124" w:firstLineChars="200"/>
        <w:jc w:val="left"/>
        <w:rPr>
          <w:rFonts w:hAnsi="宋体"/>
          <w:b/>
          <w:sz w:val="56"/>
          <w:szCs w:val="72"/>
          <w:highlight w:val="none"/>
        </w:rPr>
      </w:pPr>
    </w:p>
    <w:p>
      <w:pPr>
        <w:spacing w:line="360" w:lineRule="auto"/>
        <w:jc w:val="center"/>
        <w:rPr>
          <w:rFonts w:ascii="宋体" w:hAnsi="宋体"/>
          <w:b/>
          <w:spacing w:val="120"/>
          <w:sz w:val="56"/>
          <w:szCs w:val="72"/>
          <w:highlight w:val="none"/>
        </w:rPr>
      </w:pPr>
    </w:p>
    <w:p>
      <w:pPr>
        <w:spacing w:line="360" w:lineRule="auto"/>
        <w:jc w:val="center"/>
        <w:rPr>
          <w:rFonts w:ascii="宋体" w:hAnsi="宋体"/>
          <w:b/>
          <w:spacing w:val="120"/>
          <w:sz w:val="56"/>
          <w:szCs w:val="72"/>
          <w:highlight w:val="none"/>
        </w:rPr>
      </w:pPr>
    </w:p>
    <w:p>
      <w:pPr>
        <w:spacing w:line="360" w:lineRule="auto"/>
        <w:jc w:val="center"/>
        <w:rPr>
          <w:rFonts w:ascii="宋体" w:hAnsi="宋体"/>
          <w:b/>
          <w:bCs/>
          <w:sz w:val="72"/>
          <w:szCs w:val="50"/>
          <w:highlight w:val="none"/>
          <w:lang w:val="zh-CN"/>
        </w:rPr>
      </w:pPr>
      <w:bookmarkStart w:id="101" w:name="_Toc3059_WPSOffice_Level2"/>
      <w:r>
        <w:rPr>
          <w:rFonts w:hint="eastAsia" w:ascii="宋体" w:hAnsi="宋体"/>
          <w:b/>
          <w:bCs/>
          <w:sz w:val="72"/>
          <w:szCs w:val="50"/>
          <w:highlight w:val="none"/>
          <w:lang w:val="zh-CN"/>
        </w:rPr>
        <w:t>青海省政府采购合同书</w:t>
      </w:r>
      <w:bookmarkEnd w:id="101"/>
    </w:p>
    <w:p>
      <w:pPr>
        <w:spacing w:line="360" w:lineRule="auto"/>
        <w:rPr>
          <w:rFonts w:ascii="宋体" w:hAnsi="宋体"/>
          <w:b/>
          <w:sz w:val="56"/>
          <w:szCs w:val="72"/>
          <w:highlight w:val="none"/>
        </w:rPr>
      </w:pPr>
    </w:p>
    <w:p>
      <w:pPr>
        <w:spacing w:line="360" w:lineRule="auto"/>
        <w:rPr>
          <w:rFonts w:ascii="宋体" w:hAnsi="宋体"/>
          <w:b/>
          <w:sz w:val="24"/>
          <w:szCs w:val="28"/>
          <w:highlight w:val="none"/>
        </w:rPr>
      </w:pPr>
    </w:p>
    <w:p>
      <w:pPr>
        <w:spacing w:line="360" w:lineRule="auto"/>
        <w:ind w:left="3043" w:leftChars="600" w:right="1709" w:rightChars="814" w:hanging="1783" w:hangingChars="740"/>
        <w:rPr>
          <w:rFonts w:ascii="宋体" w:hAnsi="宋体" w:cs="Arial"/>
          <w:b/>
          <w:kern w:val="0"/>
          <w:sz w:val="32"/>
          <w:szCs w:val="32"/>
          <w:highlight w:val="none"/>
          <w:u w:val="single"/>
        </w:rPr>
      </w:pPr>
      <w:r>
        <w:rPr>
          <w:rFonts w:hint="eastAsia" w:ascii="宋体" w:hAnsi="宋体"/>
          <w:b/>
          <w:sz w:val="24"/>
          <w:szCs w:val="28"/>
          <w:highlight w:val="none"/>
        </w:rPr>
        <w:t>采购项目名称：</w:t>
      </w:r>
      <w:r>
        <w:rPr>
          <w:rFonts w:hint="eastAsia" w:ascii="宋体" w:hAnsi="宋体"/>
          <w:b/>
          <w:sz w:val="24"/>
          <w:szCs w:val="28"/>
          <w:highlight w:val="none"/>
          <w:u w:val="single"/>
          <w:lang w:eastAsia="zh-CN"/>
        </w:rPr>
        <w:t>德令哈市城区供水管网老化更新项目编制初步设计及可行性研究报告（第二次）</w:t>
      </w:r>
      <w:r>
        <w:rPr>
          <w:rFonts w:hint="eastAsia" w:ascii="宋体" w:hAnsi="宋体"/>
          <w:sz w:val="24"/>
          <w:szCs w:val="28"/>
          <w:highlight w:val="none"/>
          <w:u w:val="none"/>
        </w:rPr>
        <w:t xml:space="preserve">            </w:t>
      </w:r>
    </w:p>
    <w:p>
      <w:pPr>
        <w:spacing w:line="360" w:lineRule="auto"/>
        <w:ind w:left="2563" w:leftChars="600" w:hanging="1303" w:hangingChars="541"/>
        <w:rPr>
          <w:rFonts w:hint="eastAsia" w:ascii="宋体" w:hAnsi="宋体" w:eastAsia="宋体"/>
          <w:b/>
          <w:sz w:val="24"/>
          <w:szCs w:val="28"/>
          <w:highlight w:val="none"/>
          <w:u w:val="single"/>
          <w:lang w:val="en-US" w:eastAsia="zh-CN"/>
        </w:rPr>
      </w:pPr>
      <w:r>
        <w:rPr>
          <w:rFonts w:ascii="宋体" w:hAnsi="宋体"/>
          <w:b/>
          <w:sz w:val="24"/>
          <w:szCs w:val="28"/>
          <w:highlight w:val="none"/>
        </w:rPr>
        <w:t>采购项目编号</w:t>
      </w:r>
      <w:r>
        <w:rPr>
          <w:rFonts w:hint="eastAsia" w:ascii="宋体" w:hAnsi="宋体"/>
          <w:b/>
          <w:sz w:val="24"/>
          <w:szCs w:val="28"/>
          <w:highlight w:val="none"/>
        </w:rPr>
        <w:t>：</w:t>
      </w:r>
      <w:r>
        <w:rPr>
          <w:rFonts w:hint="eastAsia" w:ascii="宋体" w:hAnsi="宋体"/>
          <w:b/>
          <w:sz w:val="24"/>
          <w:szCs w:val="28"/>
          <w:highlight w:val="none"/>
          <w:u w:val="single"/>
        </w:rPr>
        <w:t xml:space="preserve">  </w:t>
      </w:r>
      <w:r>
        <w:rPr>
          <w:rFonts w:ascii="宋体" w:hAnsi="宋体"/>
          <w:b/>
          <w:sz w:val="24"/>
          <w:szCs w:val="28"/>
          <w:highlight w:val="none"/>
          <w:u w:val="single"/>
        </w:rPr>
        <w:t xml:space="preserve">    </w:t>
      </w:r>
      <w:r>
        <w:rPr>
          <w:rFonts w:hint="eastAsia" w:ascii="宋体" w:hAnsi="宋体"/>
          <w:b/>
          <w:sz w:val="24"/>
          <w:szCs w:val="28"/>
          <w:highlight w:val="none"/>
          <w:u w:val="single"/>
        </w:rPr>
        <w:t xml:space="preserve">     </w:t>
      </w:r>
      <w:r>
        <w:rPr>
          <w:rFonts w:ascii="宋体" w:hAnsi="宋体"/>
          <w:b/>
          <w:sz w:val="24"/>
          <w:szCs w:val="28"/>
          <w:highlight w:val="none"/>
          <w:u w:val="single"/>
        </w:rPr>
        <w:t xml:space="preserve">    </w:t>
      </w:r>
      <w:r>
        <w:rPr>
          <w:rFonts w:hint="eastAsia" w:ascii="宋体" w:hAnsi="宋体"/>
          <w:b/>
          <w:sz w:val="24"/>
          <w:szCs w:val="28"/>
          <w:highlight w:val="none"/>
          <w:u w:val="single"/>
          <w:lang w:val="en-US" w:eastAsia="zh-CN"/>
        </w:rPr>
        <w:t xml:space="preserve">                      </w:t>
      </w:r>
    </w:p>
    <w:p>
      <w:pPr>
        <w:spacing w:line="360" w:lineRule="auto"/>
        <w:ind w:left="2563" w:leftChars="600" w:hanging="1303" w:hangingChars="541"/>
        <w:rPr>
          <w:rFonts w:hint="eastAsia" w:ascii="宋体" w:hAnsi="宋体" w:eastAsia="宋体"/>
          <w:b/>
          <w:sz w:val="24"/>
          <w:szCs w:val="28"/>
          <w:highlight w:val="none"/>
          <w:u w:val="single"/>
          <w:lang w:val="en-US" w:eastAsia="zh-CN"/>
        </w:rPr>
      </w:pPr>
      <w:r>
        <w:rPr>
          <w:rFonts w:ascii="宋体" w:hAnsi="宋体"/>
          <w:b/>
          <w:sz w:val="24"/>
          <w:szCs w:val="28"/>
          <w:highlight w:val="none"/>
        </w:rPr>
        <w:t>采购合同编号</w:t>
      </w:r>
      <w:r>
        <w:rPr>
          <w:rFonts w:hint="eastAsia" w:ascii="宋体" w:hAnsi="宋体"/>
          <w:b/>
          <w:sz w:val="24"/>
          <w:szCs w:val="28"/>
          <w:highlight w:val="none"/>
        </w:rPr>
        <w:t>：</w:t>
      </w:r>
      <w:r>
        <w:rPr>
          <w:rFonts w:hint="eastAsia" w:ascii="宋体" w:hAnsi="宋体"/>
          <w:b/>
          <w:sz w:val="24"/>
          <w:szCs w:val="28"/>
          <w:highlight w:val="none"/>
          <w:u w:val="single"/>
        </w:rPr>
        <w:t xml:space="preserve">                </w:t>
      </w:r>
      <w:r>
        <w:rPr>
          <w:rFonts w:ascii="宋体" w:hAnsi="宋体"/>
          <w:b/>
          <w:sz w:val="24"/>
          <w:szCs w:val="28"/>
          <w:highlight w:val="none"/>
          <w:u w:val="single"/>
        </w:rPr>
        <w:t xml:space="preserve">          </w:t>
      </w:r>
      <w:r>
        <w:rPr>
          <w:rFonts w:hint="eastAsia" w:ascii="宋体" w:hAnsi="宋体"/>
          <w:b/>
          <w:sz w:val="24"/>
          <w:szCs w:val="28"/>
          <w:highlight w:val="none"/>
          <w:u w:val="single"/>
        </w:rPr>
        <w:t xml:space="preserve">  </w:t>
      </w:r>
      <w:r>
        <w:rPr>
          <w:rFonts w:hint="eastAsia" w:ascii="宋体" w:hAnsi="宋体"/>
          <w:b/>
          <w:sz w:val="24"/>
          <w:szCs w:val="28"/>
          <w:highlight w:val="none"/>
          <w:u w:val="single"/>
          <w:lang w:val="en-US" w:eastAsia="zh-CN"/>
        </w:rPr>
        <w:t xml:space="preserve">         </w:t>
      </w:r>
    </w:p>
    <w:p>
      <w:pPr>
        <w:spacing w:line="360" w:lineRule="auto"/>
        <w:ind w:left="2563" w:leftChars="600" w:hanging="1303" w:hangingChars="541"/>
        <w:rPr>
          <w:rFonts w:ascii="宋体" w:hAnsi="宋体"/>
          <w:b/>
          <w:sz w:val="24"/>
          <w:szCs w:val="28"/>
          <w:highlight w:val="none"/>
          <w:u w:val="single"/>
        </w:rPr>
      </w:pPr>
      <w:r>
        <w:rPr>
          <w:rFonts w:ascii="宋体" w:hAnsi="宋体"/>
          <w:b/>
          <w:sz w:val="24"/>
          <w:szCs w:val="28"/>
          <w:highlight w:val="none"/>
        </w:rPr>
        <w:t>合同金额</w:t>
      </w:r>
      <w:r>
        <w:rPr>
          <w:rFonts w:hint="eastAsia" w:ascii="宋体" w:hAnsi="宋体"/>
          <w:b/>
          <w:sz w:val="24"/>
          <w:szCs w:val="28"/>
          <w:highlight w:val="none"/>
        </w:rPr>
        <w:t>（</w:t>
      </w:r>
      <w:r>
        <w:rPr>
          <w:rFonts w:ascii="宋体" w:hAnsi="宋体"/>
          <w:b/>
          <w:sz w:val="24"/>
          <w:szCs w:val="28"/>
          <w:highlight w:val="none"/>
        </w:rPr>
        <w:t>人民币</w:t>
      </w:r>
      <w:r>
        <w:rPr>
          <w:rFonts w:hint="eastAsia" w:ascii="宋体" w:hAnsi="宋体"/>
          <w:b/>
          <w:sz w:val="24"/>
          <w:szCs w:val="28"/>
          <w:highlight w:val="none"/>
        </w:rPr>
        <w:t>）：</w:t>
      </w:r>
      <w:r>
        <w:rPr>
          <w:rFonts w:hint="eastAsia" w:ascii="宋体" w:hAnsi="宋体"/>
          <w:b/>
          <w:sz w:val="24"/>
          <w:szCs w:val="28"/>
          <w:highlight w:val="none"/>
          <w:u w:val="single"/>
        </w:rPr>
        <w:t xml:space="preserve">                </w:t>
      </w:r>
      <w:r>
        <w:rPr>
          <w:rFonts w:ascii="宋体" w:hAnsi="宋体"/>
          <w:b/>
          <w:sz w:val="24"/>
          <w:szCs w:val="28"/>
          <w:highlight w:val="none"/>
          <w:u w:val="single"/>
        </w:rPr>
        <w:t xml:space="preserve">      </w:t>
      </w:r>
      <w:r>
        <w:rPr>
          <w:rFonts w:hint="eastAsia" w:ascii="宋体" w:hAnsi="宋体"/>
          <w:b/>
          <w:sz w:val="24"/>
          <w:szCs w:val="28"/>
          <w:highlight w:val="none"/>
          <w:u w:val="single"/>
        </w:rPr>
        <w:t xml:space="preserve">    </w:t>
      </w:r>
      <w:r>
        <w:rPr>
          <w:rFonts w:ascii="宋体" w:hAnsi="宋体"/>
          <w:b/>
          <w:sz w:val="24"/>
          <w:szCs w:val="28"/>
          <w:highlight w:val="none"/>
          <w:u w:val="single"/>
        </w:rPr>
        <w:t xml:space="preserve">   </w:t>
      </w:r>
      <w:r>
        <w:rPr>
          <w:rFonts w:hint="eastAsia" w:ascii="宋体" w:hAnsi="宋体"/>
          <w:b/>
          <w:sz w:val="24"/>
          <w:szCs w:val="28"/>
          <w:highlight w:val="none"/>
          <w:u w:val="single"/>
        </w:rPr>
        <w:t xml:space="preserve"> </w:t>
      </w:r>
      <w:r>
        <w:rPr>
          <w:rFonts w:ascii="宋体" w:hAnsi="宋体"/>
          <w:b/>
          <w:sz w:val="24"/>
          <w:szCs w:val="28"/>
          <w:highlight w:val="none"/>
          <w:u w:val="single"/>
        </w:rPr>
        <w:t xml:space="preserve"> </w:t>
      </w:r>
    </w:p>
    <w:p>
      <w:pPr>
        <w:spacing w:line="360" w:lineRule="auto"/>
        <w:ind w:left="2563" w:leftChars="600" w:hanging="1303" w:hangingChars="541"/>
        <w:rPr>
          <w:rFonts w:ascii="宋体" w:hAnsi="宋体"/>
          <w:b/>
          <w:sz w:val="24"/>
          <w:szCs w:val="28"/>
          <w:highlight w:val="none"/>
          <w:u w:val="single"/>
        </w:rPr>
      </w:pPr>
      <w:r>
        <w:rPr>
          <w:rFonts w:hint="eastAsia" w:ascii="宋体" w:hAnsi="宋体"/>
          <w:b/>
          <w:sz w:val="24"/>
          <w:szCs w:val="28"/>
          <w:highlight w:val="none"/>
        </w:rPr>
        <w:t>采购单位（</w:t>
      </w:r>
      <w:r>
        <w:rPr>
          <w:rFonts w:ascii="宋体" w:hAnsi="宋体"/>
          <w:b/>
          <w:sz w:val="24"/>
          <w:szCs w:val="28"/>
          <w:highlight w:val="none"/>
        </w:rPr>
        <w:t>甲方</w:t>
      </w:r>
      <w:r>
        <w:rPr>
          <w:rFonts w:hint="eastAsia" w:ascii="宋体" w:hAnsi="宋体"/>
          <w:b/>
          <w:sz w:val="24"/>
          <w:szCs w:val="28"/>
          <w:highlight w:val="none"/>
        </w:rPr>
        <w:t>）：</w:t>
      </w:r>
      <w:r>
        <w:rPr>
          <w:rFonts w:hint="eastAsia" w:ascii="宋体" w:hAnsi="宋体"/>
          <w:b/>
          <w:sz w:val="24"/>
          <w:szCs w:val="28"/>
          <w:highlight w:val="none"/>
          <w:u w:val="single"/>
          <w:lang w:eastAsia="zh-CN"/>
        </w:rPr>
        <w:t>德令哈市重点项目服务中心</w:t>
      </w:r>
      <w:r>
        <w:rPr>
          <w:rFonts w:hint="eastAsia" w:ascii="宋体" w:hAnsi="宋体"/>
          <w:b/>
          <w:sz w:val="24"/>
          <w:szCs w:val="28"/>
          <w:highlight w:val="none"/>
          <w:u w:val="single"/>
        </w:rPr>
        <w:t xml:space="preserve"> （盖章）</w:t>
      </w:r>
    </w:p>
    <w:p>
      <w:pPr>
        <w:spacing w:line="360" w:lineRule="auto"/>
        <w:ind w:left="2563" w:leftChars="600" w:hanging="1303" w:hangingChars="541"/>
        <w:rPr>
          <w:rFonts w:ascii="宋体" w:hAnsi="宋体"/>
          <w:b/>
          <w:sz w:val="24"/>
          <w:szCs w:val="28"/>
          <w:highlight w:val="none"/>
          <w:u w:val="single"/>
        </w:rPr>
      </w:pPr>
      <w:r>
        <w:rPr>
          <w:rFonts w:ascii="宋体" w:hAnsi="宋体"/>
          <w:b/>
          <w:sz w:val="24"/>
          <w:szCs w:val="28"/>
          <w:highlight w:val="none"/>
        </w:rPr>
        <w:t>中标磋商供应商</w:t>
      </w:r>
      <w:r>
        <w:rPr>
          <w:rFonts w:hint="eastAsia" w:ascii="宋体" w:hAnsi="宋体"/>
          <w:b/>
          <w:sz w:val="24"/>
          <w:szCs w:val="28"/>
          <w:highlight w:val="none"/>
        </w:rPr>
        <w:t>（</w:t>
      </w:r>
      <w:r>
        <w:rPr>
          <w:rFonts w:ascii="宋体" w:hAnsi="宋体"/>
          <w:b/>
          <w:sz w:val="24"/>
          <w:szCs w:val="28"/>
          <w:highlight w:val="none"/>
        </w:rPr>
        <w:t>乙方</w:t>
      </w:r>
      <w:r>
        <w:rPr>
          <w:rFonts w:hint="eastAsia" w:ascii="宋体" w:hAnsi="宋体"/>
          <w:b/>
          <w:sz w:val="24"/>
          <w:szCs w:val="28"/>
          <w:highlight w:val="none"/>
        </w:rPr>
        <w:t>）：</w:t>
      </w:r>
      <w:r>
        <w:rPr>
          <w:rFonts w:hint="eastAsia" w:ascii="宋体" w:hAnsi="宋体"/>
          <w:b/>
          <w:sz w:val="24"/>
          <w:szCs w:val="28"/>
          <w:highlight w:val="none"/>
          <w:u w:val="single"/>
        </w:rPr>
        <w:t xml:space="preserve">              </w:t>
      </w:r>
      <w:r>
        <w:rPr>
          <w:rFonts w:ascii="宋体" w:hAnsi="宋体"/>
          <w:b/>
          <w:sz w:val="24"/>
          <w:szCs w:val="28"/>
          <w:highlight w:val="none"/>
          <w:u w:val="single"/>
        </w:rPr>
        <w:t xml:space="preserve">    </w:t>
      </w:r>
      <w:r>
        <w:rPr>
          <w:rFonts w:hint="eastAsia" w:ascii="宋体" w:hAnsi="宋体"/>
          <w:b/>
          <w:sz w:val="24"/>
          <w:szCs w:val="28"/>
          <w:highlight w:val="none"/>
          <w:u w:val="single"/>
        </w:rPr>
        <w:t xml:space="preserve"> （盖章）</w:t>
      </w:r>
    </w:p>
    <w:p>
      <w:pPr>
        <w:spacing w:line="360" w:lineRule="auto"/>
        <w:ind w:left="2563" w:leftChars="600" w:hanging="1303" w:hangingChars="541"/>
        <w:rPr>
          <w:rFonts w:ascii="宋体" w:hAnsi="宋体"/>
          <w:b/>
          <w:sz w:val="24"/>
          <w:szCs w:val="28"/>
          <w:highlight w:val="none"/>
          <w:u w:val="single"/>
        </w:rPr>
      </w:pPr>
      <w:r>
        <w:rPr>
          <w:rFonts w:ascii="宋体" w:hAnsi="宋体"/>
          <w:b/>
          <w:sz w:val="24"/>
          <w:szCs w:val="28"/>
          <w:highlight w:val="none"/>
        </w:rPr>
        <w:t>采购日期</w:t>
      </w:r>
      <w:r>
        <w:rPr>
          <w:rFonts w:hint="eastAsia" w:ascii="宋体" w:hAnsi="宋体"/>
          <w:b/>
          <w:sz w:val="24"/>
          <w:szCs w:val="28"/>
          <w:highlight w:val="none"/>
        </w:rPr>
        <w:t>：</w:t>
      </w:r>
      <w:r>
        <w:rPr>
          <w:rFonts w:hint="eastAsia" w:ascii="宋体" w:hAnsi="宋体"/>
          <w:b/>
          <w:sz w:val="24"/>
          <w:szCs w:val="28"/>
          <w:highlight w:val="none"/>
          <w:u w:val="single"/>
        </w:rPr>
        <w:t xml:space="preserve">                </w:t>
      </w:r>
      <w:r>
        <w:rPr>
          <w:rFonts w:ascii="宋体" w:hAnsi="宋体"/>
          <w:b/>
          <w:sz w:val="24"/>
          <w:szCs w:val="28"/>
          <w:highlight w:val="none"/>
          <w:u w:val="single"/>
        </w:rPr>
        <w:t xml:space="preserve">     </w:t>
      </w:r>
      <w:r>
        <w:rPr>
          <w:rFonts w:hint="eastAsia" w:ascii="宋体" w:hAnsi="宋体"/>
          <w:b/>
          <w:sz w:val="24"/>
          <w:szCs w:val="28"/>
          <w:highlight w:val="none"/>
          <w:u w:val="single"/>
        </w:rPr>
        <w:t xml:space="preserve">    </w:t>
      </w:r>
      <w:r>
        <w:rPr>
          <w:rFonts w:ascii="宋体" w:hAnsi="宋体"/>
          <w:b/>
          <w:sz w:val="24"/>
          <w:szCs w:val="28"/>
          <w:highlight w:val="none"/>
          <w:u w:val="single"/>
        </w:rPr>
        <w:t xml:space="preserve">     </w:t>
      </w:r>
      <w:r>
        <w:rPr>
          <w:rFonts w:hint="eastAsia" w:ascii="宋体" w:hAnsi="宋体"/>
          <w:b/>
          <w:sz w:val="24"/>
          <w:szCs w:val="28"/>
          <w:highlight w:val="none"/>
          <w:u w:val="single"/>
        </w:rPr>
        <w:t xml:space="preserve">           </w:t>
      </w:r>
    </w:p>
    <w:p>
      <w:pPr>
        <w:spacing w:line="360" w:lineRule="auto"/>
        <w:rPr>
          <w:rFonts w:ascii="宋体" w:hAnsi="宋体" w:cs="宋体"/>
          <w:b/>
          <w:sz w:val="24"/>
          <w:highlight w:val="none"/>
        </w:rPr>
      </w:pPr>
      <w:r>
        <w:rPr>
          <w:rFonts w:ascii="宋体" w:hAnsi="宋体"/>
          <w:sz w:val="28"/>
          <w:szCs w:val="28"/>
          <w:highlight w:val="none"/>
          <w:u w:val="single"/>
        </w:rPr>
        <w:br w:type="page"/>
      </w:r>
      <w:r>
        <w:rPr>
          <w:rFonts w:hint="eastAsia" w:ascii="宋体" w:hAnsi="宋体" w:cs="宋体"/>
          <w:b/>
          <w:sz w:val="24"/>
          <w:highlight w:val="none"/>
        </w:rPr>
        <w:t>采购单位（以下简称甲方）：</w:t>
      </w:r>
    </w:p>
    <w:p>
      <w:pPr>
        <w:spacing w:line="360" w:lineRule="auto"/>
        <w:rPr>
          <w:rFonts w:ascii="宋体" w:hAnsi="宋体" w:cs="宋体"/>
          <w:b/>
          <w:sz w:val="24"/>
          <w:highlight w:val="none"/>
        </w:rPr>
      </w:pPr>
      <w:r>
        <w:rPr>
          <w:rFonts w:hint="eastAsia" w:ascii="宋体" w:hAnsi="宋体" w:cs="宋体"/>
          <w:b/>
          <w:sz w:val="24"/>
          <w:highlight w:val="none"/>
        </w:rPr>
        <w:t>中标</w:t>
      </w:r>
      <w:r>
        <w:rPr>
          <w:rFonts w:ascii="宋体" w:hAnsi="宋体" w:cs="宋体"/>
          <w:b/>
          <w:sz w:val="24"/>
          <w:highlight w:val="none"/>
        </w:rPr>
        <w:t>供应商</w:t>
      </w:r>
      <w:r>
        <w:rPr>
          <w:rFonts w:hint="eastAsia" w:ascii="宋体" w:hAnsi="宋体" w:cs="宋体"/>
          <w:b/>
          <w:sz w:val="24"/>
          <w:highlight w:val="none"/>
        </w:rPr>
        <w:t>（</w:t>
      </w:r>
      <w:r>
        <w:rPr>
          <w:rFonts w:ascii="宋体" w:hAnsi="宋体" w:cs="宋体"/>
          <w:b/>
          <w:sz w:val="24"/>
          <w:highlight w:val="none"/>
        </w:rPr>
        <w:t>以下简称乙方</w:t>
      </w:r>
      <w:r>
        <w:rPr>
          <w:rFonts w:hint="eastAsia" w:ascii="宋体" w:hAnsi="宋体" w:cs="宋体"/>
          <w:b/>
          <w:sz w:val="24"/>
          <w:highlight w:val="none"/>
        </w:rPr>
        <w:t>）：</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甲、乙双方根据</w:t>
      </w:r>
      <w:r>
        <w:rPr>
          <w:rFonts w:hint="eastAsia" w:ascii="宋体" w:hAnsi="宋体" w:cs="宋体"/>
          <w:sz w:val="24"/>
          <w:highlight w:val="none"/>
          <w:lang w:val="en-US" w:eastAsia="zh-CN"/>
        </w:rPr>
        <w:t xml:space="preserve">    </w:t>
      </w:r>
      <w:r>
        <w:rPr>
          <w:rFonts w:hint="eastAsia" w:ascii="宋体" w:hAnsi="宋体" w:cs="宋体"/>
          <w:sz w:val="24"/>
          <w:highlight w:val="none"/>
        </w:rPr>
        <w:t>年  月</w:t>
      </w:r>
      <w:r>
        <w:rPr>
          <w:rFonts w:ascii="宋体" w:hAnsi="宋体" w:cs="宋体"/>
          <w:sz w:val="24"/>
          <w:highlight w:val="none"/>
        </w:rPr>
        <w:t xml:space="preserve">  </w:t>
      </w:r>
      <w:r>
        <w:rPr>
          <w:rFonts w:hint="eastAsia" w:ascii="宋体" w:hAnsi="宋体" w:cs="宋体"/>
          <w:sz w:val="24"/>
          <w:highlight w:val="none"/>
        </w:rPr>
        <w:t>日</w:t>
      </w:r>
      <w:r>
        <w:rPr>
          <w:rFonts w:hint="eastAsia" w:ascii="宋体" w:hAnsi="宋体" w:cs="宋体"/>
          <w:sz w:val="24"/>
          <w:highlight w:val="none"/>
          <w:lang w:val="en-US" w:eastAsia="zh-CN"/>
        </w:rPr>
        <w:t xml:space="preserve"> </w:t>
      </w:r>
      <w:r>
        <w:rPr>
          <w:rFonts w:hint="eastAsia" w:ascii="宋体" w:hAnsi="宋体" w:cs="宋体"/>
          <w:sz w:val="24"/>
          <w:highlight w:val="none"/>
          <w:lang w:eastAsia="zh-CN"/>
        </w:rPr>
        <w:t>德令哈市城区供水管网老化更新项目编制初步设计及可行性研究报告（第二次）</w:t>
      </w:r>
      <w:r>
        <w:rPr>
          <w:rFonts w:hint="eastAsia" w:ascii="宋体" w:hAnsi="宋体" w:cs="宋体"/>
          <w:sz w:val="24"/>
          <w:highlight w:val="none"/>
        </w:rPr>
        <w:t>的磋商文件要求和采购代理机构出具的《中标通知书》，并经双方协商一致，签订本合同协议书。</w:t>
      </w:r>
    </w:p>
    <w:p>
      <w:pPr>
        <w:spacing w:line="360" w:lineRule="auto"/>
        <w:rPr>
          <w:rFonts w:ascii="宋体" w:hAnsi="宋体" w:cs="宋体"/>
          <w:b/>
          <w:sz w:val="24"/>
          <w:highlight w:val="none"/>
        </w:rPr>
      </w:pPr>
      <w:bookmarkStart w:id="102" w:name="_Toc27594_WPSOffice_Level2"/>
      <w:r>
        <w:rPr>
          <w:rFonts w:ascii="宋体" w:hAnsi="宋体" w:cs="宋体"/>
          <w:b/>
          <w:sz w:val="24"/>
          <w:highlight w:val="none"/>
        </w:rPr>
        <w:t>一</w:t>
      </w:r>
      <w:r>
        <w:rPr>
          <w:rFonts w:hint="eastAsia" w:ascii="宋体" w:hAnsi="宋体" w:cs="宋体"/>
          <w:b/>
          <w:sz w:val="24"/>
          <w:highlight w:val="none"/>
        </w:rPr>
        <w:t>、签订本政府采购合同的依据</w:t>
      </w:r>
      <w:bookmarkEnd w:id="102"/>
    </w:p>
    <w:p>
      <w:pPr>
        <w:spacing w:line="360" w:lineRule="auto"/>
        <w:ind w:firstLine="480" w:firstLineChars="200"/>
        <w:rPr>
          <w:rFonts w:ascii="宋体" w:hAnsi="宋体" w:cs="宋体"/>
          <w:sz w:val="24"/>
          <w:highlight w:val="none"/>
        </w:rPr>
      </w:pPr>
      <w:r>
        <w:rPr>
          <w:rFonts w:hint="eastAsia" w:ascii="宋体" w:hAnsi="宋体" w:cs="宋体"/>
          <w:sz w:val="24"/>
          <w:highlight w:val="none"/>
        </w:rPr>
        <w:t>本政府采购合同所附下列文件是构成本政府采购合同不可分割的部分：</w:t>
      </w:r>
    </w:p>
    <w:p>
      <w:pPr>
        <w:spacing w:line="360" w:lineRule="auto"/>
        <w:rPr>
          <w:rFonts w:ascii="宋体" w:hAnsi="宋体" w:cs="宋体"/>
          <w:sz w:val="24"/>
          <w:highlight w:val="none"/>
        </w:rPr>
      </w:pPr>
      <w:r>
        <w:rPr>
          <w:rFonts w:hint="eastAsia" w:ascii="宋体" w:hAnsi="宋体" w:cs="宋体"/>
          <w:sz w:val="24"/>
          <w:highlight w:val="none"/>
        </w:rPr>
        <w:t>1．磋商文件；</w:t>
      </w:r>
    </w:p>
    <w:p>
      <w:pPr>
        <w:spacing w:line="360" w:lineRule="auto"/>
        <w:rPr>
          <w:rFonts w:ascii="宋体" w:hAnsi="宋体" w:cs="宋体"/>
          <w:sz w:val="24"/>
          <w:highlight w:val="none"/>
        </w:rPr>
      </w:pPr>
      <w:r>
        <w:rPr>
          <w:rFonts w:hint="eastAsia" w:ascii="宋体" w:hAnsi="宋体" w:cs="宋体"/>
          <w:sz w:val="24"/>
          <w:highlight w:val="none"/>
        </w:rPr>
        <w:t>2．磋商文件的更正、变更公告；</w:t>
      </w:r>
    </w:p>
    <w:p>
      <w:pPr>
        <w:spacing w:line="360" w:lineRule="auto"/>
        <w:rPr>
          <w:rFonts w:ascii="宋体" w:hAnsi="宋体" w:cs="宋体"/>
          <w:sz w:val="24"/>
          <w:highlight w:val="none"/>
        </w:rPr>
      </w:pPr>
      <w:r>
        <w:rPr>
          <w:rFonts w:hint="eastAsia" w:ascii="宋体" w:hAnsi="宋体" w:cs="宋体"/>
          <w:sz w:val="24"/>
          <w:highlight w:val="none"/>
        </w:rPr>
        <w:t>3．中标磋商供应商提交的磋商响应文件；</w:t>
      </w:r>
    </w:p>
    <w:p>
      <w:pPr>
        <w:spacing w:line="360" w:lineRule="auto"/>
        <w:rPr>
          <w:rFonts w:ascii="宋体" w:hAnsi="宋体" w:cs="宋体"/>
          <w:sz w:val="24"/>
          <w:highlight w:val="none"/>
        </w:rPr>
      </w:pPr>
      <w:r>
        <w:rPr>
          <w:rFonts w:hint="eastAsia" w:ascii="宋体" w:hAnsi="宋体" w:cs="宋体"/>
          <w:sz w:val="24"/>
          <w:highlight w:val="none"/>
        </w:rPr>
        <w:t>4．磋商文件中规定的政府采购合同通用条款；</w:t>
      </w:r>
    </w:p>
    <w:p>
      <w:pPr>
        <w:spacing w:line="360" w:lineRule="auto"/>
        <w:rPr>
          <w:rFonts w:hint="eastAsia" w:ascii="宋体" w:hAnsi="宋体" w:cs="宋体"/>
          <w:sz w:val="24"/>
          <w:highlight w:val="none"/>
        </w:rPr>
      </w:pPr>
      <w:r>
        <w:rPr>
          <w:rFonts w:hint="eastAsia" w:ascii="宋体" w:hAnsi="宋体" w:cs="宋体"/>
          <w:sz w:val="24"/>
          <w:highlight w:val="none"/>
        </w:rPr>
        <w:t>5．成交通知书；</w:t>
      </w:r>
    </w:p>
    <w:p>
      <w:pPr>
        <w:spacing w:line="360" w:lineRule="auto"/>
        <w:rPr>
          <w:rFonts w:ascii="宋体" w:hAnsi="宋体"/>
          <w:b/>
          <w:sz w:val="24"/>
          <w:highlight w:val="none"/>
        </w:rPr>
      </w:pPr>
      <w:bookmarkStart w:id="103" w:name="_Toc37_WPSOffice_Level2"/>
      <w:r>
        <w:rPr>
          <w:rFonts w:hint="eastAsia" w:ascii="宋体" w:hAnsi="宋体"/>
          <w:b/>
          <w:sz w:val="24"/>
          <w:highlight w:val="none"/>
        </w:rPr>
        <w:t xml:space="preserve">二、合同标的及金额                                          </w:t>
      </w:r>
      <w:r>
        <w:rPr>
          <w:rFonts w:hint="eastAsia" w:ascii="宋体" w:hAnsi="宋体"/>
          <w:sz w:val="24"/>
          <w:highlight w:val="none"/>
        </w:rPr>
        <w:t>单位：    元</w:t>
      </w:r>
      <w:bookmarkEnd w:id="103"/>
    </w:p>
    <w:tbl>
      <w:tblPr>
        <w:tblStyle w:val="27"/>
        <w:tblW w:w="0" w:type="auto"/>
        <w:jc w:val="center"/>
        <w:tblLayout w:type="fixed"/>
        <w:tblCellMar>
          <w:top w:w="0" w:type="dxa"/>
          <w:left w:w="108" w:type="dxa"/>
          <w:bottom w:w="0" w:type="dxa"/>
          <w:right w:w="108" w:type="dxa"/>
        </w:tblCellMar>
      </w:tblPr>
      <w:tblGrid>
        <w:gridCol w:w="1265"/>
        <w:gridCol w:w="1260"/>
        <w:gridCol w:w="1308"/>
        <w:gridCol w:w="708"/>
        <w:gridCol w:w="1560"/>
        <w:gridCol w:w="1417"/>
        <w:gridCol w:w="2126"/>
      </w:tblGrid>
      <w:tr>
        <w:tblPrEx>
          <w:tblCellMar>
            <w:top w:w="0" w:type="dxa"/>
            <w:left w:w="108" w:type="dxa"/>
            <w:bottom w:w="0" w:type="dxa"/>
            <w:right w:w="108" w:type="dxa"/>
          </w:tblCellMar>
        </w:tblPrEx>
        <w:trPr>
          <w:trHeight w:val="757" w:hRule="atLeast"/>
          <w:jc w:val="center"/>
        </w:trPr>
        <w:tc>
          <w:tcPr>
            <w:tcW w:w="1265"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ascii="宋体" w:hAnsi="宋体"/>
                <w:kern w:val="0"/>
                <w:sz w:val="24"/>
                <w:szCs w:val="22"/>
                <w:highlight w:val="none"/>
              </w:rPr>
            </w:pPr>
            <w:r>
              <w:rPr>
                <w:rFonts w:hint="eastAsia" w:ascii="宋体" w:hAnsi="宋体"/>
                <w:highlight w:val="none"/>
              </w:rPr>
              <w:t>序号</w:t>
            </w:r>
          </w:p>
        </w:tc>
        <w:tc>
          <w:tcPr>
            <w:tcW w:w="1260" w:type="dxa"/>
            <w:tcBorders>
              <w:top w:val="single" w:color="auto" w:sz="4" w:space="0"/>
              <w:left w:val="nil"/>
              <w:bottom w:val="single" w:color="auto" w:sz="4" w:space="0"/>
              <w:right w:val="single" w:color="auto" w:sz="4" w:space="0"/>
            </w:tcBorders>
            <w:shd w:val="clear" w:color="auto" w:fill="FFFFFF"/>
            <w:noWrap w:val="0"/>
            <w:vAlign w:val="center"/>
          </w:tcPr>
          <w:p>
            <w:pPr>
              <w:spacing w:line="360" w:lineRule="auto"/>
              <w:ind w:left="0" w:leftChars="0" w:firstLine="0" w:firstLineChars="0"/>
              <w:jc w:val="both"/>
              <w:rPr>
                <w:rFonts w:hint="eastAsia" w:ascii="宋体" w:hAnsi="宋体"/>
                <w:highlight w:val="none"/>
              </w:rPr>
            </w:pPr>
            <w:r>
              <w:rPr>
                <w:rFonts w:hint="eastAsia" w:ascii="宋体" w:hAnsi="宋体"/>
                <w:highlight w:val="none"/>
              </w:rPr>
              <w:t>标的名称</w:t>
            </w:r>
          </w:p>
        </w:tc>
        <w:tc>
          <w:tcPr>
            <w:tcW w:w="1308" w:type="dxa"/>
            <w:tcBorders>
              <w:top w:val="single" w:color="auto" w:sz="4" w:space="0"/>
              <w:left w:val="nil"/>
              <w:bottom w:val="single" w:color="auto" w:sz="4" w:space="0"/>
              <w:right w:val="single" w:color="auto" w:sz="4" w:space="0"/>
            </w:tcBorders>
            <w:shd w:val="clear" w:color="auto" w:fill="FFFFFF"/>
            <w:noWrap w:val="0"/>
            <w:vAlign w:val="center"/>
          </w:tcPr>
          <w:p>
            <w:pPr>
              <w:spacing w:line="360" w:lineRule="auto"/>
              <w:ind w:left="0" w:leftChars="0" w:firstLine="0" w:firstLineChars="0"/>
              <w:jc w:val="both"/>
              <w:rPr>
                <w:rFonts w:hint="eastAsia" w:ascii="宋体" w:hAnsi="宋体"/>
                <w:highlight w:val="none"/>
              </w:rPr>
            </w:pPr>
            <w:r>
              <w:rPr>
                <w:rFonts w:hint="eastAsia" w:ascii="宋体" w:hAnsi="宋体"/>
                <w:highlight w:val="none"/>
              </w:rPr>
              <w:t>服务内容</w:t>
            </w:r>
          </w:p>
        </w:tc>
        <w:tc>
          <w:tcPr>
            <w:tcW w:w="708" w:type="dxa"/>
            <w:tcBorders>
              <w:top w:val="single" w:color="auto" w:sz="4" w:space="0"/>
              <w:left w:val="nil"/>
              <w:bottom w:val="single" w:color="auto" w:sz="4" w:space="0"/>
              <w:right w:val="single" w:color="auto" w:sz="4" w:space="0"/>
            </w:tcBorders>
            <w:shd w:val="clear" w:color="auto" w:fill="FFFFFF"/>
            <w:noWrap w:val="0"/>
            <w:vAlign w:val="center"/>
          </w:tcPr>
          <w:p>
            <w:pPr>
              <w:spacing w:line="360" w:lineRule="auto"/>
              <w:ind w:left="0" w:leftChars="0" w:firstLine="0" w:firstLineChars="0"/>
              <w:jc w:val="both"/>
              <w:rPr>
                <w:rFonts w:hint="eastAsia" w:ascii="宋体" w:hAnsi="宋体"/>
                <w:highlight w:val="none"/>
              </w:rPr>
            </w:pPr>
            <w:r>
              <w:rPr>
                <w:rFonts w:hint="eastAsia" w:ascii="宋体" w:hAnsi="宋体"/>
                <w:highlight w:val="none"/>
              </w:rPr>
              <w:t>数量</w:t>
            </w:r>
          </w:p>
        </w:tc>
        <w:tc>
          <w:tcPr>
            <w:tcW w:w="1560" w:type="dxa"/>
            <w:tcBorders>
              <w:top w:val="single" w:color="auto" w:sz="4" w:space="0"/>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r>
              <w:rPr>
                <w:rFonts w:hint="eastAsia" w:ascii="宋体" w:hAnsi="宋体"/>
                <w:highlight w:val="none"/>
              </w:rPr>
              <w:t>单价</w:t>
            </w:r>
          </w:p>
        </w:tc>
        <w:tc>
          <w:tcPr>
            <w:tcW w:w="1417" w:type="dxa"/>
            <w:tcBorders>
              <w:top w:val="single" w:color="auto" w:sz="4" w:space="0"/>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r>
              <w:rPr>
                <w:rFonts w:hint="eastAsia" w:ascii="宋体" w:hAnsi="宋体"/>
                <w:highlight w:val="none"/>
              </w:rPr>
              <w:t>总价</w:t>
            </w:r>
          </w:p>
        </w:tc>
        <w:tc>
          <w:tcPr>
            <w:tcW w:w="2126" w:type="dxa"/>
            <w:tcBorders>
              <w:top w:val="single" w:color="auto" w:sz="4" w:space="0"/>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r>
              <w:rPr>
                <w:rFonts w:hint="eastAsia" w:ascii="宋体" w:hAnsi="宋体"/>
                <w:highlight w:val="none"/>
              </w:rPr>
              <w:t>备注</w:t>
            </w:r>
          </w:p>
        </w:tc>
      </w:tr>
      <w:tr>
        <w:tblPrEx>
          <w:tblCellMar>
            <w:top w:w="0" w:type="dxa"/>
            <w:left w:w="108" w:type="dxa"/>
            <w:bottom w:w="0" w:type="dxa"/>
            <w:right w:w="108" w:type="dxa"/>
          </w:tblCellMar>
        </w:tblPrEx>
        <w:trPr>
          <w:trHeight w:val="564" w:hRule="atLeast"/>
          <w:jc w:val="center"/>
        </w:trPr>
        <w:tc>
          <w:tcPr>
            <w:tcW w:w="1265" w:type="dxa"/>
            <w:tcBorders>
              <w:top w:val="nil"/>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r>
              <w:rPr>
                <w:rFonts w:hint="eastAsia" w:ascii="宋体" w:hAnsi="宋体"/>
                <w:highlight w:val="none"/>
              </w:rPr>
              <w:t>1</w:t>
            </w:r>
          </w:p>
        </w:tc>
        <w:tc>
          <w:tcPr>
            <w:tcW w:w="1260" w:type="dxa"/>
            <w:tcBorders>
              <w:top w:val="nil"/>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c>
          <w:tcPr>
            <w:tcW w:w="1308" w:type="dxa"/>
            <w:tcBorders>
              <w:top w:val="nil"/>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c>
          <w:tcPr>
            <w:tcW w:w="708" w:type="dxa"/>
            <w:tcBorders>
              <w:top w:val="nil"/>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c>
          <w:tcPr>
            <w:tcW w:w="1560" w:type="dxa"/>
            <w:tcBorders>
              <w:top w:val="nil"/>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c>
          <w:tcPr>
            <w:tcW w:w="1417" w:type="dxa"/>
            <w:tcBorders>
              <w:top w:val="nil"/>
              <w:left w:val="nil"/>
              <w:bottom w:val="single" w:color="auto" w:sz="4" w:space="0"/>
              <w:right w:val="nil"/>
            </w:tcBorders>
            <w:shd w:val="clear" w:color="auto" w:fill="FFFFFF"/>
            <w:noWrap w:val="0"/>
            <w:vAlign w:val="center"/>
          </w:tcPr>
          <w:p>
            <w:pPr>
              <w:spacing w:line="360" w:lineRule="auto"/>
              <w:jc w:val="center"/>
              <w:rPr>
                <w:rFonts w:hint="eastAsia" w:ascii="宋体" w:hAnsi="宋体"/>
                <w:highlight w:val="none"/>
              </w:rPr>
            </w:pPr>
          </w:p>
        </w:tc>
        <w:tc>
          <w:tcPr>
            <w:tcW w:w="2126" w:type="dxa"/>
            <w:tcBorders>
              <w:top w:val="nil"/>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r>
      <w:tr>
        <w:tblPrEx>
          <w:tblCellMar>
            <w:top w:w="0" w:type="dxa"/>
            <w:left w:w="108" w:type="dxa"/>
            <w:bottom w:w="0" w:type="dxa"/>
            <w:right w:w="108" w:type="dxa"/>
          </w:tblCellMar>
        </w:tblPrEx>
        <w:trPr>
          <w:trHeight w:val="702" w:hRule="atLeast"/>
          <w:jc w:val="center"/>
        </w:trPr>
        <w:tc>
          <w:tcPr>
            <w:tcW w:w="1265" w:type="dxa"/>
            <w:tcBorders>
              <w:top w:val="nil"/>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r>
              <w:rPr>
                <w:rFonts w:hint="eastAsia" w:ascii="宋体" w:hAnsi="宋体"/>
                <w:highlight w:val="none"/>
              </w:rPr>
              <w:t>2</w:t>
            </w:r>
          </w:p>
        </w:tc>
        <w:tc>
          <w:tcPr>
            <w:tcW w:w="1260" w:type="dxa"/>
            <w:tcBorders>
              <w:top w:val="nil"/>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c>
          <w:tcPr>
            <w:tcW w:w="1308" w:type="dxa"/>
            <w:tcBorders>
              <w:top w:val="nil"/>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c>
          <w:tcPr>
            <w:tcW w:w="708" w:type="dxa"/>
            <w:tcBorders>
              <w:top w:val="single" w:color="auto" w:sz="4" w:space="0"/>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c>
          <w:tcPr>
            <w:tcW w:w="1560" w:type="dxa"/>
            <w:tcBorders>
              <w:top w:val="nil"/>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c>
          <w:tcPr>
            <w:tcW w:w="1417" w:type="dxa"/>
            <w:tcBorders>
              <w:top w:val="nil"/>
              <w:left w:val="nil"/>
              <w:bottom w:val="single" w:color="auto" w:sz="4" w:space="0"/>
              <w:right w:val="nil"/>
            </w:tcBorders>
            <w:shd w:val="clear" w:color="auto" w:fill="FFFFFF"/>
            <w:noWrap w:val="0"/>
            <w:vAlign w:val="center"/>
          </w:tcPr>
          <w:p>
            <w:pPr>
              <w:spacing w:line="360" w:lineRule="auto"/>
              <w:jc w:val="center"/>
              <w:rPr>
                <w:rFonts w:hint="eastAsia" w:ascii="宋体" w:hAnsi="宋体"/>
                <w:highlight w:val="none"/>
              </w:rPr>
            </w:pPr>
          </w:p>
        </w:tc>
        <w:tc>
          <w:tcPr>
            <w:tcW w:w="2126" w:type="dxa"/>
            <w:tcBorders>
              <w:top w:val="nil"/>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r>
      <w:tr>
        <w:tblPrEx>
          <w:tblCellMar>
            <w:top w:w="0" w:type="dxa"/>
            <w:left w:w="108" w:type="dxa"/>
            <w:bottom w:w="0" w:type="dxa"/>
            <w:right w:w="108" w:type="dxa"/>
          </w:tblCellMar>
        </w:tblPrEx>
        <w:trPr>
          <w:trHeight w:val="702" w:hRule="atLeast"/>
          <w:jc w:val="center"/>
        </w:trPr>
        <w:tc>
          <w:tcPr>
            <w:tcW w:w="1265"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r>
              <w:rPr>
                <w:rFonts w:hint="eastAsia" w:ascii="宋体" w:hAnsi="宋体"/>
                <w:highlight w:val="none"/>
              </w:rPr>
              <w:t>…</w:t>
            </w:r>
          </w:p>
        </w:tc>
        <w:tc>
          <w:tcPr>
            <w:tcW w:w="1260" w:type="dxa"/>
            <w:tcBorders>
              <w:top w:val="single" w:color="auto" w:sz="4" w:space="0"/>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c>
          <w:tcPr>
            <w:tcW w:w="1308" w:type="dxa"/>
            <w:tcBorders>
              <w:top w:val="single" w:color="auto" w:sz="4" w:space="0"/>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c>
          <w:tcPr>
            <w:tcW w:w="708" w:type="dxa"/>
            <w:tcBorders>
              <w:top w:val="single" w:color="auto" w:sz="4" w:space="0"/>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c>
          <w:tcPr>
            <w:tcW w:w="1560" w:type="dxa"/>
            <w:tcBorders>
              <w:top w:val="single" w:color="auto" w:sz="4" w:space="0"/>
              <w:left w:val="nil"/>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c>
          <w:tcPr>
            <w:tcW w:w="1417" w:type="dxa"/>
            <w:tcBorders>
              <w:top w:val="single" w:color="auto" w:sz="4" w:space="0"/>
              <w:left w:val="nil"/>
              <w:bottom w:val="single" w:color="auto" w:sz="4" w:space="0"/>
              <w:right w:val="nil"/>
            </w:tcBorders>
            <w:shd w:val="clear" w:color="auto" w:fill="FFFFFF"/>
            <w:noWrap w:val="0"/>
            <w:vAlign w:val="center"/>
          </w:tcPr>
          <w:p>
            <w:pPr>
              <w:spacing w:line="360" w:lineRule="auto"/>
              <w:jc w:val="center"/>
              <w:rPr>
                <w:rFonts w:hint="eastAsia" w:ascii="宋体" w:hAnsi="宋体"/>
                <w:highlight w:val="none"/>
              </w:rPr>
            </w:pPr>
          </w:p>
        </w:tc>
        <w:tc>
          <w:tcPr>
            <w:tcW w:w="2126"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spacing w:line="360" w:lineRule="auto"/>
              <w:jc w:val="center"/>
              <w:rPr>
                <w:rFonts w:hint="eastAsia" w:ascii="宋体" w:hAnsi="宋体"/>
                <w:highlight w:val="none"/>
              </w:rPr>
            </w:pPr>
          </w:p>
        </w:tc>
      </w:tr>
    </w:tbl>
    <w:p>
      <w:pPr>
        <w:spacing w:line="360" w:lineRule="auto"/>
        <w:ind w:firstLine="480" w:firstLineChars="200"/>
        <w:rPr>
          <w:rFonts w:ascii="宋体" w:hAnsi="宋体"/>
          <w:sz w:val="24"/>
          <w:highlight w:val="none"/>
        </w:rPr>
      </w:pPr>
      <w:r>
        <w:rPr>
          <w:rFonts w:hint="eastAsia" w:ascii="宋体" w:hAnsi="宋体"/>
          <w:sz w:val="24"/>
          <w:highlight w:val="none"/>
        </w:rPr>
        <w:t>根据上述政府采购合同文件要求，本政府采购合同的总金额为人民币</w:t>
      </w:r>
      <w:r>
        <w:rPr>
          <w:rFonts w:hint="eastAsia" w:ascii="宋体" w:hAnsi="宋体"/>
          <w:sz w:val="24"/>
          <w:highlight w:val="none"/>
          <w:u w:val="single"/>
        </w:rPr>
        <w:t xml:space="preserve">  </w:t>
      </w:r>
      <w:r>
        <w:rPr>
          <w:rFonts w:ascii="宋体" w:hAnsi="宋体"/>
          <w:sz w:val="24"/>
          <w:highlight w:val="none"/>
          <w:u w:val="single"/>
        </w:rPr>
        <w:t xml:space="preserve">         </w:t>
      </w:r>
      <w:r>
        <w:rPr>
          <w:rFonts w:hint="eastAsia" w:ascii="宋体" w:hAnsi="宋体"/>
          <w:sz w:val="24"/>
          <w:highlight w:val="none"/>
          <w:u w:val="single"/>
        </w:rPr>
        <w:t xml:space="preserve">  </w:t>
      </w:r>
      <w:r>
        <w:rPr>
          <w:rFonts w:hint="eastAsia" w:ascii="宋体" w:hAnsi="宋体"/>
          <w:sz w:val="24"/>
          <w:highlight w:val="none"/>
        </w:rPr>
        <w:t>（大写）</w:t>
      </w:r>
      <w:r>
        <w:rPr>
          <w:rFonts w:hint="eastAsia" w:ascii="宋体" w:hAnsi="宋体"/>
          <w:sz w:val="24"/>
          <w:highlight w:val="none"/>
          <w:u w:val="single"/>
        </w:rPr>
        <w:t xml:space="preserve"> </w:t>
      </w:r>
      <w:r>
        <w:rPr>
          <w:rFonts w:ascii="宋体" w:hAnsi="宋体"/>
          <w:sz w:val="24"/>
          <w:highlight w:val="none"/>
          <w:u w:val="single"/>
        </w:rPr>
        <w:t xml:space="preserve">               </w:t>
      </w:r>
      <w:r>
        <w:rPr>
          <w:rFonts w:hint="eastAsia" w:ascii="宋体" w:hAnsi="宋体"/>
          <w:sz w:val="24"/>
          <w:highlight w:val="none"/>
          <w:u w:val="single"/>
        </w:rPr>
        <w:t xml:space="preserve"> </w:t>
      </w:r>
      <w:r>
        <w:rPr>
          <w:rFonts w:hint="eastAsia" w:ascii="宋体" w:hAnsi="宋体"/>
          <w:sz w:val="24"/>
          <w:highlight w:val="none"/>
        </w:rPr>
        <w:t>元。</w:t>
      </w:r>
    </w:p>
    <w:p>
      <w:pPr>
        <w:spacing w:line="360" w:lineRule="auto"/>
        <w:ind w:firstLine="480" w:firstLineChars="200"/>
        <w:rPr>
          <w:rFonts w:ascii="宋体" w:hAnsi="宋体"/>
          <w:sz w:val="24"/>
          <w:highlight w:val="none"/>
        </w:rPr>
      </w:pPr>
      <w:r>
        <w:rPr>
          <w:rFonts w:hint="eastAsia" w:ascii="宋体" w:hAnsi="宋体"/>
          <w:sz w:val="24"/>
          <w:highlight w:val="none"/>
        </w:rPr>
        <w:t>本合同以人民币进行结算，合同总价包括：</w:t>
      </w:r>
      <w:r>
        <w:rPr>
          <w:rFonts w:hint="eastAsia" w:ascii="宋体" w:hAnsi="宋体"/>
          <w:kern w:val="0"/>
          <w:sz w:val="24"/>
          <w:szCs w:val="28"/>
          <w:highlight w:val="none"/>
        </w:rPr>
        <w:t>完成本服务内容可能发生的各项费用，如人员工资、交通、利润、税金、</w:t>
      </w:r>
      <w:r>
        <w:rPr>
          <w:rFonts w:hint="eastAsia" w:hAnsi="宋体"/>
          <w:sz w:val="24"/>
          <w:szCs w:val="28"/>
          <w:highlight w:val="none"/>
        </w:rPr>
        <w:t>招标代理费</w:t>
      </w:r>
      <w:r>
        <w:rPr>
          <w:rFonts w:hint="eastAsia" w:ascii="宋体" w:hAnsi="宋体"/>
          <w:kern w:val="0"/>
          <w:sz w:val="24"/>
          <w:szCs w:val="28"/>
          <w:highlight w:val="none"/>
        </w:rPr>
        <w:t>以及所有有关的管理成本和</w:t>
      </w:r>
      <w:r>
        <w:rPr>
          <w:rFonts w:ascii="宋体" w:hAnsi="宋体"/>
          <w:kern w:val="0"/>
          <w:sz w:val="24"/>
          <w:szCs w:val="28"/>
          <w:highlight w:val="none"/>
        </w:rPr>
        <w:t>其他不可预见费等全部费用</w:t>
      </w:r>
      <w:r>
        <w:rPr>
          <w:rFonts w:hint="eastAsia" w:ascii="宋体" w:hAnsi="宋体"/>
          <w:sz w:val="24"/>
          <w:highlight w:val="none"/>
        </w:rPr>
        <w:t>；</w:t>
      </w:r>
    </w:p>
    <w:p>
      <w:pPr>
        <w:spacing w:line="360" w:lineRule="auto"/>
        <w:ind w:firstLine="482" w:firstLineChars="200"/>
        <w:rPr>
          <w:rFonts w:hint="eastAsia" w:ascii="宋体" w:hAnsi="宋体"/>
          <w:kern w:val="0"/>
          <w:sz w:val="24"/>
          <w:szCs w:val="28"/>
          <w:highlight w:val="none"/>
        </w:rPr>
      </w:pPr>
      <w:bookmarkStart w:id="104" w:name="_Toc17445_WPSOffice_Level2"/>
      <w:r>
        <w:rPr>
          <w:rFonts w:hint="eastAsia" w:ascii="宋体" w:hAnsi="宋体"/>
          <w:b/>
          <w:sz w:val="24"/>
          <w:highlight w:val="none"/>
        </w:rPr>
        <w:t>三、交付时间、地点和要求</w:t>
      </w:r>
      <w:bookmarkEnd w:id="104"/>
    </w:p>
    <w:p>
      <w:pPr>
        <w:spacing w:line="360" w:lineRule="auto"/>
        <w:ind w:firstLine="480" w:firstLineChars="200"/>
        <w:rPr>
          <w:rFonts w:ascii="宋体" w:hAnsi="宋体"/>
          <w:sz w:val="24"/>
          <w:highlight w:val="none"/>
        </w:rPr>
      </w:pPr>
      <w:r>
        <w:rPr>
          <w:rFonts w:hint="eastAsia" w:ascii="宋体" w:hAnsi="宋体"/>
          <w:kern w:val="0"/>
          <w:sz w:val="24"/>
          <w:szCs w:val="28"/>
          <w:highlight w:val="none"/>
        </w:rPr>
        <w:t>1.服</w:t>
      </w:r>
      <w:r>
        <w:rPr>
          <w:rFonts w:hint="eastAsia" w:ascii="宋体" w:hAnsi="宋体"/>
          <w:kern w:val="0"/>
          <w:sz w:val="24"/>
          <w:szCs w:val="28"/>
          <w:highlight w:val="none"/>
          <w:lang w:val="en-US" w:eastAsia="zh-CN"/>
        </w:rPr>
        <w:t xml:space="preserve"> </w:t>
      </w:r>
      <w:r>
        <w:rPr>
          <w:rFonts w:hint="eastAsia" w:ascii="宋体" w:hAnsi="宋体"/>
          <w:kern w:val="0"/>
          <w:sz w:val="24"/>
          <w:szCs w:val="28"/>
          <w:highlight w:val="none"/>
        </w:rPr>
        <w:t>务</w:t>
      </w:r>
      <w:r>
        <w:rPr>
          <w:rFonts w:hint="eastAsia" w:ascii="宋体" w:hAnsi="宋体"/>
          <w:kern w:val="0"/>
          <w:sz w:val="24"/>
          <w:szCs w:val="28"/>
          <w:highlight w:val="none"/>
          <w:lang w:val="en-US" w:eastAsia="zh-CN"/>
        </w:rPr>
        <w:t xml:space="preserve"> </w:t>
      </w:r>
      <w:r>
        <w:rPr>
          <w:rFonts w:hint="eastAsia" w:ascii="宋体" w:hAnsi="宋体"/>
          <w:kern w:val="0"/>
          <w:sz w:val="24"/>
          <w:szCs w:val="28"/>
          <w:highlight w:val="none"/>
        </w:rPr>
        <w:t>期：</w:t>
      </w:r>
      <w:r>
        <w:rPr>
          <w:rFonts w:hint="eastAsia" w:ascii="宋体" w:hAnsi="宋体"/>
          <w:kern w:val="0"/>
          <w:sz w:val="24"/>
          <w:szCs w:val="28"/>
          <w:highlight w:val="none"/>
          <w:lang w:eastAsia="zh-CN"/>
        </w:rPr>
        <w:t>合同签订后30天内提交成果。</w:t>
      </w:r>
      <w:r>
        <w:rPr>
          <w:rFonts w:hint="eastAsia" w:ascii="宋体" w:hAnsi="宋体" w:eastAsia="宋体" w:cs="Times New Roman"/>
          <w:kern w:val="0"/>
          <w:sz w:val="24"/>
          <w:szCs w:val="28"/>
          <w:highlight w:val="none"/>
        </w:rPr>
        <w:t>；</w:t>
      </w:r>
    </w:p>
    <w:p>
      <w:pPr>
        <w:spacing w:line="360" w:lineRule="auto"/>
        <w:rPr>
          <w:rFonts w:hint="eastAsia" w:ascii="宋体" w:hAnsi="宋体"/>
          <w:sz w:val="24"/>
          <w:highlight w:val="none"/>
          <w:u w:val="single"/>
        </w:rPr>
      </w:pPr>
      <w:r>
        <w:rPr>
          <w:rFonts w:hint="eastAsia" w:ascii="宋体" w:hAnsi="宋体"/>
          <w:sz w:val="24"/>
          <w:highlight w:val="none"/>
        </w:rPr>
        <w:t>2.服务成果：</w:t>
      </w:r>
      <w:r>
        <w:rPr>
          <w:rFonts w:hint="eastAsia" w:ascii="宋体" w:hAnsi="宋体"/>
          <w:sz w:val="24"/>
          <w:highlight w:val="none"/>
          <w:lang w:eastAsia="zh-CN"/>
        </w:rPr>
        <w:t>德令哈市城区供水管网老化更新项目编制初步设计及可行性研究报告（第二次）</w:t>
      </w:r>
      <w:r>
        <w:rPr>
          <w:rFonts w:hint="eastAsia" w:ascii="宋体" w:hAnsi="宋体"/>
          <w:sz w:val="24"/>
          <w:highlight w:val="none"/>
        </w:rPr>
        <w:t>方案；</w:t>
      </w:r>
    </w:p>
    <w:p>
      <w:pPr>
        <w:spacing w:line="360" w:lineRule="auto"/>
        <w:rPr>
          <w:rFonts w:ascii="宋体" w:hAnsi="宋体"/>
          <w:sz w:val="24"/>
          <w:highlight w:val="none"/>
        </w:rPr>
      </w:pPr>
      <w:r>
        <w:rPr>
          <w:rFonts w:hint="eastAsia" w:ascii="宋体" w:hAnsi="宋体"/>
          <w:sz w:val="24"/>
          <w:highlight w:val="none"/>
        </w:rPr>
        <w:t>3.乙方提供不符合磋商响应文件和本合同规定的服务，甲方有权拒绝接受；</w:t>
      </w:r>
    </w:p>
    <w:p>
      <w:pPr>
        <w:spacing w:line="360" w:lineRule="auto"/>
        <w:rPr>
          <w:rFonts w:ascii="宋体" w:hAnsi="宋体"/>
          <w:sz w:val="24"/>
          <w:highlight w:val="none"/>
        </w:rPr>
      </w:pPr>
      <w:r>
        <w:rPr>
          <w:rFonts w:hint="eastAsia" w:ascii="宋体" w:hAnsi="宋体"/>
          <w:sz w:val="24"/>
          <w:highlight w:val="none"/>
        </w:rPr>
        <w:t>4.甲方应当在服务完成后</w:t>
      </w:r>
      <w:r>
        <w:rPr>
          <w:rFonts w:hint="eastAsia" w:ascii="宋体" w:hAnsi="宋体"/>
          <w:sz w:val="24"/>
          <w:highlight w:val="none"/>
          <w:u w:val="single"/>
        </w:rPr>
        <w:t xml:space="preserve">     </w:t>
      </w:r>
      <w:r>
        <w:rPr>
          <w:rFonts w:hint="eastAsia" w:ascii="宋体" w:hAnsi="宋体"/>
          <w:sz w:val="24"/>
          <w:highlight w:val="none"/>
        </w:rPr>
        <w:t>个工作日内进行评审验收，逾期不评审验收的，乙方可视为验收合格。乙方交稿并通过评审验收后，由甲乙双方签署服务验收单并加盖采购人公章，甲乙双方各执一份；</w:t>
      </w:r>
    </w:p>
    <w:p>
      <w:pPr>
        <w:spacing w:line="360" w:lineRule="auto"/>
        <w:rPr>
          <w:rFonts w:hint="eastAsia" w:ascii="宋体" w:hAnsi="宋体"/>
          <w:sz w:val="24"/>
          <w:highlight w:val="none"/>
        </w:rPr>
      </w:pPr>
      <w:r>
        <w:rPr>
          <w:rFonts w:hint="eastAsia" w:ascii="宋体" w:hAnsi="宋体"/>
          <w:sz w:val="24"/>
          <w:highlight w:val="none"/>
        </w:rPr>
        <w:t>5.甲方应提供该项目验收报告交同级财政监管部门，由财政部门按规定程序抽验后办理资金拨付；</w:t>
      </w:r>
    </w:p>
    <w:p>
      <w:pPr>
        <w:spacing w:line="360" w:lineRule="auto"/>
        <w:rPr>
          <w:rFonts w:hint="eastAsia" w:ascii="宋体" w:hAnsi="宋体"/>
          <w:sz w:val="24"/>
          <w:highlight w:val="none"/>
        </w:rPr>
      </w:pPr>
      <w:r>
        <w:rPr>
          <w:rFonts w:hint="eastAsia" w:ascii="宋体" w:hAnsi="宋体"/>
          <w:sz w:val="24"/>
          <w:highlight w:val="none"/>
        </w:rPr>
        <w:t>6.甲方在验收过程中发现乙方有违约问题，可按磋商、磋商响应文件的规定要求乙方及时予以解决；</w:t>
      </w:r>
    </w:p>
    <w:p>
      <w:pPr>
        <w:spacing w:line="360" w:lineRule="auto"/>
        <w:rPr>
          <w:rFonts w:hint="eastAsia" w:ascii="宋体" w:hAnsi="宋体"/>
          <w:sz w:val="24"/>
          <w:highlight w:val="none"/>
        </w:rPr>
      </w:pPr>
      <w:r>
        <w:rPr>
          <w:rFonts w:hint="eastAsia" w:ascii="宋体" w:hAnsi="宋体"/>
          <w:sz w:val="24"/>
          <w:highlight w:val="none"/>
        </w:rPr>
        <w:t>7.付款前乙方应向甲方提供服务相关完税发票（按甲方需求提供）；</w:t>
      </w:r>
    </w:p>
    <w:p>
      <w:pPr>
        <w:spacing w:line="360" w:lineRule="auto"/>
        <w:rPr>
          <w:rFonts w:hint="eastAsia" w:ascii="宋体" w:hAnsi="宋体"/>
          <w:b/>
          <w:sz w:val="24"/>
          <w:highlight w:val="none"/>
        </w:rPr>
      </w:pPr>
      <w:bookmarkStart w:id="105" w:name="_Toc24288_WPSOffice_Level2"/>
      <w:r>
        <w:rPr>
          <w:rFonts w:hint="eastAsia" w:ascii="宋体" w:hAnsi="宋体"/>
          <w:b/>
          <w:sz w:val="24"/>
          <w:highlight w:val="none"/>
        </w:rPr>
        <w:t>四、付款方式</w:t>
      </w:r>
      <w:bookmarkEnd w:id="105"/>
      <w:r>
        <w:rPr>
          <w:rFonts w:hint="eastAsia" w:ascii="宋体" w:hAnsi="Calibri" w:cs="宋体"/>
          <w:kern w:val="0"/>
          <w:sz w:val="24"/>
          <w:highlight w:val="none"/>
          <w:lang w:val="zh-CN"/>
        </w:rPr>
        <w:t xml:space="preserve"> </w:t>
      </w:r>
    </w:p>
    <w:p>
      <w:pPr>
        <w:spacing w:line="360" w:lineRule="auto"/>
        <w:rPr>
          <w:rFonts w:ascii="宋体" w:hAnsi="宋体" w:cs="宋体"/>
          <w:kern w:val="0"/>
          <w:sz w:val="24"/>
          <w:highlight w:val="none"/>
        </w:rPr>
      </w:pPr>
      <w:r>
        <w:rPr>
          <w:rFonts w:ascii="宋体" w:hAnsi="Calibri" w:cs="宋体"/>
          <w:kern w:val="0"/>
          <w:sz w:val="24"/>
          <w:highlight w:val="none"/>
          <w:lang w:val="zh-CN"/>
        </w:rPr>
        <w:t>1.</w:t>
      </w:r>
      <w:r>
        <w:rPr>
          <w:highlight w:val="none"/>
        </w:rPr>
        <w:t xml:space="preserve"> </w:t>
      </w:r>
      <w:r>
        <w:rPr>
          <w:rFonts w:ascii="宋体" w:hAnsi="宋体" w:cs="宋体"/>
          <w:kern w:val="0"/>
          <w:sz w:val="24"/>
          <w:highlight w:val="none"/>
        </w:rPr>
        <w:t>项目经费确保专款专用，根据目标任务完成情况和绩效评价结果，由本级财政拨付服务经费。</w:t>
      </w:r>
    </w:p>
    <w:p>
      <w:pPr>
        <w:spacing w:line="360" w:lineRule="auto"/>
        <w:rPr>
          <w:rFonts w:hint="eastAsia" w:ascii="宋体" w:hAnsi="宋体" w:eastAsia="宋体" w:cs="宋体"/>
          <w:color w:val="FF0000"/>
          <w:kern w:val="0"/>
          <w:sz w:val="24"/>
          <w:highlight w:val="none"/>
          <w:lang w:eastAsia="zh-CN"/>
        </w:rPr>
      </w:pPr>
      <w:r>
        <w:rPr>
          <w:rFonts w:ascii="宋体" w:hAnsi="宋体" w:cs="宋体"/>
          <w:kern w:val="0"/>
          <w:sz w:val="24"/>
          <w:highlight w:val="none"/>
        </w:rPr>
        <w:t>支付方式：</w:t>
      </w:r>
      <w:r>
        <w:rPr>
          <w:rFonts w:hint="eastAsia" w:ascii="宋体" w:hAnsi="宋体" w:cs="宋体"/>
          <w:color w:val="auto"/>
          <w:kern w:val="0"/>
          <w:sz w:val="24"/>
          <w:highlight w:val="none"/>
          <w:lang w:val="en-US" w:eastAsia="zh-CN"/>
        </w:rPr>
        <w:t>按合同约定执行</w:t>
      </w:r>
      <w:r>
        <w:rPr>
          <w:rFonts w:hint="eastAsia" w:ascii="宋体" w:hAnsi="宋体" w:cs="宋体"/>
          <w:color w:val="auto"/>
          <w:kern w:val="0"/>
          <w:sz w:val="24"/>
          <w:highlight w:val="none"/>
          <w:lang w:eastAsia="zh-CN"/>
        </w:rPr>
        <w:t>。</w:t>
      </w:r>
    </w:p>
    <w:p>
      <w:pPr>
        <w:spacing w:line="360" w:lineRule="auto"/>
        <w:rPr>
          <w:rFonts w:hint="eastAsia" w:ascii="宋体" w:hAnsi="宋体" w:eastAsia="宋体" w:cs="宋体"/>
          <w:kern w:val="0"/>
          <w:sz w:val="24"/>
          <w:highlight w:val="none"/>
          <w:lang w:eastAsia="zh-CN"/>
        </w:rPr>
      </w:pPr>
      <w:r>
        <w:rPr>
          <w:rFonts w:ascii="宋体" w:hAnsi="宋体" w:cs="宋体"/>
          <w:kern w:val="0"/>
          <w:sz w:val="24"/>
          <w:highlight w:val="none"/>
        </w:rPr>
        <w:t>合同预留价款金额：</w:t>
      </w:r>
      <w:r>
        <w:rPr>
          <w:rFonts w:hint="eastAsia" w:ascii="宋体" w:hAnsi="宋体" w:cs="宋体"/>
          <w:kern w:val="0"/>
          <w:sz w:val="24"/>
          <w:highlight w:val="none"/>
          <w:lang w:val="en-US" w:eastAsia="zh-CN"/>
        </w:rPr>
        <w:t xml:space="preserve">      </w:t>
      </w:r>
      <w:r>
        <w:rPr>
          <w:rFonts w:ascii="宋体" w:hAnsi="宋体" w:cs="宋体"/>
          <w:kern w:val="0"/>
          <w:sz w:val="24"/>
          <w:highlight w:val="none"/>
        </w:rPr>
        <w:t>（大写）</w:t>
      </w:r>
    </w:p>
    <w:p>
      <w:pPr>
        <w:spacing w:line="360" w:lineRule="auto"/>
        <w:rPr>
          <w:rFonts w:ascii="宋体" w:hAnsi="宋体" w:cs="宋体"/>
          <w:kern w:val="0"/>
          <w:sz w:val="24"/>
          <w:highlight w:val="none"/>
        </w:rPr>
      </w:pPr>
      <w:r>
        <w:rPr>
          <w:rFonts w:ascii="宋体" w:hAnsi="宋体" w:cs="宋体"/>
          <w:kern w:val="0"/>
          <w:sz w:val="24"/>
          <w:highlight w:val="none"/>
        </w:rPr>
        <w:t xml:space="preserve">合同终止后根据绩效评价及合同履行中的过错或过失责任造成经济损失的在清算后支付。 </w:t>
      </w:r>
    </w:p>
    <w:p>
      <w:pPr>
        <w:spacing w:line="360" w:lineRule="auto"/>
        <w:rPr>
          <w:rFonts w:ascii="宋体" w:hAnsi="宋体"/>
          <w:b/>
          <w:sz w:val="24"/>
          <w:highlight w:val="none"/>
        </w:rPr>
      </w:pPr>
      <w:bookmarkStart w:id="106" w:name="_Toc23727_WPSOffice_Level2"/>
      <w:r>
        <w:rPr>
          <w:rFonts w:hint="eastAsia" w:ascii="宋体" w:hAnsi="宋体"/>
          <w:b/>
          <w:sz w:val="24"/>
          <w:highlight w:val="none"/>
        </w:rPr>
        <w:t>五、合同的变更、终止与转让</w:t>
      </w:r>
      <w:bookmarkEnd w:id="106"/>
    </w:p>
    <w:p>
      <w:pPr>
        <w:spacing w:line="360" w:lineRule="auto"/>
        <w:rPr>
          <w:rFonts w:ascii="宋体" w:hAnsi="宋体"/>
          <w:sz w:val="24"/>
          <w:highlight w:val="none"/>
        </w:rPr>
      </w:pPr>
      <w:r>
        <w:rPr>
          <w:rFonts w:hint="eastAsia" w:ascii="宋体" w:hAnsi="宋体"/>
          <w:sz w:val="24"/>
          <w:highlight w:val="none"/>
        </w:rPr>
        <w:t>1．除《中华人民共和国政府采购法》第50条规定的情形外，本合同一经签订，甲乙双方不得擅自变更、中止或终止；</w:t>
      </w:r>
    </w:p>
    <w:p>
      <w:pPr>
        <w:spacing w:line="360" w:lineRule="auto"/>
        <w:rPr>
          <w:rFonts w:ascii="宋体" w:hAnsi="宋体"/>
          <w:sz w:val="24"/>
          <w:highlight w:val="none"/>
        </w:rPr>
      </w:pPr>
      <w:r>
        <w:rPr>
          <w:rFonts w:hint="eastAsia" w:ascii="宋体" w:hAnsi="宋体"/>
          <w:sz w:val="24"/>
          <w:highlight w:val="none"/>
        </w:rPr>
        <w:t>2．乙方不得擅自转让其应履行的合同义务。</w:t>
      </w:r>
    </w:p>
    <w:p>
      <w:pPr>
        <w:spacing w:line="360" w:lineRule="auto"/>
        <w:rPr>
          <w:rFonts w:ascii="宋体" w:hAnsi="宋体"/>
          <w:b/>
          <w:sz w:val="24"/>
          <w:highlight w:val="none"/>
        </w:rPr>
      </w:pPr>
      <w:bookmarkStart w:id="107" w:name="_Toc12979_WPSOffice_Level2"/>
      <w:r>
        <w:rPr>
          <w:rFonts w:hint="eastAsia" w:ascii="宋体" w:hAnsi="宋体"/>
          <w:b/>
          <w:sz w:val="24"/>
          <w:highlight w:val="none"/>
        </w:rPr>
        <w:t>六、违约责任</w:t>
      </w:r>
      <w:bookmarkEnd w:id="107"/>
    </w:p>
    <w:p>
      <w:pPr>
        <w:spacing w:line="360" w:lineRule="auto"/>
        <w:rPr>
          <w:rFonts w:ascii="宋体" w:hAnsi="宋体"/>
          <w:sz w:val="24"/>
          <w:highlight w:val="none"/>
        </w:rPr>
      </w:pPr>
      <w:r>
        <w:rPr>
          <w:rFonts w:hint="eastAsia" w:ascii="宋体" w:hAnsi="宋体"/>
          <w:sz w:val="24"/>
          <w:highlight w:val="none"/>
        </w:rPr>
        <w:t>1．除不可抗力外，甲方无故终止合同、不按约定付款、行为视为违约；</w:t>
      </w:r>
    </w:p>
    <w:p>
      <w:pPr>
        <w:spacing w:line="360" w:lineRule="auto"/>
        <w:rPr>
          <w:rFonts w:hint="eastAsia" w:ascii="宋体" w:hAnsi="宋体"/>
          <w:sz w:val="24"/>
          <w:highlight w:val="none"/>
        </w:rPr>
      </w:pPr>
      <w:r>
        <w:rPr>
          <w:rFonts w:hint="eastAsia" w:ascii="宋体" w:hAnsi="宋体"/>
          <w:sz w:val="24"/>
          <w:highlight w:val="none"/>
        </w:rPr>
        <w:t>除不可抗力外，乙方未按约定完成目标任务、未达到约定标准的行为视为违约；</w:t>
      </w:r>
    </w:p>
    <w:p>
      <w:pPr>
        <w:spacing w:line="360" w:lineRule="auto"/>
        <w:rPr>
          <w:rFonts w:hint="eastAsia" w:ascii="宋体" w:hAnsi="宋体"/>
          <w:sz w:val="24"/>
          <w:highlight w:val="none"/>
        </w:rPr>
      </w:pPr>
      <w:r>
        <w:rPr>
          <w:rFonts w:hint="eastAsia" w:ascii="宋体" w:hAnsi="宋体"/>
          <w:sz w:val="24"/>
          <w:highlight w:val="none"/>
          <w:lang w:val="en-US" w:eastAsia="zh-CN"/>
        </w:rPr>
        <w:t>2</w:t>
      </w:r>
      <w:r>
        <w:rPr>
          <w:rFonts w:hint="eastAsia" w:ascii="宋体" w:hAnsi="宋体"/>
          <w:sz w:val="24"/>
          <w:highlight w:val="none"/>
        </w:rPr>
        <w:t>．乙方未按本合同和投标文件中规定的服务履行义务的，乙方应按本合同总金额的5%向甲方支付违约金；</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在合同履行期间，发包人要求终止或解除合同，设计人未开始设计工作的，不退还发包人已付的定金；已开始设计工作的，发包人应根据设计人的实际工作量计费支付设计费。</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发包人应按合同</w:t>
      </w:r>
      <w:r>
        <w:rPr>
          <w:rFonts w:hint="eastAsia" w:ascii="宋体" w:hAnsi="宋体" w:cs="宋体"/>
          <w:color w:val="auto"/>
          <w:sz w:val="24"/>
          <w:szCs w:val="24"/>
          <w:highlight w:val="none"/>
          <w:lang w:val="en-US" w:eastAsia="zh-CN"/>
        </w:rPr>
        <w:t>规定</w:t>
      </w:r>
      <w:r>
        <w:rPr>
          <w:rFonts w:hint="eastAsia" w:ascii="宋体" w:hAnsi="宋体" w:cs="宋体"/>
          <w:color w:val="auto"/>
          <w:sz w:val="24"/>
          <w:szCs w:val="24"/>
          <w:highlight w:val="none"/>
        </w:rPr>
        <w:t>向设计人支付设计费，每逾期支付一天，应承担支付金额千分之二的逾期违约金。逾期超过30天以上时，设计人有权暂停履行下阶段工作，并书面通知发包人。</w:t>
      </w:r>
    </w:p>
    <w:p>
      <w:pPr>
        <w:pStyle w:val="7"/>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w:t>
      </w:r>
      <w:r>
        <w:rPr>
          <w:rFonts w:hint="eastAsia" w:ascii="宋体" w:hAnsi="宋体" w:eastAsia="宋体" w:cs="宋体"/>
          <w:color w:val="auto"/>
          <w:kern w:val="2"/>
          <w:sz w:val="24"/>
          <w:szCs w:val="24"/>
          <w:highlight w:val="none"/>
          <w:lang w:val="en-US" w:eastAsia="zh-CN" w:bidi="ar-SA"/>
        </w:rPr>
        <w:t>设计人设计文件不合格的损失赔偿金的上限：由于设计人设计错误造成工程质量事故损失，设计人除负责采取补救措施外，应免收受损失部分的设计费，并根据损失程度向发包人支付赔偿金，赔偿金双方协商确定，最高赔偿金额不超过本合同约定设计费的100%。</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由于设计人自身原因，</w:t>
      </w:r>
      <w:r>
        <w:rPr>
          <w:rFonts w:hint="eastAsia" w:ascii="宋体" w:hAnsi="宋体" w:eastAsia="宋体" w:cs="宋体"/>
          <w:color w:val="auto"/>
          <w:kern w:val="2"/>
          <w:sz w:val="24"/>
          <w:szCs w:val="24"/>
          <w:highlight w:val="none"/>
          <w:lang w:val="en-US" w:eastAsia="zh-CN" w:bidi="ar-SA"/>
        </w:rPr>
        <w:t>延误了本合同规定的设计资料及设计文件的交付时间</w:t>
      </w:r>
      <w:r>
        <w:rPr>
          <w:rFonts w:hint="eastAsia" w:ascii="宋体" w:hAnsi="宋体" w:cs="宋体"/>
          <w:color w:val="auto"/>
          <w:sz w:val="24"/>
          <w:szCs w:val="24"/>
          <w:highlight w:val="none"/>
        </w:rPr>
        <w:t>，每延误一天，</w:t>
      </w:r>
      <w:r>
        <w:rPr>
          <w:rFonts w:hint="eastAsia" w:ascii="宋体" w:hAnsi="宋体" w:eastAsia="宋体" w:cs="宋体"/>
          <w:color w:val="auto"/>
          <w:kern w:val="2"/>
          <w:sz w:val="24"/>
          <w:szCs w:val="24"/>
          <w:highlight w:val="none"/>
          <w:lang w:val="en-US" w:eastAsia="zh-CN" w:bidi="ar-SA"/>
        </w:rPr>
        <w:t>应减收该项目签约合同价2%的逾期违约金</w:t>
      </w:r>
      <w:r>
        <w:rPr>
          <w:rFonts w:hint="eastAsia" w:ascii="宋体" w:hAnsi="宋体" w:cs="宋体"/>
          <w:color w:val="auto"/>
          <w:sz w:val="24"/>
          <w:szCs w:val="24"/>
          <w:highlight w:val="none"/>
        </w:rPr>
        <w:t>。</w:t>
      </w:r>
      <w:r>
        <w:rPr>
          <w:rFonts w:hint="eastAsia" w:ascii="宋体" w:hAnsi="宋体" w:eastAsia="宋体" w:cs="宋体"/>
          <w:color w:val="auto"/>
          <w:kern w:val="2"/>
          <w:sz w:val="24"/>
          <w:szCs w:val="24"/>
          <w:highlight w:val="none"/>
          <w:lang w:val="en-US" w:eastAsia="zh-CN" w:bidi="ar-SA"/>
        </w:rPr>
        <w:t xml:space="preserve">设计人逾期交付工程设计文件的违约金及赔偿金总费用的上限：不超过本合同约定的设计费总额的100% 。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合同生效后，除因不可抗力因素致使合同无法履行外，乙方不能或者无力履行合同，除甲方不支付任何费用外，并报请上级主管部门予以通报，同时，乙方应对造成的损失进行赔偿，赔偿金额由双方协商确定。因不可抗力致使本合同部分或全部不能履行时，乙方应立即书面通知甲方，可暂停或解除本合同。解除本合同的协议必须采取书面形式，协议未达成之前，本合同仍然有效。</w:t>
      </w:r>
    </w:p>
    <w:p>
      <w:pPr>
        <w:pStyle w:val="7"/>
        <w:keepNext w:val="0"/>
        <w:keepLines w:val="0"/>
        <w:pageBreakBefore w:val="0"/>
        <w:widowControl w:val="0"/>
        <w:kinsoku/>
        <w:wordWrap/>
        <w:overflowPunct/>
        <w:topLinePunct w:val="0"/>
        <w:autoSpaceDE/>
        <w:autoSpaceDN/>
        <w:bidi w:val="0"/>
        <w:adjustRightInd/>
        <w:snapToGrid/>
        <w:spacing w:line="360" w:lineRule="auto"/>
        <w:textAlignment w:val="auto"/>
        <w:rPr>
          <w:highlight w:val="none"/>
        </w:rPr>
      </w:pPr>
      <w:r>
        <w:rPr>
          <w:rFonts w:hint="eastAsia" w:ascii="宋体" w:hAnsi="宋体" w:eastAsia="宋体" w:cs="宋体"/>
          <w:color w:val="auto"/>
          <w:kern w:val="2"/>
          <w:sz w:val="24"/>
          <w:szCs w:val="24"/>
          <w:highlight w:val="none"/>
          <w:lang w:val="en-US" w:eastAsia="zh-CN" w:bidi="ar-SA"/>
        </w:rPr>
        <w:t>8.设计人支付发包人的违约金： 因设计人自身原因要求终止或解除合同的，设计人应按发包人已支付的设计费金额全额返还给发包人。</w:t>
      </w:r>
      <w:r>
        <w:rPr>
          <w:rFonts w:hint="eastAsia" w:ascii="宋体" w:hAnsi="宋体" w:eastAsia="宋体" w:cs="宋体"/>
          <w:color w:val="auto"/>
          <w:kern w:val="2"/>
          <w:sz w:val="28"/>
          <w:szCs w:val="28"/>
          <w:highlight w:val="none"/>
          <w:lang w:val="en-US" w:eastAsia="zh-CN" w:bidi="ar-SA"/>
        </w:rPr>
        <w:t xml:space="preserve">  </w:t>
      </w:r>
      <w:r>
        <w:rPr>
          <w:rFonts w:hint="eastAsia" w:ascii="宋体" w:hAnsi="宋体" w:eastAsia="宋体" w:cs="宋体"/>
          <w:color w:val="FF0000"/>
          <w:kern w:val="2"/>
          <w:sz w:val="28"/>
          <w:szCs w:val="28"/>
          <w:highlight w:val="none"/>
          <w:lang w:val="en-US" w:eastAsia="zh-CN" w:bidi="ar-SA"/>
        </w:rPr>
        <w:t xml:space="preserve"> </w:t>
      </w:r>
    </w:p>
    <w:p>
      <w:pPr>
        <w:spacing w:line="360" w:lineRule="auto"/>
        <w:rPr>
          <w:rFonts w:ascii="宋体" w:hAnsi="宋体"/>
          <w:b/>
          <w:sz w:val="24"/>
          <w:highlight w:val="none"/>
        </w:rPr>
      </w:pPr>
      <w:bookmarkStart w:id="108" w:name="_Toc22018_WPSOffice_Level2"/>
      <w:r>
        <w:rPr>
          <w:rFonts w:hint="eastAsia" w:ascii="宋体" w:hAnsi="宋体"/>
          <w:b/>
          <w:sz w:val="24"/>
          <w:highlight w:val="none"/>
        </w:rPr>
        <w:t>七、不可抗力</w:t>
      </w:r>
      <w:bookmarkEnd w:id="108"/>
    </w:p>
    <w:p>
      <w:pPr>
        <w:spacing w:line="360" w:lineRule="auto"/>
        <w:rPr>
          <w:rFonts w:ascii="宋体" w:hAnsi="宋体"/>
          <w:sz w:val="24"/>
          <w:highlight w:val="none"/>
        </w:rPr>
      </w:pPr>
      <w:r>
        <w:rPr>
          <w:rFonts w:hint="eastAsia" w:ascii="宋体" w:hAnsi="宋体"/>
          <w:sz w:val="24"/>
          <w:highlight w:val="none"/>
        </w:rPr>
        <w:t>1．不可抗力使合同的某些内容有变更必要的，双方应通过协商在</w:t>
      </w:r>
      <w:r>
        <w:rPr>
          <w:rFonts w:hint="eastAsia" w:ascii="宋体" w:hAnsi="宋体"/>
          <w:sz w:val="24"/>
          <w:highlight w:val="none"/>
          <w:u w:val="single"/>
        </w:rPr>
        <w:t xml:space="preserve"> </w:t>
      </w:r>
      <w:r>
        <w:rPr>
          <w:rFonts w:ascii="宋体" w:hAnsi="宋体"/>
          <w:sz w:val="24"/>
          <w:highlight w:val="none"/>
          <w:u w:val="single"/>
        </w:rPr>
        <w:t>3</w:t>
      </w:r>
      <w:r>
        <w:rPr>
          <w:rFonts w:hint="eastAsia" w:ascii="宋体" w:hAnsi="宋体"/>
          <w:sz w:val="24"/>
          <w:highlight w:val="none"/>
          <w:u w:val="single"/>
        </w:rPr>
        <w:t xml:space="preserve"> </w:t>
      </w:r>
      <w:r>
        <w:rPr>
          <w:rFonts w:hint="eastAsia" w:ascii="宋体" w:hAnsi="宋体"/>
          <w:sz w:val="24"/>
          <w:highlight w:val="none"/>
        </w:rPr>
        <w:t>天内达成进一步履行合同的协议，因不可抗力致使合同不能履行的，合同终止；</w:t>
      </w:r>
    </w:p>
    <w:p>
      <w:pPr>
        <w:spacing w:line="360" w:lineRule="auto"/>
        <w:rPr>
          <w:rFonts w:ascii="宋体" w:hAnsi="宋体"/>
          <w:sz w:val="24"/>
          <w:highlight w:val="none"/>
        </w:rPr>
      </w:pPr>
      <w:r>
        <w:rPr>
          <w:rFonts w:hint="eastAsia" w:ascii="宋体" w:hAnsi="宋体"/>
          <w:sz w:val="24"/>
          <w:highlight w:val="none"/>
        </w:rPr>
        <w:t>2．除法律、法规规定的不可抗力情形外，双方约定出现</w:t>
      </w:r>
      <w:r>
        <w:rPr>
          <w:rFonts w:hint="eastAsia" w:ascii="宋体" w:hAnsi="宋体"/>
          <w:sz w:val="24"/>
          <w:highlight w:val="none"/>
          <w:u w:val="single"/>
        </w:rPr>
        <w:t xml:space="preserve"> / </w:t>
      </w:r>
      <w:r>
        <w:rPr>
          <w:rFonts w:hint="eastAsia" w:ascii="宋体" w:hAnsi="宋体"/>
          <w:sz w:val="24"/>
          <w:highlight w:val="none"/>
        </w:rPr>
        <w:t>情况亦视为不可抗力。</w:t>
      </w:r>
    </w:p>
    <w:p>
      <w:pPr>
        <w:spacing w:line="360" w:lineRule="auto"/>
        <w:rPr>
          <w:rFonts w:hint="eastAsia" w:ascii="宋体" w:hAnsi="宋体"/>
          <w:b/>
          <w:sz w:val="24"/>
          <w:highlight w:val="none"/>
        </w:rPr>
      </w:pPr>
      <w:bookmarkStart w:id="109" w:name="_Toc238_WPSOffice_Level2"/>
      <w:r>
        <w:rPr>
          <w:rFonts w:hint="eastAsia" w:ascii="宋体" w:hAnsi="宋体"/>
          <w:b/>
          <w:sz w:val="24"/>
          <w:highlight w:val="none"/>
        </w:rPr>
        <w:t>八、知识产权：</w:t>
      </w:r>
      <w:bookmarkEnd w:id="109"/>
    </w:p>
    <w:p>
      <w:pPr>
        <w:spacing w:line="360" w:lineRule="auto"/>
        <w:rPr>
          <w:rFonts w:hint="eastAsia" w:ascii="宋体" w:hAnsi="宋体"/>
          <w:bCs/>
          <w:sz w:val="24"/>
          <w:highlight w:val="none"/>
        </w:rPr>
      </w:pPr>
      <w:r>
        <w:rPr>
          <w:rFonts w:hint="eastAsia" w:ascii="宋体" w:hAnsi="宋体"/>
          <w:bCs/>
          <w:sz w:val="24"/>
          <w:highlight w:val="none"/>
        </w:rPr>
        <w:t>1.乙方保证在履行本合同中不侵犯任何第三人的知识产权，如侵权，由乙方承担全部法律责任。</w:t>
      </w:r>
    </w:p>
    <w:p>
      <w:pPr>
        <w:spacing w:line="360" w:lineRule="auto"/>
        <w:rPr>
          <w:rFonts w:ascii="宋体" w:hAnsi="宋体"/>
          <w:b/>
          <w:sz w:val="24"/>
          <w:highlight w:val="none"/>
        </w:rPr>
      </w:pPr>
      <w:r>
        <w:rPr>
          <w:rFonts w:hint="eastAsia" w:ascii="宋体" w:hAnsi="宋体"/>
          <w:bCs/>
          <w:sz w:val="24"/>
          <w:highlight w:val="none"/>
        </w:rPr>
        <w:t>2.乙方完成的规划编制方案的知识产权归甲方所有，未经甲方书面许可，乙方不得用于除履行本合同之外的其他用途。</w:t>
      </w:r>
    </w:p>
    <w:p>
      <w:pPr>
        <w:spacing w:line="360" w:lineRule="auto"/>
        <w:rPr>
          <w:rFonts w:hint="eastAsia" w:ascii="宋体" w:hAnsi="宋体"/>
          <w:b/>
          <w:sz w:val="24"/>
          <w:highlight w:val="none"/>
        </w:rPr>
      </w:pPr>
      <w:bookmarkStart w:id="110" w:name="_Toc29387_WPSOffice_Level2"/>
      <w:r>
        <w:rPr>
          <w:rFonts w:hint="eastAsia" w:ascii="宋体" w:hAnsi="宋体"/>
          <w:b/>
          <w:sz w:val="24"/>
          <w:highlight w:val="none"/>
        </w:rPr>
        <w:t>九、其他约定：</w:t>
      </w:r>
      <w:bookmarkEnd w:id="110"/>
    </w:p>
    <w:p>
      <w:pPr>
        <w:spacing w:line="360" w:lineRule="auto"/>
        <w:rPr>
          <w:rFonts w:hint="eastAsia" w:ascii="宋体" w:hAnsi="宋体" w:cs="宋体"/>
          <w:sz w:val="24"/>
          <w:highlight w:val="none"/>
        </w:rPr>
      </w:pPr>
      <w:r>
        <w:rPr>
          <w:rFonts w:hint="eastAsia" w:ascii="宋体" w:hAnsi="宋体" w:cs="宋体"/>
          <w:sz w:val="24"/>
          <w:highlight w:val="none"/>
        </w:rPr>
        <w:t>1、乙方应当对本协议的内容、因履行本协议或在本协议期间获得的或收到的甲方的商务、财务、技术、产品的信息、用户资料或其他标明保密的文件或信息的内容(简称“保密资料”)保守秘密，未经信息披露方书面事先同意，不得向本协议以外的任何第三方披露。乙方可仅为本协议目的向其确有知悉必要的雇员披露对方提供的保密资料，但同时须指示其雇员遵守本条规定的保密及不披露义务。乙方应仅为本协议目的而复制和使用保密资料。</w:t>
      </w:r>
    </w:p>
    <w:p>
      <w:pPr>
        <w:spacing w:line="360" w:lineRule="auto"/>
        <w:rPr>
          <w:rFonts w:ascii="宋体" w:hAnsi="宋体"/>
          <w:b/>
          <w:sz w:val="24"/>
          <w:highlight w:val="none"/>
        </w:rPr>
      </w:pPr>
      <w:r>
        <w:rPr>
          <w:rFonts w:hint="eastAsia" w:ascii="宋体" w:hAnsi="宋体" w:cs="宋体"/>
          <w:sz w:val="24"/>
          <w:highlight w:val="none"/>
        </w:rPr>
        <w:t xml:space="preserve"> 2、除非得到甲方</w:t>
      </w:r>
      <w:bookmarkStart w:id="288" w:name="_GoBack"/>
      <w:bookmarkEnd w:id="288"/>
      <w:r>
        <w:rPr>
          <w:rFonts w:hint="eastAsia" w:ascii="宋体" w:hAnsi="宋体" w:cs="宋体"/>
          <w:sz w:val="24"/>
          <w:highlight w:val="none"/>
        </w:rPr>
        <w:t>的书面许可，乙方不得将本合同中的内容及在本合同执行过程中获得的甲方的信息向任何第三方泄露。</w:t>
      </w:r>
      <w:r>
        <w:rPr>
          <w:rFonts w:hint="eastAsia" w:ascii="宋体" w:hAnsi="宋体" w:cs="宋体"/>
          <w:sz w:val="24"/>
          <w:highlight w:val="none"/>
        </w:rPr>
        <w:cr/>
      </w:r>
      <w:r>
        <w:rPr>
          <w:rFonts w:hint="eastAsia" w:ascii="宋体" w:hAnsi="宋体" w:cs="宋体"/>
          <w:sz w:val="24"/>
          <w:highlight w:val="none"/>
        </w:rPr>
        <w:t>3、本保密义务应在本协议期满、解除或终止后仍然有效。</w:t>
      </w:r>
    </w:p>
    <w:p>
      <w:pPr>
        <w:spacing w:line="360" w:lineRule="auto"/>
        <w:rPr>
          <w:rFonts w:ascii="宋体" w:hAnsi="宋体"/>
          <w:b/>
          <w:sz w:val="24"/>
          <w:highlight w:val="none"/>
        </w:rPr>
      </w:pPr>
      <w:bookmarkStart w:id="111" w:name="_Toc29125_WPSOffice_Level2"/>
      <w:r>
        <w:rPr>
          <w:rFonts w:hint="eastAsia" w:ascii="宋体" w:hAnsi="宋体"/>
          <w:b/>
          <w:sz w:val="24"/>
          <w:highlight w:val="none"/>
        </w:rPr>
        <w:t>十、合同争议解决</w:t>
      </w:r>
      <w:bookmarkEnd w:id="111"/>
    </w:p>
    <w:p>
      <w:pPr>
        <w:spacing w:line="360" w:lineRule="auto"/>
        <w:rPr>
          <w:rFonts w:ascii="宋体" w:hAnsi="宋体"/>
          <w:sz w:val="24"/>
          <w:highlight w:val="none"/>
        </w:rPr>
      </w:pPr>
      <w:r>
        <w:rPr>
          <w:rFonts w:hint="eastAsia" w:ascii="宋体" w:hAnsi="宋体"/>
          <w:sz w:val="24"/>
          <w:highlight w:val="none"/>
        </w:rPr>
        <w:t>1．因履行本合同引起的或与本合同有关的争议，甲乙双方应首先通过友好协商解决，如果协商不能解决，可向甲方所在地仲裁委员会申请仲裁或向甲方所在地人民法院提起诉讼；</w:t>
      </w:r>
    </w:p>
    <w:p>
      <w:pPr>
        <w:spacing w:line="360" w:lineRule="auto"/>
        <w:rPr>
          <w:rFonts w:ascii="宋体" w:hAnsi="宋体"/>
          <w:sz w:val="24"/>
          <w:highlight w:val="none"/>
        </w:rPr>
      </w:pPr>
      <w:r>
        <w:rPr>
          <w:rFonts w:hint="eastAsia" w:ascii="宋体" w:hAnsi="宋体"/>
          <w:sz w:val="24"/>
          <w:highlight w:val="none"/>
        </w:rPr>
        <w:t>2．仲裁期间，双方无争议的合同部分继续履行。</w:t>
      </w:r>
    </w:p>
    <w:p>
      <w:pPr>
        <w:spacing w:line="360" w:lineRule="auto"/>
        <w:rPr>
          <w:rFonts w:ascii="宋体" w:hAnsi="宋体"/>
          <w:b/>
          <w:sz w:val="24"/>
          <w:highlight w:val="none"/>
        </w:rPr>
      </w:pPr>
      <w:bookmarkStart w:id="112" w:name="_Toc12761_WPSOffice_Level2"/>
      <w:r>
        <w:rPr>
          <w:rFonts w:hint="eastAsia" w:ascii="宋体" w:hAnsi="宋体"/>
          <w:b/>
          <w:sz w:val="24"/>
          <w:highlight w:val="none"/>
        </w:rPr>
        <w:t>十一、合同生效及其它：</w:t>
      </w:r>
      <w:bookmarkEnd w:id="112"/>
    </w:p>
    <w:p>
      <w:pPr>
        <w:spacing w:line="360" w:lineRule="auto"/>
        <w:rPr>
          <w:rFonts w:ascii="宋体" w:hAnsi="宋体"/>
          <w:sz w:val="24"/>
          <w:highlight w:val="none"/>
        </w:rPr>
      </w:pPr>
      <w:r>
        <w:rPr>
          <w:rFonts w:hint="eastAsia" w:ascii="宋体" w:hAnsi="宋体"/>
          <w:sz w:val="24"/>
          <w:highlight w:val="none"/>
        </w:rPr>
        <w:t>1．本合同一式八份，经双方法定代表人或委托代理人签字，并加盖公章生效；</w:t>
      </w:r>
    </w:p>
    <w:p>
      <w:pPr>
        <w:spacing w:line="360" w:lineRule="auto"/>
        <w:rPr>
          <w:rFonts w:ascii="宋体" w:hAnsi="宋体"/>
          <w:sz w:val="24"/>
          <w:highlight w:val="none"/>
        </w:rPr>
      </w:pPr>
      <w:r>
        <w:rPr>
          <w:rFonts w:hint="eastAsia" w:ascii="宋体" w:hAnsi="宋体"/>
          <w:sz w:val="24"/>
          <w:highlight w:val="none"/>
        </w:rPr>
        <w:t>2．本合同未尽事宜，按《合同法》有关规定处理；</w:t>
      </w:r>
    </w:p>
    <w:p>
      <w:pPr>
        <w:spacing w:line="360" w:lineRule="auto"/>
        <w:rPr>
          <w:rFonts w:hint="eastAsia" w:ascii="宋体" w:hAnsi="宋体"/>
          <w:sz w:val="24"/>
          <w:highlight w:val="none"/>
        </w:rPr>
      </w:pPr>
      <w:r>
        <w:rPr>
          <w:rFonts w:hint="eastAsia" w:ascii="宋体" w:hAnsi="宋体"/>
          <w:sz w:val="24"/>
          <w:highlight w:val="none"/>
        </w:rPr>
        <w:t>3．本合同的组成包含《合同通用条款》，可自行在青海政府采购网下载《合同通用条款》通用条款与专用条款不一致的，适用专用条款。</w:t>
      </w:r>
    </w:p>
    <w:p>
      <w:pPr>
        <w:spacing w:line="360" w:lineRule="auto"/>
        <w:rPr>
          <w:rFonts w:ascii="宋体" w:hAnsi="宋体"/>
          <w:sz w:val="24"/>
          <w:highlight w:val="none"/>
        </w:rPr>
      </w:pPr>
      <w:r>
        <w:rPr>
          <w:rFonts w:hint="eastAsia" w:ascii="宋体" w:hAnsi="宋体"/>
          <w:sz w:val="24"/>
          <w:highlight w:val="none"/>
        </w:rPr>
        <w:t xml:space="preserve">甲方（盖章）：   </w:t>
      </w:r>
      <w:r>
        <w:rPr>
          <w:rFonts w:ascii="宋体" w:hAnsi="宋体"/>
          <w:sz w:val="24"/>
          <w:highlight w:val="none"/>
        </w:rPr>
        <w:t xml:space="preserve">                    </w:t>
      </w:r>
      <w:r>
        <w:rPr>
          <w:rFonts w:hint="eastAsia" w:ascii="宋体" w:hAnsi="宋体"/>
          <w:sz w:val="24"/>
          <w:highlight w:val="none"/>
        </w:rPr>
        <w:t>乙方（盖章）：</w:t>
      </w:r>
    </w:p>
    <w:p>
      <w:pPr>
        <w:spacing w:line="360" w:lineRule="auto"/>
        <w:rPr>
          <w:rFonts w:hint="eastAsia" w:ascii="宋体" w:hAnsi="宋体"/>
          <w:sz w:val="24"/>
          <w:highlight w:val="none"/>
        </w:rPr>
      </w:pPr>
      <w:r>
        <w:rPr>
          <w:rFonts w:hint="eastAsia" w:ascii="宋体" w:hAnsi="宋体"/>
          <w:sz w:val="24"/>
          <w:highlight w:val="none"/>
        </w:rPr>
        <w:t xml:space="preserve">法定代表人（签字）：    </w:t>
      </w:r>
      <w:r>
        <w:rPr>
          <w:rFonts w:ascii="宋体" w:hAnsi="宋体"/>
          <w:sz w:val="24"/>
          <w:highlight w:val="none"/>
        </w:rPr>
        <w:t xml:space="preserve">          </w:t>
      </w:r>
      <w:r>
        <w:rPr>
          <w:rFonts w:hint="eastAsia" w:ascii="宋体" w:hAnsi="宋体"/>
          <w:sz w:val="24"/>
          <w:highlight w:val="none"/>
        </w:rPr>
        <w:t xml:space="preserve">  </w:t>
      </w:r>
      <w:r>
        <w:rPr>
          <w:rFonts w:ascii="宋体" w:hAnsi="宋体"/>
          <w:sz w:val="24"/>
          <w:highlight w:val="none"/>
        </w:rPr>
        <w:t xml:space="preserve"> </w:t>
      </w:r>
      <w:r>
        <w:rPr>
          <w:rFonts w:hint="eastAsia" w:ascii="宋体" w:hAnsi="宋体"/>
          <w:sz w:val="24"/>
          <w:highlight w:val="none"/>
        </w:rPr>
        <w:t>法定代表人（签字）：</w:t>
      </w:r>
    </w:p>
    <w:p>
      <w:pPr>
        <w:spacing w:line="360" w:lineRule="auto"/>
        <w:rPr>
          <w:rFonts w:ascii="宋体" w:hAnsi="宋体"/>
          <w:sz w:val="24"/>
          <w:highlight w:val="none"/>
        </w:rPr>
      </w:pPr>
      <w:r>
        <w:rPr>
          <w:rFonts w:hint="eastAsia" w:ascii="宋体" w:hAnsi="宋体"/>
          <w:sz w:val="24"/>
          <w:highlight w:val="none"/>
        </w:rPr>
        <w:t>委托代理人:                         委托代理人：</w:t>
      </w:r>
    </w:p>
    <w:p>
      <w:pPr>
        <w:spacing w:line="360" w:lineRule="auto"/>
        <w:rPr>
          <w:rFonts w:ascii="宋体" w:hAnsi="宋体"/>
          <w:sz w:val="24"/>
          <w:highlight w:val="none"/>
        </w:rPr>
      </w:pPr>
      <w:r>
        <w:rPr>
          <w:rFonts w:hint="eastAsia" w:ascii="宋体" w:hAnsi="宋体"/>
          <w:sz w:val="24"/>
          <w:highlight w:val="none"/>
        </w:rPr>
        <w:t xml:space="preserve">联系电话：   </w:t>
      </w:r>
      <w:r>
        <w:rPr>
          <w:rFonts w:ascii="宋体" w:hAnsi="宋体"/>
          <w:sz w:val="24"/>
          <w:highlight w:val="none"/>
        </w:rPr>
        <w:t xml:space="preserve">                       </w:t>
      </w:r>
      <w:r>
        <w:rPr>
          <w:rFonts w:hint="eastAsia" w:ascii="宋体" w:hAnsi="宋体"/>
          <w:sz w:val="24"/>
          <w:highlight w:val="none"/>
        </w:rPr>
        <w:t>开户银行：</w:t>
      </w:r>
    </w:p>
    <w:p>
      <w:pPr>
        <w:spacing w:line="360" w:lineRule="auto"/>
        <w:ind w:firstLine="4320" w:firstLineChars="1800"/>
        <w:rPr>
          <w:rFonts w:ascii="宋体" w:hAnsi="宋体"/>
          <w:sz w:val="24"/>
          <w:highlight w:val="none"/>
        </w:rPr>
      </w:pPr>
      <w:r>
        <w:rPr>
          <w:rFonts w:hint="eastAsia" w:ascii="宋体" w:hAnsi="宋体"/>
          <w:sz w:val="24"/>
          <w:highlight w:val="none"/>
        </w:rPr>
        <w:t>账号：</w:t>
      </w:r>
    </w:p>
    <w:p>
      <w:pPr>
        <w:spacing w:line="360" w:lineRule="auto"/>
        <w:ind w:firstLine="4320" w:firstLineChars="1800"/>
        <w:rPr>
          <w:rFonts w:ascii="宋体" w:hAnsi="宋体"/>
          <w:sz w:val="24"/>
          <w:highlight w:val="none"/>
        </w:rPr>
      </w:pPr>
      <w:r>
        <w:rPr>
          <w:rFonts w:hint="eastAsia" w:ascii="宋体" w:hAnsi="宋体"/>
          <w:sz w:val="24"/>
          <w:highlight w:val="none"/>
        </w:rPr>
        <w:t>联系电话：</w:t>
      </w:r>
    </w:p>
    <w:p>
      <w:pPr>
        <w:spacing w:line="360" w:lineRule="auto"/>
        <w:ind w:firstLine="1680" w:firstLineChars="700"/>
        <w:jc w:val="right"/>
        <w:rPr>
          <w:rFonts w:ascii="宋体" w:hAnsi="宋体" w:cs="宋体"/>
          <w:kern w:val="0"/>
          <w:sz w:val="24"/>
          <w:highlight w:val="none"/>
        </w:rPr>
      </w:pPr>
      <w:r>
        <w:rPr>
          <w:rFonts w:hint="eastAsia" w:ascii="宋体" w:hAnsi="宋体"/>
          <w:sz w:val="24"/>
          <w:highlight w:val="none"/>
        </w:rPr>
        <w:t xml:space="preserve">签约时间：  </w:t>
      </w:r>
      <w:r>
        <w:rPr>
          <w:rFonts w:ascii="宋体" w:hAnsi="宋体"/>
          <w:sz w:val="24"/>
          <w:highlight w:val="none"/>
        </w:rPr>
        <w:t xml:space="preserve"> </w:t>
      </w:r>
      <w:r>
        <w:rPr>
          <w:rFonts w:hint="eastAsia" w:ascii="宋体" w:hAnsi="宋体"/>
          <w:sz w:val="24"/>
          <w:highlight w:val="none"/>
        </w:rPr>
        <w:t xml:space="preserve">  年  月  日</w:t>
      </w:r>
    </w:p>
    <w:p>
      <w:pPr>
        <w:spacing w:line="360" w:lineRule="auto"/>
        <w:rPr>
          <w:rFonts w:hint="eastAsia" w:ascii="宋体" w:hAnsi="宋体" w:eastAsia="宋体"/>
          <w:sz w:val="24"/>
          <w:highlight w:val="none"/>
          <w:lang w:val="en-US" w:eastAsia="zh-CN"/>
        </w:rPr>
      </w:pPr>
      <w:r>
        <w:rPr>
          <w:rFonts w:hint="eastAsia" w:ascii="宋体" w:hAnsi="宋体"/>
          <w:sz w:val="24"/>
          <w:highlight w:val="none"/>
        </w:rPr>
        <w:t>采购代理机构：</w:t>
      </w:r>
    </w:p>
    <w:p>
      <w:pPr>
        <w:spacing w:line="360" w:lineRule="auto"/>
        <w:rPr>
          <w:rFonts w:ascii="宋体" w:hAnsi="宋体"/>
          <w:sz w:val="24"/>
          <w:highlight w:val="none"/>
        </w:rPr>
      </w:pPr>
      <w:r>
        <w:rPr>
          <w:rFonts w:hint="eastAsia" w:ascii="宋体" w:hAnsi="宋体"/>
          <w:sz w:val="24"/>
          <w:highlight w:val="none"/>
        </w:rPr>
        <w:t>负责人或经办人：</w:t>
      </w:r>
    </w:p>
    <w:p>
      <w:pPr>
        <w:spacing w:line="360" w:lineRule="auto"/>
        <w:jc w:val="center"/>
        <w:rPr>
          <w:rFonts w:ascii="宋体" w:hAnsi="宋体"/>
          <w:sz w:val="24"/>
          <w:highlight w:val="none"/>
        </w:rPr>
      </w:pPr>
      <w:r>
        <w:rPr>
          <w:rFonts w:hint="eastAsia" w:ascii="宋体" w:hAnsi="宋体"/>
          <w:sz w:val="24"/>
          <w:highlight w:val="none"/>
        </w:rPr>
        <w:t>合同备案日期：  年  月  日</w:t>
      </w:r>
      <w:r>
        <w:rPr>
          <w:rFonts w:ascii="宋体" w:hAnsi="宋体"/>
          <w:szCs w:val="28"/>
          <w:highlight w:val="none"/>
        </w:rPr>
        <w:br w:type="page"/>
      </w:r>
      <w:r>
        <w:rPr>
          <w:rFonts w:hint="eastAsia" w:ascii="宋体" w:hAnsi="宋体"/>
          <w:b/>
          <w:sz w:val="28"/>
          <w:szCs w:val="28"/>
          <w:highlight w:val="none"/>
        </w:rPr>
        <w:t>合同通用条款</w:t>
      </w:r>
    </w:p>
    <w:p>
      <w:pPr>
        <w:autoSpaceDE w:val="0"/>
        <w:autoSpaceDN w:val="0"/>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根据《中华人民共和国合同法》、《中华人民共和国政府采购法》的规定，合同双方经协商达成一致，自愿订立本合同，遵循公平原则明确双方的权利、义务，确保双方诚实守信地履行合同。</w:t>
      </w:r>
    </w:p>
    <w:p>
      <w:pPr>
        <w:numPr>
          <w:ilvl w:val="0"/>
          <w:numId w:val="31"/>
        </w:numPr>
        <w:autoSpaceDE w:val="0"/>
        <w:autoSpaceDN w:val="0"/>
        <w:spacing w:line="360" w:lineRule="auto"/>
        <w:rPr>
          <w:rFonts w:ascii="宋体" w:hAnsi="宋体" w:cs="宋体"/>
          <w:b/>
          <w:bCs/>
          <w:kern w:val="0"/>
          <w:sz w:val="24"/>
          <w:highlight w:val="none"/>
        </w:rPr>
      </w:pPr>
      <w:bookmarkStart w:id="113" w:name="_Toc1535_WPSOffice_Level2"/>
      <w:r>
        <w:rPr>
          <w:rFonts w:hint="eastAsia" w:ascii="宋体" w:hAnsi="宋体" w:cs="宋体"/>
          <w:b/>
          <w:bCs/>
          <w:kern w:val="0"/>
          <w:sz w:val="24"/>
          <w:highlight w:val="none"/>
          <w:lang w:val="zh-CN"/>
        </w:rPr>
        <w:t>定义</w:t>
      </w:r>
      <w:bookmarkEnd w:id="113"/>
    </w:p>
    <w:p>
      <w:pPr>
        <w:autoSpaceDE w:val="0"/>
        <w:autoSpaceDN w:val="0"/>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本合同中的下列术语应解释为：</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“合同”指甲乙双方签署的、载明的甲乙双方权利义务的协议，包括所有的附件、附录和上述文件所提到的构成合同的所有文件。</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“合同金额”指根据合同规定，乙方在正确地完全履行合同义务后甲方应付给乙方的价款。</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“合同条款”指本合同条款。</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“货物”指乙方根据合同约定须向甲方提供的一切产品、设备、机械、仪表、备件等，包括辅助工具、使用手册等相关资料。</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“服务”指根据本合同规定乙方承担与供货有关的辅助服务，如运输、保险及安装、调试、提供技术援助、培训和合同中规定乙方应承担的其它义务。</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“甲方”指购买货物和服务的单位。</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“乙方”指提供本合同条款下货物和服务的公司或其他实体。</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“现场”指合同规定货物将要运至和安装的地点。</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“验收”指合同双方依据强制性的国家技术质量规范和合同约定，确认合同条款下的货物符合合同规定的活动。</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原厂商：产品制造商或其在中国境内设立的办事或技术服务机构。除另有说明外，本合同文件所述的制造商、产品制造商、制造厂家、产品制造厂家均为原厂商。</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原产地：指产品的生产地，或提供服务的来源地。</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“工作日”指国家法定工作日，“天”指日历天数。</w:t>
      </w:r>
    </w:p>
    <w:p>
      <w:pPr>
        <w:numPr>
          <w:ilvl w:val="0"/>
          <w:numId w:val="31"/>
        </w:numPr>
        <w:autoSpaceDE w:val="0"/>
        <w:autoSpaceDN w:val="0"/>
        <w:spacing w:line="360" w:lineRule="auto"/>
        <w:rPr>
          <w:rFonts w:ascii="宋体" w:hAnsi="宋体" w:cs="宋体"/>
          <w:kern w:val="0"/>
          <w:sz w:val="24"/>
          <w:highlight w:val="none"/>
        </w:rPr>
      </w:pPr>
      <w:bookmarkStart w:id="114" w:name="_Toc21129_WPSOffice_Level2"/>
      <w:r>
        <w:rPr>
          <w:rFonts w:hint="eastAsia" w:ascii="宋体" w:hAnsi="宋体" w:cs="宋体"/>
          <w:b/>
          <w:bCs/>
          <w:kern w:val="0"/>
          <w:sz w:val="24"/>
          <w:highlight w:val="none"/>
          <w:lang w:val="zh-CN"/>
        </w:rPr>
        <w:t>技术规格要求</w:t>
      </w:r>
      <w:bookmarkEnd w:id="114"/>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本合同条款下提交货物的技术规格要求应等于或优于招磋商文件技术规格要求。若技术规格要求中无相应规定，则应符合相应的国家有关部门最新颁布的相应正式标准。</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乙方应向甲方提供货物及服务有关的标准的中文文本。</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除非技术规范中另有规定，计量单位均采用中华人民共和国法定计量单位。</w:t>
      </w:r>
    </w:p>
    <w:p>
      <w:pPr>
        <w:numPr>
          <w:ilvl w:val="0"/>
          <w:numId w:val="31"/>
        </w:numPr>
        <w:autoSpaceDE w:val="0"/>
        <w:autoSpaceDN w:val="0"/>
        <w:spacing w:line="360" w:lineRule="auto"/>
        <w:rPr>
          <w:rFonts w:ascii="宋体" w:hAnsi="宋体" w:cs="宋体"/>
          <w:kern w:val="0"/>
          <w:sz w:val="24"/>
          <w:highlight w:val="none"/>
        </w:rPr>
      </w:pPr>
      <w:bookmarkStart w:id="115" w:name="_Toc432_WPSOffice_Level2"/>
      <w:r>
        <w:rPr>
          <w:rFonts w:hint="eastAsia" w:ascii="宋体" w:hAnsi="宋体" w:cs="宋体"/>
          <w:b/>
          <w:bCs/>
          <w:kern w:val="0"/>
          <w:sz w:val="24"/>
          <w:highlight w:val="none"/>
          <w:lang w:val="zh-CN"/>
        </w:rPr>
        <w:t>合同范围</w:t>
      </w:r>
      <w:bookmarkEnd w:id="115"/>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乙方应负责培训甲方的技术人员。</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按照甲方的要求，乙方应在合同规定的免费质保期和免费保修期内，免费负责修理或更换有缺陷的零部件或整机，对软件产品进行免费升级，同时在合同规定的免费质保期和免费保修期满后，以最优惠的价格，向买方提供合同货物大修和维护所需的配件及服务。</w:t>
      </w:r>
    </w:p>
    <w:p>
      <w:pPr>
        <w:numPr>
          <w:ilvl w:val="0"/>
          <w:numId w:val="31"/>
        </w:numPr>
        <w:autoSpaceDE w:val="0"/>
        <w:autoSpaceDN w:val="0"/>
        <w:spacing w:line="360" w:lineRule="auto"/>
        <w:rPr>
          <w:rFonts w:ascii="宋体" w:hAnsi="宋体" w:cs="宋体"/>
          <w:kern w:val="0"/>
          <w:sz w:val="24"/>
          <w:highlight w:val="none"/>
        </w:rPr>
      </w:pPr>
      <w:bookmarkStart w:id="116" w:name="_Toc16600_WPSOffice_Level2"/>
      <w:r>
        <w:rPr>
          <w:rFonts w:hint="eastAsia" w:ascii="宋体" w:hAnsi="宋体" w:cs="宋体"/>
          <w:b/>
          <w:bCs/>
          <w:kern w:val="0"/>
          <w:sz w:val="24"/>
          <w:highlight w:val="none"/>
          <w:lang w:val="zh-CN"/>
        </w:rPr>
        <w:t>合同文件和资料</w:t>
      </w:r>
      <w:bookmarkEnd w:id="116"/>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乙方在提供仪器设备时应同时提供中文版相关的技术资料，如目录索引、图纸、操作手册、使用指南、维修指南、服务手册等。</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numPr>
          <w:ilvl w:val="0"/>
          <w:numId w:val="31"/>
        </w:numPr>
        <w:autoSpaceDE w:val="0"/>
        <w:autoSpaceDN w:val="0"/>
        <w:spacing w:line="360" w:lineRule="auto"/>
        <w:rPr>
          <w:rFonts w:ascii="宋体" w:hAnsi="宋体" w:cs="宋体"/>
          <w:kern w:val="0"/>
          <w:sz w:val="24"/>
          <w:highlight w:val="none"/>
        </w:rPr>
      </w:pPr>
      <w:bookmarkStart w:id="117" w:name="_Toc15544_WPSOffice_Level2"/>
      <w:r>
        <w:rPr>
          <w:rFonts w:hint="eastAsia" w:ascii="宋体" w:hAnsi="宋体" w:cs="宋体"/>
          <w:b/>
          <w:bCs/>
          <w:kern w:val="0"/>
          <w:sz w:val="24"/>
          <w:highlight w:val="none"/>
          <w:lang w:val="zh-CN"/>
        </w:rPr>
        <w:t>知识产权</w:t>
      </w:r>
      <w:bookmarkEnd w:id="117"/>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乙方应保证甲方在使用该货物或其任何一部分时不受第三方提出的侵犯专利权、著作权、商标权和工业设计权等的起诉。</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任何第三方提出侵权指控，乙方须与第三方交涉并承担由此产生的一切责任、费用和经济赔偿。</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双方应共同遵守国家有关版权、专利、商标等知识产权方面的法律规定，相互尊重对方的知识产权，对本合同内容、对方的技术秘密和商业秘密负有保密责任。如有违反，违约方负相关法律责任。</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在本合同生效时已经存在并为各方合法拥有或使用的所有技术、资料和信息的知识产权，仍应属于其各自的原权利人所有或享有，另有约定的除外。</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pPr>
        <w:numPr>
          <w:ilvl w:val="0"/>
          <w:numId w:val="31"/>
        </w:numPr>
        <w:autoSpaceDE w:val="0"/>
        <w:autoSpaceDN w:val="0"/>
        <w:spacing w:line="360" w:lineRule="auto"/>
        <w:rPr>
          <w:rFonts w:ascii="宋体" w:hAnsi="宋体" w:cs="宋体"/>
          <w:kern w:val="0"/>
          <w:sz w:val="24"/>
          <w:highlight w:val="none"/>
        </w:rPr>
      </w:pPr>
      <w:bookmarkStart w:id="118" w:name="_Toc32646_WPSOffice_Level2"/>
      <w:r>
        <w:rPr>
          <w:rFonts w:hint="eastAsia" w:ascii="宋体" w:hAnsi="宋体" w:cs="宋体"/>
          <w:b/>
          <w:bCs/>
          <w:kern w:val="0"/>
          <w:sz w:val="24"/>
          <w:highlight w:val="none"/>
          <w:lang w:val="zh-CN"/>
        </w:rPr>
        <w:t>保密</w:t>
      </w:r>
      <w:bookmarkEnd w:id="118"/>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保密信息指任何一方因履行本合同所知悉的任何以口头、书面、图表或电子形式存在的对方信息，具体包括：</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任何涉及对方过去、现在或将来的商业计划、规章制度、操作规程、处理手段、财务信息；</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任何对方的技术措施、技术方案、软件应用及开发，硬件设备的品种、质量、数量、品牌等；</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任何对方的技术秘密或专有知识、文件</w:t>
      </w:r>
      <w:r>
        <w:rPr>
          <w:rFonts w:hint="eastAsia" w:ascii="宋体" w:hAnsi="宋体" w:cs="宋体"/>
          <w:kern w:val="0"/>
          <w:sz w:val="24"/>
          <w:highlight w:val="none"/>
        </w:rPr>
        <w:t xml:space="preserve"> </w:t>
      </w:r>
      <w:r>
        <w:rPr>
          <w:rFonts w:hint="eastAsia" w:ascii="宋体" w:hAnsi="宋体" w:cs="宋体"/>
          <w:kern w:val="0"/>
          <w:sz w:val="24"/>
          <w:highlight w:val="none"/>
          <w:lang w:val="zh-CN"/>
        </w:rPr>
        <w:t>、报告、数据、客户软件、流程图、数据库、发明、知识、贸易秘密。</w:t>
      </w:r>
    </w:p>
    <w:p>
      <w:pPr>
        <w:numPr>
          <w:ilvl w:val="1"/>
          <w:numId w:val="31"/>
        </w:numPr>
        <w:autoSpaceDE w:val="0"/>
        <w:autoSpaceDN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乙方应根据甲方的要求签署相应的保密协议，保密协议与本条款存在不一致的，以保密协议为准。</w:t>
      </w:r>
    </w:p>
    <w:p>
      <w:pPr>
        <w:numPr>
          <w:ilvl w:val="0"/>
          <w:numId w:val="31"/>
        </w:numPr>
        <w:autoSpaceDE w:val="0"/>
        <w:autoSpaceDN w:val="0"/>
        <w:spacing w:line="360" w:lineRule="auto"/>
        <w:rPr>
          <w:rFonts w:ascii="宋体" w:hAnsi="宋体" w:cs="宋体"/>
          <w:kern w:val="0"/>
          <w:sz w:val="24"/>
          <w:highlight w:val="none"/>
        </w:rPr>
      </w:pPr>
      <w:bookmarkStart w:id="119" w:name="_Toc11392_WPSOffice_Level2"/>
      <w:r>
        <w:rPr>
          <w:rFonts w:hint="eastAsia" w:ascii="宋体" w:hAnsi="宋体" w:cs="宋体"/>
          <w:b/>
          <w:bCs/>
          <w:kern w:val="0"/>
          <w:sz w:val="24"/>
          <w:highlight w:val="none"/>
          <w:lang w:val="zh-CN"/>
        </w:rPr>
        <w:t>质量保证</w:t>
      </w:r>
      <w:bookmarkEnd w:id="119"/>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货物质量保证</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乙方必须保证货物是全新、未使用过的，并完全符合强制性的国家技术质量规范和合同规定的质量、规格、性能和技术规范等的要求。</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须保证所提供的货物经正确安装、正常运转和保养，在其使用寿命期内须具有符合质量要求和产品说明书的性能。在货物免费质保期之内，乙方须对由于设计、工艺或材料的缺陷而发生的任何不足或故障负责，并免费予以改进或更换。</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根据乙方按检验标准自己检验结果或委托有资质的相关质检机构的检验结果，发现货物的数量、质量、规格与合同不符；或者在免费质保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合同条款下货物的免费质保期自货物通过最终验收起算，合同另行规定除外。</w:t>
      </w:r>
    </w:p>
    <w:p>
      <w:pPr>
        <w:numPr>
          <w:ilvl w:val="1"/>
          <w:numId w:val="31"/>
        </w:numPr>
        <w:autoSpaceDE w:val="0"/>
        <w:autoSpaceDN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辅助服务质量保证</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乙方应保证合同条款下所提供的服务包括培训、安装指导、单机调试、系统联调和试验等，按合同规定方式进行，并保证不存在因乙方工作人员的过失、错误或疏忽而产生的缺陷。</w:t>
      </w:r>
    </w:p>
    <w:p>
      <w:pPr>
        <w:numPr>
          <w:ilvl w:val="0"/>
          <w:numId w:val="31"/>
        </w:numPr>
        <w:autoSpaceDE w:val="0"/>
        <w:autoSpaceDN w:val="0"/>
        <w:spacing w:line="360" w:lineRule="auto"/>
        <w:rPr>
          <w:rFonts w:ascii="宋体" w:hAnsi="宋体" w:cs="宋体"/>
          <w:b/>
          <w:bCs/>
          <w:kern w:val="0"/>
          <w:sz w:val="24"/>
          <w:highlight w:val="none"/>
          <w:lang w:val="zh-CN"/>
        </w:rPr>
      </w:pPr>
      <w:bookmarkStart w:id="120" w:name="_Toc15188_WPSOffice_Level2"/>
      <w:r>
        <w:rPr>
          <w:rFonts w:hint="eastAsia" w:ascii="宋体" w:hAnsi="宋体" w:cs="宋体"/>
          <w:b/>
          <w:bCs/>
          <w:kern w:val="0"/>
          <w:sz w:val="24"/>
          <w:highlight w:val="none"/>
          <w:lang w:val="zh-CN"/>
        </w:rPr>
        <w:t>包装要求</w:t>
      </w:r>
      <w:bookmarkEnd w:id="120"/>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除合同另有约定外</w:t>
      </w:r>
      <w:r>
        <w:rPr>
          <w:rFonts w:hint="eastAsia" w:ascii="宋体" w:hAnsi="宋体" w:cs="宋体"/>
          <w:kern w:val="0"/>
          <w:sz w:val="24"/>
          <w:highlight w:val="none"/>
        </w:rPr>
        <w:t>,</w:t>
      </w:r>
      <w:r>
        <w:rPr>
          <w:rFonts w:hint="eastAsia" w:ascii="宋体" w:hAnsi="宋体" w:cs="宋体"/>
          <w:kern w:val="0"/>
          <w:sz w:val="24"/>
          <w:highlight w:val="none"/>
          <w:lang w:val="zh-CN"/>
        </w:rPr>
        <w:t>乙方提供的全部货物</w:t>
      </w:r>
      <w:r>
        <w:rPr>
          <w:rFonts w:hint="eastAsia" w:ascii="宋体" w:hAnsi="宋体" w:cs="宋体"/>
          <w:kern w:val="0"/>
          <w:sz w:val="24"/>
          <w:highlight w:val="none"/>
        </w:rPr>
        <w:t>,</w:t>
      </w:r>
      <w:r>
        <w:rPr>
          <w:rFonts w:hint="eastAsia" w:ascii="宋体" w:hAnsi="宋体" w:cs="宋体"/>
          <w:kern w:val="0"/>
          <w:sz w:val="24"/>
          <w:highlight w:val="none"/>
          <w:lang w:val="zh-CN"/>
        </w:rPr>
        <w:t>均应采用本行业通用的方式进行包装，且该包装应符合国家有关包装的法律、法规的规定。</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包装应适应于远距离运输，并有良好的防潮、防震、防锈和防粗暴装卸等保护措施，以确保货物安全运抵现场。由于包装不善所引起的货物锈蚀、损坏和损失均由乙方承担。</w:t>
      </w:r>
    </w:p>
    <w:p>
      <w:pPr>
        <w:autoSpaceDE w:val="0"/>
        <w:autoSpaceDN w:val="0"/>
        <w:spacing w:line="360" w:lineRule="auto"/>
        <w:ind w:left="480"/>
        <w:rPr>
          <w:rFonts w:ascii="宋体" w:hAnsi="宋体" w:cs="宋体"/>
          <w:kern w:val="0"/>
          <w:sz w:val="24"/>
          <w:highlight w:val="none"/>
        </w:rPr>
      </w:pPr>
      <w:r>
        <w:rPr>
          <w:rFonts w:hint="eastAsia" w:ascii="宋体" w:hAnsi="宋体" w:cs="宋体"/>
          <w:kern w:val="0"/>
          <w:sz w:val="24"/>
          <w:highlight w:val="none"/>
          <w:lang w:val="zh-CN"/>
        </w:rPr>
        <w:t>乙方应提供货物运至合同规定的最终目的地所需要的包装，以防止货物在转运中损坏或变质。</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乙方所提供的货物包装均为出厂时原包装。</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乙方所提供货物必须附有质量合格证，装箱清单，主机、附件、各种零部件和消耗品，有清楚的与装箱单相对应的名称和编号。</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货物运输中的运输费用和保险费用均由乙方承担。运输过程中的一切损失、损坏均由乙方负责。</w:t>
      </w:r>
    </w:p>
    <w:p>
      <w:pPr>
        <w:numPr>
          <w:ilvl w:val="0"/>
          <w:numId w:val="31"/>
        </w:numPr>
        <w:autoSpaceDE w:val="0"/>
        <w:autoSpaceDN w:val="0"/>
        <w:spacing w:line="360" w:lineRule="auto"/>
        <w:rPr>
          <w:rFonts w:ascii="宋体" w:hAnsi="宋体" w:cs="宋体"/>
          <w:b/>
          <w:bCs/>
          <w:kern w:val="0"/>
          <w:sz w:val="24"/>
          <w:highlight w:val="none"/>
          <w:lang w:val="zh-CN"/>
        </w:rPr>
      </w:pPr>
      <w:bookmarkStart w:id="121" w:name="_Toc11203_WPSOffice_Level2"/>
      <w:r>
        <w:rPr>
          <w:rFonts w:hint="eastAsia" w:ascii="宋体" w:hAnsi="宋体" w:cs="宋体"/>
          <w:b/>
          <w:bCs/>
          <w:kern w:val="0"/>
          <w:sz w:val="24"/>
          <w:highlight w:val="none"/>
          <w:lang w:val="zh-CN"/>
        </w:rPr>
        <w:t>价格</w:t>
      </w:r>
      <w:bookmarkEnd w:id="121"/>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履行合同所必须的所有费用，包括但不限于货物及部件的设计、检测与试验、制造、运输、装卸、保险、单机调试、安装调试指导、技术资料、培训、交通、人员、差旅、免费质保期服务费、其他管理费用、所有的检验、测试、调试、验收、试运行费用等均已包括在合同价格中。</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本合同价格为固定价格，包括了乙方履行合同全过程产生的所有成本和费用以及乙方应承担的一切税费。</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检验费用</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乙方必须负担本条款下属于乙方负责的检验、测试、调试、试运行和验收的所有费用，并负责乙方派往买方组织的检验、测试和验收人员的所有费用。</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甲方按合同计划参加在乙方工厂所在地检验、测试和验收的费用全部由乙方负责并已包含在合同总价中。</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甲方检验人员已到卖方所在地，测试无法依照合同进行，而引起甲方人员延长逗留时间，所有由此产生的包括甲方人员在内的直接费用及成本由乙方承担。</w:t>
      </w:r>
    </w:p>
    <w:p>
      <w:pPr>
        <w:numPr>
          <w:ilvl w:val="0"/>
          <w:numId w:val="31"/>
        </w:numPr>
        <w:autoSpaceDE w:val="0"/>
        <w:autoSpaceDN w:val="0"/>
        <w:spacing w:line="360" w:lineRule="auto"/>
        <w:rPr>
          <w:rFonts w:ascii="宋体" w:hAnsi="宋体" w:cs="宋体"/>
          <w:b/>
          <w:bCs/>
          <w:kern w:val="0"/>
          <w:sz w:val="24"/>
          <w:highlight w:val="none"/>
        </w:rPr>
      </w:pPr>
      <w:bookmarkStart w:id="122" w:name="_Toc10532_WPSOffice_Level2"/>
      <w:r>
        <w:rPr>
          <w:rFonts w:hint="eastAsia" w:ascii="宋体" w:hAnsi="宋体" w:cs="宋体"/>
          <w:b/>
          <w:bCs/>
          <w:kern w:val="0"/>
          <w:sz w:val="24"/>
          <w:highlight w:val="none"/>
          <w:lang w:val="zh-CN"/>
        </w:rPr>
        <w:t>交货方式及交货时间</w:t>
      </w:r>
      <w:bookmarkEnd w:id="122"/>
    </w:p>
    <w:p>
      <w:pPr>
        <w:autoSpaceDE w:val="0"/>
        <w:autoSpaceDN w:val="0"/>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交货方式：现场交货，乙方负责办理运输和保险，将货物运抵现场。</w:t>
      </w:r>
    </w:p>
    <w:p>
      <w:pPr>
        <w:autoSpaceDE w:val="0"/>
        <w:autoSpaceDN w:val="0"/>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交货期应根据产品的特点实事求是填写，进口产品90个工作日内，国产产品60个工作日内。特殊产品交货期需说明。</w:t>
      </w:r>
    </w:p>
    <w:p>
      <w:pPr>
        <w:autoSpaceDE w:val="0"/>
        <w:autoSpaceDN w:val="0"/>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交货时间：所有货物运抵现场并经双方开箱验收合格之日。</w:t>
      </w:r>
    </w:p>
    <w:p>
      <w:pPr>
        <w:numPr>
          <w:ilvl w:val="0"/>
          <w:numId w:val="31"/>
        </w:numPr>
        <w:autoSpaceDE w:val="0"/>
        <w:autoSpaceDN w:val="0"/>
        <w:spacing w:line="360" w:lineRule="auto"/>
        <w:rPr>
          <w:rFonts w:ascii="宋体" w:hAnsi="宋体" w:cs="宋体"/>
          <w:b/>
          <w:bCs/>
          <w:kern w:val="0"/>
          <w:sz w:val="24"/>
          <w:highlight w:val="none"/>
          <w:lang w:val="zh-CN"/>
        </w:rPr>
      </w:pPr>
      <w:bookmarkStart w:id="123" w:name="_Toc5281_WPSOffice_Level2"/>
      <w:r>
        <w:rPr>
          <w:rFonts w:hint="eastAsia" w:ascii="宋体" w:hAnsi="宋体" w:cs="宋体"/>
          <w:b/>
          <w:bCs/>
          <w:kern w:val="0"/>
          <w:sz w:val="24"/>
          <w:highlight w:val="none"/>
          <w:lang w:val="zh-CN"/>
        </w:rPr>
        <w:t>检验和验收</w:t>
      </w:r>
      <w:bookmarkEnd w:id="123"/>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开箱验收</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货物运抵现场后，双方应及时开箱验收，并制作验收记录，以确认与本合同约定的数量、型号等是否一致。</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乙方应在交货前对货物的质量、规格、数量等进行详细而全面的检验，并出具证明货物符合合同规定的文件。该文件将作为申请付款单据的一部分，但有关质量、规格、数量的检验不应视为最终检验。</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开箱验收中如发现货物的数量、规格与合同约定不符，甲方有权拒收货物，乙方应及时按甲方要求免费对拒收货物采取更换或其他必要的补救措施，直至开箱验收合格，方视为乙方完成交货。</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检验验收</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交货完成后，乙方应及时组装、调试、试运行，按照合同专用条款规定的试运行完成后，双方及时组织对货物检验验收。合同双方均须派人参加合同要求双方参加的试验、检验。</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在具体实施合同规定的检验验收之前，乙方需提前提交相应的测试计划（包括测试程序、测试内容和检验标准、试验时间安排等）供甲方确认。</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除需甲方确认的试验验收外，乙方还应对所有检验验收测试的结果、步骤、原始数据等作妥善记录。如甲方要求，乙方应提供这些记录给买方。</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检验测试出现全部或部分未达到本合同所约定的技术指标，甲方有权选择下列任一处理方式：</w:t>
      </w:r>
    </w:p>
    <w:p>
      <w:pPr>
        <w:numPr>
          <w:ilvl w:val="0"/>
          <w:numId w:val="32"/>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重新测试直至合格为止；</w:t>
      </w:r>
    </w:p>
    <w:p>
      <w:pPr>
        <w:numPr>
          <w:ilvl w:val="0"/>
          <w:numId w:val="32"/>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要求乙方对货物进行免费更换，然后重新测试直至合格为止；</w:t>
      </w:r>
    </w:p>
    <w:p>
      <w:p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无论选择何种方式，甲方因此而发生的因卖方原因引起的所有费用均由乙方负担。</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使用过程检验</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在合同规定的免费质保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如果合同双方对乙方提供的上述试验结果报告的解释有分歧，双方须于出现分歧后</w:t>
      </w:r>
      <w:r>
        <w:rPr>
          <w:rFonts w:hint="eastAsia" w:ascii="宋体" w:hAnsi="宋体" w:cs="宋体"/>
          <w:kern w:val="0"/>
          <w:sz w:val="24"/>
          <w:highlight w:val="none"/>
        </w:rPr>
        <w:t>10</w:t>
      </w:r>
      <w:r>
        <w:rPr>
          <w:rFonts w:hint="eastAsia" w:ascii="宋体" w:hAnsi="宋体" w:cs="宋体"/>
          <w:kern w:val="0"/>
          <w:sz w:val="24"/>
          <w:highlight w:val="none"/>
          <w:lang w:val="zh-CN"/>
        </w:rPr>
        <w:t>天内给对方声明，以陈述己方的观点。声明须附有关证据。分歧应通过协商解决。</w:t>
      </w:r>
    </w:p>
    <w:p>
      <w:pPr>
        <w:numPr>
          <w:ilvl w:val="0"/>
          <w:numId w:val="31"/>
        </w:numPr>
        <w:autoSpaceDE w:val="0"/>
        <w:autoSpaceDN w:val="0"/>
        <w:spacing w:line="360" w:lineRule="auto"/>
        <w:rPr>
          <w:rFonts w:ascii="宋体" w:hAnsi="宋体" w:cs="宋体"/>
          <w:b/>
          <w:bCs/>
          <w:kern w:val="0"/>
          <w:sz w:val="24"/>
          <w:highlight w:val="none"/>
        </w:rPr>
      </w:pPr>
      <w:bookmarkStart w:id="124" w:name="_Toc30781_WPSOffice_Level2"/>
      <w:r>
        <w:rPr>
          <w:rFonts w:hint="eastAsia" w:ascii="宋体" w:hAnsi="宋体" w:cs="宋体"/>
          <w:b/>
          <w:bCs/>
          <w:kern w:val="0"/>
          <w:sz w:val="24"/>
          <w:highlight w:val="none"/>
          <w:lang w:val="zh-CN"/>
        </w:rPr>
        <w:t>付款条件</w:t>
      </w:r>
      <w:bookmarkEnd w:id="124"/>
    </w:p>
    <w:p>
      <w:pPr>
        <w:autoSpaceDE w:val="0"/>
        <w:autoSpaceDN w:val="0"/>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本合同条款下的付款方法和条件在“青海省政府采购合同书”中具体规定。</w:t>
      </w:r>
    </w:p>
    <w:p>
      <w:pPr>
        <w:numPr>
          <w:ilvl w:val="0"/>
          <w:numId w:val="31"/>
        </w:numPr>
        <w:autoSpaceDE w:val="0"/>
        <w:autoSpaceDN w:val="0"/>
        <w:spacing w:line="360" w:lineRule="auto"/>
        <w:rPr>
          <w:rFonts w:ascii="宋体" w:hAnsi="宋体" w:cs="宋体"/>
          <w:b/>
          <w:bCs/>
          <w:kern w:val="0"/>
          <w:sz w:val="24"/>
          <w:highlight w:val="none"/>
          <w:lang w:val="zh-CN"/>
        </w:rPr>
      </w:pPr>
      <w:bookmarkStart w:id="125" w:name="_Toc10339_WPSOffice_Level2"/>
      <w:r>
        <w:rPr>
          <w:rFonts w:hint="eastAsia" w:ascii="宋体" w:hAnsi="宋体" w:cs="宋体"/>
          <w:b/>
          <w:bCs/>
          <w:kern w:val="0"/>
          <w:sz w:val="24"/>
          <w:highlight w:val="none"/>
          <w:lang w:val="zh-CN"/>
        </w:rPr>
        <w:t>履约保证金</w:t>
      </w:r>
      <w:bookmarkEnd w:id="125"/>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乙方应在合同签订前，按要求提交履约保证金。</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履约保证金用于补偿甲方因乙方不能履行其合同义务而蒙受的损失。</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履约保证金应使用本合同货币，按下述方式之一提交（磋商文件中另有约定的除外）：</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甲方可接受的在中华人民共和国注册和营业的银行出具的履约保函；</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支票或汇票。</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乙方未能按合同规定履行其义务，甲方有权从履约保证金中取得补偿。货物验收合格后，甲方将履约保证金退还乙方或转为质量保证金。</w:t>
      </w:r>
    </w:p>
    <w:p>
      <w:pPr>
        <w:numPr>
          <w:ilvl w:val="0"/>
          <w:numId w:val="31"/>
        </w:numPr>
        <w:autoSpaceDE w:val="0"/>
        <w:autoSpaceDN w:val="0"/>
        <w:spacing w:line="360" w:lineRule="auto"/>
        <w:rPr>
          <w:rFonts w:ascii="宋体" w:hAnsi="宋体" w:cs="宋体"/>
          <w:b/>
          <w:bCs/>
          <w:kern w:val="0"/>
          <w:sz w:val="24"/>
          <w:highlight w:val="none"/>
          <w:lang w:val="zh-CN"/>
        </w:rPr>
      </w:pPr>
      <w:bookmarkStart w:id="126" w:name="_Toc24431_WPSOffice_Level2"/>
      <w:r>
        <w:rPr>
          <w:rFonts w:hint="eastAsia" w:ascii="宋体" w:hAnsi="宋体" w:cs="宋体"/>
          <w:b/>
          <w:bCs/>
          <w:kern w:val="0"/>
          <w:sz w:val="24"/>
          <w:highlight w:val="none"/>
          <w:lang w:val="zh-CN"/>
        </w:rPr>
        <w:t>索赔</w:t>
      </w:r>
      <w:bookmarkEnd w:id="126"/>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货物的质量、规格、数量、性能等与合同约定不符，或在免费质保期内证实货物存有缺陷，包括潜在的缺陷或使用不符合要求的材料等，甲方有权根据有资质的权威质检机构的检验结果向乙方提出索赔（但责任应由保险公司或运输部门承担的除外）。</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在履约保证期和检验期内，乙方对甲方提出的索赔负有责任，乙方应按照甲方同意的下列一种或多种方式解决索赔事宜：</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根据货物低劣程度、损坏程度以及甲方所遭受损失的数额，经甲乙双方商定降低货物的价格，或由有资质的中介机构评估，以降低后的价格或评估价格为准。</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pPr>
        <w:numPr>
          <w:ilvl w:val="1"/>
          <w:numId w:val="31"/>
        </w:numPr>
        <w:autoSpaceDE w:val="0"/>
        <w:autoSpaceDN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乙方收到甲方发出的索赔通知之日起</w:t>
      </w:r>
      <w:r>
        <w:rPr>
          <w:rFonts w:hint="eastAsia" w:ascii="宋体" w:hAnsi="宋体" w:cs="宋体"/>
          <w:kern w:val="0"/>
          <w:sz w:val="24"/>
          <w:highlight w:val="none"/>
        </w:rPr>
        <w:t>5</w:t>
      </w:r>
      <w:r>
        <w:rPr>
          <w:rFonts w:hint="eastAsia" w:ascii="宋体" w:hAnsi="宋体" w:cs="宋体"/>
          <w:kern w:val="0"/>
          <w:sz w:val="24"/>
          <w:highlight w:val="none"/>
          <w:lang w:val="zh-CN"/>
        </w:rPr>
        <w:t>个工作日内未作答复的，甲方可从合同款或履约保证金中扣回索赔金额，如金额不足以补偿索赔金额，乙方应补足差额部分。</w:t>
      </w:r>
    </w:p>
    <w:p>
      <w:pPr>
        <w:numPr>
          <w:ilvl w:val="0"/>
          <w:numId w:val="31"/>
        </w:numPr>
        <w:autoSpaceDE w:val="0"/>
        <w:autoSpaceDN w:val="0"/>
        <w:spacing w:line="360" w:lineRule="auto"/>
        <w:rPr>
          <w:rFonts w:ascii="宋体" w:hAnsi="宋体" w:cs="宋体"/>
          <w:b/>
          <w:bCs/>
          <w:kern w:val="0"/>
          <w:sz w:val="24"/>
          <w:highlight w:val="none"/>
          <w:lang w:val="zh-CN"/>
        </w:rPr>
      </w:pPr>
      <w:bookmarkStart w:id="127" w:name="_Toc6786_WPSOffice_Level2"/>
      <w:r>
        <w:rPr>
          <w:rFonts w:hint="eastAsia" w:ascii="宋体" w:hAnsi="宋体" w:cs="宋体"/>
          <w:b/>
          <w:bCs/>
          <w:kern w:val="0"/>
          <w:sz w:val="24"/>
          <w:highlight w:val="none"/>
          <w:lang w:val="zh-CN"/>
        </w:rPr>
        <w:t>迟延交货</w:t>
      </w:r>
      <w:bookmarkEnd w:id="127"/>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乙方应按照合同约定的时间交货和提供服务。</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除不可抗力因素外，乙方迟延交货，甲方有权提出违约损失赔偿或解除合同。</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在履行合同过程中，乙方遇到不能按时交货和提供服务的情况，应及时以书面形式将不能按时交货的理由、预期延误时间通知甲方。甲方收到乙方通知后，认为其理由正当的，可酌情延长交货时间。</w:t>
      </w:r>
    </w:p>
    <w:p>
      <w:pPr>
        <w:numPr>
          <w:ilvl w:val="0"/>
          <w:numId w:val="31"/>
        </w:numPr>
        <w:autoSpaceDE w:val="0"/>
        <w:autoSpaceDN w:val="0"/>
        <w:spacing w:line="360" w:lineRule="auto"/>
        <w:rPr>
          <w:rFonts w:ascii="宋体" w:hAnsi="宋体" w:cs="宋体"/>
          <w:b/>
          <w:bCs/>
          <w:kern w:val="0"/>
          <w:sz w:val="24"/>
          <w:highlight w:val="none"/>
        </w:rPr>
      </w:pPr>
      <w:bookmarkStart w:id="128" w:name="_Toc25750_WPSOffice_Level2"/>
      <w:r>
        <w:rPr>
          <w:rFonts w:hint="eastAsia" w:ascii="宋体" w:hAnsi="宋体" w:cs="宋体"/>
          <w:b/>
          <w:bCs/>
          <w:kern w:val="0"/>
          <w:sz w:val="24"/>
          <w:highlight w:val="none"/>
          <w:lang w:val="zh-CN"/>
        </w:rPr>
        <w:t>违约赔偿</w:t>
      </w:r>
      <w:bookmarkEnd w:id="128"/>
    </w:p>
    <w:p>
      <w:pPr>
        <w:autoSpaceDE w:val="0"/>
        <w:autoSpaceDN w:val="0"/>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除不可抗力因素外，乙方没有按照合同规定的时间交货和提供服务，甲方可要求乙方支付违约金。违约金每日按合同总价款的千分之五计收。</w:t>
      </w:r>
    </w:p>
    <w:p>
      <w:pPr>
        <w:numPr>
          <w:ilvl w:val="0"/>
          <w:numId w:val="31"/>
        </w:numPr>
        <w:autoSpaceDE w:val="0"/>
        <w:autoSpaceDN w:val="0"/>
        <w:spacing w:line="360" w:lineRule="auto"/>
        <w:rPr>
          <w:rFonts w:ascii="宋体" w:hAnsi="宋体" w:cs="宋体"/>
          <w:b/>
          <w:bCs/>
          <w:kern w:val="0"/>
          <w:sz w:val="24"/>
          <w:highlight w:val="none"/>
          <w:lang w:val="zh-CN"/>
        </w:rPr>
      </w:pPr>
      <w:bookmarkStart w:id="129" w:name="_Toc161_WPSOffice_Level2"/>
      <w:r>
        <w:rPr>
          <w:rFonts w:hint="eastAsia" w:ascii="宋体" w:hAnsi="宋体" w:cs="宋体"/>
          <w:b/>
          <w:bCs/>
          <w:kern w:val="0"/>
          <w:sz w:val="24"/>
          <w:highlight w:val="none"/>
          <w:lang w:val="zh-CN"/>
        </w:rPr>
        <w:t>不可抗力</w:t>
      </w:r>
      <w:bookmarkEnd w:id="129"/>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双方中任何一方遭遇法律规定的不可抗力，致使合同履行受阻时，履行合同的期限应予延长，延长的期限应相当于不可抗力所影响的时间。</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受事故影响的一方应在不可抗力的事故发生后以书面形式通知另一方。</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不可抗力使合同的某些内容有变更必要的，双方应通过协商达成进一步履行合同的协议，因不可抗力致使合同不能履行的，合同终止。</w:t>
      </w:r>
    </w:p>
    <w:p>
      <w:pPr>
        <w:numPr>
          <w:ilvl w:val="0"/>
          <w:numId w:val="31"/>
        </w:numPr>
        <w:autoSpaceDE w:val="0"/>
        <w:autoSpaceDN w:val="0"/>
        <w:spacing w:line="360" w:lineRule="auto"/>
        <w:rPr>
          <w:rFonts w:ascii="宋体" w:hAnsi="宋体" w:cs="宋体"/>
          <w:b/>
          <w:bCs/>
          <w:kern w:val="0"/>
          <w:sz w:val="24"/>
          <w:highlight w:val="none"/>
        </w:rPr>
      </w:pPr>
      <w:bookmarkStart w:id="130" w:name="_Toc14616_WPSOffice_Level2"/>
      <w:r>
        <w:rPr>
          <w:rFonts w:hint="eastAsia" w:ascii="宋体" w:hAnsi="宋体" w:cs="宋体"/>
          <w:b/>
          <w:bCs/>
          <w:kern w:val="0"/>
          <w:sz w:val="24"/>
          <w:highlight w:val="none"/>
          <w:lang w:val="zh-CN"/>
        </w:rPr>
        <w:t>税费</w:t>
      </w:r>
      <w:bookmarkEnd w:id="130"/>
    </w:p>
    <w:p>
      <w:pPr>
        <w:autoSpaceDE w:val="0"/>
        <w:autoSpaceDN w:val="0"/>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与本合同有关的一切税费均由乙方承担。</w:t>
      </w:r>
    </w:p>
    <w:p>
      <w:pPr>
        <w:numPr>
          <w:ilvl w:val="0"/>
          <w:numId w:val="31"/>
        </w:numPr>
        <w:autoSpaceDE w:val="0"/>
        <w:autoSpaceDN w:val="0"/>
        <w:spacing w:line="360" w:lineRule="auto"/>
        <w:rPr>
          <w:rFonts w:ascii="宋体" w:hAnsi="宋体" w:cs="宋体"/>
          <w:b/>
          <w:bCs/>
          <w:kern w:val="0"/>
          <w:sz w:val="24"/>
          <w:highlight w:val="none"/>
          <w:lang w:val="zh-CN"/>
        </w:rPr>
      </w:pPr>
      <w:bookmarkStart w:id="131" w:name="_Toc14237_WPSOffice_Level2"/>
      <w:r>
        <w:rPr>
          <w:rFonts w:hint="eastAsia" w:ascii="宋体" w:hAnsi="宋体" w:cs="宋体"/>
          <w:b/>
          <w:bCs/>
          <w:kern w:val="0"/>
          <w:sz w:val="24"/>
          <w:highlight w:val="none"/>
          <w:lang w:val="zh-CN"/>
        </w:rPr>
        <w:t>合同争议的解决</w:t>
      </w:r>
      <w:bookmarkEnd w:id="131"/>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甲方和乙方由于本合同的履行而发生任何争议时，双方可先通过协商解决。</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任何一方不愿通过协商或通过协商仍不能解决争议，则双方中任何一方均应向甲方所在地人民法院起诉。</w:t>
      </w:r>
    </w:p>
    <w:p>
      <w:pPr>
        <w:numPr>
          <w:ilvl w:val="0"/>
          <w:numId w:val="31"/>
        </w:numPr>
        <w:autoSpaceDE w:val="0"/>
        <w:autoSpaceDN w:val="0"/>
        <w:spacing w:line="360" w:lineRule="auto"/>
        <w:rPr>
          <w:rFonts w:ascii="宋体" w:hAnsi="宋体" w:cs="宋体"/>
          <w:b/>
          <w:bCs/>
          <w:kern w:val="0"/>
          <w:sz w:val="24"/>
          <w:highlight w:val="none"/>
          <w:lang w:val="zh-CN"/>
        </w:rPr>
      </w:pPr>
      <w:bookmarkStart w:id="132" w:name="_Toc6978_WPSOffice_Level2"/>
      <w:r>
        <w:rPr>
          <w:rFonts w:hint="eastAsia" w:ascii="宋体" w:hAnsi="宋体" w:cs="宋体"/>
          <w:b/>
          <w:bCs/>
          <w:kern w:val="0"/>
          <w:sz w:val="24"/>
          <w:highlight w:val="none"/>
          <w:lang w:val="zh-CN"/>
        </w:rPr>
        <w:t>违约解除合同</w:t>
      </w:r>
      <w:bookmarkEnd w:id="132"/>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出现下列情形之一的，视为乙方违约。甲方可向乙方发出书面通知，部分或全部终止合同，同时保留向乙方索赔的权利。</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乙方未能在合同规定的限期或甲方同意延长的限期内，提供全部或部分货物的；</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乙方未能履行合同规定的其它主要义务的；</w:t>
      </w:r>
    </w:p>
    <w:p>
      <w:pPr>
        <w:numPr>
          <w:ilvl w:val="2"/>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乙方在本合同履行过程中有欺诈行为的。</w:t>
      </w:r>
    </w:p>
    <w:p>
      <w:pPr>
        <w:numPr>
          <w:ilvl w:val="1"/>
          <w:numId w:val="31"/>
        </w:numPr>
        <w:autoSpaceDE w:val="0"/>
        <w:autoSpaceDN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pPr>
        <w:numPr>
          <w:ilvl w:val="0"/>
          <w:numId w:val="31"/>
        </w:numPr>
        <w:autoSpaceDE w:val="0"/>
        <w:autoSpaceDN w:val="0"/>
        <w:spacing w:line="360" w:lineRule="auto"/>
        <w:rPr>
          <w:rFonts w:ascii="宋体" w:hAnsi="宋体" w:cs="宋体"/>
          <w:b/>
          <w:bCs/>
          <w:kern w:val="0"/>
          <w:sz w:val="24"/>
          <w:highlight w:val="none"/>
        </w:rPr>
      </w:pPr>
      <w:bookmarkStart w:id="133" w:name="_Toc3556_WPSOffice_Level2"/>
      <w:r>
        <w:rPr>
          <w:rFonts w:hint="eastAsia" w:ascii="宋体" w:hAnsi="宋体" w:cs="宋体"/>
          <w:b/>
          <w:bCs/>
          <w:kern w:val="0"/>
          <w:sz w:val="24"/>
          <w:highlight w:val="none"/>
          <w:lang w:val="zh-CN"/>
        </w:rPr>
        <w:t>破产终止合同</w:t>
      </w:r>
      <w:bookmarkEnd w:id="133"/>
    </w:p>
    <w:p>
      <w:pPr>
        <w:autoSpaceDE w:val="0"/>
        <w:autoSpaceDN w:val="0"/>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乙方破产而无法完全履行本合同义务时，甲方可以书面方式通知乙方终止合同而不给予乙方补偿。该合同的终止将不损害或不影响甲方已经采取或将要采取任何行动或补救措施的权利。</w:t>
      </w:r>
    </w:p>
    <w:p>
      <w:pPr>
        <w:numPr>
          <w:ilvl w:val="0"/>
          <w:numId w:val="31"/>
        </w:numPr>
        <w:autoSpaceDE w:val="0"/>
        <w:autoSpaceDN w:val="0"/>
        <w:spacing w:line="360" w:lineRule="auto"/>
        <w:rPr>
          <w:rFonts w:ascii="宋体" w:hAnsi="宋体" w:cs="宋体"/>
          <w:b/>
          <w:bCs/>
          <w:kern w:val="0"/>
          <w:sz w:val="24"/>
          <w:highlight w:val="none"/>
          <w:lang w:val="zh-CN"/>
        </w:rPr>
      </w:pPr>
      <w:bookmarkStart w:id="134" w:name="_Toc27580_WPSOffice_Level2"/>
      <w:r>
        <w:rPr>
          <w:rFonts w:hint="eastAsia" w:ascii="宋体" w:hAnsi="宋体" w:cs="宋体"/>
          <w:b/>
          <w:bCs/>
          <w:kern w:val="0"/>
          <w:sz w:val="24"/>
          <w:highlight w:val="none"/>
          <w:lang w:val="zh-CN"/>
        </w:rPr>
        <w:t>转让和分包</w:t>
      </w:r>
      <w:bookmarkEnd w:id="134"/>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政府采购合同不能转让。</w:t>
      </w:r>
    </w:p>
    <w:p>
      <w:pPr>
        <w:numPr>
          <w:ilvl w:val="1"/>
          <w:numId w:val="31"/>
        </w:numPr>
        <w:autoSpaceDE w:val="0"/>
        <w:autoSpaceDN w:val="0"/>
        <w:spacing w:line="360" w:lineRule="auto"/>
        <w:rPr>
          <w:rFonts w:ascii="宋体" w:hAnsi="宋体" w:cs="宋体"/>
          <w:kern w:val="0"/>
          <w:sz w:val="24"/>
          <w:highlight w:val="none"/>
        </w:rPr>
      </w:pPr>
      <w:r>
        <w:rPr>
          <w:rFonts w:hint="eastAsia" w:ascii="宋体" w:hAnsi="宋体" w:cs="宋体"/>
          <w:kern w:val="0"/>
          <w:sz w:val="24"/>
          <w:highlight w:val="none"/>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numPr>
          <w:ilvl w:val="0"/>
          <w:numId w:val="31"/>
        </w:numPr>
        <w:autoSpaceDE w:val="0"/>
        <w:autoSpaceDN w:val="0"/>
        <w:spacing w:line="360" w:lineRule="auto"/>
        <w:rPr>
          <w:rFonts w:ascii="宋体" w:hAnsi="宋体" w:cs="宋体"/>
          <w:b/>
          <w:bCs/>
          <w:kern w:val="0"/>
          <w:sz w:val="24"/>
          <w:highlight w:val="none"/>
        </w:rPr>
      </w:pPr>
      <w:bookmarkStart w:id="135" w:name="_Toc17834_WPSOffice_Level2"/>
      <w:r>
        <w:rPr>
          <w:rFonts w:hint="eastAsia" w:ascii="宋体" w:hAnsi="宋体" w:cs="宋体"/>
          <w:b/>
          <w:bCs/>
          <w:kern w:val="0"/>
          <w:sz w:val="24"/>
          <w:highlight w:val="none"/>
          <w:lang w:val="zh-CN"/>
        </w:rPr>
        <w:t>合同修改</w:t>
      </w:r>
      <w:bookmarkEnd w:id="135"/>
    </w:p>
    <w:p>
      <w:pPr>
        <w:autoSpaceDE w:val="0"/>
        <w:autoSpaceDN w:val="0"/>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甲方和乙方都不得擅自变更本合同，但合同继续履行将损害国家和社会公共利益的除外。如必须对合同条款进行改动时，当事人双方须共同签署书面文件，做为合同的补充。</w:t>
      </w:r>
    </w:p>
    <w:p>
      <w:pPr>
        <w:numPr>
          <w:ilvl w:val="0"/>
          <w:numId w:val="31"/>
        </w:numPr>
        <w:autoSpaceDE w:val="0"/>
        <w:autoSpaceDN w:val="0"/>
        <w:spacing w:line="360" w:lineRule="auto"/>
        <w:rPr>
          <w:rFonts w:ascii="宋体" w:hAnsi="宋体" w:cs="宋体"/>
          <w:b/>
          <w:bCs/>
          <w:kern w:val="0"/>
          <w:sz w:val="24"/>
          <w:highlight w:val="none"/>
        </w:rPr>
      </w:pPr>
      <w:bookmarkStart w:id="136" w:name="_Toc24426_WPSOffice_Level2"/>
      <w:r>
        <w:rPr>
          <w:rFonts w:hint="eastAsia" w:ascii="宋体" w:hAnsi="宋体" w:cs="宋体"/>
          <w:b/>
          <w:bCs/>
          <w:kern w:val="0"/>
          <w:sz w:val="24"/>
          <w:highlight w:val="none"/>
          <w:lang w:val="zh-CN"/>
        </w:rPr>
        <w:t>通知</w:t>
      </w:r>
      <w:bookmarkEnd w:id="136"/>
    </w:p>
    <w:p>
      <w:pPr>
        <w:autoSpaceDE w:val="0"/>
        <w:autoSpaceDN w:val="0"/>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本合同任何一方给另一方的通知，都应以书面形式发送，而另一方也应以书面形式确认并发送到对方明确的地址。</w:t>
      </w:r>
    </w:p>
    <w:p>
      <w:pPr>
        <w:numPr>
          <w:ilvl w:val="0"/>
          <w:numId w:val="31"/>
        </w:numPr>
        <w:autoSpaceDE w:val="0"/>
        <w:autoSpaceDN w:val="0"/>
        <w:spacing w:line="360" w:lineRule="auto"/>
        <w:rPr>
          <w:rFonts w:ascii="宋体" w:hAnsi="宋体" w:cs="宋体"/>
          <w:b/>
          <w:bCs/>
          <w:kern w:val="0"/>
          <w:sz w:val="24"/>
          <w:highlight w:val="none"/>
        </w:rPr>
      </w:pPr>
      <w:bookmarkStart w:id="137" w:name="_Toc21953_WPSOffice_Level2"/>
      <w:r>
        <w:rPr>
          <w:rFonts w:hint="eastAsia" w:ascii="宋体" w:hAnsi="宋体" w:cs="宋体"/>
          <w:b/>
          <w:bCs/>
          <w:kern w:val="0"/>
          <w:sz w:val="24"/>
          <w:highlight w:val="none"/>
          <w:lang w:val="zh-CN"/>
        </w:rPr>
        <w:t>计量单位</w:t>
      </w:r>
      <w:bookmarkEnd w:id="137"/>
    </w:p>
    <w:p>
      <w:pPr>
        <w:autoSpaceDE w:val="0"/>
        <w:autoSpaceDN w:val="0"/>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除技术规范中另有规定外</w:t>
      </w:r>
      <w:r>
        <w:rPr>
          <w:rFonts w:hint="eastAsia" w:ascii="宋体" w:hAnsi="宋体" w:cs="宋体"/>
          <w:kern w:val="0"/>
          <w:sz w:val="24"/>
          <w:highlight w:val="none"/>
        </w:rPr>
        <w:t>,</w:t>
      </w:r>
      <w:r>
        <w:rPr>
          <w:rFonts w:hint="eastAsia" w:ascii="宋体" w:hAnsi="宋体" w:cs="宋体"/>
          <w:kern w:val="0"/>
          <w:sz w:val="24"/>
          <w:highlight w:val="none"/>
          <w:lang w:val="zh-CN"/>
        </w:rPr>
        <w:t>计量单位均使用国家法定计量单位。</w:t>
      </w:r>
    </w:p>
    <w:p>
      <w:pPr>
        <w:numPr>
          <w:ilvl w:val="0"/>
          <w:numId w:val="31"/>
        </w:numPr>
        <w:autoSpaceDE w:val="0"/>
        <w:autoSpaceDN w:val="0"/>
        <w:spacing w:line="360" w:lineRule="auto"/>
        <w:rPr>
          <w:rFonts w:ascii="宋体" w:hAnsi="宋体" w:cs="宋体"/>
          <w:b/>
          <w:bCs/>
          <w:kern w:val="0"/>
          <w:sz w:val="24"/>
          <w:highlight w:val="none"/>
        </w:rPr>
      </w:pPr>
      <w:bookmarkStart w:id="138" w:name="_Toc14697_WPSOffice_Level2"/>
      <w:r>
        <w:rPr>
          <w:rFonts w:hint="eastAsia" w:ascii="宋体" w:hAnsi="宋体" w:cs="宋体"/>
          <w:b/>
          <w:bCs/>
          <w:kern w:val="0"/>
          <w:sz w:val="24"/>
          <w:highlight w:val="none"/>
          <w:lang w:val="zh-CN"/>
        </w:rPr>
        <w:t>适用法律</w:t>
      </w:r>
      <w:bookmarkEnd w:id="138"/>
    </w:p>
    <w:p>
      <w:pPr>
        <w:autoSpaceDE w:val="0"/>
        <w:autoSpaceDN w:val="0"/>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本合同按照中华人民共和国的相关法律进行解释。</w:t>
      </w:r>
    </w:p>
    <w:p>
      <w:pPr>
        <w:spacing w:line="360" w:lineRule="auto"/>
        <w:jc w:val="both"/>
        <w:rPr>
          <w:rFonts w:ascii="宋体" w:hAnsi="宋体"/>
          <w:b/>
          <w:spacing w:val="120"/>
          <w:sz w:val="56"/>
          <w:szCs w:val="72"/>
          <w:highlight w:val="none"/>
        </w:rPr>
      </w:pPr>
    </w:p>
    <w:p>
      <w:pPr>
        <w:spacing w:line="360" w:lineRule="auto"/>
        <w:jc w:val="center"/>
        <w:rPr>
          <w:rFonts w:ascii="宋体" w:hAnsi="宋体"/>
          <w:b/>
          <w:spacing w:val="120"/>
          <w:sz w:val="56"/>
          <w:szCs w:val="72"/>
          <w:highlight w:val="none"/>
        </w:rPr>
      </w:pPr>
    </w:p>
    <w:p>
      <w:pPr>
        <w:pStyle w:val="18"/>
        <w:spacing w:before="0" w:after="0" w:line="360" w:lineRule="auto"/>
        <w:outlineLvl w:val="0"/>
        <w:rPr>
          <w:rFonts w:ascii="宋体" w:hAnsi="宋体"/>
          <w:highlight w:val="none"/>
        </w:rPr>
      </w:pPr>
      <w:bookmarkStart w:id="139" w:name="_Toc535421993"/>
      <w:bookmarkStart w:id="140" w:name="_Toc32159"/>
      <w:bookmarkStart w:id="141" w:name="_Toc17939_WPSOffice_Level1"/>
      <w:bookmarkStart w:id="142" w:name="_Toc22082"/>
      <w:r>
        <w:rPr>
          <w:rFonts w:hint="eastAsia" w:ascii="宋体" w:hAnsi="宋体"/>
          <w:sz w:val="48"/>
          <w:highlight w:val="none"/>
        </w:rPr>
        <w:t>第五部分</w:t>
      </w:r>
      <w:r>
        <w:rPr>
          <w:rFonts w:ascii="宋体" w:hAnsi="宋体"/>
          <w:sz w:val="48"/>
          <w:highlight w:val="none"/>
        </w:rPr>
        <w:t xml:space="preserve">  </w:t>
      </w:r>
      <w:r>
        <w:rPr>
          <w:rFonts w:hint="eastAsia" w:ascii="宋体" w:hAnsi="宋体"/>
          <w:sz w:val="48"/>
          <w:highlight w:val="none"/>
        </w:rPr>
        <w:t>磋商响应文件格式</w:t>
      </w:r>
      <w:bookmarkEnd w:id="139"/>
      <w:bookmarkEnd w:id="140"/>
      <w:bookmarkEnd w:id="141"/>
      <w:bookmarkEnd w:id="142"/>
    </w:p>
    <w:p>
      <w:pPr>
        <w:spacing w:line="360" w:lineRule="auto"/>
        <w:rPr>
          <w:rFonts w:ascii="宋体" w:hAnsi="宋体"/>
          <w:sz w:val="32"/>
          <w:highlight w:val="none"/>
        </w:rPr>
      </w:pPr>
    </w:p>
    <w:p>
      <w:pPr>
        <w:spacing w:line="480" w:lineRule="auto"/>
        <w:rPr>
          <w:rFonts w:hint="eastAsia" w:ascii="宋体" w:hAnsi="宋体" w:cs="宋体"/>
          <w:b/>
          <w:bCs/>
          <w:kern w:val="0"/>
          <w:sz w:val="28"/>
          <w:szCs w:val="28"/>
          <w:highlight w:val="none"/>
          <w:lang w:val="en-US" w:eastAsia="zh-CN"/>
        </w:rPr>
      </w:pPr>
      <w:r>
        <w:rPr>
          <w:rFonts w:hint="eastAsia" w:ascii="宋体" w:hAnsi="宋体" w:cs="宋体"/>
          <w:b/>
          <w:bCs/>
          <w:kern w:val="0"/>
          <w:sz w:val="28"/>
          <w:szCs w:val="28"/>
          <w:highlight w:val="none"/>
          <w:lang w:val="en-US" w:eastAsia="zh-CN"/>
        </w:rPr>
        <w:t>本次招标采用线上提交磋商响应文件的方式进行采购，磋商响应文件必须在磋商响应文件递交截止时间前上传平台。</w:t>
      </w:r>
    </w:p>
    <w:p>
      <w:pPr>
        <w:widowControl/>
        <w:spacing w:line="360" w:lineRule="auto"/>
        <w:ind w:firstLine="630" w:firstLineChars="224"/>
        <w:rPr>
          <w:rFonts w:ascii="宋体" w:hAnsi="宋体" w:cs="宋体"/>
          <w:b/>
          <w:bCs/>
          <w:kern w:val="0"/>
          <w:sz w:val="28"/>
          <w:szCs w:val="28"/>
          <w:highlight w:val="none"/>
          <w:lang w:val="zh-CN"/>
        </w:rPr>
      </w:pPr>
    </w:p>
    <w:p>
      <w:pPr>
        <w:rPr>
          <w:rFonts w:hint="eastAsia" w:hAnsi="宋体"/>
          <w:b/>
          <w:sz w:val="32"/>
          <w:highlight w:val="none"/>
          <w:lang w:val="zh-CN"/>
        </w:rPr>
      </w:pPr>
      <w:r>
        <w:rPr>
          <w:rFonts w:hAnsi="宋体" w:cs="宋体"/>
          <w:kern w:val="0"/>
          <w:szCs w:val="28"/>
          <w:highlight w:val="none"/>
          <w:lang w:val="zh-CN"/>
        </w:rPr>
        <w:br w:type="page"/>
      </w:r>
      <w:r>
        <w:rPr>
          <w:rFonts w:hint="eastAsia"/>
          <w:b/>
          <w:sz w:val="28"/>
          <w:highlight w:val="none"/>
          <w:lang w:val="zh-CN"/>
        </w:rPr>
        <w:t>磋商响应文件封面</w:t>
      </w:r>
    </w:p>
    <w:p>
      <w:pPr>
        <w:pStyle w:val="4"/>
        <w:numPr>
          <w:ilvl w:val="0"/>
          <w:numId w:val="33"/>
        </w:numPr>
        <w:tabs>
          <w:tab w:val="left" w:pos="425"/>
          <w:tab w:val="left" w:pos="720"/>
        </w:tabs>
        <w:rPr>
          <w:rFonts w:hint="eastAsia"/>
          <w:highlight w:val="none"/>
          <w:lang w:val="zh-CN" w:eastAsia="zh-CN"/>
        </w:rPr>
      </w:pPr>
      <w:bookmarkStart w:id="143" w:name="_Toc5662_WPSOffice_Level2"/>
      <w:bookmarkStart w:id="144" w:name="_Toc535421994"/>
      <w:bookmarkStart w:id="145" w:name="_Toc7613"/>
      <w:r>
        <w:rPr>
          <w:rFonts w:hint="eastAsia" w:hAnsi="宋体"/>
          <w:b/>
          <w:sz w:val="32"/>
          <w:highlight w:val="none"/>
          <w:lang w:val="zh-CN"/>
        </w:rPr>
        <w:t>磋商响应文件封面</w:t>
      </w:r>
      <w:bookmarkEnd w:id="143"/>
      <w:bookmarkEnd w:id="144"/>
      <w:bookmarkEnd w:id="145"/>
    </w:p>
    <w:p>
      <w:pPr>
        <w:spacing w:line="360" w:lineRule="auto"/>
        <w:jc w:val="right"/>
        <w:rPr>
          <w:rFonts w:ascii="宋体" w:hAnsi="宋体"/>
          <w:sz w:val="32"/>
          <w:highlight w:val="none"/>
        </w:rPr>
      </w:pPr>
      <w:bookmarkStart w:id="146" w:name="_Toc11540_WPSOffice_Level1"/>
      <w:r>
        <w:rPr>
          <w:rFonts w:hint="eastAsia" w:ascii="宋体" w:hAnsi="宋体" w:cs="宋体"/>
          <w:b/>
          <w:bCs/>
          <w:kern w:val="0"/>
          <w:sz w:val="36"/>
          <w:szCs w:val="36"/>
          <w:highlight w:val="none"/>
        </w:rPr>
        <w:t>正本/副本</w:t>
      </w:r>
      <w:bookmarkEnd w:id="146"/>
    </w:p>
    <w:p>
      <w:pPr>
        <w:spacing w:line="360" w:lineRule="auto"/>
        <w:rPr>
          <w:rFonts w:ascii="宋体" w:hAnsi="宋体"/>
          <w:sz w:val="32"/>
          <w:highlight w:val="none"/>
        </w:rPr>
      </w:pPr>
    </w:p>
    <w:p>
      <w:pPr>
        <w:spacing w:line="360" w:lineRule="auto"/>
        <w:rPr>
          <w:rFonts w:ascii="宋体" w:hAnsi="宋体"/>
          <w:sz w:val="32"/>
          <w:highlight w:val="none"/>
        </w:rPr>
      </w:pPr>
    </w:p>
    <w:p>
      <w:pPr>
        <w:spacing w:line="360" w:lineRule="auto"/>
        <w:jc w:val="center"/>
        <w:rPr>
          <w:rFonts w:ascii="宋体" w:hAnsi="宋体"/>
          <w:b/>
          <w:sz w:val="96"/>
          <w:highlight w:val="none"/>
        </w:rPr>
      </w:pPr>
      <w:bookmarkStart w:id="147" w:name="_Toc22367_WPSOffice_Level2"/>
      <w:r>
        <w:rPr>
          <w:rFonts w:hint="eastAsia" w:ascii="宋体" w:hAnsi="宋体"/>
          <w:b/>
          <w:sz w:val="72"/>
          <w:highlight w:val="none"/>
        </w:rPr>
        <w:t>青海省政府采购项目</w:t>
      </w:r>
      <w:bookmarkEnd w:id="147"/>
    </w:p>
    <w:p>
      <w:pPr>
        <w:spacing w:line="360" w:lineRule="auto"/>
        <w:jc w:val="center"/>
        <w:rPr>
          <w:rFonts w:ascii="宋体" w:hAnsi="宋体"/>
          <w:b/>
          <w:sz w:val="48"/>
          <w:highlight w:val="none"/>
        </w:rPr>
      </w:pPr>
    </w:p>
    <w:p>
      <w:pPr>
        <w:spacing w:line="360" w:lineRule="auto"/>
        <w:jc w:val="center"/>
        <w:rPr>
          <w:rFonts w:ascii="宋体" w:hAnsi="宋体"/>
          <w:b/>
          <w:sz w:val="48"/>
          <w:highlight w:val="none"/>
        </w:rPr>
      </w:pPr>
    </w:p>
    <w:p>
      <w:pPr>
        <w:spacing w:line="360" w:lineRule="auto"/>
        <w:jc w:val="center"/>
        <w:rPr>
          <w:rFonts w:ascii="宋体" w:hAnsi="宋体"/>
          <w:b/>
          <w:sz w:val="56"/>
          <w:highlight w:val="none"/>
        </w:rPr>
      </w:pPr>
      <w:bookmarkStart w:id="148" w:name="_Toc15785_WPSOffice_Level1"/>
      <w:r>
        <w:rPr>
          <w:rFonts w:hint="eastAsia" w:ascii="宋体" w:hAnsi="宋体"/>
          <w:b/>
          <w:sz w:val="52"/>
          <w:highlight w:val="none"/>
        </w:rPr>
        <w:t>磋商响应文件</w:t>
      </w:r>
      <w:bookmarkEnd w:id="148"/>
    </w:p>
    <w:p>
      <w:pPr>
        <w:adjustRightInd w:val="0"/>
        <w:spacing w:line="360" w:lineRule="auto"/>
        <w:textAlignment w:val="baseline"/>
        <w:rPr>
          <w:rFonts w:ascii="宋体" w:hAnsi="宋体"/>
          <w:b/>
          <w:bCs/>
          <w:sz w:val="32"/>
          <w:highlight w:val="none"/>
        </w:rPr>
      </w:pPr>
    </w:p>
    <w:p>
      <w:pPr>
        <w:adjustRightInd w:val="0"/>
        <w:spacing w:line="360" w:lineRule="auto"/>
        <w:ind w:firstLine="643" w:firstLineChars="200"/>
        <w:textAlignment w:val="baseline"/>
        <w:rPr>
          <w:rFonts w:ascii="宋体" w:hAnsi="宋体"/>
          <w:b/>
          <w:bCs/>
          <w:sz w:val="32"/>
          <w:szCs w:val="32"/>
          <w:highlight w:val="none"/>
          <w:u w:val="single"/>
        </w:rPr>
      </w:pPr>
      <w:bookmarkStart w:id="149" w:name="_Toc831_WPSOffice_Level1"/>
      <w:r>
        <w:rPr>
          <w:rFonts w:hint="eastAsia" w:ascii="宋体" w:hAnsi="宋体"/>
          <w:b/>
          <w:bCs/>
          <w:sz w:val="32"/>
          <w:szCs w:val="32"/>
          <w:highlight w:val="none"/>
        </w:rPr>
        <w:t>采购项目编号</w:t>
      </w:r>
      <w:r>
        <w:rPr>
          <w:rFonts w:hint="eastAsia" w:ascii="宋体" w:hAnsi="宋体"/>
          <w:sz w:val="32"/>
          <w:szCs w:val="32"/>
          <w:highlight w:val="none"/>
        </w:rPr>
        <w:t>：</w:t>
      </w:r>
      <w:bookmarkEnd w:id="149"/>
      <w:r>
        <w:rPr>
          <w:rFonts w:hint="eastAsia" w:ascii="宋体" w:hAnsi="宋体"/>
          <w:sz w:val="32"/>
          <w:szCs w:val="32"/>
          <w:highlight w:val="none"/>
          <w:u w:val="single"/>
        </w:rPr>
        <w:t xml:space="preserve">               </w:t>
      </w:r>
      <w:r>
        <w:rPr>
          <w:rFonts w:ascii="宋体" w:hAnsi="宋体"/>
          <w:sz w:val="32"/>
          <w:szCs w:val="32"/>
          <w:highlight w:val="none"/>
          <w:u w:val="single"/>
        </w:rPr>
        <w:t xml:space="preserve">  </w:t>
      </w:r>
      <w:r>
        <w:rPr>
          <w:rFonts w:hint="eastAsia" w:ascii="宋体" w:hAnsi="宋体"/>
          <w:sz w:val="32"/>
          <w:szCs w:val="32"/>
          <w:highlight w:val="none"/>
          <w:u w:val="single"/>
        </w:rPr>
        <w:t xml:space="preserve"> </w:t>
      </w:r>
      <w:r>
        <w:rPr>
          <w:rFonts w:ascii="宋体" w:hAnsi="宋体"/>
          <w:sz w:val="32"/>
          <w:szCs w:val="32"/>
          <w:highlight w:val="none"/>
          <w:u w:val="single"/>
        </w:rPr>
        <w:t xml:space="preserve">            </w:t>
      </w:r>
    </w:p>
    <w:p>
      <w:pPr>
        <w:adjustRightInd w:val="0"/>
        <w:spacing w:line="360" w:lineRule="auto"/>
        <w:ind w:firstLine="660"/>
        <w:textAlignment w:val="baseline"/>
        <w:rPr>
          <w:rFonts w:ascii="宋体" w:hAnsi="宋体"/>
          <w:b/>
          <w:bCs/>
          <w:sz w:val="32"/>
          <w:szCs w:val="32"/>
          <w:highlight w:val="none"/>
          <w:u w:val="single"/>
        </w:rPr>
      </w:pPr>
      <w:bookmarkStart w:id="150" w:name="_Toc4432_WPSOffice_Level1"/>
      <w:r>
        <w:rPr>
          <w:rFonts w:ascii="宋体" w:hAnsi="宋体"/>
          <w:b/>
          <w:bCs/>
          <w:sz w:val="32"/>
          <w:szCs w:val="32"/>
          <w:highlight w:val="none"/>
        </w:rPr>
        <w:t>采购项目名称</w:t>
      </w:r>
      <w:r>
        <w:rPr>
          <w:rFonts w:hint="eastAsia" w:ascii="宋体" w:hAnsi="宋体"/>
          <w:b/>
          <w:bCs/>
          <w:sz w:val="32"/>
          <w:szCs w:val="32"/>
          <w:highlight w:val="none"/>
        </w:rPr>
        <w:t>：</w:t>
      </w:r>
      <w:bookmarkEnd w:id="150"/>
      <w:r>
        <w:rPr>
          <w:rFonts w:hint="eastAsia" w:ascii="宋体" w:hAnsi="宋体"/>
          <w:b/>
          <w:bCs/>
          <w:sz w:val="32"/>
          <w:szCs w:val="32"/>
          <w:highlight w:val="none"/>
          <w:u w:val="single"/>
        </w:rPr>
        <w:t xml:space="preserve">                              </w:t>
      </w:r>
    </w:p>
    <w:p>
      <w:pPr>
        <w:adjustRightInd w:val="0"/>
        <w:spacing w:line="360" w:lineRule="auto"/>
        <w:ind w:firstLine="643" w:firstLineChars="200"/>
        <w:textAlignment w:val="baseline"/>
        <w:rPr>
          <w:rFonts w:ascii="宋体" w:hAnsi="宋体"/>
          <w:b/>
          <w:bCs/>
          <w:sz w:val="32"/>
          <w:szCs w:val="32"/>
          <w:highlight w:val="none"/>
          <w:u w:val="single"/>
        </w:rPr>
      </w:pPr>
      <w:bookmarkStart w:id="151" w:name="_Toc12819_WPSOffice_Level1"/>
      <w:r>
        <w:rPr>
          <w:rFonts w:hint="eastAsia" w:ascii="宋体" w:hAnsi="宋体"/>
          <w:b/>
          <w:bCs/>
          <w:sz w:val="32"/>
          <w:szCs w:val="32"/>
          <w:highlight w:val="none"/>
        </w:rPr>
        <w:t>磋商供应商</w:t>
      </w:r>
      <w:r>
        <w:rPr>
          <w:rFonts w:hint="eastAsia" w:ascii="宋体" w:hAnsi="宋体"/>
          <w:b/>
          <w:sz w:val="32"/>
          <w:szCs w:val="32"/>
          <w:highlight w:val="none"/>
        </w:rPr>
        <w:t>：</w:t>
      </w:r>
      <w:r>
        <w:rPr>
          <w:rFonts w:hint="eastAsia" w:ascii="宋体" w:hAnsi="宋体"/>
          <w:b/>
          <w:sz w:val="32"/>
          <w:szCs w:val="32"/>
          <w:highlight w:val="none"/>
          <w:u w:val="single"/>
        </w:rPr>
        <w:t xml:space="preserve">                        （公章）</w:t>
      </w:r>
      <w:bookmarkEnd w:id="151"/>
    </w:p>
    <w:p>
      <w:pPr>
        <w:adjustRightInd w:val="0"/>
        <w:spacing w:line="360" w:lineRule="auto"/>
        <w:ind w:firstLine="643" w:firstLineChars="200"/>
        <w:textAlignment w:val="baseline"/>
        <w:rPr>
          <w:rFonts w:hint="eastAsia" w:ascii="宋体" w:hAnsi="宋体" w:eastAsia="宋体"/>
          <w:b/>
          <w:sz w:val="32"/>
          <w:highlight w:val="none"/>
          <w:u w:val="single"/>
          <w:lang w:val="en-US" w:eastAsia="zh-CN"/>
        </w:rPr>
      </w:pPr>
      <w:bookmarkStart w:id="152" w:name="_Toc30869_WPSOffice_Level1"/>
      <w:r>
        <w:rPr>
          <w:rFonts w:hint="eastAsia" w:ascii="宋体" w:hAnsi="宋体"/>
          <w:b/>
          <w:sz w:val="32"/>
          <w:highlight w:val="none"/>
        </w:rPr>
        <w:t>法定代表人：</w:t>
      </w:r>
      <w:r>
        <w:rPr>
          <w:rFonts w:hint="eastAsia" w:ascii="宋体" w:hAnsi="宋体"/>
          <w:b/>
          <w:sz w:val="32"/>
          <w:highlight w:val="none"/>
          <w:u w:val="single"/>
        </w:rPr>
        <w:t xml:space="preserve">          </w:t>
      </w:r>
      <w:r>
        <w:rPr>
          <w:rFonts w:ascii="宋体" w:hAnsi="宋体"/>
          <w:b/>
          <w:sz w:val="32"/>
          <w:highlight w:val="none"/>
          <w:u w:val="single"/>
        </w:rPr>
        <w:t xml:space="preserve">  </w:t>
      </w:r>
      <w:r>
        <w:rPr>
          <w:rFonts w:hint="eastAsia" w:ascii="宋体" w:hAnsi="宋体"/>
          <w:b/>
          <w:sz w:val="32"/>
          <w:highlight w:val="none"/>
          <w:u w:val="single"/>
        </w:rPr>
        <w:t>（签字</w:t>
      </w:r>
      <w:r>
        <w:rPr>
          <w:rFonts w:hint="eastAsia" w:ascii="宋体" w:hAnsi="宋体"/>
          <w:b/>
          <w:sz w:val="32"/>
          <w:highlight w:val="none"/>
          <w:u w:val="single"/>
          <w:lang w:eastAsia="zh-CN"/>
        </w:rPr>
        <w:t>或</w:t>
      </w:r>
      <w:r>
        <w:rPr>
          <w:rFonts w:hint="eastAsia" w:ascii="宋体" w:hAnsi="宋体"/>
          <w:b/>
          <w:sz w:val="32"/>
          <w:highlight w:val="none"/>
          <w:u w:val="single"/>
        </w:rPr>
        <w:t>加盖法人章）</w:t>
      </w:r>
      <w:bookmarkEnd w:id="152"/>
    </w:p>
    <w:p>
      <w:pPr>
        <w:adjustRightInd w:val="0"/>
        <w:spacing w:line="360" w:lineRule="auto"/>
        <w:ind w:firstLine="643" w:firstLineChars="200"/>
        <w:textAlignment w:val="baseline"/>
        <w:rPr>
          <w:rFonts w:ascii="宋体" w:hAnsi="宋体"/>
          <w:b/>
          <w:sz w:val="32"/>
          <w:highlight w:val="none"/>
          <w:u w:val="single"/>
        </w:rPr>
      </w:pPr>
    </w:p>
    <w:p>
      <w:pPr>
        <w:spacing w:line="360" w:lineRule="auto"/>
        <w:ind w:firstLine="645"/>
        <w:jc w:val="center"/>
        <w:rPr>
          <w:rFonts w:ascii="宋体" w:hAnsi="宋体"/>
          <w:sz w:val="32"/>
          <w:highlight w:val="none"/>
        </w:rPr>
      </w:pPr>
      <w:r>
        <w:rPr>
          <w:rFonts w:hint="eastAsia" w:ascii="宋体" w:hAnsi="宋体"/>
          <w:sz w:val="32"/>
          <w:highlight w:val="none"/>
        </w:rPr>
        <w:t xml:space="preserve">                </w:t>
      </w:r>
      <w:bookmarkStart w:id="153" w:name="_Toc19868_WPSOffice_Level2"/>
      <w:r>
        <w:rPr>
          <w:rFonts w:hint="eastAsia" w:ascii="宋体" w:hAnsi="宋体"/>
          <w:sz w:val="32"/>
          <w:highlight w:val="none"/>
        </w:rPr>
        <w:t>年   月  日</w:t>
      </w:r>
      <w:bookmarkEnd w:id="153"/>
      <w:bookmarkStart w:id="154" w:name="_Toc444715735"/>
    </w:p>
    <w:p>
      <w:pPr>
        <w:pStyle w:val="4"/>
        <w:numPr>
          <w:ilvl w:val="0"/>
          <w:numId w:val="0"/>
        </w:numPr>
        <w:tabs>
          <w:tab w:val="left" w:pos="425"/>
          <w:tab w:val="left" w:pos="720"/>
        </w:tabs>
        <w:ind w:left="709" w:hanging="709"/>
        <w:rPr>
          <w:rFonts w:hAnsi="宋体"/>
          <w:b/>
          <w:sz w:val="32"/>
          <w:highlight w:val="none"/>
          <w:lang w:val="zh-CN" w:eastAsia="zh-CN"/>
        </w:rPr>
      </w:pPr>
      <w:r>
        <w:rPr>
          <w:rFonts w:hAnsi="宋体"/>
          <w:highlight w:val="none"/>
        </w:rPr>
        <w:br w:type="page"/>
      </w:r>
      <w:bookmarkStart w:id="155" w:name="_Toc535421995"/>
      <w:bookmarkStart w:id="156" w:name="_Toc15009"/>
      <w:bookmarkStart w:id="157" w:name="_Toc11283_WPSOffice_Level1"/>
      <w:r>
        <w:rPr>
          <w:rFonts w:hint="eastAsia" w:hAnsi="宋体"/>
          <w:b/>
          <w:sz w:val="32"/>
          <w:highlight w:val="none"/>
          <w:lang w:val="zh-CN"/>
        </w:rPr>
        <w:t>磋商响应文件目录</w:t>
      </w:r>
      <w:bookmarkEnd w:id="154"/>
      <w:bookmarkEnd w:id="155"/>
      <w:bookmarkEnd w:id="156"/>
      <w:bookmarkEnd w:id="157"/>
    </w:p>
    <w:p>
      <w:pPr>
        <w:autoSpaceDE w:val="0"/>
        <w:autoSpaceDN w:val="0"/>
        <w:spacing w:line="360" w:lineRule="auto"/>
        <w:ind w:firstLine="240" w:firstLineChars="100"/>
        <w:jc w:val="center"/>
        <w:rPr>
          <w:rFonts w:ascii="宋体" w:hAnsi="宋体" w:cs="宋体"/>
          <w:kern w:val="0"/>
          <w:sz w:val="24"/>
          <w:highlight w:val="none"/>
          <w:lang w:val="zh-CN"/>
        </w:rPr>
      </w:pPr>
      <w:r>
        <w:rPr>
          <w:rFonts w:hint="eastAsia" w:ascii="宋体" w:hAnsi="宋体" w:cs="宋体"/>
          <w:kern w:val="0"/>
          <w:sz w:val="24"/>
          <w:highlight w:val="none"/>
          <w:lang w:val="zh-CN"/>
        </w:rPr>
        <w:t>（</w:t>
      </w:r>
      <w:r>
        <w:rPr>
          <w:rFonts w:hint="eastAsia" w:ascii="宋体" w:hAnsi="宋体" w:cs="宋体"/>
          <w:kern w:val="0"/>
          <w:sz w:val="24"/>
          <w:highlight w:val="none"/>
        </w:rPr>
        <w:t>1</w:t>
      </w:r>
      <w:r>
        <w:rPr>
          <w:rFonts w:hint="eastAsia" w:ascii="宋体" w:hAnsi="宋体" w:cs="宋体"/>
          <w:kern w:val="0"/>
          <w:sz w:val="24"/>
          <w:highlight w:val="none"/>
          <w:lang w:val="zh-CN"/>
        </w:rPr>
        <w:t>）</w:t>
      </w:r>
      <w:r>
        <w:rPr>
          <w:rFonts w:hint="eastAsia" w:ascii="宋体" w:hAnsi="宋体" w:cs="宋体"/>
          <w:kern w:val="0"/>
          <w:sz w:val="24"/>
          <w:highlight w:val="none"/>
        </w:rPr>
        <w:t xml:space="preserve"> 磋商</w:t>
      </w:r>
      <w:r>
        <w:rPr>
          <w:rFonts w:hint="eastAsia" w:ascii="宋体" w:hAnsi="宋体" w:cs="宋体"/>
          <w:kern w:val="0"/>
          <w:sz w:val="24"/>
          <w:highlight w:val="none"/>
          <w:lang w:val="zh-CN"/>
        </w:rPr>
        <w:t>函……………………………………………………………所在页码</w:t>
      </w:r>
    </w:p>
    <w:p>
      <w:pPr>
        <w:autoSpaceDE w:val="0"/>
        <w:autoSpaceDN w:val="0"/>
        <w:spacing w:line="360" w:lineRule="auto"/>
        <w:ind w:firstLine="240" w:firstLineChars="100"/>
        <w:jc w:val="center"/>
        <w:rPr>
          <w:rFonts w:ascii="宋体" w:hAnsi="宋体" w:cs="宋体"/>
          <w:kern w:val="0"/>
          <w:sz w:val="24"/>
          <w:highlight w:val="none"/>
          <w:lang w:val="zh-CN"/>
        </w:rPr>
      </w:pPr>
      <w:r>
        <w:rPr>
          <w:rFonts w:hint="eastAsia" w:ascii="宋体" w:hAnsi="宋体" w:cs="宋体"/>
          <w:kern w:val="0"/>
          <w:sz w:val="24"/>
          <w:highlight w:val="none"/>
          <w:lang w:val="zh-CN"/>
        </w:rPr>
        <w:t>（</w:t>
      </w:r>
      <w:r>
        <w:rPr>
          <w:rFonts w:hint="eastAsia" w:ascii="宋体" w:hAnsi="宋体" w:cs="宋体"/>
          <w:kern w:val="0"/>
          <w:sz w:val="24"/>
          <w:highlight w:val="none"/>
        </w:rPr>
        <w:t>2</w:t>
      </w:r>
      <w:r>
        <w:rPr>
          <w:rFonts w:hint="eastAsia" w:ascii="宋体" w:hAnsi="宋体" w:cs="宋体"/>
          <w:kern w:val="0"/>
          <w:sz w:val="24"/>
          <w:highlight w:val="none"/>
          <w:lang w:val="zh-CN"/>
        </w:rPr>
        <w:t>）法定代表人证明书……………………………………………… 所在页码</w:t>
      </w:r>
    </w:p>
    <w:p>
      <w:pPr>
        <w:autoSpaceDE w:val="0"/>
        <w:autoSpaceDN w:val="0"/>
        <w:spacing w:line="360" w:lineRule="auto"/>
        <w:ind w:firstLine="240" w:firstLineChars="100"/>
        <w:jc w:val="center"/>
        <w:rPr>
          <w:rFonts w:ascii="宋体" w:hAnsi="宋体" w:cs="宋体"/>
          <w:kern w:val="0"/>
          <w:sz w:val="24"/>
          <w:highlight w:val="none"/>
          <w:lang w:val="zh-CN"/>
        </w:rPr>
      </w:pPr>
      <w:r>
        <w:rPr>
          <w:rFonts w:hint="eastAsia" w:ascii="宋体" w:hAnsi="宋体" w:cs="宋体"/>
          <w:kern w:val="0"/>
          <w:sz w:val="24"/>
          <w:highlight w:val="none"/>
          <w:lang w:val="zh-CN"/>
        </w:rPr>
        <w:t>（</w:t>
      </w:r>
      <w:r>
        <w:rPr>
          <w:rFonts w:hint="eastAsia" w:ascii="宋体" w:hAnsi="宋体" w:cs="宋体"/>
          <w:kern w:val="0"/>
          <w:sz w:val="24"/>
          <w:highlight w:val="none"/>
        </w:rPr>
        <w:t>3</w:t>
      </w:r>
      <w:r>
        <w:rPr>
          <w:rFonts w:hint="eastAsia" w:ascii="宋体" w:hAnsi="宋体" w:cs="宋体"/>
          <w:kern w:val="0"/>
          <w:sz w:val="24"/>
          <w:highlight w:val="none"/>
          <w:lang w:val="zh-CN"/>
        </w:rPr>
        <w:t>）法定代表人授权书……………………………………………… 所在页码</w:t>
      </w:r>
    </w:p>
    <w:p>
      <w:pPr>
        <w:autoSpaceDE w:val="0"/>
        <w:autoSpaceDN w:val="0"/>
        <w:spacing w:line="360" w:lineRule="auto"/>
        <w:ind w:firstLine="240" w:firstLineChars="100"/>
        <w:jc w:val="center"/>
        <w:rPr>
          <w:rFonts w:ascii="宋体" w:hAnsi="宋体" w:cs="宋体"/>
          <w:kern w:val="0"/>
          <w:sz w:val="24"/>
          <w:highlight w:val="none"/>
          <w:lang w:val="zh-CN"/>
        </w:rPr>
      </w:pPr>
      <w:r>
        <w:rPr>
          <w:rFonts w:hint="eastAsia" w:ascii="宋体" w:hAnsi="宋体" w:cs="宋体"/>
          <w:kern w:val="0"/>
          <w:sz w:val="24"/>
          <w:highlight w:val="none"/>
          <w:lang w:val="zh-CN"/>
        </w:rPr>
        <w:t>（4）磋商供应商承诺书……………………………………………… 所在页码</w:t>
      </w:r>
    </w:p>
    <w:p>
      <w:pPr>
        <w:autoSpaceDE w:val="0"/>
        <w:autoSpaceDN w:val="0"/>
        <w:spacing w:line="360" w:lineRule="auto"/>
        <w:ind w:firstLine="240" w:firstLineChars="100"/>
        <w:jc w:val="center"/>
        <w:rPr>
          <w:rFonts w:ascii="宋体" w:hAnsi="宋体" w:cs="宋体"/>
          <w:kern w:val="0"/>
          <w:sz w:val="24"/>
          <w:highlight w:val="none"/>
          <w:lang w:val="zh-CN"/>
        </w:rPr>
      </w:pPr>
      <w:r>
        <w:rPr>
          <w:rFonts w:hint="eastAsia" w:ascii="宋体" w:hAnsi="宋体" w:cs="宋体"/>
          <w:kern w:val="0"/>
          <w:sz w:val="24"/>
          <w:highlight w:val="none"/>
          <w:lang w:val="zh-CN"/>
        </w:rPr>
        <w:t>（</w:t>
      </w:r>
      <w:r>
        <w:rPr>
          <w:rFonts w:hint="eastAsia" w:ascii="宋体" w:hAnsi="宋体" w:cs="宋体"/>
          <w:kern w:val="0"/>
          <w:sz w:val="24"/>
          <w:highlight w:val="none"/>
        </w:rPr>
        <w:t>5</w:t>
      </w:r>
      <w:r>
        <w:rPr>
          <w:rFonts w:hint="eastAsia" w:ascii="宋体" w:hAnsi="宋体" w:cs="宋体"/>
          <w:kern w:val="0"/>
          <w:sz w:val="24"/>
          <w:highlight w:val="none"/>
          <w:lang w:val="zh-CN"/>
        </w:rPr>
        <w:t>）供应商诚信承诺书……………………………………………… 所在页码</w:t>
      </w:r>
    </w:p>
    <w:p>
      <w:pPr>
        <w:autoSpaceDE w:val="0"/>
        <w:autoSpaceDN w:val="0"/>
        <w:spacing w:line="360" w:lineRule="auto"/>
        <w:ind w:firstLine="240" w:firstLineChars="100"/>
        <w:jc w:val="center"/>
        <w:rPr>
          <w:rFonts w:ascii="宋体" w:hAnsi="宋体" w:cs="宋体"/>
          <w:kern w:val="0"/>
          <w:sz w:val="24"/>
          <w:highlight w:val="none"/>
          <w:lang w:val="zh-CN"/>
        </w:rPr>
      </w:pPr>
      <w:r>
        <w:rPr>
          <w:rFonts w:hint="eastAsia" w:ascii="宋体" w:hAnsi="宋体" w:cs="宋体"/>
          <w:kern w:val="0"/>
          <w:sz w:val="24"/>
          <w:highlight w:val="none"/>
          <w:lang w:val="zh-CN"/>
        </w:rPr>
        <w:t>（</w:t>
      </w:r>
      <w:r>
        <w:rPr>
          <w:rFonts w:hint="eastAsia" w:ascii="宋体" w:hAnsi="宋体" w:cs="宋体"/>
          <w:kern w:val="0"/>
          <w:sz w:val="24"/>
          <w:highlight w:val="none"/>
        </w:rPr>
        <w:t>6</w:t>
      </w:r>
      <w:r>
        <w:rPr>
          <w:rFonts w:hint="eastAsia" w:ascii="宋体" w:hAnsi="宋体" w:cs="宋体"/>
          <w:kern w:val="0"/>
          <w:sz w:val="24"/>
          <w:highlight w:val="none"/>
          <w:lang w:val="zh-CN"/>
        </w:rPr>
        <w:t>）资格证明材料…………………………………………………… 所在页码</w:t>
      </w:r>
    </w:p>
    <w:p>
      <w:pPr>
        <w:autoSpaceDE w:val="0"/>
        <w:autoSpaceDN w:val="0"/>
        <w:spacing w:line="360" w:lineRule="auto"/>
        <w:ind w:firstLine="240" w:firstLineChars="100"/>
        <w:jc w:val="center"/>
        <w:rPr>
          <w:rFonts w:ascii="宋体" w:hAnsi="宋体" w:cs="宋体"/>
          <w:kern w:val="0"/>
          <w:sz w:val="24"/>
          <w:highlight w:val="none"/>
          <w:lang w:val="zh-CN"/>
        </w:rPr>
      </w:pPr>
      <w:r>
        <w:rPr>
          <w:rFonts w:hint="eastAsia" w:ascii="宋体" w:hAnsi="宋体" w:cs="宋体"/>
          <w:kern w:val="0"/>
          <w:sz w:val="24"/>
          <w:highlight w:val="none"/>
          <w:lang w:val="zh-CN"/>
        </w:rPr>
        <w:t>（</w:t>
      </w:r>
      <w:r>
        <w:rPr>
          <w:rFonts w:hint="eastAsia" w:ascii="宋体" w:hAnsi="宋体" w:cs="宋体"/>
          <w:kern w:val="0"/>
          <w:sz w:val="24"/>
          <w:highlight w:val="none"/>
        </w:rPr>
        <w:t>7</w:t>
      </w:r>
      <w:r>
        <w:rPr>
          <w:rFonts w:hint="eastAsia" w:ascii="宋体" w:hAnsi="宋体" w:cs="宋体"/>
          <w:kern w:val="0"/>
          <w:sz w:val="24"/>
          <w:highlight w:val="none"/>
          <w:lang w:val="zh-CN"/>
        </w:rPr>
        <w:t>）财务状况、缴纳税收和社会保障资金证明…………………… 所在页码</w:t>
      </w:r>
    </w:p>
    <w:p>
      <w:pPr>
        <w:autoSpaceDE w:val="0"/>
        <w:autoSpaceDN w:val="0"/>
        <w:spacing w:line="360" w:lineRule="auto"/>
        <w:ind w:firstLine="240" w:firstLineChars="100"/>
        <w:jc w:val="center"/>
        <w:rPr>
          <w:rFonts w:ascii="宋体" w:hAnsi="宋体" w:cs="宋体"/>
          <w:kern w:val="0"/>
          <w:sz w:val="24"/>
          <w:highlight w:val="none"/>
          <w:lang w:val="zh-CN"/>
        </w:rPr>
      </w:pPr>
      <w:r>
        <w:rPr>
          <w:rFonts w:hint="eastAsia" w:ascii="宋体" w:hAnsi="宋体" w:cs="宋体"/>
          <w:kern w:val="0"/>
          <w:sz w:val="24"/>
          <w:highlight w:val="none"/>
          <w:lang w:val="zh-CN"/>
        </w:rPr>
        <w:t>（8）具备履行合同所必须的设备和专业技术能力证明……………所在页码</w:t>
      </w:r>
    </w:p>
    <w:p>
      <w:pPr>
        <w:autoSpaceDE w:val="0"/>
        <w:autoSpaceDN w:val="0"/>
        <w:spacing w:line="360" w:lineRule="auto"/>
        <w:ind w:firstLine="240" w:firstLineChars="100"/>
        <w:jc w:val="center"/>
        <w:rPr>
          <w:rFonts w:ascii="宋体" w:hAnsi="宋体" w:cs="宋体"/>
          <w:kern w:val="0"/>
          <w:sz w:val="24"/>
          <w:highlight w:val="none"/>
          <w:lang w:val="zh-CN"/>
        </w:rPr>
      </w:pPr>
      <w:r>
        <w:rPr>
          <w:rFonts w:hint="eastAsia" w:ascii="宋体" w:hAnsi="宋体" w:cs="宋体"/>
          <w:kern w:val="0"/>
          <w:sz w:val="24"/>
          <w:highlight w:val="none"/>
          <w:lang w:val="zh-CN"/>
        </w:rPr>
        <w:t>（9）无重大违法记录声明……………………………………………所在页码</w:t>
      </w:r>
    </w:p>
    <w:p>
      <w:pPr>
        <w:autoSpaceDE w:val="0"/>
        <w:autoSpaceDN w:val="0"/>
        <w:spacing w:line="360" w:lineRule="auto"/>
        <w:ind w:firstLine="240" w:firstLineChars="100"/>
        <w:jc w:val="center"/>
        <w:rPr>
          <w:rFonts w:ascii="宋体" w:hAnsi="宋体" w:cs="宋体"/>
          <w:kern w:val="0"/>
          <w:sz w:val="24"/>
          <w:highlight w:val="none"/>
          <w:lang w:val="zh-CN"/>
        </w:rPr>
      </w:pPr>
      <w:r>
        <w:rPr>
          <w:rFonts w:hint="eastAsia" w:ascii="宋体" w:hAnsi="宋体" w:cs="宋体"/>
          <w:kern w:val="0"/>
          <w:sz w:val="24"/>
          <w:highlight w:val="none"/>
          <w:lang w:val="zh-CN"/>
        </w:rPr>
        <w:t>（10）</w:t>
      </w:r>
      <w:r>
        <w:rPr>
          <w:rFonts w:hint="eastAsia" w:ascii="宋体" w:hAnsi="宋体" w:cs="宋体"/>
          <w:sz w:val="24"/>
          <w:highlight w:val="none"/>
        </w:rPr>
        <w:t>磋商保证金证明</w:t>
      </w:r>
      <w:r>
        <w:rPr>
          <w:rFonts w:hint="eastAsia" w:ascii="宋体" w:hAnsi="宋体" w:cs="宋体"/>
          <w:kern w:val="0"/>
          <w:sz w:val="24"/>
          <w:highlight w:val="none"/>
          <w:lang w:val="zh-CN"/>
        </w:rPr>
        <w:t>…………………………………………………所在页码</w:t>
      </w:r>
    </w:p>
    <w:p>
      <w:pPr>
        <w:numPr>
          <w:ilvl w:val="0"/>
          <w:numId w:val="34"/>
        </w:numPr>
        <w:spacing w:line="360" w:lineRule="auto"/>
        <w:jc w:val="center"/>
        <w:rPr>
          <w:rFonts w:hint="eastAsia" w:ascii="宋体" w:hAnsi="宋体" w:cs="宋体"/>
          <w:kern w:val="0"/>
          <w:sz w:val="24"/>
          <w:highlight w:val="none"/>
          <w:lang w:val="zh-CN"/>
        </w:rPr>
      </w:pPr>
      <w:r>
        <w:rPr>
          <w:rFonts w:hint="eastAsia" w:ascii="宋体" w:hAnsi="宋体" w:cs="宋体"/>
          <w:kern w:val="0"/>
          <w:sz w:val="24"/>
          <w:highlight w:val="none"/>
          <w:lang w:val="zh-CN"/>
        </w:rPr>
        <w:t>评分对照表………………………………………………………所在页码</w:t>
      </w:r>
    </w:p>
    <w:p>
      <w:pPr>
        <w:numPr>
          <w:ilvl w:val="0"/>
          <w:numId w:val="34"/>
        </w:numPr>
        <w:spacing w:line="360" w:lineRule="auto"/>
        <w:jc w:val="center"/>
        <w:rPr>
          <w:rFonts w:hint="eastAsia" w:ascii="宋体" w:hAnsi="宋体" w:cs="宋体"/>
          <w:kern w:val="0"/>
          <w:sz w:val="24"/>
          <w:highlight w:val="none"/>
          <w:lang w:val="zh-CN"/>
        </w:rPr>
      </w:pPr>
      <w:r>
        <w:rPr>
          <w:rFonts w:hint="eastAsia" w:ascii="宋体" w:hAnsi="宋体" w:cs="宋体"/>
          <w:kern w:val="0"/>
          <w:sz w:val="24"/>
          <w:highlight w:val="none"/>
          <w:lang w:val="zh-CN"/>
        </w:rPr>
        <w:t>竞争性磋商首次报价表…………………………………………所在页码</w:t>
      </w:r>
    </w:p>
    <w:p>
      <w:pPr>
        <w:numPr>
          <w:ilvl w:val="0"/>
          <w:numId w:val="34"/>
        </w:numPr>
        <w:spacing w:line="360" w:lineRule="auto"/>
        <w:jc w:val="center"/>
        <w:rPr>
          <w:rFonts w:hint="eastAsia" w:ascii="宋体" w:hAnsi="宋体" w:cs="宋体"/>
          <w:kern w:val="0"/>
          <w:sz w:val="24"/>
          <w:highlight w:val="none"/>
          <w:lang w:val="zh-CN"/>
        </w:rPr>
      </w:pPr>
      <w:r>
        <w:rPr>
          <w:rFonts w:hint="eastAsia" w:ascii="宋体" w:hAnsi="宋体" w:cs="宋体"/>
          <w:kern w:val="0"/>
          <w:sz w:val="24"/>
          <w:highlight w:val="none"/>
          <w:lang w:val="zh-CN"/>
        </w:rPr>
        <w:t>分项报价表………………………………………………………所在页码</w:t>
      </w:r>
    </w:p>
    <w:p>
      <w:pPr>
        <w:numPr>
          <w:ilvl w:val="0"/>
          <w:numId w:val="34"/>
        </w:numPr>
        <w:spacing w:line="360" w:lineRule="auto"/>
        <w:jc w:val="center"/>
        <w:rPr>
          <w:rFonts w:hint="eastAsia" w:ascii="宋体" w:hAnsi="宋体" w:cs="宋体"/>
          <w:kern w:val="0"/>
          <w:sz w:val="24"/>
          <w:highlight w:val="none"/>
          <w:lang w:val="zh-CN"/>
        </w:rPr>
      </w:pPr>
      <w:r>
        <w:rPr>
          <w:rFonts w:hint="eastAsia" w:ascii="宋体" w:hAnsi="宋体" w:cs="宋体"/>
          <w:kern w:val="0"/>
          <w:sz w:val="24"/>
          <w:highlight w:val="none"/>
          <w:lang w:val="zh-CN"/>
        </w:rPr>
        <w:t>磋商服务相关资料………………………………………………所在页码</w:t>
      </w:r>
    </w:p>
    <w:p>
      <w:pPr>
        <w:numPr>
          <w:ilvl w:val="0"/>
          <w:numId w:val="34"/>
        </w:numPr>
        <w:spacing w:line="360" w:lineRule="auto"/>
        <w:jc w:val="center"/>
        <w:rPr>
          <w:rFonts w:hint="eastAsia" w:ascii="宋体" w:hAnsi="宋体" w:cs="宋体"/>
          <w:kern w:val="0"/>
          <w:sz w:val="24"/>
          <w:highlight w:val="none"/>
          <w:lang w:val="zh-CN"/>
        </w:rPr>
      </w:pPr>
      <w:r>
        <w:rPr>
          <w:rFonts w:hint="eastAsia" w:ascii="宋体" w:hAnsi="宋体" w:cs="宋体"/>
          <w:kern w:val="0"/>
          <w:sz w:val="24"/>
          <w:highlight w:val="none"/>
          <w:lang w:val="zh-CN"/>
        </w:rPr>
        <w:t>磋商供应商的类似业绩证明材料………………………………所在页码</w:t>
      </w:r>
    </w:p>
    <w:p>
      <w:pPr>
        <w:numPr>
          <w:ilvl w:val="0"/>
          <w:numId w:val="34"/>
        </w:numPr>
        <w:spacing w:line="360" w:lineRule="auto"/>
        <w:jc w:val="center"/>
        <w:rPr>
          <w:rFonts w:hint="eastAsia" w:ascii="宋体" w:hAnsi="宋体" w:cs="宋体"/>
          <w:kern w:val="0"/>
          <w:sz w:val="24"/>
          <w:highlight w:val="none"/>
          <w:lang w:val="zh-CN"/>
        </w:rPr>
      </w:pPr>
      <w:r>
        <w:rPr>
          <w:rFonts w:hint="eastAsia" w:ascii="宋体" w:hAnsi="宋体" w:cs="宋体"/>
          <w:kern w:val="0"/>
          <w:sz w:val="24"/>
          <w:highlight w:val="none"/>
          <w:lang w:val="zh-CN"/>
        </w:rPr>
        <w:t>中小微型企业声明函……………………………………………所在页码</w:t>
      </w:r>
    </w:p>
    <w:p>
      <w:pPr>
        <w:numPr>
          <w:ilvl w:val="0"/>
          <w:numId w:val="34"/>
        </w:numPr>
        <w:spacing w:line="360" w:lineRule="auto"/>
        <w:jc w:val="center"/>
        <w:rPr>
          <w:rFonts w:hint="eastAsia" w:ascii="宋体" w:hAnsi="宋体" w:cs="宋体"/>
          <w:kern w:val="0"/>
          <w:sz w:val="24"/>
          <w:highlight w:val="none"/>
          <w:lang w:val="zh-CN"/>
        </w:rPr>
      </w:pPr>
      <w:r>
        <w:rPr>
          <w:rFonts w:hint="eastAsia" w:ascii="宋体" w:hAnsi="宋体" w:cs="宋体"/>
          <w:kern w:val="0"/>
          <w:sz w:val="24"/>
          <w:highlight w:val="none"/>
          <w:lang w:val="zh-CN"/>
        </w:rPr>
        <w:t>残疾人福利性单位声明函………………………………………所在页码</w:t>
      </w:r>
    </w:p>
    <w:p>
      <w:pPr>
        <w:numPr>
          <w:ilvl w:val="0"/>
          <w:numId w:val="34"/>
        </w:numPr>
        <w:spacing w:line="360" w:lineRule="auto"/>
        <w:jc w:val="center"/>
        <w:rPr>
          <w:rFonts w:hint="eastAsia" w:ascii="宋体" w:hAnsi="宋体" w:cs="宋体"/>
          <w:kern w:val="0"/>
          <w:sz w:val="24"/>
          <w:highlight w:val="none"/>
          <w:lang w:val="zh-CN"/>
        </w:rPr>
      </w:pPr>
      <w:r>
        <w:rPr>
          <w:rFonts w:hint="eastAsia" w:ascii="宋体" w:hAnsi="宋体" w:cs="宋体"/>
          <w:kern w:val="0"/>
          <w:sz w:val="24"/>
          <w:highlight w:val="none"/>
          <w:lang w:val="zh-CN"/>
        </w:rPr>
        <w:t>磋商供应商认为在其他方面有必要说明的事项………………所在页码</w:t>
      </w:r>
    </w:p>
    <w:p>
      <w:pPr>
        <w:numPr>
          <w:ilvl w:val="0"/>
          <w:numId w:val="34"/>
        </w:numPr>
        <w:spacing w:line="360" w:lineRule="auto"/>
        <w:jc w:val="center"/>
        <w:rPr>
          <w:rFonts w:ascii="宋体" w:hAnsi="宋体" w:cs="宋体"/>
          <w:kern w:val="0"/>
          <w:sz w:val="24"/>
          <w:highlight w:val="none"/>
          <w:lang w:val="zh-CN"/>
        </w:rPr>
      </w:pPr>
      <w:r>
        <w:rPr>
          <w:rFonts w:hint="eastAsia" w:ascii="宋体" w:hAnsi="宋体" w:cs="宋体"/>
          <w:kern w:val="0"/>
          <w:sz w:val="24"/>
          <w:highlight w:val="none"/>
          <w:lang w:val="zh-CN"/>
        </w:rPr>
        <w:t>磋商最终报价表…………………………………………………所在页码</w:t>
      </w:r>
    </w:p>
    <w:p>
      <w:pPr>
        <w:autoSpaceDE w:val="0"/>
        <w:autoSpaceDN w:val="0"/>
        <w:spacing w:line="360" w:lineRule="auto"/>
        <w:ind w:firstLine="240" w:firstLineChars="100"/>
        <w:rPr>
          <w:rFonts w:ascii="宋体" w:hAnsi="宋体" w:cs="宋体"/>
          <w:kern w:val="0"/>
          <w:sz w:val="24"/>
          <w:highlight w:val="none"/>
          <w:lang w:val="zh-CN"/>
        </w:rPr>
      </w:pPr>
    </w:p>
    <w:p>
      <w:pPr>
        <w:pStyle w:val="4"/>
        <w:numPr>
          <w:ilvl w:val="0"/>
          <w:numId w:val="0"/>
        </w:numPr>
        <w:tabs>
          <w:tab w:val="left" w:pos="425"/>
          <w:tab w:val="left" w:pos="720"/>
        </w:tabs>
        <w:ind w:left="709" w:hanging="709"/>
        <w:rPr>
          <w:rFonts w:hAnsi="宋体"/>
          <w:highlight w:val="none"/>
        </w:rPr>
      </w:pPr>
      <w:r>
        <w:rPr>
          <w:rFonts w:hAnsi="宋体"/>
          <w:b/>
          <w:bCs/>
          <w:highlight w:val="none"/>
        </w:rPr>
        <w:br w:type="page"/>
      </w:r>
      <w:bookmarkStart w:id="158" w:name="_Toc535421996"/>
      <w:bookmarkStart w:id="159" w:name="_Toc29674"/>
      <w:bookmarkStart w:id="160" w:name="_Toc12922_WPSOffice_Level1"/>
      <w:r>
        <w:rPr>
          <w:rFonts w:hint="eastAsia" w:hAnsi="宋体"/>
          <w:b/>
          <w:sz w:val="32"/>
          <w:highlight w:val="none"/>
          <w:lang w:val="zh-CN"/>
        </w:rPr>
        <w:t>格式</w:t>
      </w:r>
      <w:r>
        <w:rPr>
          <w:rFonts w:hint="eastAsia" w:hAnsi="宋体"/>
          <w:b/>
          <w:sz w:val="32"/>
          <w:highlight w:val="none"/>
          <w:lang w:val="zh-CN" w:eastAsia="zh-CN"/>
        </w:rPr>
        <w:t>1</w:t>
      </w:r>
      <w:r>
        <w:rPr>
          <w:rFonts w:hint="eastAsia" w:hAnsi="宋体"/>
          <w:b/>
          <w:sz w:val="32"/>
          <w:highlight w:val="none"/>
          <w:lang w:val="zh-CN"/>
        </w:rPr>
        <w:t>、磋商函</w:t>
      </w:r>
      <w:bookmarkEnd w:id="158"/>
      <w:bookmarkEnd w:id="159"/>
      <w:bookmarkEnd w:id="160"/>
    </w:p>
    <w:p>
      <w:pPr>
        <w:adjustRightInd w:val="0"/>
        <w:spacing w:line="360" w:lineRule="auto"/>
        <w:jc w:val="center"/>
        <w:textAlignment w:val="baseline"/>
        <w:rPr>
          <w:rFonts w:ascii="宋体" w:hAnsi="宋体"/>
          <w:b/>
          <w:sz w:val="32"/>
          <w:szCs w:val="30"/>
          <w:highlight w:val="none"/>
        </w:rPr>
      </w:pPr>
      <w:bookmarkStart w:id="161" w:name="_Toc19089_WPSOffice_Level2"/>
      <w:r>
        <w:rPr>
          <w:rFonts w:hint="eastAsia" w:ascii="宋体" w:hAnsi="宋体"/>
          <w:b/>
          <w:sz w:val="32"/>
          <w:szCs w:val="30"/>
          <w:highlight w:val="none"/>
        </w:rPr>
        <w:t>磋 商 函</w:t>
      </w:r>
      <w:bookmarkEnd w:id="161"/>
    </w:p>
    <w:p>
      <w:pPr>
        <w:adjustRightInd w:val="0"/>
        <w:spacing w:line="360" w:lineRule="auto"/>
        <w:ind w:left="482" w:hanging="482" w:hangingChars="200"/>
        <w:textAlignment w:val="baseline"/>
        <w:rPr>
          <w:rFonts w:hint="default" w:ascii="宋体" w:hAnsi="宋体" w:eastAsiaTheme="minorEastAsia"/>
          <w:b/>
          <w:color w:val="auto"/>
          <w:sz w:val="24"/>
          <w:highlight w:val="none"/>
          <w:u w:val="single"/>
          <w:lang w:val="en-US" w:eastAsia="zh-CN"/>
        </w:rPr>
      </w:pPr>
      <w:r>
        <w:rPr>
          <w:rFonts w:hint="eastAsia" w:ascii="宋体" w:hAnsi="宋体"/>
          <w:b/>
          <w:color w:val="auto"/>
          <w:sz w:val="24"/>
          <w:highlight w:val="none"/>
        </w:rPr>
        <w:t>致：</w:t>
      </w:r>
      <w:r>
        <w:rPr>
          <w:rFonts w:hint="eastAsia" w:ascii="宋体" w:hAnsi="宋体"/>
          <w:b/>
          <w:color w:val="auto"/>
          <w:sz w:val="24"/>
          <w:highlight w:val="none"/>
          <w:u w:val="single"/>
          <w:lang w:val="en-US" w:eastAsia="zh-CN"/>
        </w:rPr>
        <w:t xml:space="preserve">（采购人或代理机构） </w:t>
      </w:r>
    </w:p>
    <w:p>
      <w:pPr>
        <w:adjustRightInd w:val="0"/>
        <w:spacing w:line="360" w:lineRule="auto"/>
        <w:ind w:firstLine="480" w:firstLineChars="200"/>
        <w:textAlignment w:val="baseline"/>
        <w:rPr>
          <w:rFonts w:ascii="宋体" w:hAnsi="宋体"/>
          <w:sz w:val="24"/>
          <w:highlight w:val="none"/>
        </w:rPr>
      </w:pPr>
      <w:r>
        <w:rPr>
          <w:rFonts w:hint="eastAsia" w:ascii="宋体" w:hAnsi="宋体"/>
          <w:sz w:val="24"/>
          <w:highlight w:val="none"/>
        </w:rPr>
        <w:t>我们收到</w:t>
      </w:r>
      <w:r>
        <w:rPr>
          <w:rFonts w:hint="eastAsia" w:ascii="宋体" w:hAnsi="宋体"/>
          <w:sz w:val="24"/>
          <w:highlight w:val="none"/>
          <w:u w:val="single"/>
          <w:lang w:eastAsia="zh-CN"/>
        </w:rPr>
        <w:t>德令哈市城区供水管网老化更新项目编制初步设计及可行性研究报告（第二次）</w:t>
      </w:r>
      <w:r>
        <w:rPr>
          <w:rFonts w:hint="eastAsia" w:ascii="宋体" w:hAnsi="宋体"/>
          <w:sz w:val="24"/>
          <w:highlight w:val="none"/>
        </w:rPr>
        <w:t>磋商文件，经研究，法定代表人（姓名、职务）正式授权（委托代理人姓名、职务）代表磋商供应商（磋商供应商名称、地址）提交磋商响应文件。</w:t>
      </w:r>
    </w:p>
    <w:p>
      <w:pPr>
        <w:adjustRightInd w:val="0"/>
        <w:spacing w:line="360" w:lineRule="auto"/>
        <w:ind w:firstLine="480" w:firstLineChars="200"/>
        <w:textAlignment w:val="baseline"/>
        <w:rPr>
          <w:rFonts w:ascii="宋体" w:hAnsi="宋体"/>
          <w:sz w:val="24"/>
          <w:highlight w:val="none"/>
        </w:rPr>
      </w:pPr>
      <w:r>
        <w:rPr>
          <w:rFonts w:hint="eastAsia" w:ascii="宋体" w:hAnsi="宋体"/>
          <w:sz w:val="24"/>
          <w:highlight w:val="none"/>
        </w:rPr>
        <w:t>据此函，签字代表宣布同意如下：</w:t>
      </w:r>
    </w:p>
    <w:p>
      <w:pPr>
        <w:adjustRightInd w:val="0"/>
        <w:spacing w:line="360" w:lineRule="auto"/>
        <w:ind w:firstLine="480" w:firstLineChars="200"/>
        <w:textAlignment w:val="baseline"/>
        <w:rPr>
          <w:rFonts w:ascii="宋体" w:hAnsi="宋体"/>
          <w:sz w:val="24"/>
          <w:highlight w:val="none"/>
        </w:rPr>
      </w:pPr>
      <w:r>
        <w:rPr>
          <w:rFonts w:hint="eastAsia" w:ascii="宋体" w:hAnsi="宋体"/>
          <w:sz w:val="24"/>
          <w:highlight w:val="none"/>
        </w:rPr>
        <w:t>1.我方已详阅磋商文件的全部内容，包括澄清、修改条款等有关附件，承诺对其完全理解并接受。</w:t>
      </w:r>
    </w:p>
    <w:p>
      <w:pPr>
        <w:adjustRightInd w:val="0"/>
        <w:spacing w:line="360" w:lineRule="auto"/>
        <w:ind w:firstLine="480" w:firstLineChars="200"/>
        <w:textAlignment w:val="baseline"/>
        <w:rPr>
          <w:rFonts w:ascii="宋体" w:hAnsi="宋体"/>
          <w:sz w:val="24"/>
          <w:highlight w:val="none"/>
        </w:rPr>
      </w:pPr>
      <w:r>
        <w:rPr>
          <w:rFonts w:hint="eastAsia" w:ascii="宋体" w:hAnsi="宋体"/>
          <w:sz w:val="24"/>
          <w:highlight w:val="none"/>
        </w:rPr>
        <w:t>2.磋商有效期自开标之日起</w:t>
      </w:r>
      <w:r>
        <w:rPr>
          <w:rFonts w:hint="eastAsia" w:ascii="宋体" w:hAnsi="宋体"/>
          <w:sz w:val="24"/>
          <w:highlight w:val="none"/>
          <w:u w:val="single"/>
        </w:rPr>
        <w:t xml:space="preserve">    </w:t>
      </w:r>
      <w:r>
        <w:rPr>
          <w:rFonts w:hint="eastAsia" w:ascii="宋体" w:hAnsi="宋体"/>
          <w:sz w:val="24"/>
          <w:highlight w:val="none"/>
        </w:rPr>
        <w:t>天内有效。如果在规定的开标时间后，我方在磋商有效期内撤回磋商或中标后不签约的，磋商保证金将被贵方没收。</w:t>
      </w:r>
    </w:p>
    <w:p>
      <w:pPr>
        <w:adjustRightInd w:val="0"/>
        <w:spacing w:line="360" w:lineRule="auto"/>
        <w:ind w:firstLine="480" w:firstLineChars="200"/>
        <w:textAlignment w:val="baseline"/>
        <w:rPr>
          <w:rFonts w:ascii="宋体" w:hAnsi="宋体"/>
          <w:sz w:val="24"/>
          <w:highlight w:val="none"/>
        </w:rPr>
      </w:pPr>
      <w:r>
        <w:rPr>
          <w:rFonts w:hint="eastAsia" w:ascii="宋体" w:hAnsi="宋体"/>
          <w:sz w:val="24"/>
          <w:highlight w:val="none"/>
        </w:rPr>
        <w:t>3.我方同意按照贵方要求提供与磋商有关的一切数据或资料，理解并接受贵方制定的评标办法。</w:t>
      </w:r>
    </w:p>
    <w:p>
      <w:pPr>
        <w:adjustRightInd w:val="0"/>
        <w:spacing w:line="360" w:lineRule="auto"/>
        <w:ind w:firstLine="480" w:firstLineChars="200"/>
        <w:textAlignment w:val="baseline"/>
        <w:rPr>
          <w:rFonts w:ascii="宋体" w:hAnsi="宋体"/>
          <w:sz w:val="24"/>
          <w:highlight w:val="none"/>
        </w:rPr>
      </w:pPr>
      <w:r>
        <w:rPr>
          <w:rFonts w:hint="eastAsia" w:ascii="宋体" w:hAnsi="宋体"/>
          <w:sz w:val="24"/>
          <w:highlight w:val="none"/>
        </w:rPr>
        <w:t>4.与本磋商有关的一切正式往来通讯请寄：</w:t>
      </w:r>
    </w:p>
    <w:p>
      <w:pPr>
        <w:adjustRightInd w:val="0"/>
        <w:spacing w:line="360" w:lineRule="auto"/>
        <w:ind w:firstLine="480" w:firstLineChars="200"/>
        <w:textAlignment w:val="baseline"/>
        <w:rPr>
          <w:rFonts w:ascii="宋体" w:hAnsi="宋体"/>
          <w:sz w:val="24"/>
          <w:highlight w:val="none"/>
        </w:rPr>
      </w:pPr>
    </w:p>
    <w:p>
      <w:pPr>
        <w:adjustRightInd w:val="0"/>
        <w:spacing w:line="360" w:lineRule="auto"/>
        <w:textAlignment w:val="baseline"/>
        <w:rPr>
          <w:rFonts w:ascii="宋体" w:hAnsi="宋体"/>
          <w:sz w:val="24"/>
          <w:highlight w:val="none"/>
        </w:rPr>
      </w:pPr>
      <w:r>
        <w:rPr>
          <w:rFonts w:hint="eastAsia" w:ascii="宋体" w:hAnsi="宋体"/>
          <w:sz w:val="24"/>
          <w:highlight w:val="none"/>
        </w:rPr>
        <w:t>地址：</w:t>
      </w:r>
      <w:r>
        <w:rPr>
          <w:rFonts w:ascii="宋体" w:hAnsi="宋体"/>
          <w:sz w:val="24"/>
          <w:highlight w:val="none"/>
          <w:u w:val="single"/>
        </w:rPr>
        <w:t xml:space="preserve">                     </w:t>
      </w:r>
      <w:r>
        <w:rPr>
          <w:rFonts w:hint="eastAsia" w:ascii="宋体" w:hAnsi="宋体"/>
          <w:sz w:val="24"/>
          <w:highlight w:val="none"/>
        </w:rPr>
        <w:t>邮编：</w:t>
      </w:r>
      <w:r>
        <w:rPr>
          <w:rFonts w:ascii="宋体" w:hAnsi="宋体"/>
          <w:sz w:val="24"/>
          <w:highlight w:val="none"/>
          <w:u w:val="single"/>
        </w:rPr>
        <w:t xml:space="preserve">                     </w:t>
      </w:r>
    </w:p>
    <w:p>
      <w:pPr>
        <w:adjustRightInd w:val="0"/>
        <w:spacing w:line="360" w:lineRule="auto"/>
        <w:textAlignment w:val="baseline"/>
        <w:rPr>
          <w:rFonts w:ascii="宋体" w:hAnsi="宋体"/>
          <w:sz w:val="24"/>
          <w:highlight w:val="none"/>
        </w:rPr>
      </w:pPr>
    </w:p>
    <w:p>
      <w:pPr>
        <w:adjustRightInd w:val="0"/>
        <w:spacing w:line="360" w:lineRule="auto"/>
        <w:textAlignment w:val="baseline"/>
        <w:rPr>
          <w:rFonts w:ascii="宋体" w:hAnsi="宋体"/>
          <w:sz w:val="24"/>
          <w:highlight w:val="none"/>
        </w:rPr>
      </w:pPr>
      <w:r>
        <w:rPr>
          <w:rFonts w:hint="eastAsia" w:ascii="宋体" w:hAnsi="宋体"/>
          <w:sz w:val="24"/>
          <w:highlight w:val="none"/>
        </w:rPr>
        <w:t>电话：</w:t>
      </w:r>
      <w:r>
        <w:rPr>
          <w:rFonts w:ascii="宋体" w:hAnsi="宋体"/>
          <w:sz w:val="24"/>
          <w:highlight w:val="none"/>
          <w:u w:val="single"/>
        </w:rPr>
        <w:t xml:space="preserve">                     </w:t>
      </w:r>
      <w:r>
        <w:rPr>
          <w:rFonts w:hint="eastAsia" w:ascii="宋体" w:hAnsi="宋体"/>
          <w:sz w:val="24"/>
          <w:highlight w:val="none"/>
        </w:rPr>
        <w:t>传真：</w:t>
      </w:r>
      <w:r>
        <w:rPr>
          <w:rFonts w:ascii="宋体" w:hAnsi="宋体"/>
          <w:sz w:val="24"/>
          <w:highlight w:val="none"/>
          <w:u w:val="single"/>
        </w:rPr>
        <w:t xml:space="preserve">                     </w:t>
      </w:r>
    </w:p>
    <w:p>
      <w:pPr>
        <w:adjustRightInd w:val="0"/>
        <w:spacing w:line="360" w:lineRule="auto"/>
        <w:textAlignment w:val="baseline"/>
        <w:rPr>
          <w:rFonts w:ascii="宋体" w:hAnsi="宋体"/>
          <w:sz w:val="24"/>
          <w:highlight w:val="none"/>
        </w:rPr>
      </w:pPr>
    </w:p>
    <w:p>
      <w:pPr>
        <w:adjustRightInd w:val="0"/>
        <w:spacing w:line="360" w:lineRule="auto"/>
        <w:textAlignment w:val="baseline"/>
        <w:rPr>
          <w:rFonts w:hint="eastAsia" w:ascii="宋体" w:hAnsi="宋体"/>
          <w:sz w:val="24"/>
          <w:highlight w:val="none"/>
        </w:rPr>
      </w:pPr>
      <w:r>
        <w:rPr>
          <w:rFonts w:hint="eastAsia" w:ascii="宋体" w:hAnsi="宋体"/>
          <w:sz w:val="24"/>
          <w:highlight w:val="none"/>
        </w:rPr>
        <w:t>法定代表人姓名：</w:t>
      </w:r>
      <w:r>
        <w:rPr>
          <w:rFonts w:ascii="宋体" w:hAnsi="宋体"/>
          <w:sz w:val="24"/>
          <w:highlight w:val="none"/>
          <w:u w:val="single"/>
        </w:rPr>
        <w:t xml:space="preserve">           </w:t>
      </w:r>
      <w:r>
        <w:rPr>
          <w:rFonts w:hint="eastAsia" w:ascii="宋体" w:hAnsi="宋体"/>
          <w:sz w:val="24"/>
          <w:highlight w:val="none"/>
        </w:rPr>
        <w:t>职务：</w:t>
      </w:r>
      <w:bookmarkStart w:id="162" w:name="_Toc444715736"/>
      <w:r>
        <w:rPr>
          <w:rFonts w:ascii="宋体" w:hAnsi="宋体"/>
          <w:sz w:val="24"/>
          <w:highlight w:val="none"/>
          <w:u w:val="single"/>
        </w:rPr>
        <w:t xml:space="preserve">                     </w:t>
      </w:r>
    </w:p>
    <w:p>
      <w:pPr>
        <w:tabs>
          <w:tab w:val="left" w:pos="168"/>
        </w:tabs>
        <w:adjustRightInd w:val="0"/>
        <w:spacing w:line="360" w:lineRule="auto"/>
        <w:ind w:right="480"/>
        <w:jc w:val="right"/>
        <w:textAlignment w:val="baseline"/>
        <w:rPr>
          <w:rFonts w:hint="eastAsia" w:ascii="宋体" w:hAnsi="宋体"/>
          <w:bCs/>
          <w:sz w:val="24"/>
          <w:szCs w:val="28"/>
          <w:highlight w:val="none"/>
        </w:rPr>
      </w:pPr>
    </w:p>
    <w:p>
      <w:pPr>
        <w:tabs>
          <w:tab w:val="left" w:pos="168"/>
        </w:tabs>
        <w:adjustRightInd w:val="0"/>
        <w:spacing w:line="360" w:lineRule="auto"/>
        <w:jc w:val="right"/>
        <w:textAlignment w:val="baseline"/>
        <w:rPr>
          <w:rFonts w:ascii="宋体" w:hAnsi="宋体"/>
          <w:bCs/>
          <w:sz w:val="24"/>
          <w:szCs w:val="28"/>
          <w:highlight w:val="none"/>
        </w:rPr>
      </w:pPr>
    </w:p>
    <w:p>
      <w:pPr>
        <w:tabs>
          <w:tab w:val="left" w:pos="168"/>
        </w:tabs>
        <w:adjustRightInd w:val="0"/>
        <w:spacing w:line="360" w:lineRule="auto"/>
        <w:jc w:val="right"/>
        <w:textAlignment w:val="baseline"/>
        <w:rPr>
          <w:rFonts w:ascii="宋体" w:hAnsi="宋体"/>
          <w:bCs/>
          <w:sz w:val="24"/>
          <w:szCs w:val="28"/>
          <w:highlight w:val="none"/>
        </w:rPr>
      </w:pPr>
    </w:p>
    <w:p>
      <w:pPr>
        <w:tabs>
          <w:tab w:val="left" w:pos="168"/>
        </w:tabs>
        <w:adjustRightInd w:val="0"/>
        <w:spacing w:line="360" w:lineRule="auto"/>
        <w:jc w:val="right"/>
        <w:textAlignment w:val="baseline"/>
        <w:rPr>
          <w:rFonts w:ascii="宋体" w:hAnsi="宋体"/>
          <w:bCs/>
          <w:sz w:val="24"/>
          <w:szCs w:val="28"/>
          <w:highlight w:val="none"/>
        </w:rPr>
      </w:pP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 xml:space="preserve">磋商供应商：     </w:t>
      </w:r>
      <w:r>
        <w:rPr>
          <w:rFonts w:ascii="宋体" w:hAnsi="宋体"/>
          <w:bCs/>
          <w:sz w:val="24"/>
          <w:szCs w:val="28"/>
          <w:highlight w:val="none"/>
        </w:rPr>
        <w:t xml:space="preserve">      </w:t>
      </w:r>
      <w:r>
        <w:rPr>
          <w:rFonts w:hint="eastAsia" w:ascii="宋体" w:hAnsi="宋体"/>
          <w:bCs/>
          <w:sz w:val="24"/>
          <w:szCs w:val="28"/>
          <w:highlight w:val="none"/>
        </w:rPr>
        <w:t xml:space="preserve">        （公章）</w:t>
      </w: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委托代理人：                 （签字）</w:t>
      </w: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 xml:space="preserve">日期：  </w:t>
      </w:r>
      <w:r>
        <w:rPr>
          <w:rFonts w:ascii="宋体" w:hAnsi="宋体"/>
          <w:bCs/>
          <w:sz w:val="24"/>
          <w:szCs w:val="28"/>
          <w:highlight w:val="none"/>
        </w:rPr>
        <w:t xml:space="preserve">      </w:t>
      </w:r>
      <w:r>
        <w:rPr>
          <w:rFonts w:hint="eastAsia" w:ascii="宋体" w:hAnsi="宋体"/>
          <w:bCs/>
          <w:sz w:val="24"/>
          <w:szCs w:val="28"/>
          <w:highlight w:val="none"/>
        </w:rPr>
        <w:t xml:space="preserve">  年   月   日</w:t>
      </w:r>
    </w:p>
    <w:bookmarkEnd w:id="162"/>
    <w:p>
      <w:pPr>
        <w:pStyle w:val="4"/>
        <w:numPr>
          <w:ilvl w:val="0"/>
          <w:numId w:val="0"/>
        </w:numPr>
        <w:tabs>
          <w:tab w:val="left" w:pos="425"/>
          <w:tab w:val="left" w:pos="720"/>
        </w:tabs>
        <w:ind w:left="709" w:hanging="709"/>
        <w:rPr>
          <w:rFonts w:hAnsi="宋体"/>
          <w:highlight w:val="none"/>
          <w:lang w:val="zh-CN"/>
        </w:rPr>
      </w:pPr>
      <w:bookmarkStart w:id="163" w:name="_Toc16671"/>
      <w:bookmarkStart w:id="164" w:name="_Toc535421997"/>
      <w:bookmarkStart w:id="165" w:name="_Toc3675_WPSOffice_Level1"/>
      <w:r>
        <w:rPr>
          <w:rFonts w:hint="eastAsia" w:hAnsi="宋体"/>
          <w:b/>
          <w:sz w:val="32"/>
          <w:highlight w:val="none"/>
          <w:lang w:val="zh-CN"/>
        </w:rPr>
        <w:t>格式</w:t>
      </w:r>
      <w:r>
        <w:rPr>
          <w:rFonts w:hint="eastAsia" w:hAnsi="宋体"/>
          <w:b/>
          <w:sz w:val="32"/>
          <w:highlight w:val="none"/>
          <w:lang w:val="zh-CN" w:eastAsia="zh-CN"/>
        </w:rPr>
        <w:t>2</w:t>
      </w:r>
      <w:r>
        <w:rPr>
          <w:rFonts w:hint="eastAsia" w:hAnsi="宋体"/>
          <w:b/>
          <w:sz w:val="32"/>
          <w:highlight w:val="none"/>
          <w:lang w:val="zh-CN"/>
        </w:rPr>
        <w:t>、法定代表人证明书</w:t>
      </w:r>
      <w:bookmarkEnd w:id="163"/>
      <w:bookmarkEnd w:id="164"/>
      <w:bookmarkEnd w:id="165"/>
    </w:p>
    <w:p>
      <w:pPr>
        <w:spacing w:line="360" w:lineRule="auto"/>
        <w:rPr>
          <w:rFonts w:ascii="宋体" w:hAnsi="宋体"/>
          <w:highlight w:val="none"/>
          <w:lang w:val="zh-CN"/>
        </w:rPr>
      </w:pPr>
    </w:p>
    <w:p>
      <w:pPr>
        <w:autoSpaceDE w:val="0"/>
        <w:autoSpaceDN w:val="0"/>
        <w:adjustRightInd w:val="0"/>
        <w:spacing w:line="360" w:lineRule="auto"/>
        <w:jc w:val="center"/>
        <w:rPr>
          <w:rFonts w:ascii="宋体" w:hAnsi="宋体" w:cs="宋体"/>
          <w:b/>
          <w:bCs/>
          <w:kern w:val="0"/>
          <w:sz w:val="36"/>
          <w:szCs w:val="36"/>
          <w:highlight w:val="none"/>
          <w:lang w:val="zh-CN"/>
        </w:rPr>
      </w:pPr>
      <w:bookmarkStart w:id="166" w:name="_Toc13566_WPSOffice_Level2"/>
      <w:r>
        <w:rPr>
          <w:rFonts w:hint="eastAsia" w:ascii="宋体" w:hAnsi="宋体" w:cs="宋体"/>
          <w:b/>
          <w:bCs/>
          <w:kern w:val="0"/>
          <w:sz w:val="30"/>
          <w:szCs w:val="30"/>
          <w:highlight w:val="none"/>
          <w:lang w:val="zh-CN"/>
        </w:rPr>
        <w:t>法定代表人证明书</w:t>
      </w:r>
      <w:bookmarkEnd w:id="166"/>
    </w:p>
    <w:p>
      <w:pPr>
        <w:adjustRightInd w:val="0"/>
        <w:spacing w:line="360" w:lineRule="auto"/>
        <w:ind w:left="482" w:hanging="482" w:hangingChars="200"/>
        <w:textAlignment w:val="baseline"/>
        <w:rPr>
          <w:rFonts w:hint="default" w:ascii="宋体" w:hAnsi="宋体" w:eastAsiaTheme="minorEastAsia"/>
          <w:b/>
          <w:color w:val="auto"/>
          <w:sz w:val="24"/>
          <w:highlight w:val="none"/>
          <w:u w:val="single"/>
          <w:lang w:val="en-US" w:eastAsia="zh-CN"/>
        </w:rPr>
      </w:pPr>
      <w:r>
        <w:rPr>
          <w:rFonts w:hint="eastAsia" w:ascii="宋体" w:hAnsi="宋体"/>
          <w:b/>
          <w:color w:val="auto"/>
          <w:sz w:val="24"/>
          <w:highlight w:val="none"/>
        </w:rPr>
        <w:t>致：</w:t>
      </w:r>
      <w:r>
        <w:rPr>
          <w:rFonts w:hint="eastAsia" w:ascii="宋体" w:hAnsi="宋体"/>
          <w:b/>
          <w:color w:val="auto"/>
          <w:sz w:val="24"/>
          <w:highlight w:val="none"/>
          <w:u w:val="single"/>
          <w:lang w:val="en-US" w:eastAsia="zh-CN"/>
        </w:rPr>
        <w:t xml:space="preserve">（采购人或代理机构） </w:t>
      </w:r>
    </w:p>
    <w:p>
      <w:pPr>
        <w:autoSpaceDE w:val="0"/>
        <w:autoSpaceDN w:val="0"/>
        <w:adjustRightIn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w:t>
      </w:r>
    </w:p>
    <w:p>
      <w:pPr>
        <w:autoSpaceDE w:val="0"/>
        <w:autoSpaceDN w:val="0"/>
        <w:adjustRightIn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w:t>
      </w:r>
      <w:r>
        <w:rPr>
          <w:rFonts w:hint="eastAsia" w:ascii="宋体" w:hAnsi="宋体" w:cs="宋体"/>
          <w:kern w:val="0"/>
          <w:sz w:val="24"/>
          <w:highlight w:val="none"/>
          <w:u w:val="single"/>
          <w:lang w:val="zh-CN"/>
        </w:rPr>
        <w:t xml:space="preserve"> </w:t>
      </w:r>
      <w:r>
        <w:rPr>
          <w:rFonts w:hint="eastAsia" w:ascii="宋体" w:hAnsi="宋体" w:eastAsia="宋体" w:cs="宋体"/>
          <w:kern w:val="0"/>
          <w:sz w:val="24"/>
          <w:highlight w:val="none"/>
          <w:u w:val="single"/>
          <w:lang w:val="en-US" w:eastAsia="zh-CN"/>
        </w:rPr>
        <w:t xml:space="preserve">       </w:t>
      </w:r>
      <w:r>
        <w:rPr>
          <w:rFonts w:hint="eastAsia" w:ascii="宋体" w:hAnsi="宋体" w:cs="宋体"/>
          <w:kern w:val="0"/>
          <w:sz w:val="24"/>
          <w:highlight w:val="none"/>
          <w:u w:val="single"/>
          <w:lang w:val="zh-CN"/>
        </w:rPr>
        <w:t xml:space="preserve"> </w:t>
      </w:r>
      <w:r>
        <w:rPr>
          <w:rFonts w:hint="eastAsia" w:ascii="宋体" w:hAnsi="宋体" w:eastAsia="宋体" w:cs="宋体"/>
          <w:kern w:val="0"/>
          <w:sz w:val="24"/>
          <w:highlight w:val="none"/>
          <w:u w:val="single"/>
          <w:lang w:val="en-US" w:eastAsia="zh-CN"/>
        </w:rPr>
        <w:t xml:space="preserve">     </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现任我单位</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职务，为法定代表人，特此证明。</w:t>
      </w:r>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法定代表人基本情况： </w:t>
      </w:r>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rPr>
          <w:rFonts w:ascii="宋体" w:hAnsi="宋体" w:cs="宋体"/>
          <w:kern w:val="0"/>
          <w:sz w:val="24"/>
          <w:highlight w:val="none"/>
          <w:u w:val="single"/>
          <w:lang w:val="zh-CN"/>
        </w:rPr>
      </w:pPr>
      <w:r>
        <w:rPr>
          <w:rFonts w:hint="eastAsia" w:ascii="宋体" w:hAnsi="宋体" w:cs="宋体"/>
          <w:kern w:val="0"/>
          <w:sz w:val="24"/>
          <w:highlight w:val="none"/>
          <w:lang w:val="zh-CN"/>
        </w:rPr>
        <w:t>性别：</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年龄：</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 xml:space="preserve"> 民族：</w:t>
      </w:r>
      <w:r>
        <w:rPr>
          <w:rFonts w:hint="eastAsia" w:ascii="宋体" w:hAnsi="宋体" w:cs="宋体"/>
          <w:kern w:val="0"/>
          <w:sz w:val="24"/>
          <w:highlight w:val="none"/>
          <w:u w:val="single"/>
          <w:lang w:val="zh-CN"/>
        </w:rPr>
        <w:t xml:space="preserve">         </w:t>
      </w:r>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rPr>
          <w:rFonts w:ascii="宋体" w:hAnsi="宋体" w:cs="宋体"/>
          <w:kern w:val="0"/>
          <w:sz w:val="24"/>
          <w:highlight w:val="none"/>
          <w:u w:val="single"/>
          <w:lang w:val="zh-CN"/>
        </w:rPr>
      </w:pPr>
      <w:r>
        <w:rPr>
          <w:rFonts w:hint="eastAsia" w:ascii="宋体" w:hAnsi="宋体" w:cs="宋体"/>
          <w:kern w:val="0"/>
          <w:sz w:val="24"/>
          <w:highlight w:val="none"/>
          <w:lang w:val="zh-CN"/>
        </w:rPr>
        <w:t>地址：</w:t>
      </w:r>
      <w:r>
        <w:rPr>
          <w:rFonts w:hint="eastAsia" w:ascii="宋体" w:hAnsi="宋体" w:cs="宋体"/>
          <w:kern w:val="0"/>
          <w:sz w:val="24"/>
          <w:highlight w:val="none"/>
          <w:u w:val="single"/>
          <w:lang w:val="zh-CN"/>
        </w:rPr>
        <w:t xml:space="preserve">                                            </w:t>
      </w:r>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身份证号码：</w:t>
      </w:r>
      <w:r>
        <w:rPr>
          <w:rFonts w:hint="eastAsia" w:ascii="宋体" w:hAnsi="宋体" w:cs="宋体"/>
          <w:kern w:val="0"/>
          <w:sz w:val="24"/>
          <w:highlight w:val="none"/>
          <w:u w:val="single"/>
          <w:lang w:val="zh-CN"/>
        </w:rPr>
        <w:t xml:space="preserve">                                      </w:t>
      </w:r>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附：法定代表人第二代身份证双面扫描（或复印）件</w:t>
      </w:r>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rPr>
          <w:rFonts w:ascii="宋体" w:hAnsi="宋体" w:cs="宋体"/>
          <w:kern w:val="0"/>
          <w:sz w:val="24"/>
          <w:highlight w:val="none"/>
          <w:lang w:val="zh-CN"/>
        </w:rPr>
      </w:pPr>
    </w:p>
    <w:p>
      <w:pPr>
        <w:tabs>
          <w:tab w:val="left" w:pos="168"/>
        </w:tabs>
        <w:adjustRightInd w:val="0"/>
        <w:spacing w:line="360" w:lineRule="auto"/>
        <w:textAlignment w:val="baseline"/>
        <w:rPr>
          <w:rFonts w:hint="eastAsia" w:ascii="宋体" w:hAnsi="宋体"/>
          <w:bCs/>
          <w:sz w:val="28"/>
          <w:szCs w:val="28"/>
          <w:highlight w:val="none"/>
        </w:rPr>
      </w:pPr>
      <w:bookmarkStart w:id="167" w:name="_Toc16858"/>
      <w:bookmarkStart w:id="168" w:name="_Toc444715738"/>
    </w:p>
    <w:p>
      <w:pPr>
        <w:tabs>
          <w:tab w:val="left" w:pos="168"/>
        </w:tabs>
        <w:wordWrap w:val="0"/>
        <w:adjustRightInd w:val="0"/>
        <w:spacing w:line="360" w:lineRule="auto"/>
        <w:jc w:val="right"/>
        <w:textAlignment w:val="baseline"/>
        <w:rPr>
          <w:rFonts w:hint="eastAsia" w:ascii="宋体" w:hAnsi="宋体"/>
          <w:bCs/>
          <w:sz w:val="24"/>
          <w:szCs w:val="28"/>
          <w:highlight w:val="none"/>
        </w:rPr>
      </w:pPr>
      <w:r>
        <w:rPr>
          <w:rFonts w:hint="eastAsia" w:ascii="宋体" w:hAnsi="宋体"/>
          <w:bCs/>
          <w:sz w:val="24"/>
          <w:szCs w:val="28"/>
          <w:highlight w:val="none"/>
        </w:rPr>
        <w:t xml:space="preserve">磋商供应商：     </w:t>
      </w:r>
      <w:r>
        <w:rPr>
          <w:rFonts w:ascii="宋体" w:hAnsi="宋体"/>
          <w:bCs/>
          <w:sz w:val="24"/>
          <w:szCs w:val="28"/>
          <w:highlight w:val="none"/>
        </w:rPr>
        <w:t xml:space="preserve">      </w:t>
      </w:r>
      <w:r>
        <w:rPr>
          <w:rFonts w:hint="eastAsia" w:ascii="宋体" w:hAnsi="宋体"/>
          <w:bCs/>
          <w:sz w:val="24"/>
          <w:szCs w:val="28"/>
          <w:highlight w:val="none"/>
        </w:rPr>
        <w:t xml:space="preserve">        （公章）</w:t>
      </w:r>
    </w:p>
    <w:p>
      <w:pPr>
        <w:tabs>
          <w:tab w:val="left" w:pos="168"/>
        </w:tabs>
        <w:wordWrap w:val="0"/>
        <w:adjustRightInd w:val="0"/>
        <w:spacing w:line="360" w:lineRule="auto"/>
        <w:jc w:val="right"/>
        <w:textAlignment w:val="baseline"/>
        <w:rPr>
          <w:rFonts w:hint="eastAsia" w:ascii="宋体" w:hAnsi="宋体"/>
          <w:bCs/>
          <w:sz w:val="24"/>
          <w:szCs w:val="28"/>
          <w:highlight w:val="none"/>
        </w:rPr>
      </w:pPr>
      <w:r>
        <w:rPr>
          <w:rFonts w:hint="eastAsia" w:ascii="宋体" w:hAnsi="宋体"/>
          <w:bCs/>
          <w:sz w:val="24"/>
          <w:szCs w:val="28"/>
          <w:highlight w:val="none"/>
        </w:rPr>
        <w:t>法定代表人：                   （签字）</w:t>
      </w:r>
    </w:p>
    <w:p>
      <w:pPr>
        <w:tabs>
          <w:tab w:val="left" w:pos="168"/>
        </w:tabs>
        <w:adjustRightInd w:val="0"/>
        <w:spacing w:line="360" w:lineRule="auto"/>
        <w:ind w:right="480" w:firstLine="3720" w:firstLineChars="1550"/>
        <w:textAlignment w:val="baseline"/>
        <w:rPr>
          <w:rFonts w:ascii="宋体" w:hAnsi="宋体"/>
          <w:bCs/>
          <w:sz w:val="24"/>
          <w:szCs w:val="28"/>
          <w:highlight w:val="none"/>
        </w:rPr>
      </w:pPr>
      <w:r>
        <w:rPr>
          <w:rFonts w:hint="eastAsia" w:ascii="宋体" w:hAnsi="宋体"/>
          <w:bCs/>
          <w:sz w:val="24"/>
          <w:szCs w:val="28"/>
          <w:highlight w:val="none"/>
        </w:rPr>
        <w:t xml:space="preserve">日期：  </w:t>
      </w:r>
      <w:r>
        <w:rPr>
          <w:rFonts w:ascii="宋体" w:hAnsi="宋体"/>
          <w:bCs/>
          <w:sz w:val="24"/>
          <w:szCs w:val="28"/>
          <w:highlight w:val="none"/>
        </w:rPr>
        <w:t xml:space="preserve">      </w:t>
      </w:r>
      <w:r>
        <w:rPr>
          <w:rFonts w:hint="eastAsia" w:ascii="宋体" w:hAnsi="宋体"/>
          <w:bCs/>
          <w:sz w:val="24"/>
          <w:szCs w:val="28"/>
          <w:highlight w:val="none"/>
        </w:rPr>
        <w:t xml:space="preserve">          年   月   日</w:t>
      </w:r>
    </w:p>
    <w:p>
      <w:pPr>
        <w:rPr>
          <w:rFonts w:hint="eastAsia" w:hAnsi="宋体"/>
          <w:b/>
          <w:sz w:val="32"/>
          <w:highlight w:val="none"/>
          <w:lang w:val="zh-CN"/>
        </w:rPr>
      </w:pPr>
      <w:bookmarkStart w:id="169" w:name="_Toc26755_WPSOffice_Level1"/>
      <w:bookmarkStart w:id="170" w:name="_Toc535421998"/>
      <w:bookmarkStart w:id="171" w:name="_Toc13187"/>
      <w:r>
        <w:rPr>
          <w:rFonts w:hint="eastAsia" w:hAnsi="宋体"/>
          <w:b/>
          <w:sz w:val="32"/>
          <w:highlight w:val="none"/>
          <w:lang w:val="zh-CN"/>
        </w:rPr>
        <w:br w:type="page"/>
      </w:r>
    </w:p>
    <w:p>
      <w:pPr>
        <w:pStyle w:val="4"/>
        <w:numPr>
          <w:ilvl w:val="0"/>
          <w:numId w:val="0"/>
        </w:numPr>
        <w:tabs>
          <w:tab w:val="left" w:pos="425"/>
          <w:tab w:val="left" w:pos="720"/>
        </w:tabs>
        <w:rPr>
          <w:rFonts w:hAnsi="宋体"/>
          <w:szCs w:val="28"/>
          <w:highlight w:val="none"/>
        </w:rPr>
      </w:pPr>
      <w:r>
        <w:rPr>
          <w:rFonts w:hint="eastAsia" w:hAnsi="宋体"/>
          <w:b/>
          <w:sz w:val="32"/>
          <w:highlight w:val="none"/>
          <w:lang w:val="zh-CN"/>
        </w:rPr>
        <w:t>格式</w:t>
      </w:r>
      <w:r>
        <w:rPr>
          <w:rFonts w:hint="eastAsia" w:hAnsi="宋体"/>
          <w:b/>
          <w:sz w:val="32"/>
          <w:highlight w:val="none"/>
          <w:lang w:val="zh-CN" w:eastAsia="zh-CN"/>
        </w:rPr>
        <w:t>3</w:t>
      </w:r>
      <w:r>
        <w:rPr>
          <w:rFonts w:hint="eastAsia" w:hAnsi="宋体"/>
          <w:b/>
          <w:sz w:val="32"/>
          <w:highlight w:val="none"/>
          <w:lang w:val="zh-CN"/>
        </w:rPr>
        <w:t>、法定代表人授权书</w:t>
      </w:r>
      <w:bookmarkEnd w:id="167"/>
      <w:bookmarkEnd w:id="168"/>
      <w:bookmarkEnd w:id="169"/>
      <w:bookmarkEnd w:id="170"/>
      <w:bookmarkEnd w:id="171"/>
    </w:p>
    <w:p>
      <w:pPr>
        <w:autoSpaceDE w:val="0"/>
        <w:autoSpaceDN w:val="0"/>
        <w:adjustRightInd w:val="0"/>
        <w:spacing w:line="360" w:lineRule="auto"/>
        <w:jc w:val="center"/>
        <w:rPr>
          <w:rFonts w:ascii="宋体" w:hAnsi="宋体" w:cs="宋体"/>
          <w:b/>
          <w:bCs/>
          <w:kern w:val="0"/>
          <w:sz w:val="32"/>
          <w:szCs w:val="30"/>
          <w:highlight w:val="none"/>
          <w:lang w:val="zh-CN"/>
        </w:rPr>
      </w:pPr>
      <w:bookmarkStart w:id="172" w:name="_Toc8024_WPSOffice_Level2"/>
      <w:r>
        <w:rPr>
          <w:rFonts w:hint="eastAsia" w:ascii="宋体" w:hAnsi="宋体" w:cs="宋体"/>
          <w:b/>
          <w:bCs/>
          <w:kern w:val="0"/>
          <w:sz w:val="32"/>
          <w:szCs w:val="30"/>
          <w:highlight w:val="none"/>
          <w:lang w:val="zh-CN"/>
        </w:rPr>
        <w:t>法定代表人授权书</w:t>
      </w:r>
      <w:bookmarkEnd w:id="172"/>
    </w:p>
    <w:p>
      <w:pPr>
        <w:adjustRightInd w:val="0"/>
        <w:spacing w:line="360" w:lineRule="auto"/>
        <w:ind w:left="482" w:hanging="482" w:hangingChars="200"/>
        <w:textAlignment w:val="baseline"/>
        <w:rPr>
          <w:rFonts w:hint="default" w:ascii="宋体" w:hAnsi="宋体" w:eastAsiaTheme="minorEastAsia"/>
          <w:b/>
          <w:color w:val="auto"/>
          <w:sz w:val="24"/>
          <w:highlight w:val="none"/>
          <w:u w:val="single"/>
          <w:lang w:val="en-US" w:eastAsia="zh-CN"/>
        </w:rPr>
      </w:pPr>
      <w:r>
        <w:rPr>
          <w:rFonts w:hint="eastAsia" w:ascii="宋体" w:hAnsi="宋体"/>
          <w:b/>
          <w:color w:val="auto"/>
          <w:sz w:val="24"/>
          <w:highlight w:val="none"/>
        </w:rPr>
        <w:t>致：</w:t>
      </w:r>
      <w:r>
        <w:rPr>
          <w:rFonts w:hint="eastAsia" w:ascii="宋体" w:hAnsi="宋体"/>
          <w:b/>
          <w:color w:val="auto"/>
          <w:sz w:val="24"/>
          <w:highlight w:val="none"/>
          <w:u w:val="single"/>
          <w:lang w:val="en-US" w:eastAsia="zh-CN"/>
        </w:rPr>
        <w:t xml:space="preserve">（采购人或代理机构） </w:t>
      </w:r>
    </w:p>
    <w:p>
      <w:pPr>
        <w:spacing w:line="360" w:lineRule="auto"/>
        <w:rPr>
          <w:rFonts w:ascii="宋体" w:hAnsi="宋体"/>
          <w:sz w:val="24"/>
          <w:highlight w:val="none"/>
          <w:u w:val="single"/>
        </w:rPr>
      </w:pPr>
    </w:p>
    <w:p>
      <w:pPr>
        <w:spacing w:line="360" w:lineRule="auto"/>
        <w:ind w:firstLine="480" w:firstLineChars="200"/>
        <w:rPr>
          <w:rFonts w:ascii="宋体" w:hAnsi="宋体"/>
          <w:sz w:val="24"/>
          <w:highlight w:val="none"/>
        </w:rPr>
      </w:pPr>
      <w:r>
        <w:rPr>
          <w:rFonts w:ascii="宋体" w:hAnsi="宋体"/>
          <w:sz w:val="24"/>
          <w:highlight w:val="none"/>
          <w:u w:val="single"/>
        </w:rPr>
        <w:t xml:space="preserve">  </w:t>
      </w:r>
      <w:r>
        <w:rPr>
          <w:rFonts w:hint="eastAsia" w:ascii="宋体" w:hAnsi="宋体"/>
          <w:sz w:val="24"/>
          <w:highlight w:val="none"/>
          <w:u w:val="single"/>
        </w:rPr>
        <w:t>（磋商供应商名称）</w:t>
      </w:r>
      <w:r>
        <w:rPr>
          <w:rFonts w:ascii="宋体" w:hAnsi="宋体"/>
          <w:sz w:val="24"/>
          <w:highlight w:val="none"/>
          <w:u w:val="single"/>
        </w:rPr>
        <w:t xml:space="preserve">  </w:t>
      </w:r>
      <w:r>
        <w:rPr>
          <w:rFonts w:hint="eastAsia" w:ascii="宋体" w:hAnsi="宋体"/>
          <w:sz w:val="24"/>
          <w:highlight w:val="none"/>
        </w:rPr>
        <w:t>系中华人民共和国合法企业，法定地址</w:t>
      </w:r>
      <w:r>
        <w:rPr>
          <w:rFonts w:ascii="宋体" w:hAnsi="宋体"/>
          <w:sz w:val="24"/>
          <w:highlight w:val="none"/>
          <w:u w:val="single"/>
        </w:rPr>
        <w:t xml:space="preserve">              </w:t>
      </w:r>
      <w:r>
        <w:rPr>
          <w:rFonts w:hint="eastAsia" w:ascii="宋体" w:hAnsi="宋体"/>
          <w:sz w:val="24"/>
          <w:highlight w:val="none"/>
        </w:rPr>
        <w:t>。</w:t>
      </w:r>
    </w:p>
    <w:p>
      <w:pPr>
        <w:spacing w:line="360" w:lineRule="auto"/>
        <w:ind w:firstLine="480" w:firstLineChars="200"/>
        <w:rPr>
          <w:rFonts w:ascii="宋体" w:hAnsi="宋体"/>
          <w:sz w:val="24"/>
          <w:highlight w:val="none"/>
        </w:rPr>
      </w:pPr>
      <w:r>
        <w:rPr>
          <w:rFonts w:ascii="宋体" w:hAnsi="宋体"/>
          <w:sz w:val="24"/>
          <w:highlight w:val="none"/>
          <w:u w:val="single"/>
        </w:rPr>
        <w:t xml:space="preserve">  </w:t>
      </w:r>
      <w:r>
        <w:rPr>
          <w:rFonts w:hint="eastAsia" w:ascii="宋体" w:hAnsi="宋体"/>
          <w:sz w:val="24"/>
          <w:highlight w:val="none"/>
          <w:u w:val="single"/>
        </w:rPr>
        <w:t>（法定代表人姓名）</w:t>
      </w:r>
      <w:r>
        <w:rPr>
          <w:rFonts w:ascii="宋体" w:hAnsi="宋体"/>
          <w:sz w:val="24"/>
          <w:highlight w:val="none"/>
          <w:u w:val="single"/>
        </w:rPr>
        <w:t xml:space="preserve">  </w:t>
      </w:r>
      <w:r>
        <w:rPr>
          <w:rFonts w:hint="eastAsia" w:ascii="宋体" w:hAnsi="宋体"/>
          <w:sz w:val="24"/>
          <w:highlight w:val="none"/>
        </w:rPr>
        <w:t>特授权</w:t>
      </w:r>
      <w:r>
        <w:rPr>
          <w:rFonts w:hint="eastAsia" w:ascii="宋体" w:hAnsi="宋体"/>
          <w:sz w:val="24"/>
          <w:highlight w:val="none"/>
          <w:u w:val="single"/>
        </w:rPr>
        <w:t>（被授权人姓名）</w:t>
      </w:r>
      <w:r>
        <w:rPr>
          <w:rFonts w:hint="eastAsia" w:ascii="宋体" w:hAnsi="宋体"/>
          <w:sz w:val="24"/>
          <w:highlight w:val="none"/>
        </w:rPr>
        <w:t>代表我单位全权办理</w:t>
      </w:r>
      <w:r>
        <w:rPr>
          <w:rFonts w:hint="eastAsia" w:ascii="宋体" w:hAnsi="宋体"/>
          <w:sz w:val="24"/>
          <w:highlight w:val="none"/>
          <w:u w:val="single"/>
        </w:rPr>
        <w:t xml:space="preserve">           </w:t>
      </w:r>
      <w:r>
        <w:rPr>
          <w:rFonts w:hint="eastAsia" w:ascii="宋体" w:hAnsi="宋体"/>
          <w:sz w:val="24"/>
          <w:highlight w:val="none"/>
        </w:rPr>
        <w:t>项目的磋商、答疑等具体工作，并签署全部有关的文件、协议及合同。</w:t>
      </w:r>
    </w:p>
    <w:p>
      <w:pPr>
        <w:spacing w:line="360" w:lineRule="auto"/>
        <w:ind w:firstLine="480" w:firstLineChars="200"/>
        <w:rPr>
          <w:rFonts w:ascii="宋体" w:hAnsi="宋体"/>
          <w:sz w:val="24"/>
          <w:highlight w:val="none"/>
        </w:rPr>
      </w:pPr>
      <w:r>
        <w:rPr>
          <w:rFonts w:hint="eastAsia" w:ascii="宋体" w:hAnsi="宋体"/>
          <w:sz w:val="24"/>
          <w:highlight w:val="none"/>
        </w:rPr>
        <w:t>我单位对被授权人的签名负全部责任。</w:t>
      </w:r>
    </w:p>
    <w:p>
      <w:pPr>
        <w:spacing w:line="360" w:lineRule="auto"/>
        <w:ind w:firstLine="480" w:firstLineChars="200"/>
        <w:rPr>
          <w:rFonts w:ascii="宋体" w:hAnsi="宋体"/>
          <w:sz w:val="24"/>
          <w:highlight w:val="none"/>
        </w:rPr>
      </w:pPr>
      <w:r>
        <w:rPr>
          <w:rFonts w:hint="eastAsia" w:ascii="宋体" w:hAnsi="宋体"/>
          <w:sz w:val="24"/>
          <w:highlight w:val="none"/>
        </w:rPr>
        <w:t>在撤销授权的书面通知以前，本授权书一直有效。被授权人签署的所有文件（在授权书有效期内签署的）不因授权的撤销而失效。</w:t>
      </w:r>
    </w:p>
    <w:p>
      <w:pPr>
        <w:autoSpaceDE w:val="0"/>
        <w:autoSpaceDN w:val="0"/>
        <w:adjustRightInd w:val="0"/>
        <w:spacing w:line="360" w:lineRule="auto"/>
        <w:ind w:firstLine="480" w:firstLineChars="200"/>
        <w:rPr>
          <w:rFonts w:ascii="宋体" w:hAnsi="宋体" w:cs="宋体"/>
          <w:kern w:val="0"/>
          <w:sz w:val="24"/>
          <w:highlight w:val="none"/>
          <w:lang w:val="zh-CN"/>
        </w:rPr>
      </w:pPr>
    </w:p>
    <w:p>
      <w:pPr>
        <w:spacing w:line="360" w:lineRule="auto"/>
        <w:rPr>
          <w:rFonts w:ascii="宋体" w:hAnsi="宋体"/>
          <w:sz w:val="24"/>
          <w:highlight w:val="none"/>
        </w:rPr>
      </w:pPr>
    </w:p>
    <w:p>
      <w:pPr>
        <w:spacing w:line="360" w:lineRule="auto"/>
        <w:rPr>
          <w:rFonts w:ascii="宋体" w:hAnsi="宋体"/>
          <w:sz w:val="24"/>
          <w:highlight w:val="none"/>
          <w:u w:val="single"/>
        </w:rPr>
      </w:pPr>
      <w:r>
        <w:rPr>
          <w:rFonts w:ascii="宋体" w:hAnsi="宋体"/>
          <w:sz w:val="24"/>
          <w:highlight w:val="none"/>
        </w:rPr>
        <w:t>被授权人联系电话</w:t>
      </w:r>
      <w:r>
        <w:rPr>
          <w:rFonts w:hint="eastAsia" w:ascii="宋体" w:hAnsi="宋体"/>
          <w:sz w:val="24"/>
          <w:highlight w:val="none"/>
        </w:rPr>
        <w:t>：</w:t>
      </w:r>
      <w:r>
        <w:rPr>
          <w:rFonts w:hint="eastAsia" w:ascii="宋体" w:hAnsi="宋体"/>
          <w:sz w:val="24"/>
          <w:highlight w:val="none"/>
          <w:u w:val="single"/>
        </w:rPr>
        <w:t xml:space="preserve"> </w:t>
      </w:r>
      <w:r>
        <w:rPr>
          <w:rFonts w:ascii="宋体" w:hAnsi="宋体"/>
          <w:sz w:val="24"/>
          <w:highlight w:val="none"/>
          <w:u w:val="single"/>
        </w:rPr>
        <w:t xml:space="preserve">              </w:t>
      </w:r>
    </w:p>
    <w:p>
      <w:pPr>
        <w:spacing w:line="360" w:lineRule="auto"/>
        <w:rPr>
          <w:rFonts w:ascii="宋体" w:hAnsi="宋体"/>
          <w:sz w:val="24"/>
          <w:highlight w:val="none"/>
          <w:u w:val="single"/>
        </w:rPr>
      </w:pPr>
      <w:r>
        <w:rPr>
          <w:rFonts w:hint="eastAsia" w:ascii="宋体" w:hAnsi="宋体"/>
          <w:sz w:val="24"/>
          <w:highlight w:val="none"/>
        </w:rPr>
        <w:t>被授权人（委托代理人）签名：</w:t>
      </w:r>
      <w:r>
        <w:rPr>
          <w:rFonts w:ascii="宋体" w:hAnsi="宋体"/>
          <w:sz w:val="24"/>
          <w:highlight w:val="none"/>
          <w:u w:val="single"/>
        </w:rPr>
        <w:t xml:space="preserve">         </w:t>
      </w:r>
      <w:r>
        <w:rPr>
          <w:rFonts w:hint="eastAsia" w:ascii="宋体" w:hAnsi="宋体"/>
          <w:sz w:val="24"/>
          <w:highlight w:val="none"/>
          <w:u w:val="single"/>
        </w:rPr>
        <w:t xml:space="preserve">  </w:t>
      </w:r>
      <w:r>
        <w:rPr>
          <w:rFonts w:hint="eastAsia" w:ascii="宋体" w:hAnsi="宋体"/>
          <w:sz w:val="24"/>
          <w:highlight w:val="none"/>
        </w:rPr>
        <w:t xml:space="preserve">   授权人（法定代表人）签名：</w:t>
      </w:r>
      <w:r>
        <w:rPr>
          <w:rFonts w:ascii="宋体" w:hAnsi="宋体"/>
          <w:sz w:val="24"/>
          <w:highlight w:val="none"/>
          <w:u w:val="single"/>
        </w:rPr>
        <w:t xml:space="preserve">          </w:t>
      </w:r>
    </w:p>
    <w:p>
      <w:pPr>
        <w:spacing w:line="360" w:lineRule="auto"/>
        <w:rPr>
          <w:rFonts w:ascii="宋体" w:hAnsi="宋体"/>
          <w:sz w:val="24"/>
          <w:highlight w:val="none"/>
          <w:u w:val="single"/>
        </w:rPr>
      </w:pPr>
      <w:r>
        <w:rPr>
          <w:rFonts w:hint="eastAsia" w:ascii="宋体" w:hAnsi="宋体"/>
          <w:sz w:val="24"/>
          <w:highlight w:val="none"/>
        </w:rPr>
        <w:t>职务：</w:t>
      </w:r>
      <w:r>
        <w:rPr>
          <w:rFonts w:ascii="宋体" w:hAnsi="宋体"/>
          <w:sz w:val="24"/>
          <w:highlight w:val="none"/>
          <w:u w:val="single"/>
        </w:rPr>
        <w:t xml:space="preserve">            </w:t>
      </w:r>
      <w:r>
        <w:rPr>
          <w:rFonts w:ascii="宋体" w:hAnsi="宋体"/>
          <w:sz w:val="24"/>
          <w:highlight w:val="none"/>
        </w:rPr>
        <w:t xml:space="preserve">          </w:t>
      </w:r>
      <w:r>
        <w:rPr>
          <w:rFonts w:hint="eastAsia" w:ascii="宋体" w:hAnsi="宋体"/>
          <w:sz w:val="24"/>
          <w:highlight w:val="none"/>
        </w:rPr>
        <w:t xml:space="preserve">              职务：</w:t>
      </w:r>
      <w:r>
        <w:rPr>
          <w:rFonts w:ascii="宋体" w:hAnsi="宋体"/>
          <w:sz w:val="24"/>
          <w:highlight w:val="none"/>
          <w:u w:val="single"/>
        </w:rPr>
        <w:t xml:space="preserve">            </w:t>
      </w:r>
    </w:p>
    <w:p>
      <w:pPr>
        <w:spacing w:line="360" w:lineRule="auto"/>
        <w:rPr>
          <w:rFonts w:ascii="宋体" w:hAnsi="宋体"/>
          <w:sz w:val="24"/>
          <w:highlight w:val="none"/>
        </w:rPr>
      </w:pPr>
      <w:r>
        <w:rPr>
          <w:rFonts w:hint="eastAsia" w:ascii="宋体" w:hAnsi="宋体"/>
          <w:sz w:val="24"/>
          <w:highlight w:val="none"/>
        </w:rPr>
        <w:t>附：被授权人身份证正、反面扫描（或复印）件</w:t>
      </w:r>
    </w:p>
    <w:p>
      <w:pPr>
        <w:tabs>
          <w:tab w:val="left" w:pos="168"/>
        </w:tabs>
        <w:adjustRightInd w:val="0"/>
        <w:spacing w:line="360" w:lineRule="auto"/>
        <w:textAlignment w:val="baseline"/>
        <w:rPr>
          <w:rFonts w:ascii="宋体" w:hAnsi="宋体"/>
          <w:bCs/>
          <w:sz w:val="28"/>
          <w:szCs w:val="28"/>
          <w:highlight w:val="none"/>
        </w:rPr>
      </w:pPr>
    </w:p>
    <w:p>
      <w:pPr>
        <w:tabs>
          <w:tab w:val="left" w:pos="168"/>
        </w:tabs>
        <w:adjustRightInd w:val="0"/>
        <w:spacing w:line="360" w:lineRule="auto"/>
        <w:textAlignment w:val="baseline"/>
        <w:rPr>
          <w:rFonts w:ascii="宋体" w:hAnsi="宋体"/>
          <w:bCs/>
          <w:sz w:val="28"/>
          <w:szCs w:val="28"/>
          <w:highlight w:val="none"/>
        </w:rPr>
      </w:pPr>
    </w:p>
    <w:p>
      <w:pPr>
        <w:tabs>
          <w:tab w:val="left" w:pos="168"/>
        </w:tabs>
        <w:adjustRightInd w:val="0"/>
        <w:spacing w:line="360" w:lineRule="auto"/>
        <w:textAlignment w:val="baseline"/>
        <w:rPr>
          <w:rFonts w:ascii="宋体" w:hAnsi="宋体"/>
          <w:bCs/>
          <w:sz w:val="28"/>
          <w:szCs w:val="28"/>
          <w:highlight w:val="none"/>
        </w:rPr>
      </w:pPr>
    </w:p>
    <w:p>
      <w:pPr>
        <w:tabs>
          <w:tab w:val="left" w:pos="168"/>
        </w:tabs>
        <w:adjustRightInd w:val="0"/>
        <w:spacing w:line="360" w:lineRule="auto"/>
        <w:textAlignment w:val="baseline"/>
        <w:rPr>
          <w:rFonts w:ascii="宋体" w:hAnsi="宋体"/>
          <w:bCs/>
          <w:sz w:val="28"/>
          <w:szCs w:val="28"/>
          <w:highlight w:val="none"/>
        </w:rPr>
      </w:pPr>
    </w:p>
    <w:p>
      <w:pPr>
        <w:tabs>
          <w:tab w:val="left" w:pos="168"/>
        </w:tabs>
        <w:adjustRightInd w:val="0"/>
        <w:spacing w:line="360" w:lineRule="auto"/>
        <w:textAlignment w:val="baseline"/>
        <w:rPr>
          <w:rFonts w:ascii="宋体" w:hAnsi="宋体"/>
          <w:bCs/>
          <w:sz w:val="28"/>
          <w:szCs w:val="28"/>
          <w:highlight w:val="none"/>
        </w:rPr>
      </w:pPr>
    </w:p>
    <w:p>
      <w:pPr>
        <w:tabs>
          <w:tab w:val="left" w:pos="168"/>
        </w:tabs>
        <w:adjustRightInd w:val="0"/>
        <w:spacing w:line="360" w:lineRule="auto"/>
        <w:textAlignment w:val="baseline"/>
        <w:rPr>
          <w:rFonts w:ascii="宋体" w:hAnsi="宋体"/>
          <w:bCs/>
          <w:sz w:val="28"/>
          <w:szCs w:val="28"/>
          <w:highlight w:val="none"/>
        </w:rPr>
      </w:pPr>
    </w:p>
    <w:p>
      <w:pPr>
        <w:tabs>
          <w:tab w:val="left" w:pos="168"/>
        </w:tabs>
        <w:adjustRightInd w:val="0"/>
        <w:spacing w:line="360" w:lineRule="auto"/>
        <w:textAlignment w:val="baseline"/>
        <w:rPr>
          <w:rFonts w:hint="eastAsia" w:ascii="宋体" w:hAnsi="宋体"/>
          <w:bCs/>
          <w:sz w:val="28"/>
          <w:szCs w:val="28"/>
          <w:highlight w:val="none"/>
        </w:rPr>
      </w:pPr>
    </w:p>
    <w:p>
      <w:pPr>
        <w:tabs>
          <w:tab w:val="left" w:pos="168"/>
        </w:tabs>
        <w:wordWrap w:val="0"/>
        <w:adjustRightInd w:val="0"/>
        <w:spacing w:line="360" w:lineRule="auto"/>
        <w:jc w:val="right"/>
        <w:textAlignment w:val="baseline"/>
        <w:rPr>
          <w:rFonts w:hint="eastAsia" w:ascii="宋体" w:hAnsi="宋体"/>
          <w:bCs/>
          <w:sz w:val="24"/>
          <w:szCs w:val="28"/>
          <w:highlight w:val="none"/>
        </w:rPr>
      </w:pPr>
      <w:r>
        <w:rPr>
          <w:rFonts w:hint="eastAsia" w:ascii="宋体" w:hAnsi="宋体"/>
          <w:bCs/>
          <w:sz w:val="24"/>
          <w:szCs w:val="28"/>
          <w:highlight w:val="none"/>
        </w:rPr>
        <w:t xml:space="preserve">磋商供应商：     </w:t>
      </w:r>
      <w:r>
        <w:rPr>
          <w:rFonts w:ascii="宋体" w:hAnsi="宋体"/>
          <w:bCs/>
          <w:sz w:val="24"/>
          <w:szCs w:val="28"/>
          <w:highlight w:val="none"/>
        </w:rPr>
        <w:t xml:space="preserve">      </w:t>
      </w:r>
      <w:r>
        <w:rPr>
          <w:rFonts w:hint="eastAsia" w:ascii="宋体" w:hAnsi="宋体"/>
          <w:bCs/>
          <w:sz w:val="24"/>
          <w:szCs w:val="28"/>
          <w:highlight w:val="none"/>
        </w:rPr>
        <w:t xml:space="preserve">        （公章）</w:t>
      </w:r>
    </w:p>
    <w:p>
      <w:pPr>
        <w:tabs>
          <w:tab w:val="left" w:pos="168"/>
        </w:tabs>
        <w:wordWrap w:val="0"/>
        <w:adjustRightInd w:val="0"/>
        <w:spacing w:line="360" w:lineRule="auto"/>
        <w:jc w:val="right"/>
        <w:textAlignment w:val="baseline"/>
        <w:rPr>
          <w:rFonts w:hint="eastAsia" w:ascii="宋体" w:hAnsi="宋体"/>
          <w:bCs/>
          <w:sz w:val="24"/>
          <w:szCs w:val="28"/>
          <w:highlight w:val="none"/>
        </w:rPr>
      </w:pPr>
      <w:r>
        <w:rPr>
          <w:rFonts w:hint="eastAsia" w:ascii="宋体" w:hAnsi="宋体"/>
          <w:bCs/>
          <w:sz w:val="24"/>
          <w:szCs w:val="28"/>
          <w:highlight w:val="none"/>
        </w:rPr>
        <w:t>法定代表人：                   （签字）</w:t>
      </w:r>
    </w:p>
    <w:p>
      <w:pPr>
        <w:tabs>
          <w:tab w:val="left" w:pos="168"/>
        </w:tabs>
        <w:adjustRightInd w:val="0"/>
        <w:spacing w:line="360" w:lineRule="auto"/>
        <w:ind w:right="480" w:firstLine="3600" w:firstLineChars="1500"/>
        <w:textAlignment w:val="baseline"/>
        <w:rPr>
          <w:rFonts w:ascii="宋体" w:hAnsi="宋体"/>
          <w:bCs/>
          <w:sz w:val="24"/>
          <w:szCs w:val="28"/>
          <w:highlight w:val="none"/>
        </w:rPr>
      </w:pPr>
      <w:r>
        <w:rPr>
          <w:rFonts w:hint="eastAsia" w:ascii="宋体" w:hAnsi="宋体"/>
          <w:bCs/>
          <w:sz w:val="24"/>
          <w:szCs w:val="28"/>
          <w:highlight w:val="none"/>
        </w:rPr>
        <w:t xml:space="preserve">日期：  </w:t>
      </w:r>
      <w:r>
        <w:rPr>
          <w:rFonts w:ascii="宋体" w:hAnsi="宋体"/>
          <w:bCs/>
          <w:sz w:val="24"/>
          <w:szCs w:val="28"/>
          <w:highlight w:val="none"/>
        </w:rPr>
        <w:t xml:space="preserve">      </w:t>
      </w:r>
      <w:r>
        <w:rPr>
          <w:rFonts w:hint="eastAsia" w:ascii="宋体" w:hAnsi="宋体"/>
          <w:bCs/>
          <w:sz w:val="24"/>
          <w:szCs w:val="28"/>
          <w:highlight w:val="none"/>
        </w:rPr>
        <w:t xml:space="preserve">          年   月   日</w:t>
      </w:r>
    </w:p>
    <w:p>
      <w:pPr>
        <w:pStyle w:val="4"/>
        <w:numPr>
          <w:ilvl w:val="0"/>
          <w:numId w:val="0"/>
        </w:numPr>
        <w:tabs>
          <w:tab w:val="left" w:pos="425"/>
          <w:tab w:val="left" w:pos="720"/>
        </w:tabs>
        <w:ind w:left="709" w:hanging="709"/>
        <w:rPr>
          <w:rFonts w:hAnsi="宋体"/>
          <w:highlight w:val="none"/>
          <w:lang w:val="zh-CN"/>
        </w:rPr>
      </w:pPr>
      <w:r>
        <w:rPr>
          <w:rFonts w:hAnsi="宋体"/>
          <w:bCs/>
          <w:sz w:val="24"/>
          <w:highlight w:val="none"/>
        </w:rPr>
        <w:br w:type="page"/>
      </w:r>
      <w:bookmarkStart w:id="173" w:name="_Toc535421999"/>
      <w:bookmarkStart w:id="174" w:name="_Toc28571_WPSOffice_Level1"/>
      <w:bookmarkStart w:id="175" w:name="_Toc16067"/>
      <w:r>
        <w:rPr>
          <w:rFonts w:hint="eastAsia" w:hAnsi="宋体"/>
          <w:b/>
          <w:sz w:val="32"/>
          <w:highlight w:val="none"/>
          <w:lang w:val="zh-CN"/>
        </w:rPr>
        <w:t>格式</w:t>
      </w:r>
      <w:r>
        <w:rPr>
          <w:rFonts w:hint="eastAsia" w:hAnsi="宋体"/>
          <w:b/>
          <w:sz w:val="32"/>
          <w:highlight w:val="none"/>
          <w:lang w:val="zh-CN" w:eastAsia="zh-CN"/>
        </w:rPr>
        <w:t>4</w:t>
      </w:r>
      <w:r>
        <w:rPr>
          <w:rFonts w:hint="eastAsia" w:hAnsi="宋体"/>
          <w:b/>
          <w:sz w:val="32"/>
          <w:highlight w:val="none"/>
          <w:lang w:val="zh-CN"/>
        </w:rPr>
        <w:t>、磋商供应商承诺书</w:t>
      </w:r>
      <w:bookmarkEnd w:id="173"/>
      <w:bookmarkEnd w:id="174"/>
      <w:bookmarkEnd w:id="175"/>
    </w:p>
    <w:p>
      <w:pPr>
        <w:autoSpaceDE w:val="0"/>
        <w:autoSpaceDN w:val="0"/>
        <w:adjustRightInd w:val="0"/>
        <w:spacing w:line="360" w:lineRule="auto"/>
        <w:jc w:val="center"/>
        <w:rPr>
          <w:rFonts w:ascii="宋体" w:hAnsi="宋体" w:cs="宋体"/>
          <w:b/>
          <w:bCs/>
          <w:kern w:val="0"/>
          <w:sz w:val="32"/>
          <w:szCs w:val="30"/>
          <w:highlight w:val="none"/>
          <w:lang w:val="zh-CN"/>
        </w:rPr>
      </w:pPr>
      <w:bookmarkStart w:id="176" w:name="_Toc9667_WPSOffice_Level2"/>
      <w:r>
        <w:rPr>
          <w:rFonts w:hint="eastAsia" w:ascii="宋体" w:hAnsi="宋体" w:cs="宋体"/>
          <w:b/>
          <w:bCs/>
          <w:kern w:val="0"/>
          <w:sz w:val="32"/>
          <w:szCs w:val="30"/>
          <w:highlight w:val="none"/>
          <w:lang w:val="zh-CN"/>
        </w:rPr>
        <w:t>磋商供应商承诺书</w:t>
      </w:r>
      <w:bookmarkEnd w:id="176"/>
    </w:p>
    <w:p>
      <w:pPr>
        <w:adjustRightInd w:val="0"/>
        <w:spacing w:line="360" w:lineRule="auto"/>
        <w:ind w:left="482" w:hanging="482" w:hangingChars="200"/>
        <w:textAlignment w:val="baseline"/>
        <w:rPr>
          <w:rFonts w:hint="default" w:ascii="宋体" w:hAnsi="宋体" w:eastAsiaTheme="minorEastAsia"/>
          <w:b/>
          <w:color w:val="auto"/>
          <w:sz w:val="24"/>
          <w:highlight w:val="none"/>
          <w:u w:val="single"/>
          <w:lang w:val="en-US" w:eastAsia="zh-CN"/>
        </w:rPr>
      </w:pPr>
      <w:r>
        <w:rPr>
          <w:rFonts w:hint="eastAsia" w:ascii="宋体" w:hAnsi="宋体"/>
          <w:b/>
          <w:color w:val="auto"/>
          <w:sz w:val="24"/>
          <w:highlight w:val="none"/>
        </w:rPr>
        <w:t>致：</w:t>
      </w:r>
      <w:r>
        <w:rPr>
          <w:rFonts w:hint="eastAsia" w:ascii="宋体" w:hAnsi="宋体"/>
          <w:b/>
          <w:color w:val="auto"/>
          <w:sz w:val="24"/>
          <w:highlight w:val="none"/>
          <w:u w:val="single"/>
          <w:lang w:val="en-US" w:eastAsia="zh-CN"/>
        </w:rPr>
        <w:t xml:space="preserve">（采购人或代理机构） </w:t>
      </w:r>
    </w:p>
    <w:p>
      <w:pPr>
        <w:spacing w:line="360" w:lineRule="auto"/>
        <w:rPr>
          <w:rFonts w:ascii="宋体" w:hAnsi="宋体"/>
          <w:sz w:val="24"/>
          <w:szCs w:val="28"/>
          <w:highlight w:val="none"/>
        </w:rPr>
      </w:pPr>
    </w:p>
    <w:p>
      <w:pPr>
        <w:spacing w:line="360" w:lineRule="auto"/>
        <w:ind w:firstLine="480" w:firstLineChars="200"/>
        <w:rPr>
          <w:rFonts w:ascii="宋体" w:hAnsi="宋体"/>
          <w:sz w:val="24"/>
          <w:szCs w:val="28"/>
          <w:highlight w:val="none"/>
        </w:rPr>
      </w:pPr>
      <w:r>
        <w:rPr>
          <w:rFonts w:hint="eastAsia" w:ascii="宋体" w:hAnsi="宋体"/>
          <w:sz w:val="24"/>
          <w:szCs w:val="28"/>
          <w:highlight w:val="none"/>
        </w:rPr>
        <w:t>关于贵方</w:t>
      </w:r>
      <w:r>
        <w:rPr>
          <w:rFonts w:hint="eastAsia" w:ascii="宋体" w:hAnsi="宋体"/>
          <w:sz w:val="24"/>
          <w:szCs w:val="28"/>
          <w:highlight w:val="none"/>
          <w:u w:val="single"/>
          <w:lang w:val="en-US" w:eastAsia="zh-CN"/>
        </w:rPr>
        <w:t>2024</w:t>
      </w:r>
      <w:r>
        <w:rPr>
          <w:rFonts w:hint="eastAsia" w:ascii="宋体" w:hAnsi="宋体"/>
          <w:sz w:val="24"/>
          <w:szCs w:val="28"/>
          <w:highlight w:val="none"/>
        </w:rPr>
        <w:t>年</w:t>
      </w:r>
      <w:r>
        <w:rPr>
          <w:rFonts w:hint="eastAsia" w:ascii="宋体" w:hAnsi="宋体"/>
          <w:sz w:val="24"/>
          <w:szCs w:val="28"/>
          <w:highlight w:val="none"/>
          <w:u w:val="single"/>
        </w:rPr>
        <w:t xml:space="preserve">   </w:t>
      </w:r>
      <w:r>
        <w:rPr>
          <w:rFonts w:hint="eastAsia" w:ascii="宋体" w:hAnsi="宋体"/>
          <w:sz w:val="24"/>
          <w:szCs w:val="28"/>
          <w:highlight w:val="none"/>
        </w:rPr>
        <w:t>月</w:t>
      </w:r>
      <w:r>
        <w:rPr>
          <w:rFonts w:hint="eastAsia" w:ascii="宋体" w:hAnsi="宋体"/>
          <w:sz w:val="24"/>
          <w:szCs w:val="28"/>
          <w:highlight w:val="none"/>
          <w:u w:val="single"/>
        </w:rPr>
        <w:t xml:space="preserve">   </w:t>
      </w:r>
      <w:r>
        <w:rPr>
          <w:rFonts w:hint="eastAsia" w:ascii="宋体" w:hAnsi="宋体"/>
          <w:sz w:val="24"/>
          <w:szCs w:val="28"/>
          <w:highlight w:val="none"/>
        </w:rPr>
        <w:t>日</w:t>
      </w:r>
      <w:r>
        <w:rPr>
          <w:rFonts w:hint="eastAsia" w:ascii="宋体" w:hAnsi="宋体"/>
          <w:sz w:val="24"/>
          <w:szCs w:val="28"/>
          <w:highlight w:val="none"/>
          <w:u w:val="single"/>
        </w:rPr>
        <w:t xml:space="preserve">          (项目名称)</w:t>
      </w:r>
      <w:r>
        <w:rPr>
          <w:rFonts w:hint="eastAsia" w:ascii="宋体" w:hAnsi="宋体"/>
          <w:sz w:val="24"/>
          <w:szCs w:val="28"/>
          <w:highlight w:val="none"/>
        </w:rPr>
        <w:t>采购项目，本签字人愿意参加磋商，提供服务要求的所有服务，并证实提交的所有资料是准确的和真实的。同时，我代表（磋商供应商名称），在此作如下承诺：</w:t>
      </w:r>
    </w:p>
    <w:p>
      <w:pPr>
        <w:spacing w:line="360" w:lineRule="auto"/>
        <w:ind w:firstLine="480" w:firstLineChars="200"/>
        <w:rPr>
          <w:rFonts w:ascii="宋体" w:hAnsi="宋体"/>
          <w:sz w:val="24"/>
          <w:szCs w:val="28"/>
          <w:highlight w:val="none"/>
        </w:rPr>
      </w:pPr>
      <w:r>
        <w:rPr>
          <w:rFonts w:ascii="宋体" w:hAnsi="宋体"/>
          <w:sz w:val="24"/>
          <w:szCs w:val="28"/>
          <w:highlight w:val="none"/>
        </w:rPr>
        <w:t>1</w:t>
      </w:r>
      <w:r>
        <w:rPr>
          <w:rFonts w:hint="eastAsia" w:ascii="宋体" w:hAnsi="宋体"/>
          <w:sz w:val="24"/>
          <w:szCs w:val="28"/>
          <w:highlight w:val="none"/>
        </w:rPr>
        <w:t>、完全理解和接受磋商文件的一切规定和要求；</w:t>
      </w:r>
    </w:p>
    <w:p>
      <w:pPr>
        <w:spacing w:line="360" w:lineRule="auto"/>
        <w:ind w:firstLine="480" w:firstLineChars="200"/>
        <w:rPr>
          <w:rFonts w:ascii="宋体" w:hAnsi="宋体"/>
          <w:sz w:val="24"/>
          <w:szCs w:val="28"/>
          <w:highlight w:val="none"/>
        </w:rPr>
      </w:pPr>
      <w:r>
        <w:rPr>
          <w:rFonts w:ascii="宋体" w:hAnsi="宋体"/>
          <w:sz w:val="24"/>
          <w:szCs w:val="28"/>
          <w:highlight w:val="none"/>
        </w:rPr>
        <w:t>2</w:t>
      </w:r>
      <w:r>
        <w:rPr>
          <w:rFonts w:hint="eastAsia" w:ascii="宋体" w:hAnsi="宋体"/>
          <w:sz w:val="24"/>
          <w:szCs w:val="28"/>
          <w:highlight w:val="none"/>
        </w:rPr>
        <w:t>、若中标，我方将按照磋商文件的具体规定与采购单位签订合同，并且严格履行合同义务，按时服务，提供优质的服务。如果在合同执行过程中，发现服务出现问题，我方一定尽快解决，并承担相应的经济责任；</w:t>
      </w:r>
    </w:p>
    <w:p>
      <w:pPr>
        <w:spacing w:line="360" w:lineRule="auto"/>
        <w:ind w:firstLine="480" w:firstLineChars="200"/>
        <w:rPr>
          <w:rFonts w:ascii="宋体" w:hAnsi="宋体"/>
          <w:sz w:val="24"/>
          <w:szCs w:val="28"/>
          <w:highlight w:val="none"/>
        </w:rPr>
      </w:pPr>
      <w:r>
        <w:rPr>
          <w:rFonts w:ascii="宋体" w:hAnsi="宋体"/>
          <w:sz w:val="24"/>
          <w:szCs w:val="28"/>
          <w:highlight w:val="none"/>
        </w:rPr>
        <w:t>3</w:t>
      </w:r>
      <w:r>
        <w:rPr>
          <w:rFonts w:hint="eastAsia" w:ascii="宋体" w:hAnsi="宋体"/>
          <w:sz w:val="24"/>
          <w:szCs w:val="28"/>
          <w:highlight w:val="none"/>
        </w:rPr>
        <w:t>、在整个磋商过程中我方若有违规行为，贵方可按磋商文件之规定给予惩罚，我方完全接受。</w:t>
      </w:r>
    </w:p>
    <w:p>
      <w:pPr>
        <w:spacing w:line="360" w:lineRule="auto"/>
        <w:ind w:firstLine="480" w:firstLineChars="200"/>
        <w:rPr>
          <w:rFonts w:ascii="宋体" w:hAnsi="宋体"/>
          <w:sz w:val="24"/>
          <w:szCs w:val="28"/>
          <w:highlight w:val="none"/>
        </w:rPr>
      </w:pPr>
      <w:r>
        <w:rPr>
          <w:rFonts w:ascii="宋体" w:hAnsi="宋体"/>
          <w:sz w:val="24"/>
          <w:szCs w:val="28"/>
          <w:highlight w:val="none"/>
        </w:rPr>
        <w:t>4</w:t>
      </w:r>
      <w:r>
        <w:rPr>
          <w:rFonts w:hint="eastAsia" w:ascii="宋体" w:hAnsi="宋体"/>
          <w:sz w:val="24"/>
          <w:szCs w:val="28"/>
          <w:highlight w:val="none"/>
        </w:rPr>
        <w:t>、若中标，本承诺将成为合同不可分割的一部分，与合同具有同等的法律效力。</w:t>
      </w:r>
    </w:p>
    <w:p>
      <w:pPr>
        <w:tabs>
          <w:tab w:val="left" w:pos="168"/>
        </w:tabs>
        <w:adjustRightInd w:val="0"/>
        <w:spacing w:line="360" w:lineRule="auto"/>
        <w:textAlignment w:val="baseline"/>
        <w:rPr>
          <w:rFonts w:ascii="宋体" w:hAnsi="宋体"/>
          <w:bCs/>
          <w:sz w:val="28"/>
          <w:szCs w:val="28"/>
          <w:highlight w:val="none"/>
        </w:rPr>
      </w:pPr>
    </w:p>
    <w:p>
      <w:pPr>
        <w:tabs>
          <w:tab w:val="left" w:pos="168"/>
        </w:tabs>
        <w:adjustRightInd w:val="0"/>
        <w:spacing w:line="360" w:lineRule="auto"/>
        <w:ind w:firstLine="560" w:firstLineChars="200"/>
        <w:textAlignment w:val="baseline"/>
        <w:rPr>
          <w:rFonts w:ascii="宋体" w:hAnsi="宋体"/>
          <w:bCs/>
          <w:sz w:val="28"/>
          <w:szCs w:val="28"/>
          <w:highlight w:val="none"/>
        </w:rPr>
      </w:pPr>
    </w:p>
    <w:p>
      <w:pPr>
        <w:tabs>
          <w:tab w:val="left" w:pos="168"/>
        </w:tabs>
        <w:adjustRightInd w:val="0"/>
        <w:spacing w:line="360" w:lineRule="auto"/>
        <w:ind w:firstLine="560" w:firstLineChars="200"/>
        <w:textAlignment w:val="baseline"/>
        <w:rPr>
          <w:rFonts w:ascii="宋体" w:hAnsi="宋体"/>
          <w:bCs/>
          <w:sz w:val="28"/>
          <w:szCs w:val="28"/>
          <w:highlight w:val="none"/>
        </w:rPr>
      </w:pPr>
    </w:p>
    <w:p>
      <w:pPr>
        <w:tabs>
          <w:tab w:val="left" w:pos="168"/>
        </w:tabs>
        <w:adjustRightInd w:val="0"/>
        <w:spacing w:line="360" w:lineRule="auto"/>
        <w:ind w:firstLine="560" w:firstLineChars="200"/>
        <w:textAlignment w:val="baseline"/>
        <w:rPr>
          <w:rFonts w:ascii="宋体" w:hAnsi="宋体"/>
          <w:bCs/>
          <w:sz w:val="28"/>
          <w:szCs w:val="28"/>
          <w:highlight w:val="none"/>
        </w:rPr>
      </w:pPr>
    </w:p>
    <w:p>
      <w:pPr>
        <w:tabs>
          <w:tab w:val="left" w:pos="168"/>
        </w:tabs>
        <w:adjustRightInd w:val="0"/>
        <w:spacing w:line="360" w:lineRule="auto"/>
        <w:ind w:firstLine="560" w:firstLineChars="200"/>
        <w:textAlignment w:val="baseline"/>
        <w:rPr>
          <w:rFonts w:ascii="宋体" w:hAnsi="宋体"/>
          <w:bCs/>
          <w:sz w:val="28"/>
          <w:szCs w:val="28"/>
          <w:highlight w:val="none"/>
        </w:rPr>
      </w:pPr>
    </w:p>
    <w:p>
      <w:pPr>
        <w:tabs>
          <w:tab w:val="left" w:pos="168"/>
        </w:tabs>
        <w:adjustRightInd w:val="0"/>
        <w:spacing w:line="360" w:lineRule="auto"/>
        <w:ind w:firstLine="560" w:firstLineChars="200"/>
        <w:textAlignment w:val="baseline"/>
        <w:rPr>
          <w:rFonts w:ascii="宋体" w:hAnsi="宋体"/>
          <w:bCs/>
          <w:sz w:val="28"/>
          <w:szCs w:val="28"/>
          <w:highlight w:val="none"/>
        </w:rPr>
      </w:pP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 xml:space="preserve">磋商供应商：     </w:t>
      </w:r>
      <w:r>
        <w:rPr>
          <w:rFonts w:ascii="宋体" w:hAnsi="宋体"/>
          <w:bCs/>
          <w:sz w:val="24"/>
          <w:szCs w:val="28"/>
          <w:highlight w:val="none"/>
        </w:rPr>
        <w:t xml:space="preserve">      </w:t>
      </w:r>
      <w:r>
        <w:rPr>
          <w:rFonts w:hint="eastAsia" w:ascii="宋体" w:hAnsi="宋体"/>
          <w:bCs/>
          <w:sz w:val="24"/>
          <w:szCs w:val="28"/>
          <w:highlight w:val="none"/>
        </w:rPr>
        <w:t xml:space="preserve">        （公章）</w:t>
      </w: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委托代理人：                （签字）</w:t>
      </w: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 xml:space="preserve">日期：  </w:t>
      </w:r>
      <w:r>
        <w:rPr>
          <w:rFonts w:ascii="宋体" w:hAnsi="宋体"/>
          <w:bCs/>
          <w:sz w:val="24"/>
          <w:szCs w:val="28"/>
          <w:highlight w:val="none"/>
        </w:rPr>
        <w:t xml:space="preserve">      </w:t>
      </w:r>
      <w:r>
        <w:rPr>
          <w:rFonts w:hint="eastAsia" w:ascii="宋体" w:hAnsi="宋体"/>
          <w:bCs/>
          <w:sz w:val="24"/>
          <w:szCs w:val="28"/>
          <w:highlight w:val="none"/>
        </w:rPr>
        <w:t xml:space="preserve">  年   月   日</w:t>
      </w:r>
    </w:p>
    <w:p>
      <w:pPr>
        <w:pStyle w:val="4"/>
        <w:numPr>
          <w:ilvl w:val="0"/>
          <w:numId w:val="0"/>
        </w:numPr>
        <w:tabs>
          <w:tab w:val="left" w:pos="425"/>
          <w:tab w:val="left" w:pos="720"/>
        </w:tabs>
        <w:rPr>
          <w:rFonts w:hAnsi="宋体"/>
          <w:highlight w:val="none"/>
          <w:lang w:val="zh-CN"/>
        </w:rPr>
      </w:pPr>
      <w:bookmarkStart w:id="177" w:name="_Toc16102_WPSOffice_Level1"/>
      <w:bookmarkStart w:id="178" w:name="_Toc25711"/>
      <w:bookmarkStart w:id="179" w:name="_Toc535422000"/>
      <w:r>
        <w:rPr>
          <w:rFonts w:hint="eastAsia" w:hAnsi="宋体"/>
          <w:b/>
          <w:sz w:val="32"/>
          <w:highlight w:val="none"/>
          <w:lang w:val="zh-CN"/>
        </w:rPr>
        <w:t>格式</w:t>
      </w:r>
      <w:r>
        <w:rPr>
          <w:rFonts w:hint="eastAsia" w:hAnsi="宋体"/>
          <w:b/>
          <w:sz w:val="32"/>
          <w:highlight w:val="none"/>
          <w:lang w:val="zh-CN" w:eastAsia="zh-CN"/>
        </w:rPr>
        <w:t>5</w:t>
      </w:r>
      <w:r>
        <w:rPr>
          <w:rFonts w:hint="eastAsia" w:hAnsi="宋体"/>
          <w:b/>
          <w:sz w:val="32"/>
          <w:highlight w:val="none"/>
          <w:lang w:val="zh-CN"/>
        </w:rPr>
        <w:t>、供应商诚信承诺书</w:t>
      </w:r>
      <w:bookmarkEnd w:id="177"/>
      <w:bookmarkEnd w:id="178"/>
      <w:bookmarkEnd w:id="179"/>
    </w:p>
    <w:p>
      <w:pPr>
        <w:autoSpaceDE w:val="0"/>
        <w:autoSpaceDN w:val="0"/>
        <w:adjustRightInd w:val="0"/>
        <w:spacing w:line="360" w:lineRule="auto"/>
        <w:jc w:val="center"/>
        <w:rPr>
          <w:rFonts w:ascii="宋体" w:hAnsi="宋体" w:cs="宋体"/>
          <w:kern w:val="0"/>
          <w:sz w:val="24"/>
          <w:highlight w:val="none"/>
          <w:lang w:val="zh-CN"/>
        </w:rPr>
      </w:pPr>
      <w:bookmarkStart w:id="180" w:name="_Toc28506_WPSOffice_Level2"/>
      <w:r>
        <w:rPr>
          <w:rFonts w:hint="eastAsia" w:ascii="宋体" w:hAnsi="宋体" w:cs="宋体"/>
          <w:b/>
          <w:bCs/>
          <w:kern w:val="0"/>
          <w:sz w:val="32"/>
          <w:szCs w:val="30"/>
          <w:highlight w:val="none"/>
          <w:lang w:val="zh-CN"/>
        </w:rPr>
        <w:t>供应商诚信承诺书</w:t>
      </w:r>
      <w:bookmarkEnd w:id="180"/>
    </w:p>
    <w:p>
      <w:pPr>
        <w:adjustRightInd w:val="0"/>
        <w:spacing w:line="360" w:lineRule="auto"/>
        <w:ind w:left="482" w:hanging="482" w:hangingChars="200"/>
        <w:textAlignment w:val="baseline"/>
        <w:rPr>
          <w:rFonts w:hint="default" w:ascii="宋体" w:hAnsi="宋体" w:eastAsiaTheme="minorEastAsia"/>
          <w:b/>
          <w:color w:val="auto"/>
          <w:sz w:val="24"/>
          <w:highlight w:val="none"/>
          <w:u w:val="single"/>
          <w:lang w:val="en-US" w:eastAsia="zh-CN"/>
        </w:rPr>
      </w:pPr>
      <w:r>
        <w:rPr>
          <w:rFonts w:hint="eastAsia" w:ascii="宋体" w:hAnsi="宋体"/>
          <w:b/>
          <w:color w:val="auto"/>
          <w:sz w:val="24"/>
          <w:highlight w:val="none"/>
        </w:rPr>
        <w:t>致：</w:t>
      </w:r>
      <w:r>
        <w:rPr>
          <w:rFonts w:hint="eastAsia" w:ascii="宋体" w:hAnsi="宋体"/>
          <w:b/>
          <w:color w:val="auto"/>
          <w:sz w:val="24"/>
          <w:highlight w:val="none"/>
          <w:u w:val="single"/>
          <w:lang w:val="en-US" w:eastAsia="zh-CN"/>
        </w:rPr>
        <w:t xml:space="preserve">（采购人或代理机构） </w:t>
      </w:r>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ind w:firstLine="480"/>
        <w:rPr>
          <w:rFonts w:ascii="宋体" w:hAnsi="宋体" w:cs="宋体"/>
          <w:kern w:val="0"/>
          <w:sz w:val="24"/>
          <w:highlight w:val="none"/>
          <w:lang w:val="zh-CN"/>
        </w:rPr>
      </w:pPr>
      <w:r>
        <w:rPr>
          <w:rFonts w:hint="eastAsia" w:ascii="宋体" w:hAnsi="宋体" w:cs="宋体"/>
          <w:kern w:val="0"/>
          <w:sz w:val="24"/>
          <w:highlight w:val="none"/>
          <w:lang w:val="zh-CN"/>
        </w:rPr>
        <w:t>为了诚实、客观、有序地参与青海省政府采购活动，愿就以下内容做出承诺：</w:t>
      </w:r>
    </w:p>
    <w:p>
      <w:pPr>
        <w:autoSpaceDE w:val="0"/>
        <w:autoSpaceDN w:val="0"/>
        <w:adjustRightInd w:val="0"/>
        <w:spacing w:line="360" w:lineRule="auto"/>
        <w:ind w:firstLine="480"/>
        <w:rPr>
          <w:rFonts w:ascii="宋体" w:hAnsi="宋体" w:cs="宋体"/>
          <w:kern w:val="0"/>
          <w:sz w:val="24"/>
          <w:highlight w:val="none"/>
          <w:lang w:val="zh-CN"/>
        </w:rPr>
      </w:pPr>
      <w:r>
        <w:rPr>
          <w:rFonts w:hint="eastAsia" w:ascii="宋体" w:hAnsi="宋体" w:cs="宋体"/>
          <w:kern w:val="0"/>
          <w:sz w:val="24"/>
          <w:highlight w:val="none"/>
          <w:lang w:val="zh-CN"/>
        </w:rPr>
        <w:t>一、自觉遵守各项法律、法规、规章、制度以及社会公德，维护廉洁环境，与同场竞争的供应商平等参加政府采购活动。</w:t>
      </w:r>
    </w:p>
    <w:p>
      <w:pPr>
        <w:autoSpaceDE w:val="0"/>
        <w:autoSpaceDN w:val="0"/>
        <w:adjustRightInd w:val="0"/>
        <w:spacing w:line="360" w:lineRule="auto"/>
        <w:ind w:firstLine="480"/>
        <w:rPr>
          <w:rFonts w:ascii="宋体" w:hAnsi="宋体" w:cs="宋体"/>
          <w:kern w:val="0"/>
          <w:sz w:val="24"/>
          <w:highlight w:val="none"/>
          <w:lang w:val="zh-CN"/>
        </w:rPr>
      </w:pPr>
      <w:r>
        <w:rPr>
          <w:rFonts w:hint="eastAsia" w:ascii="宋体" w:hAnsi="宋体" w:cs="宋体"/>
          <w:kern w:val="0"/>
          <w:sz w:val="24"/>
          <w:highlight w:val="none"/>
          <w:lang w:val="zh-CN"/>
        </w:rPr>
        <w:t>二、参加采购代理机构组织的政府采购活动时，严格按照磋商文件的规定和要求提供所需的相关材料，并对所提供的各类资料的真实性负责，不虚假应标，不虚列业绩。</w:t>
      </w:r>
    </w:p>
    <w:p>
      <w:pPr>
        <w:autoSpaceDE w:val="0"/>
        <w:autoSpaceDN w:val="0"/>
        <w:adjustRightInd w:val="0"/>
        <w:spacing w:line="360" w:lineRule="auto"/>
        <w:ind w:firstLine="480"/>
        <w:rPr>
          <w:rFonts w:ascii="宋体" w:hAnsi="宋体" w:cs="宋体"/>
          <w:kern w:val="0"/>
          <w:sz w:val="24"/>
          <w:highlight w:val="none"/>
          <w:lang w:val="zh-CN"/>
        </w:rPr>
      </w:pPr>
      <w:r>
        <w:rPr>
          <w:rFonts w:hint="eastAsia" w:ascii="宋体" w:hAnsi="宋体" w:cs="宋体"/>
          <w:kern w:val="0"/>
          <w:sz w:val="24"/>
          <w:highlight w:val="none"/>
          <w:lang w:val="zh-CN"/>
        </w:rPr>
        <w:t>三、尊重参与政府采购活动各相关方的合法行为，接受政府采购活动依法形成的意见、结果。</w:t>
      </w:r>
    </w:p>
    <w:p>
      <w:pPr>
        <w:autoSpaceDE w:val="0"/>
        <w:autoSpaceDN w:val="0"/>
        <w:adjustRightInd w:val="0"/>
        <w:spacing w:line="360" w:lineRule="auto"/>
        <w:ind w:firstLine="480"/>
        <w:rPr>
          <w:rFonts w:ascii="宋体" w:hAnsi="宋体" w:cs="宋体"/>
          <w:kern w:val="0"/>
          <w:sz w:val="24"/>
          <w:highlight w:val="none"/>
          <w:lang w:val="zh-CN"/>
        </w:rPr>
      </w:pPr>
      <w:r>
        <w:rPr>
          <w:rFonts w:hint="eastAsia" w:ascii="宋体" w:hAnsi="宋体" w:cs="宋体"/>
          <w:kern w:val="0"/>
          <w:sz w:val="24"/>
          <w:highlight w:val="none"/>
          <w:lang w:val="zh-CN"/>
        </w:rPr>
        <w:t>四、依法参加政府采购活动，不围标、串标，维护市场秩序。</w:t>
      </w:r>
    </w:p>
    <w:p>
      <w:pPr>
        <w:autoSpaceDE w:val="0"/>
        <w:autoSpaceDN w:val="0"/>
        <w:adjustRightInd w:val="0"/>
        <w:spacing w:line="360" w:lineRule="auto"/>
        <w:ind w:firstLine="480"/>
        <w:rPr>
          <w:rFonts w:ascii="宋体" w:hAnsi="宋体" w:cs="宋体"/>
          <w:kern w:val="0"/>
          <w:sz w:val="24"/>
          <w:highlight w:val="none"/>
          <w:lang w:val="zh-CN"/>
        </w:rPr>
      </w:pPr>
      <w:r>
        <w:rPr>
          <w:rFonts w:hint="eastAsia" w:ascii="宋体" w:hAnsi="宋体" w:cs="宋体"/>
          <w:kern w:val="0"/>
          <w:sz w:val="24"/>
          <w:highlight w:val="none"/>
          <w:lang w:val="zh-CN"/>
        </w:rPr>
        <w:t>五、积极推动政府采购活动健康开展，对采购活动有疑问、异议时，按法律规定的程序实名（加盖单位章和法定代表人签名）反映情况，不恶意中伤、无事生非，以和谐、平等的心态参加政府采购活动。</w:t>
      </w:r>
    </w:p>
    <w:p>
      <w:pPr>
        <w:autoSpaceDE w:val="0"/>
        <w:autoSpaceDN w:val="0"/>
        <w:adjustRightInd w:val="0"/>
        <w:spacing w:line="360" w:lineRule="auto"/>
        <w:ind w:firstLine="480"/>
        <w:rPr>
          <w:rFonts w:ascii="宋体" w:hAnsi="宋体" w:cs="宋体"/>
          <w:kern w:val="0"/>
          <w:sz w:val="24"/>
          <w:highlight w:val="none"/>
          <w:lang w:val="zh-CN"/>
        </w:rPr>
      </w:pPr>
      <w:r>
        <w:rPr>
          <w:rFonts w:hint="eastAsia" w:ascii="宋体" w:hAnsi="宋体" w:cs="宋体"/>
          <w:kern w:val="0"/>
          <w:sz w:val="24"/>
          <w:highlight w:val="none"/>
          <w:lang w:val="zh-CN"/>
        </w:rPr>
        <w:t>六、认真履行中标人应承担的责任和义务，全面执行采购合同规定的各项内容，保质保量地按时提供采购服务。</w:t>
      </w:r>
    </w:p>
    <w:p>
      <w:pPr>
        <w:autoSpaceDE w:val="0"/>
        <w:autoSpaceDN w:val="0"/>
        <w:adjustRightInd w:val="0"/>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若本企业（单位）发生有悖于上述承诺的行为，愿意接受《中华人民共和国政府采购法》和《政府采购法实施条例》中对供应商的相关处理。</w:t>
      </w:r>
    </w:p>
    <w:p>
      <w:pPr>
        <w:autoSpaceDE w:val="0"/>
        <w:autoSpaceDN w:val="0"/>
        <w:adjustRightIn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本承诺是采购项目磋商文件的组成部分。</w:t>
      </w:r>
    </w:p>
    <w:p>
      <w:pPr>
        <w:tabs>
          <w:tab w:val="left" w:pos="168"/>
        </w:tabs>
        <w:adjustRightInd w:val="0"/>
        <w:spacing w:line="360" w:lineRule="auto"/>
        <w:textAlignment w:val="baseline"/>
        <w:rPr>
          <w:rFonts w:ascii="宋体" w:hAnsi="宋体"/>
          <w:bCs/>
          <w:sz w:val="28"/>
          <w:szCs w:val="28"/>
          <w:highlight w:val="none"/>
        </w:rPr>
      </w:pPr>
      <w:bookmarkStart w:id="181" w:name="_Toc444715739"/>
      <w:bookmarkStart w:id="182" w:name="_Toc17097"/>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 xml:space="preserve">磋商供应商：     </w:t>
      </w:r>
      <w:r>
        <w:rPr>
          <w:rFonts w:ascii="宋体" w:hAnsi="宋体"/>
          <w:bCs/>
          <w:sz w:val="24"/>
          <w:szCs w:val="28"/>
          <w:highlight w:val="none"/>
        </w:rPr>
        <w:t xml:space="preserve">      </w:t>
      </w:r>
      <w:r>
        <w:rPr>
          <w:rFonts w:hint="eastAsia" w:ascii="宋体" w:hAnsi="宋体"/>
          <w:bCs/>
          <w:sz w:val="24"/>
          <w:szCs w:val="28"/>
          <w:highlight w:val="none"/>
        </w:rPr>
        <w:t xml:space="preserve">        （公章）</w:t>
      </w:r>
    </w:p>
    <w:p>
      <w:pPr>
        <w:tabs>
          <w:tab w:val="left" w:pos="168"/>
        </w:tabs>
        <w:adjustRightInd w:val="0"/>
        <w:spacing w:line="360" w:lineRule="auto"/>
        <w:jc w:val="center"/>
        <w:textAlignment w:val="baseline"/>
        <w:rPr>
          <w:rFonts w:ascii="宋体" w:hAnsi="宋体"/>
          <w:bCs/>
          <w:sz w:val="24"/>
          <w:szCs w:val="28"/>
          <w:highlight w:val="none"/>
        </w:rPr>
      </w:pPr>
      <w:r>
        <w:rPr>
          <w:rFonts w:hint="eastAsia" w:ascii="宋体" w:hAnsi="宋体"/>
          <w:bCs/>
          <w:sz w:val="24"/>
          <w:szCs w:val="28"/>
          <w:highlight w:val="none"/>
          <w:lang w:val="en-US" w:eastAsia="zh-CN"/>
        </w:rPr>
        <w:t xml:space="preserve">                            </w:t>
      </w:r>
      <w:r>
        <w:rPr>
          <w:rFonts w:hint="eastAsia" w:ascii="宋体" w:hAnsi="宋体"/>
          <w:bCs/>
          <w:sz w:val="24"/>
          <w:szCs w:val="28"/>
          <w:highlight w:val="none"/>
        </w:rPr>
        <w:t>委托代理人：                （签字）</w:t>
      </w: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 xml:space="preserve">日期：  </w:t>
      </w:r>
      <w:r>
        <w:rPr>
          <w:rFonts w:ascii="宋体" w:hAnsi="宋体"/>
          <w:bCs/>
          <w:sz w:val="24"/>
          <w:szCs w:val="28"/>
          <w:highlight w:val="none"/>
        </w:rPr>
        <w:t xml:space="preserve">      </w:t>
      </w:r>
      <w:r>
        <w:rPr>
          <w:rFonts w:hint="eastAsia" w:ascii="宋体" w:hAnsi="宋体"/>
          <w:bCs/>
          <w:sz w:val="24"/>
          <w:szCs w:val="28"/>
          <w:highlight w:val="none"/>
        </w:rPr>
        <w:t xml:space="preserve">  年   月   日</w:t>
      </w:r>
    </w:p>
    <w:p>
      <w:pPr>
        <w:pStyle w:val="4"/>
        <w:numPr>
          <w:ilvl w:val="0"/>
          <w:numId w:val="0"/>
        </w:numPr>
        <w:tabs>
          <w:tab w:val="left" w:pos="425"/>
          <w:tab w:val="left" w:pos="720"/>
        </w:tabs>
        <w:ind w:left="709" w:hanging="709"/>
        <w:outlineLvl w:val="0"/>
        <w:rPr>
          <w:rFonts w:hAnsi="宋体" w:cs="宋体"/>
          <w:highlight w:val="none"/>
          <w:lang w:val="zh-CN"/>
        </w:rPr>
      </w:pPr>
      <w:r>
        <w:rPr>
          <w:rFonts w:hAnsi="宋体"/>
          <w:bCs/>
          <w:sz w:val="24"/>
          <w:highlight w:val="none"/>
        </w:rPr>
        <w:br w:type="page"/>
      </w:r>
      <w:bookmarkStart w:id="183" w:name="_Toc7767_WPSOffice_Level1"/>
      <w:bookmarkStart w:id="184" w:name="_Toc535422001"/>
      <w:bookmarkStart w:id="185" w:name="_Toc4374"/>
      <w:bookmarkStart w:id="186" w:name="_Toc28335"/>
      <w:bookmarkStart w:id="187" w:name="_Toc30458"/>
      <w:bookmarkStart w:id="188" w:name="_Toc27654"/>
      <w:r>
        <w:rPr>
          <w:rFonts w:hint="eastAsia" w:hAnsi="宋体"/>
          <w:b/>
          <w:sz w:val="32"/>
          <w:highlight w:val="none"/>
          <w:lang w:val="zh-CN"/>
        </w:rPr>
        <w:t>格式</w:t>
      </w:r>
      <w:r>
        <w:rPr>
          <w:rFonts w:hint="eastAsia" w:hAnsi="宋体"/>
          <w:b/>
          <w:sz w:val="32"/>
          <w:highlight w:val="none"/>
          <w:lang w:val="zh-CN" w:eastAsia="zh-CN"/>
        </w:rPr>
        <w:t>6</w:t>
      </w:r>
      <w:r>
        <w:rPr>
          <w:rFonts w:hint="eastAsia" w:hAnsi="宋体"/>
          <w:b/>
          <w:sz w:val="32"/>
          <w:highlight w:val="none"/>
          <w:lang w:val="zh-CN"/>
        </w:rPr>
        <w:t>、资格证明材料</w:t>
      </w:r>
      <w:bookmarkEnd w:id="181"/>
      <w:bookmarkEnd w:id="182"/>
      <w:bookmarkEnd w:id="183"/>
      <w:bookmarkEnd w:id="184"/>
      <w:bookmarkEnd w:id="185"/>
      <w:bookmarkEnd w:id="186"/>
      <w:bookmarkEnd w:id="187"/>
      <w:bookmarkEnd w:id="188"/>
    </w:p>
    <w:p>
      <w:pPr>
        <w:spacing w:line="360" w:lineRule="auto"/>
        <w:rPr>
          <w:rFonts w:ascii="宋体" w:hAnsi="宋体"/>
          <w:highlight w:val="none"/>
          <w:lang w:val="zh-CN"/>
        </w:rPr>
      </w:pPr>
    </w:p>
    <w:p>
      <w:pPr>
        <w:autoSpaceDE w:val="0"/>
        <w:autoSpaceDN w:val="0"/>
        <w:adjustRightInd w:val="0"/>
        <w:spacing w:line="360" w:lineRule="auto"/>
        <w:jc w:val="center"/>
        <w:rPr>
          <w:rFonts w:ascii="宋体" w:hAnsi="宋体" w:cs="宋体"/>
          <w:b/>
          <w:bCs/>
          <w:kern w:val="0"/>
          <w:sz w:val="32"/>
          <w:szCs w:val="30"/>
          <w:highlight w:val="none"/>
          <w:lang w:val="zh-CN"/>
        </w:rPr>
      </w:pPr>
      <w:bookmarkStart w:id="189" w:name="_Toc29823_WPSOffice_Level2"/>
      <w:r>
        <w:rPr>
          <w:rFonts w:hint="eastAsia" w:ascii="宋体" w:hAnsi="宋体" w:cs="宋体"/>
          <w:b/>
          <w:bCs/>
          <w:kern w:val="0"/>
          <w:sz w:val="32"/>
          <w:szCs w:val="30"/>
          <w:highlight w:val="none"/>
          <w:lang w:val="zh-CN"/>
        </w:rPr>
        <w:t>资格证明材料</w:t>
      </w:r>
      <w:bookmarkEnd w:id="189"/>
    </w:p>
    <w:p>
      <w:pPr>
        <w:spacing w:line="360" w:lineRule="auto"/>
        <w:ind w:firstLine="424" w:firstLineChars="177"/>
        <w:rPr>
          <w:rFonts w:ascii="宋体" w:hAnsi="宋体" w:cs="Arial"/>
          <w:sz w:val="24"/>
          <w:highlight w:val="none"/>
        </w:rPr>
      </w:pPr>
      <w:r>
        <w:rPr>
          <w:rFonts w:ascii="宋体" w:hAnsi="宋体" w:cs="Arial"/>
          <w:sz w:val="24"/>
          <w:highlight w:val="none"/>
        </w:rPr>
        <w:t>资格证明材料包括：</w:t>
      </w:r>
    </w:p>
    <w:p>
      <w:pPr>
        <w:spacing w:line="360" w:lineRule="auto"/>
        <w:rPr>
          <w:rFonts w:ascii="宋体" w:hAnsi="宋体" w:cs="Arial"/>
          <w:sz w:val="24"/>
          <w:highlight w:val="none"/>
        </w:rPr>
      </w:pPr>
      <w:bookmarkStart w:id="190" w:name="_Toc7196_WPSOffice_Level2"/>
      <w:r>
        <w:rPr>
          <w:rFonts w:ascii="宋体" w:hAnsi="宋体" w:cs="Arial"/>
          <w:sz w:val="24"/>
          <w:highlight w:val="none"/>
        </w:rPr>
        <w:t>（1）单位法人营业执照、税务登记证、组织机构代码证；</w:t>
      </w:r>
      <w:bookmarkEnd w:id="190"/>
    </w:p>
    <w:p>
      <w:pPr>
        <w:spacing w:line="360" w:lineRule="auto"/>
        <w:rPr>
          <w:rFonts w:ascii="宋体" w:hAnsi="宋体" w:cs="Arial"/>
          <w:sz w:val="24"/>
          <w:highlight w:val="none"/>
        </w:rPr>
      </w:pPr>
      <w:bookmarkStart w:id="191" w:name="_Toc27829_WPSOffice_Level2"/>
      <w:r>
        <w:rPr>
          <w:rFonts w:ascii="宋体" w:hAnsi="宋体" w:cs="Arial"/>
          <w:sz w:val="24"/>
          <w:highlight w:val="none"/>
        </w:rPr>
        <w:t>（2）磋商文件规定的有关资格证书、许可证书、认证等；</w:t>
      </w:r>
      <w:bookmarkEnd w:id="191"/>
    </w:p>
    <w:p>
      <w:pPr>
        <w:spacing w:line="360" w:lineRule="auto"/>
        <w:rPr>
          <w:rFonts w:ascii="宋体" w:hAnsi="宋体" w:cs="Arial"/>
          <w:sz w:val="24"/>
          <w:highlight w:val="none"/>
        </w:rPr>
      </w:pPr>
      <w:bookmarkStart w:id="192" w:name="_Toc5005_WPSOffice_Level2"/>
      <w:r>
        <w:rPr>
          <w:rFonts w:ascii="宋体" w:hAnsi="宋体" w:cs="Arial"/>
          <w:sz w:val="24"/>
          <w:highlight w:val="none"/>
        </w:rPr>
        <w:t>（3）磋商供应商简介及获得相关证书证明文件；</w:t>
      </w:r>
      <w:bookmarkEnd w:id="192"/>
    </w:p>
    <w:p>
      <w:pPr>
        <w:spacing w:line="360" w:lineRule="auto"/>
        <w:rPr>
          <w:rFonts w:ascii="宋体" w:hAnsi="宋体" w:cs="Arial"/>
          <w:sz w:val="24"/>
          <w:highlight w:val="none"/>
        </w:rPr>
      </w:pPr>
      <w:bookmarkStart w:id="193" w:name="_Toc18507_WPSOffice_Level2"/>
      <w:r>
        <w:rPr>
          <w:rFonts w:ascii="宋体" w:hAnsi="宋体" w:cs="Arial"/>
          <w:sz w:val="24"/>
          <w:highlight w:val="none"/>
        </w:rPr>
        <w:t>（4）磋商供应商认为有必要提供的其他资格证明文件。</w:t>
      </w:r>
      <w:bookmarkEnd w:id="193"/>
    </w:p>
    <w:p>
      <w:pPr>
        <w:pStyle w:val="4"/>
        <w:numPr>
          <w:ilvl w:val="0"/>
          <w:numId w:val="0"/>
        </w:numPr>
        <w:tabs>
          <w:tab w:val="left" w:pos="425"/>
          <w:tab w:val="left" w:pos="720"/>
        </w:tabs>
        <w:ind w:left="709" w:hanging="709"/>
        <w:rPr>
          <w:rFonts w:hAnsi="宋体"/>
          <w:highlight w:val="none"/>
          <w:lang w:val="zh-CN"/>
        </w:rPr>
      </w:pPr>
      <w:r>
        <w:rPr>
          <w:rFonts w:hAnsi="宋体" w:cs="宋体"/>
          <w:kern w:val="0"/>
          <w:sz w:val="24"/>
          <w:highlight w:val="none"/>
          <w:lang w:val="zh-CN"/>
        </w:rPr>
        <w:br w:type="page"/>
      </w:r>
      <w:bookmarkStart w:id="194" w:name="_Toc5294_WPSOffice_Level1"/>
      <w:bookmarkStart w:id="195" w:name="_Toc5710"/>
      <w:bookmarkStart w:id="196" w:name="_Toc535422002"/>
      <w:bookmarkStart w:id="197" w:name="_Toc444715740"/>
      <w:bookmarkStart w:id="198" w:name="_Toc20673"/>
      <w:r>
        <w:rPr>
          <w:rFonts w:hint="eastAsia" w:hAnsi="宋体"/>
          <w:b/>
          <w:sz w:val="32"/>
          <w:highlight w:val="none"/>
          <w:lang w:val="zh-CN"/>
        </w:rPr>
        <w:t>格式</w:t>
      </w:r>
      <w:r>
        <w:rPr>
          <w:rFonts w:hint="eastAsia" w:hAnsi="宋体"/>
          <w:b/>
          <w:sz w:val="32"/>
          <w:highlight w:val="none"/>
          <w:lang w:val="zh-CN" w:eastAsia="zh-CN"/>
        </w:rPr>
        <w:t>7</w:t>
      </w:r>
      <w:r>
        <w:rPr>
          <w:rFonts w:hint="eastAsia" w:hAnsi="宋体"/>
          <w:b/>
          <w:sz w:val="32"/>
          <w:highlight w:val="none"/>
          <w:lang w:val="zh-CN"/>
        </w:rPr>
        <w:t>、财务状况、缴纳税收和社会保障资金证明</w:t>
      </w:r>
      <w:bookmarkEnd w:id="194"/>
      <w:bookmarkEnd w:id="195"/>
      <w:bookmarkEnd w:id="196"/>
    </w:p>
    <w:p>
      <w:pPr>
        <w:spacing w:line="360" w:lineRule="auto"/>
        <w:rPr>
          <w:rFonts w:ascii="宋体" w:hAnsi="宋体"/>
          <w:highlight w:val="none"/>
          <w:lang w:val="zh-CN"/>
        </w:rPr>
      </w:pPr>
    </w:p>
    <w:p>
      <w:pPr>
        <w:autoSpaceDE w:val="0"/>
        <w:autoSpaceDN w:val="0"/>
        <w:adjustRightInd w:val="0"/>
        <w:spacing w:line="360" w:lineRule="auto"/>
        <w:jc w:val="center"/>
        <w:rPr>
          <w:rFonts w:ascii="宋体" w:hAnsi="宋体" w:cs="宋体"/>
          <w:b/>
          <w:bCs/>
          <w:kern w:val="0"/>
          <w:sz w:val="32"/>
          <w:szCs w:val="30"/>
          <w:highlight w:val="none"/>
          <w:lang w:val="zh-CN"/>
        </w:rPr>
      </w:pPr>
      <w:bookmarkStart w:id="199" w:name="_Toc31841_WPSOffice_Level2"/>
      <w:r>
        <w:rPr>
          <w:rFonts w:ascii="宋体" w:hAnsi="宋体" w:cs="宋体"/>
          <w:b/>
          <w:bCs/>
          <w:kern w:val="0"/>
          <w:sz w:val="32"/>
          <w:szCs w:val="30"/>
          <w:highlight w:val="none"/>
          <w:lang w:val="zh-CN"/>
        </w:rPr>
        <w:t>财务状况、缴纳税收和社会保障资金证明</w:t>
      </w:r>
      <w:bookmarkEnd w:id="199"/>
    </w:p>
    <w:p>
      <w:pPr>
        <w:autoSpaceDE w:val="0"/>
        <w:autoSpaceDN w:val="0"/>
        <w:spacing w:line="360" w:lineRule="auto"/>
        <w:rPr>
          <w:rFonts w:ascii="宋体" w:hAnsi="宋体" w:cs="Arial"/>
          <w:sz w:val="24"/>
          <w:highlight w:val="none"/>
          <w:lang w:val="zh-CN"/>
        </w:rPr>
      </w:pPr>
    </w:p>
    <w:p>
      <w:pPr>
        <w:spacing w:line="400" w:lineRule="exact"/>
        <w:rPr>
          <w:rFonts w:hint="eastAsia" w:ascii="宋体" w:hAnsi="宋体"/>
          <w:sz w:val="24"/>
          <w:highlight w:val="none"/>
          <w:lang w:eastAsia="zh-CN"/>
        </w:rPr>
      </w:pPr>
      <w:bookmarkStart w:id="200" w:name="_Toc535422003"/>
      <w:r>
        <w:rPr>
          <w:rFonts w:hint="eastAsia" w:ascii="宋体" w:hAnsi="宋体"/>
          <w:sz w:val="24"/>
          <w:highlight w:val="none"/>
        </w:rPr>
        <w:t>1、经第三方机构出具的</w:t>
      </w:r>
      <w:r>
        <w:rPr>
          <w:rFonts w:hint="eastAsia" w:ascii="宋体" w:hAnsi="宋体"/>
          <w:sz w:val="24"/>
          <w:highlight w:val="none"/>
          <w:lang w:val="en-US" w:eastAsia="zh-CN"/>
        </w:rPr>
        <w:t>2021</w:t>
      </w:r>
      <w:r>
        <w:rPr>
          <w:rFonts w:hint="eastAsia" w:ascii="宋体" w:hAnsi="宋体"/>
          <w:sz w:val="24"/>
          <w:highlight w:val="none"/>
        </w:rPr>
        <w:t>年度</w:t>
      </w:r>
      <w:r>
        <w:rPr>
          <w:rFonts w:hint="eastAsia" w:ascii="宋体" w:hAnsi="宋体"/>
          <w:sz w:val="24"/>
          <w:highlight w:val="none"/>
          <w:lang w:eastAsia="zh-CN"/>
        </w:rPr>
        <w:t>及</w:t>
      </w:r>
      <w:r>
        <w:rPr>
          <w:rFonts w:hint="eastAsia" w:ascii="宋体" w:hAnsi="宋体"/>
          <w:sz w:val="24"/>
          <w:highlight w:val="none"/>
          <w:lang w:val="en-US" w:eastAsia="zh-CN"/>
        </w:rPr>
        <w:t>2022</w:t>
      </w:r>
      <w:r>
        <w:rPr>
          <w:rFonts w:hint="eastAsia" w:ascii="宋体" w:hAnsi="宋体"/>
          <w:sz w:val="24"/>
          <w:highlight w:val="none"/>
        </w:rPr>
        <w:t>财务状况审计报告（包括：资产负债表、现金流量表、利润表和财务情况说明书，扫描（或复印）件应全面、完整、清晰）。</w:t>
      </w:r>
    </w:p>
    <w:p>
      <w:pPr>
        <w:spacing w:line="400" w:lineRule="exact"/>
        <w:rPr>
          <w:rFonts w:hint="eastAsia" w:ascii="宋体" w:hAnsi="宋体"/>
          <w:sz w:val="24"/>
          <w:highlight w:val="none"/>
        </w:rPr>
      </w:pPr>
      <w:r>
        <w:rPr>
          <w:rFonts w:hint="eastAsia" w:ascii="宋体" w:hAnsi="宋体"/>
          <w:sz w:val="24"/>
          <w:highlight w:val="none"/>
        </w:rPr>
        <w:t>2、</w:t>
      </w:r>
      <w:r>
        <w:rPr>
          <w:rFonts w:hint="eastAsia" w:ascii="宋体" w:hAnsi="宋体"/>
          <w:sz w:val="24"/>
          <w:highlight w:val="none"/>
          <w:lang w:val="en-US" w:eastAsia="zh-CN"/>
        </w:rPr>
        <w:t>近半</w:t>
      </w:r>
      <w:r>
        <w:rPr>
          <w:rFonts w:hint="eastAsia" w:ascii="宋体" w:hAnsi="宋体"/>
          <w:sz w:val="24"/>
          <w:highlight w:val="none"/>
        </w:rPr>
        <w:t>年</w:t>
      </w:r>
      <w:r>
        <w:rPr>
          <w:rFonts w:hint="eastAsia" w:ascii="宋体" w:hAnsi="宋体"/>
          <w:sz w:val="24"/>
          <w:highlight w:val="none"/>
          <w:lang w:eastAsia="zh-CN"/>
        </w:rPr>
        <w:t>连续</w:t>
      </w:r>
      <w:r>
        <w:rPr>
          <w:rFonts w:hint="eastAsia" w:ascii="宋体" w:hAnsi="宋体"/>
          <w:sz w:val="24"/>
          <w:highlight w:val="none"/>
          <w:lang w:val="en-US" w:eastAsia="zh-CN"/>
        </w:rPr>
        <w:t>6</w:t>
      </w:r>
      <w:r>
        <w:rPr>
          <w:rFonts w:hint="eastAsia" w:ascii="宋体" w:hAnsi="宋体"/>
          <w:sz w:val="24"/>
          <w:highlight w:val="none"/>
        </w:rPr>
        <w:t>个月依法缴纳税收和社会保险凭证记录的证明材料。如依法免税或不需要缴纳社会保障资金的，应提供相应文件证明。</w:t>
      </w:r>
    </w:p>
    <w:p>
      <w:pPr>
        <w:spacing w:line="400" w:lineRule="exact"/>
        <w:rPr>
          <w:rFonts w:hint="eastAsia" w:ascii="宋体" w:hAnsi="宋体"/>
          <w:b/>
          <w:bCs/>
          <w:sz w:val="28"/>
          <w:szCs w:val="28"/>
          <w:highlight w:val="none"/>
        </w:rPr>
      </w:pPr>
      <w:r>
        <w:rPr>
          <w:rFonts w:hint="eastAsia" w:ascii="宋体" w:hAnsi="宋体"/>
          <w:b/>
          <w:bCs/>
          <w:sz w:val="24"/>
          <w:highlight w:val="none"/>
        </w:rPr>
        <w:t>备注1：</w:t>
      </w:r>
      <w:r>
        <w:rPr>
          <w:rFonts w:hint="eastAsia" w:ascii="宋体" w:hAnsi="宋体"/>
          <w:sz w:val="24"/>
          <w:highlight w:val="none"/>
        </w:rPr>
        <w:t>注册成立未满一年的新公司需提供银行资信证明</w:t>
      </w:r>
      <w:r>
        <w:rPr>
          <w:rFonts w:hint="eastAsia" w:ascii="宋体" w:hAnsi="宋体"/>
          <w:sz w:val="24"/>
          <w:highlight w:val="none"/>
          <w:lang w:eastAsia="zh-CN"/>
        </w:rPr>
        <w:t>（同时提供基本存款账户开户许可证）</w:t>
      </w:r>
      <w:r>
        <w:rPr>
          <w:rFonts w:hint="eastAsia" w:ascii="宋体" w:hAnsi="宋体"/>
          <w:sz w:val="24"/>
          <w:highlight w:val="none"/>
        </w:rPr>
        <w:t>。</w:t>
      </w:r>
    </w:p>
    <w:p>
      <w:pPr>
        <w:pStyle w:val="4"/>
        <w:numPr>
          <w:ilvl w:val="0"/>
          <w:numId w:val="0"/>
        </w:numPr>
        <w:tabs>
          <w:tab w:val="left" w:pos="425"/>
          <w:tab w:val="left" w:pos="720"/>
        </w:tabs>
        <w:ind w:left="709" w:hanging="709"/>
        <w:outlineLvl w:val="9"/>
        <w:rPr>
          <w:rFonts w:hint="eastAsia" w:hAnsi="宋体"/>
          <w:b/>
          <w:sz w:val="32"/>
          <w:highlight w:val="none"/>
          <w:lang w:val="zh-CN"/>
        </w:rPr>
      </w:pPr>
    </w:p>
    <w:p>
      <w:pPr>
        <w:pStyle w:val="4"/>
        <w:numPr>
          <w:ilvl w:val="0"/>
          <w:numId w:val="0"/>
        </w:numPr>
        <w:tabs>
          <w:tab w:val="left" w:pos="425"/>
          <w:tab w:val="left" w:pos="720"/>
        </w:tabs>
        <w:ind w:left="709" w:hanging="709"/>
        <w:outlineLvl w:val="9"/>
        <w:rPr>
          <w:rFonts w:hint="eastAsia" w:hAnsi="宋体"/>
          <w:b/>
          <w:sz w:val="32"/>
          <w:highlight w:val="none"/>
          <w:lang w:val="zh-CN"/>
        </w:rPr>
      </w:pPr>
    </w:p>
    <w:p>
      <w:pPr>
        <w:pStyle w:val="4"/>
        <w:numPr>
          <w:ilvl w:val="0"/>
          <w:numId w:val="0"/>
        </w:numPr>
        <w:tabs>
          <w:tab w:val="left" w:pos="425"/>
          <w:tab w:val="left" w:pos="720"/>
        </w:tabs>
        <w:ind w:left="709" w:hanging="709"/>
        <w:outlineLvl w:val="9"/>
        <w:rPr>
          <w:rFonts w:hint="eastAsia" w:hAnsi="宋体"/>
          <w:b/>
          <w:sz w:val="32"/>
          <w:highlight w:val="none"/>
          <w:lang w:val="zh-CN"/>
        </w:rPr>
      </w:pPr>
    </w:p>
    <w:p>
      <w:pPr>
        <w:pStyle w:val="4"/>
        <w:numPr>
          <w:ilvl w:val="0"/>
          <w:numId w:val="0"/>
        </w:numPr>
        <w:tabs>
          <w:tab w:val="left" w:pos="425"/>
          <w:tab w:val="left" w:pos="720"/>
        </w:tabs>
        <w:ind w:left="709" w:hanging="709"/>
        <w:outlineLvl w:val="9"/>
        <w:rPr>
          <w:rFonts w:hint="eastAsia" w:hAnsi="宋体"/>
          <w:b/>
          <w:sz w:val="32"/>
          <w:highlight w:val="none"/>
          <w:lang w:val="zh-CN"/>
        </w:rPr>
      </w:pPr>
    </w:p>
    <w:p>
      <w:pPr>
        <w:pStyle w:val="4"/>
        <w:numPr>
          <w:ilvl w:val="0"/>
          <w:numId w:val="0"/>
        </w:numPr>
        <w:tabs>
          <w:tab w:val="left" w:pos="425"/>
          <w:tab w:val="left" w:pos="720"/>
        </w:tabs>
        <w:ind w:left="709" w:hanging="709"/>
        <w:outlineLvl w:val="9"/>
        <w:rPr>
          <w:rFonts w:hint="eastAsia" w:hAnsi="宋体"/>
          <w:b/>
          <w:sz w:val="32"/>
          <w:highlight w:val="none"/>
          <w:lang w:val="zh-CN"/>
        </w:rPr>
      </w:pPr>
    </w:p>
    <w:p>
      <w:pPr>
        <w:pStyle w:val="4"/>
        <w:numPr>
          <w:ilvl w:val="0"/>
          <w:numId w:val="0"/>
        </w:numPr>
        <w:tabs>
          <w:tab w:val="left" w:pos="425"/>
          <w:tab w:val="left" w:pos="720"/>
        </w:tabs>
        <w:ind w:left="709" w:hanging="709"/>
        <w:outlineLvl w:val="9"/>
        <w:rPr>
          <w:rFonts w:hint="eastAsia" w:hAnsi="宋体"/>
          <w:b/>
          <w:sz w:val="32"/>
          <w:highlight w:val="none"/>
          <w:lang w:val="zh-CN"/>
        </w:rPr>
      </w:pPr>
    </w:p>
    <w:p>
      <w:pPr>
        <w:pStyle w:val="4"/>
        <w:numPr>
          <w:ilvl w:val="0"/>
          <w:numId w:val="0"/>
        </w:numPr>
        <w:tabs>
          <w:tab w:val="left" w:pos="425"/>
          <w:tab w:val="left" w:pos="720"/>
        </w:tabs>
        <w:ind w:left="709" w:hanging="709"/>
        <w:outlineLvl w:val="9"/>
        <w:rPr>
          <w:rFonts w:hint="eastAsia" w:hAnsi="宋体"/>
          <w:b/>
          <w:sz w:val="32"/>
          <w:highlight w:val="none"/>
          <w:lang w:val="zh-CN"/>
        </w:rPr>
      </w:pPr>
    </w:p>
    <w:p>
      <w:pPr>
        <w:pStyle w:val="4"/>
        <w:numPr>
          <w:ilvl w:val="0"/>
          <w:numId w:val="0"/>
        </w:numPr>
        <w:tabs>
          <w:tab w:val="left" w:pos="425"/>
          <w:tab w:val="left" w:pos="720"/>
        </w:tabs>
        <w:ind w:left="709" w:hanging="709"/>
        <w:outlineLvl w:val="9"/>
        <w:rPr>
          <w:rFonts w:hint="eastAsia" w:hAnsi="宋体"/>
          <w:b/>
          <w:sz w:val="32"/>
          <w:highlight w:val="none"/>
          <w:lang w:val="zh-CN"/>
        </w:rPr>
      </w:pPr>
    </w:p>
    <w:p>
      <w:pPr>
        <w:rPr>
          <w:rFonts w:hint="eastAsia" w:hAnsi="宋体"/>
          <w:b/>
          <w:sz w:val="32"/>
          <w:highlight w:val="none"/>
          <w:lang w:val="zh-CN"/>
        </w:rPr>
      </w:pPr>
    </w:p>
    <w:p>
      <w:pPr>
        <w:rPr>
          <w:rFonts w:hint="eastAsia" w:hAnsi="宋体"/>
          <w:b/>
          <w:sz w:val="32"/>
          <w:highlight w:val="none"/>
          <w:lang w:val="zh-CN"/>
        </w:rPr>
      </w:pPr>
    </w:p>
    <w:p>
      <w:pPr>
        <w:rPr>
          <w:rFonts w:hint="eastAsia" w:hAnsi="宋体"/>
          <w:b/>
          <w:sz w:val="32"/>
          <w:highlight w:val="none"/>
          <w:lang w:val="zh-CN"/>
        </w:rPr>
      </w:pPr>
    </w:p>
    <w:p>
      <w:pPr>
        <w:pStyle w:val="4"/>
        <w:numPr>
          <w:ilvl w:val="0"/>
          <w:numId w:val="0"/>
        </w:numPr>
        <w:tabs>
          <w:tab w:val="left" w:pos="425"/>
          <w:tab w:val="left" w:pos="720"/>
        </w:tabs>
        <w:rPr>
          <w:rFonts w:hAnsi="宋体"/>
          <w:highlight w:val="none"/>
          <w:lang w:val="zh-CN"/>
        </w:rPr>
      </w:pPr>
      <w:bookmarkStart w:id="201" w:name="_Toc30860"/>
      <w:bookmarkStart w:id="202" w:name="_Toc30880_WPSOffice_Level1"/>
      <w:r>
        <w:rPr>
          <w:rFonts w:hint="eastAsia" w:hAnsi="宋体"/>
          <w:b/>
          <w:sz w:val="32"/>
          <w:highlight w:val="none"/>
          <w:lang w:val="zh-CN"/>
        </w:rPr>
        <w:t>格式</w:t>
      </w:r>
      <w:r>
        <w:rPr>
          <w:rFonts w:hint="eastAsia" w:hAnsi="宋体"/>
          <w:b/>
          <w:sz w:val="32"/>
          <w:highlight w:val="none"/>
          <w:lang w:val="zh-CN" w:eastAsia="zh-CN"/>
        </w:rPr>
        <w:t>8</w:t>
      </w:r>
      <w:r>
        <w:rPr>
          <w:rFonts w:hint="eastAsia" w:hAnsi="宋体"/>
          <w:b/>
          <w:sz w:val="32"/>
          <w:highlight w:val="none"/>
          <w:lang w:val="zh-CN"/>
        </w:rPr>
        <w:t>、具备履行合同所必须的设备和专业技术能力证明</w:t>
      </w:r>
      <w:bookmarkEnd w:id="200"/>
      <w:bookmarkEnd w:id="201"/>
      <w:bookmarkEnd w:id="202"/>
    </w:p>
    <w:p>
      <w:pPr>
        <w:autoSpaceDE w:val="0"/>
        <w:autoSpaceDN w:val="0"/>
        <w:adjustRightInd w:val="0"/>
        <w:spacing w:line="360" w:lineRule="auto"/>
        <w:rPr>
          <w:rFonts w:ascii="宋体" w:hAnsi="宋体" w:cs="宋体"/>
          <w:kern w:val="0"/>
          <w:sz w:val="24"/>
          <w:highlight w:val="none"/>
          <w:lang w:val="zh-CN"/>
        </w:rPr>
      </w:pPr>
    </w:p>
    <w:p>
      <w:pPr>
        <w:pStyle w:val="59"/>
        <w:ind w:firstLine="600" w:firstLineChars="250"/>
        <w:rPr>
          <w:rFonts w:hAnsi="宋体" w:cs="宋体"/>
          <w:highlight w:val="none"/>
          <w:lang w:val="zh-CN"/>
        </w:rPr>
      </w:pPr>
      <w:r>
        <w:rPr>
          <w:rFonts w:hint="eastAsia"/>
          <w:sz w:val="24"/>
          <w:highlight w:val="none"/>
        </w:rPr>
        <w:t>为保证本项目合同的顺利履行，投标人必须具备履行合同的设备和专业技术能力，须提供相关设备的购置发票以及相关人员的职称证书和用工合同等证明材料。</w:t>
      </w:r>
      <w:r>
        <w:rPr>
          <w:highlight w:val="none"/>
        </w:rPr>
        <w:br w:type="page"/>
      </w:r>
      <w:r>
        <w:rPr>
          <w:rFonts w:hint="eastAsia" w:hAnsi="宋体"/>
          <w:b/>
          <w:sz w:val="32"/>
          <w:highlight w:val="none"/>
          <w:lang w:val="zh-CN"/>
        </w:rPr>
        <w:t>格式</w:t>
      </w:r>
      <w:bookmarkEnd w:id="197"/>
      <w:bookmarkEnd w:id="198"/>
      <w:r>
        <w:rPr>
          <w:rFonts w:hint="eastAsia" w:hAnsi="宋体"/>
          <w:b/>
          <w:sz w:val="32"/>
          <w:highlight w:val="none"/>
          <w:lang w:val="zh-CN"/>
        </w:rPr>
        <w:t>9、磋商保证金证明</w:t>
      </w:r>
    </w:p>
    <w:p>
      <w:pPr>
        <w:spacing w:line="360" w:lineRule="auto"/>
        <w:rPr>
          <w:rFonts w:ascii="宋体" w:hAnsi="宋体" w:cs="宋体"/>
          <w:sz w:val="22"/>
          <w:highlight w:val="none"/>
          <w:lang w:val="zh-CN"/>
        </w:rPr>
      </w:pPr>
    </w:p>
    <w:p>
      <w:pPr>
        <w:autoSpaceDE w:val="0"/>
        <w:autoSpaceDN w:val="0"/>
        <w:adjustRightInd w:val="0"/>
        <w:spacing w:line="360" w:lineRule="auto"/>
        <w:jc w:val="center"/>
        <w:rPr>
          <w:rFonts w:ascii="宋体" w:hAnsi="宋体" w:cs="宋体"/>
          <w:b/>
          <w:bCs/>
          <w:kern w:val="0"/>
          <w:sz w:val="32"/>
          <w:szCs w:val="30"/>
          <w:highlight w:val="none"/>
          <w:lang w:val="zh-CN"/>
        </w:rPr>
      </w:pPr>
      <w:bookmarkStart w:id="203" w:name="_Toc4787_WPSOffice_Level2"/>
      <w:r>
        <w:rPr>
          <w:rFonts w:hint="eastAsia" w:ascii="宋体" w:hAnsi="宋体" w:cs="宋体"/>
          <w:b/>
          <w:bCs/>
          <w:kern w:val="0"/>
          <w:sz w:val="32"/>
          <w:szCs w:val="30"/>
          <w:highlight w:val="none"/>
          <w:lang w:val="zh-CN"/>
        </w:rPr>
        <w:t>磋商保证金证明</w:t>
      </w:r>
      <w:bookmarkEnd w:id="203"/>
    </w:p>
    <w:p>
      <w:pPr>
        <w:autoSpaceDE w:val="0"/>
        <w:autoSpaceDN w:val="0"/>
        <w:adjustRightInd w:val="0"/>
        <w:spacing w:line="360" w:lineRule="auto"/>
        <w:rPr>
          <w:rFonts w:ascii="宋体" w:hAnsi="宋体" w:cs="宋体"/>
          <w:b/>
          <w:bCs/>
          <w:kern w:val="0"/>
          <w:sz w:val="24"/>
          <w:szCs w:val="28"/>
          <w:highlight w:val="none"/>
          <w:lang w:val="zh-CN"/>
        </w:rPr>
      </w:pPr>
      <w:bookmarkStart w:id="204" w:name="_Toc325726048"/>
      <w:bookmarkEnd w:id="204"/>
    </w:p>
    <w:p>
      <w:pPr>
        <w:adjustRightInd w:val="0"/>
        <w:spacing w:line="360" w:lineRule="auto"/>
        <w:ind w:left="482" w:hanging="482" w:hangingChars="200"/>
        <w:textAlignment w:val="baseline"/>
        <w:rPr>
          <w:rFonts w:hint="default" w:ascii="宋体" w:hAnsi="宋体" w:eastAsiaTheme="minorEastAsia"/>
          <w:b/>
          <w:color w:val="auto"/>
          <w:sz w:val="24"/>
          <w:highlight w:val="none"/>
          <w:u w:val="single"/>
          <w:lang w:val="en-US" w:eastAsia="zh-CN"/>
        </w:rPr>
      </w:pPr>
      <w:r>
        <w:rPr>
          <w:rFonts w:hint="eastAsia" w:ascii="宋体" w:hAnsi="宋体"/>
          <w:b/>
          <w:color w:val="auto"/>
          <w:sz w:val="24"/>
          <w:highlight w:val="none"/>
        </w:rPr>
        <w:t>致：</w:t>
      </w:r>
      <w:r>
        <w:rPr>
          <w:rFonts w:hint="eastAsia" w:ascii="宋体" w:hAnsi="宋体"/>
          <w:b/>
          <w:color w:val="auto"/>
          <w:sz w:val="24"/>
          <w:highlight w:val="none"/>
          <w:u w:val="single"/>
          <w:lang w:val="en-US" w:eastAsia="zh-CN"/>
        </w:rPr>
        <w:t xml:space="preserve">（采购人或代理机构） </w:t>
      </w:r>
    </w:p>
    <w:p>
      <w:pPr>
        <w:autoSpaceDE w:val="0"/>
        <w:autoSpaceDN w:val="0"/>
        <w:adjustRightInd w:val="0"/>
        <w:spacing w:line="360" w:lineRule="auto"/>
        <w:rPr>
          <w:rFonts w:ascii="宋体" w:hAnsi="宋体" w:cs="宋体"/>
          <w:b/>
          <w:bCs/>
          <w:kern w:val="0"/>
          <w:sz w:val="24"/>
          <w:highlight w:val="none"/>
          <w:lang w:val="zh-CN"/>
        </w:rPr>
      </w:pPr>
    </w:p>
    <w:p>
      <w:pPr>
        <w:autoSpaceDE w:val="0"/>
        <w:autoSpaceDN w:val="0"/>
        <w:adjustRightInd w:val="0"/>
        <w:spacing w:line="360" w:lineRule="auto"/>
        <w:ind w:firstLine="650" w:firstLineChars="271"/>
        <w:rPr>
          <w:rFonts w:ascii="宋体" w:hAnsi="宋体" w:cs="宋体"/>
          <w:kern w:val="0"/>
          <w:sz w:val="24"/>
          <w:highlight w:val="none"/>
          <w:lang w:val="zh-CN"/>
        </w:rPr>
      </w:pPr>
      <w:r>
        <w:rPr>
          <w:rFonts w:hint="eastAsia" w:ascii="宋体" w:hAnsi="宋体" w:cs="宋体"/>
          <w:kern w:val="0"/>
          <w:sz w:val="24"/>
          <w:highlight w:val="none"/>
          <w:lang w:val="zh-CN"/>
        </w:rPr>
        <w:t>我方为（项目名称）项目（采购编号为：</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）递交保证金人民币</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（大写：人民币</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元）已于</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日以基本户转账方式汇入你方账户。</w:t>
      </w:r>
    </w:p>
    <w:p>
      <w:pPr>
        <w:autoSpaceDE w:val="0"/>
        <w:autoSpaceDN w:val="0"/>
        <w:adjustRightInd w:val="0"/>
        <w:spacing w:line="360" w:lineRule="auto"/>
        <w:ind w:firstLine="360"/>
        <w:rPr>
          <w:rFonts w:ascii="宋体" w:hAnsi="宋体" w:cs="宋体"/>
          <w:bCs/>
          <w:kern w:val="0"/>
          <w:sz w:val="24"/>
          <w:highlight w:val="none"/>
          <w:lang w:val="zh-CN"/>
        </w:rPr>
      </w:pPr>
      <w:r>
        <w:rPr>
          <w:rFonts w:hint="eastAsia" w:ascii="宋体" w:hAnsi="宋体" w:cs="宋体"/>
          <w:bCs/>
          <w:kern w:val="0"/>
          <w:sz w:val="24"/>
          <w:highlight w:val="none"/>
          <w:lang w:val="zh-CN"/>
        </w:rPr>
        <w:t>附件：保证金交款证明及开户许可证复印件（加盖磋商供应商公章）</w:t>
      </w:r>
    </w:p>
    <w:p>
      <w:pPr>
        <w:autoSpaceDE w:val="0"/>
        <w:autoSpaceDN w:val="0"/>
        <w:adjustRightInd w:val="0"/>
        <w:spacing w:line="360" w:lineRule="auto"/>
        <w:ind w:firstLine="360"/>
        <w:rPr>
          <w:rFonts w:ascii="宋体" w:hAnsi="宋体" w:cs="宋体"/>
          <w:kern w:val="0"/>
          <w:sz w:val="24"/>
          <w:highlight w:val="none"/>
          <w:lang w:val="zh-CN"/>
        </w:rPr>
      </w:pPr>
      <w:r>
        <w:rPr>
          <w:rFonts w:hint="eastAsia" w:ascii="宋体" w:hAnsi="宋体" w:cs="宋体"/>
          <w:kern w:val="0"/>
          <w:sz w:val="24"/>
          <w:highlight w:val="none"/>
          <w:lang w:val="zh-CN"/>
        </w:rPr>
        <w:t>退还保证金时请按以下内容汇入至我方账户（同递交保证金账户）。若因提供内容不全、错误等原因导致该项目保证金未能及时退还或退还过程中发生错误，我方将承担全部责任和损失。</w:t>
      </w:r>
    </w:p>
    <w:p>
      <w:pPr>
        <w:autoSpaceDE w:val="0"/>
        <w:autoSpaceDN w:val="0"/>
        <w:adjustRightInd w:val="0"/>
        <w:spacing w:line="360" w:lineRule="auto"/>
        <w:ind w:firstLine="360"/>
        <w:rPr>
          <w:rFonts w:ascii="宋体" w:hAnsi="宋体" w:cs="宋体"/>
          <w:kern w:val="0"/>
          <w:sz w:val="24"/>
          <w:highlight w:val="none"/>
          <w:lang w:val="zh-CN"/>
        </w:rPr>
      </w:pPr>
      <w:r>
        <w:rPr>
          <w:rFonts w:hint="eastAsia" w:ascii="宋体" w:hAnsi="宋体" w:cs="宋体"/>
          <w:kern w:val="0"/>
          <w:sz w:val="24"/>
          <w:highlight w:val="none"/>
          <w:lang w:val="zh-CN"/>
        </w:rPr>
        <w:t>户    名：</w:t>
      </w:r>
    </w:p>
    <w:p>
      <w:pPr>
        <w:autoSpaceDE w:val="0"/>
        <w:autoSpaceDN w:val="0"/>
        <w:adjustRightInd w:val="0"/>
        <w:spacing w:line="360" w:lineRule="auto"/>
        <w:ind w:firstLine="360"/>
        <w:rPr>
          <w:rFonts w:ascii="宋体" w:hAnsi="宋体" w:cs="宋体"/>
          <w:kern w:val="0"/>
          <w:sz w:val="24"/>
          <w:highlight w:val="none"/>
          <w:lang w:val="zh-CN"/>
        </w:rPr>
      </w:pPr>
      <w:r>
        <w:rPr>
          <w:rFonts w:hint="eastAsia" w:ascii="宋体" w:hAnsi="宋体" w:cs="宋体"/>
          <w:kern w:val="0"/>
          <w:sz w:val="24"/>
          <w:highlight w:val="none"/>
          <w:lang w:val="zh-CN"/>
        </w:rPr>
        <w:t>开户银行：</w:t>
      </w:r>
    </w:p>
    <w:p>
      <w:pPr>
        <w:autoSpaceDE w:val="0"/>
        <w:autoSpaceDN w:val="0"/>
        <w:adjustRightInd w:val="0"/>
        <w:spacing w:line="360" w:lineRule="auto"/>
        <w:ind w:firstLine="360"/>
        <w:rPr>
          <w:rFonts w:ascii="宋体" w:hAnsi="宋体" w:cs="宋体"/>
          <w:kern w:val="0"/>
          <w:sz w:val="24"/>
          <w:highlight w:val="none"/>
          <w:lang w:val="zh-CN"/>
        </w:rPr>
      </w:pPr>
      <w:r>
        <w:rPr>
          <w:rFonts w:hint="eastAsia" w:ascii="宋体" w:hAnsi="宋体" w:cs="宋体"/>
          <w:kern w:val="0"/>
          <w:sz w:val="24"/>
          <w:highlight w:val="none"/>
          <w:lang w:val="zh-CN"/>
        </w:rPr>
        <w:t>开户帐号：</w:t>
      </w:r>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rPr>
          <w:rFonts w:ascii="宋体" w:hAnsi="宋体" w:cs="宋体"/>
          <w:kern w:val="0"/>
          <w:sz w:val="24"/>
          <w:highlight w:val="none"/>
          <w:lang w:val="zh-CN"/>
        </w:rPr>
      </w:pP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 xml:space="preserve">磋商供应商：     </w:t>
      </w:r>
      <w:r>
        <w:rPr>
          <w:rFonts w:ascii="宋体" w:hAnsi="宋体"/>
          <w:bCs/>
          <w:sz w:val="24"/>
          <w:szCs w:val="28"/>
          <w:highlight w:val="none"/>
        </w:rPr>
        <w:t xml:space="preserve">      </w:t>
      </w:r>
      <w:r>
        <w:rPr>
          <w:rFonts w:hint="eastAsia" w:ascii="宋体" w:hAnsi="宋体"/>
          <w:bCs/>
          <w:sz w:val="24"/>
          <w:szCs w:val="28"/>
          <w:highlight w:val="none"/>
        </w:rPr>
        <w:t xml:space="preserve">        （公章）</w:t>
      </w: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委托代理人：                （签字）</w:t>
      </w: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 xml:space="preserve">日期：  </w:t>
      </w:r>
      <w:r>
        <w:rPr>
          <w:rFonts w:ascii="宋体" w:hAnsi="宋体"/>
          <w:bCs/>
          <w:sz w:val="24"/>
          <w:szCs w:val="28"/>
          <w:highlight w:val="none"/>
        </w:rPr>
        <w:t xml:space="preserve">      </w:t>
      </w:r>
      <w:r>
        <w:rPr>
          <w:rFonts w:hint="eastAsia" w:ascii="宋体" w:hAnsi="宋体"/>
          <w:bCs/>
          <w:sz w:val="24"/>
          <w:szCs w:val="28"/>
          <w:highlight w:val="none"/>
        </w:rPr>
        <w:t xml:space="preserve">  年   月   日</w:t>
      </w:r>
    </w:p>
    <w:p>
      <w:pPr>
        <w:spacing w:line="360" w:lineRule="auto"/>
        <w:rPr>
          <w:highlight w:val="none"/>
          <w:lang w:val="zh-CN"/>
        </w:rPr>
      </w:pPr>
    </w:p>
    <w:p>
      <w:pPr>
        <w:pStyle w:val="4"/>
        <w:numPr>
          <w:ilvl w:val="0"/>
          <w:numId w:val="0"/>
        </w:numPr>
        <w:tabs>
          <w:tab w:val="left" w:pos="425"/>
          <w:tab w:val="left" w:pos="720"/>
        </w:tabs>
        <w:rPr>
          <w:rFonts w:hAnsi="宋体" w:cs="宋体"/>
          <w:highlight w:val="none"/>
        </w:rPr>
      </w:pPr>
      <w:bookmarkStart w:id="205" w:name="_Toc20394_WPSOffice_Level1"/>
      <w:bookmarkStart w:id="206" w:name="_Toc535422004"/>
      <w:bookmarkStart w:id="207" w:name="_Toc444715741"/>
      <w:bookmarkStart w:id="208" w:name="_Toc21450"/>
      <w:bookmarkStart w:id="209" w:name="_Toc428180589"/>
      <w:bookmarkStart w:id="210" w:name="_Toc466"/>
      <w:r>
        <w:rPr>
          <w:rFonts w:hint="eastAsia" w:hAnsi="宋体"/>
          <w:b/>
          <w:sz w:val="32"/>
          <w:highlight w:val="none"/>
          <w:lang w:val="zh-CN"/>
        </w:rPr>
        <w:t>格式</w:t>
      </w:r>
      <w:r>
        <w:rPr>
          <w:rFonts w:hint="eastAsia" w:hAnsi="宋体"/>
          <w:b/>
          <w:sz w:val="32"/>
          <w:highlight w:val="none"/>
          <w:lang w:val="zh-CN" w:eastAsia="zh-CN"/>
        </w:rPr>
        <w:t>10</w:t>
      </w:r>
      <w:r>
        <w:rPr>
          <w:rFonts w:hint="eastAsia" w:hAnsi="宋体"/>
          <w:b/>
          <w:sz w:val="32"/>
          <w:highlight w:val="none"/>
          <w:lang w:val="zh-CN"/>
        </w:rPr>
        <w:t>、无重大违法记录声明</w:t>
      </w:r>
      <w:bookmarkEnd w:id="205"/>
      <w:bookmarkEnd w:id="206"/>
      <w:bookmarkEnd w:id="207"/>
      <w:bookmarkEnd w:id="208"/>
      <w:bookmarkEnd w:id="209"/>
      <w:bookmarkEnd w:id="210"/>
    </w:p>
    <w:p>
      <w:pPr>
        <w:autoSpaceDE w:val="0"/>
        <w:autoSpaceDN w:val="0"/>
        <w:adjustRightInd w:val="0"/>
        <w:spacing w:line="360" w:lineRule="auto"/>
        <w:rPr>
          <w:rFonts w:ascii="宋体" w:hAnsi="宋体" w:cs="宋体"/>
          <w:kern w:val="0"/>
          <w:sz w:val="24"/>
          <w:highlight w:val="none"/>
          <w:lang w:val="zh-CN"/>
        </w:rPr>
      </w:pPr>
    </w:p>
    <w:p>
      <w:pPr>
        <w:autoSpaceDE w:val="0"/>
        <w:autoSpaceDN w:val="0"/>
        <w:adjustRightInd w:val="0"/>
        <w:spacing w:line="360" w:lineRule="auto"/>
        <w:jc w:val="center"/>
        <w:rPr>
          <w:rFonts w:ascii="宋体" w:hAnsi="宋体" w:cs="宋体"/>
          <w:b/>
          <w:bCs/>
          <w:kern w:val="0"/>
          <w:sz w:val="32"/>
          <w:szCs w:val="30"/>
          <w:highlight w:val="none"/>
          <w:lang w:val="zh-CN"/>
        </w:rPr>
      </w:pPr>
      <w:bookmarkStart w:id="211" w:name="_Toc11004_WPSOffice_Level2"/>
      <w:r>
        <w:rPr>
          <w:rFonts w:hint="eastAsia" w:ascii="宋体" w:hAnsi="宋体" w:cs="宋体"/>
          <w:b/>
          <w:bCs/>
          <w:kern w:val="0"/>
          <w:sz w:val="32"/>
          <w:szCs w:val="30"/>
          <w:highlight w:val="none"/>
          <w:lang w:val="zh-CN"/>
        </w:rPr>
        <w:t>无重大违法记录声明</w:t>
      </w:r>
      <w:bookmarkEnd w:id="211"/>
    </w:p>
    <w:p>
      <w:pPr>
        <w:autoSpaceDE w:val="0"/>
        <w:autoSpaceDN w:val="0"/>
        <w:adjustRightInd w:val="0"/>
        <w:spacing w:line="360" w:lineRule="auto"/>
        <w:rPr>
          <w:rFonts w:ascii="宋体" w:hAnsi="宋体" w:cs="宋体"/>
          <w:kern w:val="0"/>
          <w:sz w:val="22"/>
          <w:highlight w:val="none"/>
          <w:lang w:val="zh-CN"/>
        </w:rPr>
      </w:pPr>
    </w:p>
    <w:p>
      <w:pPr>
        <w:adjustRightInd w:val="0"/>
        <w:spacing w:line="360" w:lineRule="auto"/>
        <w:ind w:left="482" w:hanging="482" w:hangingChars="200"/>
        <w:textAlignment w:val="baseline"/>
        <w:rPr>
          <w:rFonts w:hint="default" w:ascii="宋体" w:hAnsi="宋体" w:eastAsiaTheme="minorEastAsia"/>
          <w:b/>
          <w:color w:val="auto"/>
          <w:sz w:val="24"/>
          <w:highlight w:val="none"/>
          <w:u w:val="single"/>
          <w:lang w:val="en-US" w:eastAsia="zh-CN"/>
        </w:rPr>
      </w:pPr>
      <w:r>
        <w:rPr>
          <w:rFonts w:hint="eastAsia" w:ascii="宋体" w:hAnsi="宋体"/>
          <w:b/>
          <w:color w:val="auto"/>
          <w:sz w:val="24"/>
          <w:highlight w:val="none"/>
        </w:rPr>
        <w:t>致：</w:t>
      </w:r>
      <w:r>
        <w:rPr>
          <w:rFonts w:hint="eastAsia" w:ascii="宋体" w:hAnsi="宋体"/>
          <w:b/>
          <w:color w:val="auto"/>
          <w:sz w:val="24"/>
          <w:highlight w:val="none"/>
          <w:u w:val="single"/>
          <w:lang w:val="en-US" w:eastAsia="zh-CN"/>
        </w:rPr>
        <w:t xml:space="preserve">（采购人或代理机构） </w:t>
      </w:r>
    </w:p>
    <w:p>
      <w:pPr>
        <w:spacing w:line="360" w:lineRule="auto"/>
        <w:ind w:firstLine="424" w:firstLineChars="177"/>
        <w:rPr>
          <w:rFonts w:ascii="宋体" w:hAnsi="宋体" w:cs="Arial"/>
          <w:sz w:val="24"/>
          <w:highlight w:val="none"/>
        </w:rPr>
      </w:pPr>
      <w:r>
        <w:rPr>
          <w:rFonts w:hint="eastAsia" w:ascii="宋体" w:hAnsi="宋体"/>
          <w:sz w:val="24"/>
          <w:highlight w:val="none"/>
          <w:lang w:val="zh-CN"/>
        </w:rPr>
        <w:t>经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w:t>
      </w:r>
      <w:r>
        <w:rPr>
          <w:rFonts w:hint="eastAsia" w:ascii="宋体" w:hAnsi="宋体" w:eastAsia="宋体"/>
          <w:sz w:val="24"/>
          <w:highlight w:val="none"/>
          <w:lang w:val="en-US" w:eastAsia="zh-CN"/>
        </w:rPr>
        <w:t>10</w:t>
      </w:r>
      <w:r>
        <w:rPr>
          <w:rFonts w:hint="eastAsia" w:ascii="宋体" w:hAnsi="宋体"/>
          <w:sz w:val="24"/>
          <w:highlight w:val="none"/>
          <w:lang w:val="zh-CN"/>
        </w:rPr>
        <w:t>天内)</w:t>
      </w:r>
      <w:r>
        <w:rPr>
          <w:rFonts w:ascii="宋体" w:hAnsi="宋体" w:cs="Arial"/>
          <w:sz w:val="24"/>
          <w:highlight w:val="none"/>
        </w:rPr>
        <w:t>。</w:t>
      </w:r>
    </w:p>
    <w:p>
      <w:pPr>
        <w:spacing w:line="360" w:lineRule="auto"/>
        <w:ind w:firstLine="424" w:firstLineChars="177"/>
        <w:rPr>
          <w:rFonts w:ascii="宋体" w:hAnsi="宋体" w:cs="Arial"/>
          <w:sz w:val="24"/>
          <w:highlight w:val="none"/>
        </w:rPr>
      </w:pPr>
      <w:r>
        <w:rPr>
          <w:rFonts w:hint="eastAsia" w:ascii="宋体" w:hAnsi="宋体" w:cs="Arial"/>
          <w:sz w:val="24"/>
          <w:highlight w:val="none"/>
        </w:rPr>
        <w:t xml:space="preserve"> </w:t>
      </w:r>
    </w:p>
    <w:p>
      <w:pPr>
        <w:spacing w:line="360" w:lineRule="auto"/>
        <w:ind w:firstLine="424" w:firstLineChars="177"/>
        <w:rPr>
          <w:rFonts w:ascii="宋体" w:hAnsi="宋体" w:cs="Arial"/>
          <w:sz w:val="24"/>
          <w:highlight w:val="none"/>
        </w:rPr>
      </w:pPr>
    </w:p>
    <w:p>
      <w:pPr>
        <w:spacing w:line="360" w:lineRule="auto"/>
        <w:ind w:firstLine="424" w:firstLineChars="177"/>
        <w:rPr>
          <w:rFonts w:ascii="宋体" w:hAnsi="宋体" w:cs="Arial"/>
          <w:sz w:val="24"/>
          <w:highlight w:val="none"/>
        </w:rPr>
      </w:pPr>
      <w:r>
        <w:rPr>
          <w:rFonts w:ascii="宋体" w:hAnsi="宋体" w:cs="Arial"/>
          <w:sz w:val="24"/>
          <w:highlight w:val="none"/>
        </w:rPr>
        <w:t>特此声明。</w:t>
      </w:r>
    </w:p>
    <w:p>
      <w:pPr>
        <w:spacing w:line="360" w:lineRule="auto"/>
        <w:ind w:firstLine="424" w:firstLineChars="177"/>
        <w:rPr>
          <w:rFonts w:hint="eastAsia" w:ascii="宋体" w:hAnsi="宋体" w:cs="Arial"/>
          <w:sz w:val="24"/>
          <w:highlight w:val="none"/>
        </w:rPr>
      </w:pPr>
    </w:p>
    <w:p>
      <w:pPr>
        <w:spacing w:line="360" w:lineRule="auto"/>
        <w:ind w:firstLine="424" w:firstLineChars="177"/>
        <w:rPr>
          <w:rFonts w:hint="eastAsia" w:ascii="宋体" w:hAnsi="宋体" w:cs="Arial"/>
          <w:sz w:val="24"/>
          <w:highlight w:val="none"/>
        </w:rPr>
      </w:pPr>
    </w:p>
    <w:p>
      <w:pPr>
        <w:spacing w:line="360" w:lineRule="auto"/>
        <w:ind w:firstLine="424" w:firstLineChars="177"/>
        <w:rPr>
          <w:rFonts w:hint="eastAsia" w:ascii="宋体" w:hAnsi="宋体" w:cs="Arial"/>
          <w:sz w:val="24"/>
          <w:highlight w:val="none"/>
        </w:rPr>
      </w:pPr>
    </w:p>
    <w:p>
      <w:pPr>
        <w:spacing w:line="360" w:lineRule="auto"/>
        <w:ind w:firstLine="424" w:firstLineChars="177"/>
        <w:rPr>
          <w:rFonts w:hint="eastAsia" w:ascii="宋体" w:hAnsi="宋体" w:cs="Arial"/>
          <w:sz w:val="24"/>
          <w:highlight w:val="none"/>
        </w:rPr>
      </w:pPr>
    </w:p>
    <w:p>
      <w:pPr>
        <w:spacing w:line="360" w:lineRule="auto"/>
        <w:ind w:firstLine="424" w:firstLineChars="177"/>
        <w:rPr>
          <w:rFonts w:hint="eastAsia" w:ascii="宋体" w:hAnsi="宋体" w:cs="Arial"/>
          <w:sz w:val="24"/>
          <w:highlight w:val="none"/>
        </w:rPr>
      </w:pPr>
    </w:p>
    <w:p>
      <w:pPr>
        <w:spacing w:line="360" w:lineRule="auto"/>
        <w:ind w:firstLine="424" w:firstLineChars="177"/>
        <w:rPr>
          <w:rFonts w:hint="eastAsia" w:ascii="宋体" w:hAnsi="宋体" w:cs="Arial"/>
          <w:sz w:val="24"/>
          <w:highlight w:val="none"/>
        </w:rPr>
      </w:pPr>
    </w:p>
    <w:p>
      <w:pPr>
        <w:spacing w:line="360" w:lineRule="auto"/>
        <w:ind w:left="0" w:leftChars="0" w:firstLine="0" w:firstLineChars="0"/>
        <w:rPr>
          <w:rFonts w:hint="eastAsia" w:ascii="宋体" w:hAnsi="宋体" w:cs="Arial"/>
          <w:sz w:val="24"/>
          <w:highlight w:val="none"/>
        </w:rPr>
      </w:pPr>
    </w:p>
    <w:p>
      <w:pPr>
        <w:spacing w:line="360" w:lineRule="auto"/>
        <w:ind w:firstLine="424" w:firstLineChars="177"/>
        <w:rPr>
          <w:rFonts w:hint="eastAsia" w:ascii="宋体" w:hAnsi="宋体" w:cs="Arial"/>
          <w:sz w:val="24"/>
          <w:highlight w:val="none"/>
        </w:rPr>
      </w:pPr>
    </w:p>
    <w:p>
      <w:pPr>
        <w:spacing w:line="360" w:lineRule="auto"/>
        <w:ind w:firstLine="424" w:firstLineChars="177"/>
        <w:rPr>
          <w:rFonts w:hint="eastAsia" w:ascii="宋体" w:hAnsi="宋体" w:cs="Arial"/>
          <w:sz w:val="24"/>
          <w:highlight w:val="none"/>
        </w:rPr>
      </w:pPr>
    </w:p>
    <w:p>
      <w:pPr>
        <w:spacing w:line="360" w:lineRule="auto"/>
        <w:ind w:firstLine="424" w:firstLineChars="177"/>
        <w:rPr>
          <w:rFonts w:hint="eastAsia" w:ascii="宋体" w:hAnsi="宋体" w:cs="Arial"/>
          <w:sz w:val="24"/>
          <w:highlight w:val="none"/>
        </w:rPr>
      </w:pPr>
    </w:p>
    <w:p>
      <w:pPr>
        <w:spacing w:line="360" w:lineRule="auto"/>
        <w:ind w:firstLine="424" w:firstLineChars="177"/>
        <w:rPr>
          <w:rFonts w:hint="eastAsia" w:ascii="宋体" w:hAnsi="宋体" w:cs="Arial"/>
          <w:sz w:val="24"/>
          <w:highlight w:val="none"/>
        </w:rPr>
      </w:pPr>
    </w:p>
    <w:p>
      <w:pPr>
        <w:spacing w:line="360" w:lineRule="auto"/>
        <w:ind w:firstLine="424" w:firstLineChars="177"/>
        <w:rPr>
          <w:rFonts w:hint="eastAsia" w:ascii="宋体" w:hAnsi="宋体" w:cs="Arial"/>
          <w:sz w:val="24"/>
          <w:highlight w:val="none"/>
        </w:rPr>
      </w:pPr>
    </w:p>
    <w:p>
      <w:pPr>
        <w:tabs>
          <w:tab w:val="left" w:pos="168"/>
        </w:tabs>
        <w:wordWrap w:val="0"/>
        <w:adjustRightInd w:val="0"/>
        <w:spacing w:line="360" w:lineRule="auto"/>
        <w:jc w:val="right"/>
        <w:textAlignment w:val="baseline"/>
        <w:rPr>
          <w:rFonts w:hint="eastAsia" w:ascii="宋体" w:hAnsi="宋体"/>
          <w:bCs/>
          <w:sz w:val="24"/>
          <w:szCs w:val="28"/>
          <w:highlight w:val="none"/>
        </w:rPr>
      </w:pPr>
      <w:r>
        <w:rPr>
          <w:rFonts w:hint="eastAsia" w:ascii="宋体" w:hAnsi="宋体"/>
          <w:bCs/>
          <w:sz w:val="24"/>
          <w:szCs w:val="28"/>
          <w:highlight w:val="none"/>
        </w:rPr>
        <w:t xml:space="preserve">投标供应商：     </w:t>
      </w:r>
      <w:r>
        <w:rPr>
          <w:rFonts w:ascii="宋体" w:hAnsi="宋体"/>
          <w:bCs/>
          <w:sz w:val="24"/>
          <w:szCs w:val="28"/>
          <w:highlight w:val="none"/>
        </w:rPr>
        <w:t xml:space="preserve">   </w:t>
      </w:r>
      <w:r>
        <w:rPr>
          <w:rFonts w:hint="eastAsia" w:ascii="宋体" w:hAnsi="宋体"/>
          <w:bCs/>
          <w:sz w:val="24"/>
          <w:szCs w:val="28"/>
          <w:highlight w:val="none"/>
        </w:rPr>
        <w:t xml:space="preserve"> </w:t>
      </w:r>
      <w:r>
        <w:rPr>
          <w:rFonts w:ascii="宋体" w:hAnsi="宋体"/>
          <w:bCs/>
          <w:sz w:val="24"/>
          <w:szCs w:val="28"/>
          <w:highlight w:val="none"/>
        </w:rPr>
        <w:t xml:space="preserve">   </w:t>
      </w:r>
      <w:r>
        <w:rPr>
          <w:rFonts w:hint="eastAsia" w:ascii="宋体" w:hAnsi="宋体"/>
          <w:bCs/>
          <w:sz w:val="24"/>
          <w:szCs w:val="28"/>
          <w:highlight w:val="none"/>
        </w:rPr>
        <w:t xml:space="preserve">        （公章）</w:t>
      </w:r>
    </w:p>
    <w:p>
      <w:pPr>
        <w:tabs>
          <w:tab w:val="left" w:pos="168"/>
        </w:tabs>
        <w:wordWrap w:val="0"/>
        <w:adjustRightInd w:val="0"/>
        <w:spacing w:line="360" w:lineRule="auto"/>
        <w:jc w:val="right"/>
        <w:textAlignment w:val="baseline"/>
        <w:rPr>
          <w:rFonts w:hint="eastAsia" w:ascii="宋体" w:hAnsi="宋体"/>
          <w:bCs/>
          <w:sz w:val="24"/>
          <w:szCs w:val="28"/>
          <w:highlight w:val="none"/>
        </w:rPr>
      </w:pPr>
      <w:r>
        <w:rPr>
          <w:rFonts w:hint="eastAsia" w:ascii="宋体" w:hAnsi="宋体"/>
          <w:bCs/>
          <w:sz w:val="24"/>
          <w:szCs w:val="28"/>
          <w:highlight w:val="none"/>
        </w:rPr>
        <w:t>委托代理人：                    （签字）</w:t>
      </w:r>
    </w:p>
    <w:p>
      <w:pPr>
        <w:spacing w:line="360" w:lineRule="auto"/>
        <w:ind w:firstLine="424" w:firstLineChars="177"/>
        <w:jc w:val="right"/>
        <w:rPr>
          <w:rFonts w:hint="eastAsia" w:ascii="宋体" w:hAnsi="宋体" w:cs="Arial"/>
          <w:sz w:val="24"/>
          <w:highlight w:val="none"/>
        </w:rPr>
      </w:pPr>
      <w:r>
        <w:rPr>
          <w:rFonts w:hint="eastAsia" w:ascii="宋体" w:hAnsi="宋体"/>
          <w:bCs/>
          <w:sz w:val="24"/>
          <w:szCs w:val="28"/>
          <w:highlight w:val="none"/>
        </w:rPr>
        <w:t xml:space="preserve">                                 日期：                  年   月   日</w:t>
      </w:r>
    </w:p>
    <w:p>
      <w:pPr>
        <w:pStyle w:val="4"/>
        <w:numPr>
          <w:ilvl w:val="0"/>
          <w:numId w:val="0"/>
        </w:numPr>
        <w:tabs>
          <w:tab w:val="left" w:pos="425"/>
          <w:tab w:val="left" w:pos="720"/>
        </w:tabs>
        <w:rPr>
          <w:rFonts w:hint="eastAsia" w:hAnsi="宋体"/>
          <w:b/>
          <w:sz w:val="32"/>
          <w:highlight w:val="none"/>
          <w:lang w:val="zh-CN" w:eastAsia="zh-CN"/>
        </w:rPr>
      </w:pPr>
      <w:r>
        <w:rPr>
          <w:rFonts w:hAnsi="宋体"/>
          <w:bCs/>
          <w:sz w:val="24"/>
          <w:szCs w:val="28"/>
          <w:highlight w:val="none"/>
        </w:rPr>
        <w:br w:type="page"/>
      </w:r>
      <w:bookmarkStart w:id="212" w:name="_Toc1266"/>
      <w:bookmarkStart w:id="213" w:name="_Toc535422007"/>
      <w:bookmarkStart w:id="214" w:name="_Toc917_WPSOffice_Level1"/>
      <w:r>
        <w:rPr>
          <w:rFonts w:hint="eastAsia" w:hAnsi="宋体"/>
          <w:b/>
          <w:sz w:val="32"/>
          <w:highlight w:val="none"/>
          <w:lang w:val="zh-CN" w:eastAsia="zh-CN"/>
        </w:rPr>
        <w:t>格式11、评分对照表</w:t>
      </w:r>
      <w:bookmarkEnd w:id="212"/>
      <w:bookmarkEnd w:id="213"/>
      <w:bookmarkEnd w:id="214"/>
    </w:p>
    <w:p>
      <w:pPr>
        <w:spacing w:line="360" w:lineRule="auto"/>
        <w:rPr>
          <w:rFonts w:hint="eastAsia" w:ascii="宋体" w:hAnsi="宋体"/>
          <w:bCs/>
          <w:sz w:val="24"/>
          <w:szCs w:val="28"/>
          <w:highlight w:val="none"/>
        </w:rPr>
      </w:pPr>
    </w:p>
    <w:p>
      <w:pPr>
        <w:spacing w:line="360" w:lineRule="auto"/>
        <w:jc w:val="center"/>
        <w:rPr>
          <w:rFonts w:hint="eastAsia" w:ascii="宋体" w:hAnsi="宋体" w:cs="宋体"/>
          <w:b/>
          <w:bCs/>
          <w:sz w:val="28"/>
          <w:szCs w:val="28"/>
          <w:highlight w:val="none"/>
        </w:rPr>
      </w:pPr>
      <w:bookmarkStart w:id="215" w:name="_Toc5780_WPSOffice_Level2"/>
      <w:r>
        <w:rPr>
          <w:rFonts w:hint="eastAsia" w:ascii="宋体" w:hAnsi="宋体" w:cs="宋体"/>
          <w:b/>
          <w:bCs/>
          <w:sz w:val="28"/>
          <w:szCs w:val="28"/>
          <w:highlight w:val="none"/>
        </w:rPr>
        <w:t>评分对照表</w:t>
      </w:r>
      <w:bookmarkEnd w:id="215"/>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71"/>
        <w:gridCol w:w="2514"/>
        <w:gridCol w:w="2266"/>
        <w:gridCol w:w="2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pPr>
              <w:pStyle w:val="6"/>
              <w:spacing w:line="360" w:lineRule="auto"/>
              <w:ind w:firstLine="0" w:firstLineChars="0"/>
              <w:jc w:val="center"/>
              <w:rPr>
                <w:rFonts w:hint="eastAsia" w:ascii="宋体" w:hAnsi="宋体" w:cs="宋体"/>
                <w:sz w:val="24"/>
                <w:highlight w:val="none"/>
              </w:rPr>
            </w:pPr>
            <w:r>
              <w:rPr>
                <w:rFonts w:hint="eastAsia" w:ascii="宋体" w:hAnsi="宋体" w:cs="宋体"/>
                <w:sz w:val="24"/>
                <w:highlight w:val="none"/>
              </w:rPr>
              <w:t>序号</w:t>
            </w:r>
          </w:p>
        </w:tc>
        <w:tc>
          <w:tcPr>
            <w:tcW w:w="2514" w:type="dxa"/>
            <w:noWrap w:val="0"/>
            <w:vAlign w:val="center"/>
          </w:tcPr>
          <w:p>
            <w:pPr>
              <w:pStyle w:val="6"/>
              <w:spacing w:line="360" w:lineRule="auto"/>
              <w:ind w:firstLine="0" w:firstLineChars="0"/>
              <w:jc w:val="center"/>
              <w:rPr>
                <w:rFonts w:hint="eastAsia" w:ascii="宋体" w:hAnsi="宋体" w:cs="宋体"/>
                <w:sz w:val="24"/>
                <w:highlight w:val="none"/>
              </w:rPr>
            </w:pPr>
            <w:r>
              <w:rPr>
                <w:rFonts w:hint="eastAsia" w:ascii="宋体" w:hAnsi="宋体" w:cs="宋体"/>
                <w:sz w:val="24"/>
                <w:highlight w:val="none"/>
              </w:rPr>
              <w:t>磋商文件评分标准</w:t>
            </w:r>
          </w:p>
        </w:tc>
        <w:tc>
          <w:tcPr>
            <w:tcW w:w="2266" w:type="dxa"/>
            <w:noWrap w:val="0"/>
            <w:vAlign w:val="center"/>
          </w:tcPr>
          <w:p>
            <w:pPr>
              <w:pStyle w:val="6"/>
              <w:spacing w:line="360" w:lineRule="auto"/>
              <w:ind w:firstLine="0" w:firstLineChars="0"/>
              <w:jc w:val="center"/>
              <w:rPr>
                <w:rFonts w:hint="eastAsia" w:ascii="宋体" w:hAnsi="宋体" w:cs="宋体"/>
                <w:sz w:val="24"/>
                <w:highlight w:val="none"/>
              </w:rPr>
            </w:pPr>
            <w:r>
              <w:rPr>
                <w:rFonts w:hint="eastAsia" w:ascii="宋体" w:hAnsi="宋体" w:cs="宋体"/>
                <w:sz w:val="24"/>
                <w:highlight w:val="none"/>
              </w:rPr>
              <w:t>磋商响应部分</w:t>
            </w:r>
          </w:p>
        </w:tc>
        <w:tc>
          <w:tcPr>
            <w:tcW w:w="2966" w:type="dxa"/>
            <w:noWrap w:val="0"/>
            <w:vAlign w:val="center"/>
          </w:tcPr>
          <w:p>
            <w:pPr>
              <w:pStyle w:val="6"/>
              <w:spacing w:line="360" w:lineRule="auto"/>
              <w:ind w:firstLine="0" w:firstLineChars="0"/>
              <w:jc w:val="center"/>
              <w:rPr>
                <w:rFonts w:hint="eastAsia" w:ascii="宋体" w:hAnsi="宋体" w:cs="宋体"/>
                <w:sz w:val="24"/>
                <w:highlight w:val="none"/>
              </w:rPr>
            </w:pPr>
            <w:r>
              <w:rPr>
                <w:rFonts w:hint="eastAsia" w:ascii="宋体" w:hAnsi="宋体" w:cs="宋体"/>
                <w:sz w:val="24"/>
                <w:highlight w:val="none"/>
              </w:rPr>
              <w:t>磋商响应文件中对应页码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pPr>
              <w:pStyle w:val="6"/>
              <w:spacing w:line="360" w:lineRule="auto"/>
              <w:jc w:val="center"/>
              <w:rPr>
                <w:rFonts w:hint="eastAsia" w:ascii="宋体" w:hAnsi="宋体" w:cs="宋体"/>
                <w:highlight w:val="none"/>
              </w:rPr>
            </w:pPr>
          </w:p>
        </w:tc>
        <w:tc>
          <w:tcPr>
            <w:tcW w:w="2514" w:type="dxa"/>
            <w:noWrap w:val="0"/>
            <w:vAlign w:val="center"/>
          </w:tcPr>
          <w:p>
            <w:pPr>
              <w:pStyle w:val="6"/>
              <w:spacing w:line="360" w:lineRule="auto"/>
              <w:jc w:val="center"/>
              <w:rPr>
                <w:rFonts w:hint="eastAsia" w:ascii="宋体" w:hAnsi="宋体" w:cs="宋体"/>
                <w:highlight w:val="none"/>
              </w:rPr>
            </w:pPr>
          </w:p>
        </w:tc>
        <w:tc>
          <w:tcPr>
            <w:tcW w:w="2266" w:type="dxa"/>
            <w:noWrap w:val="0"/>
            <w:vAlign w:val="center"/>
          </w:tcPr>
          <w:p>
            <w:pPr>
              <w:pStyle w:val="6"/>
              <w:spacing w:line="360" w:lineRule="auto"/>
              <w:jc w:val="center"/>
              <w:rPr>
                <w:rFonts w:hint="eastAsia" w:ascii="宋体" w:hAnsi="宋体" w:cs="宋体"/>
                <w:highlight w:val="none"/>
              </w:rPr>
            </w:pPr>
          </w:p>
        </w:tc>
        <w:tc>
          <w:tcPr>
            <w:tcW w:w="2966" w:type="dxa"/>
            <w:noWrap w:val="0"/>
            <w:vAlign w:val="center"/>
          </w:tcPr>
          <w:p>
            <w:pPr>
              <w:pStyle w:val="6"/>
              <w:spacing w:line="360" w:lineRule="auto"/>
              <w:jc w:val="center"/>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pPr>
              <w:pStyle w:val="6"/>
              <w:spacing w:line="360" w:lineRule="auto"/>
              <w:jc w:val="center"/>
              <w:rPr>
                <w:rFonts w:hint="eastAsia" w:ascii="宋体" w:hAnsi="宋体" w:cs="宋体"/>
                <w:highlight w:val="none"/>
              </w:rPr>
            </w:pPr>
          </w:p>
        </w:tc>
        <w:tc>
          <w:tcPr>
            <w:tcW w:w="2514" w:type="dxa"/>
            <w:noWrap w:val="0"/>
            <w:vAlign w:val="center"/>
          </w:tcPr>
          <w:p>
            <w:pPr>
              <w:pStyle w:val="6"/>
              <w:spacing w:line="360" w:lineRule="auto"/>
              <w:jc w:val="center"/>
              <w:rPr>
                <w:rFonts w:hint="eastAsia" w:ascii="宋体" w:hAnsi="宋体" w:cs="宋体"/>
                <w:highlight w:val="none"/>
              </w:rPr>
            </w:pPr>
          </w:p>
        </w:tc>
        <w:tc>
          <w:tcPr>
            <w:tcW w:w="2266" w:type="dxa"/>
            <w:noWrap w:val="0"/>
            <w:vAlign w:val="center"/>
          </w:tcPr>
          <w:p>
            <w:pPr>
              <w:pStyle w:val="6"/>
              <w:spacing w:line="360" w:lineRule="auto"/>
              <w:jc w:val="center"/>
              <w:rPr>
                <w:rFonts w:hint="eastAsia" w:ascii="宋体" w:hAnsi="宋体" w:cs="宋体"/>
                <w:highlight w:val="none"/>
              </w:rPr>
            </w:pPr>
          </w:p>
        </w:tc>
        <w:tc>
          <w:tcPr>
            <w:tcW w:w="2966" w:type="dxa"/>
            <w:noWrap w:val="0"/>
            <w:vAlign w:val="center"/>
          </w:tcPr>
          <w:p>
            <w:pPr>
              <w:pStyle w:val="6"/>
              <w:spacing w:line="360" w:lineRule="auto"/>
              <w:jc w:val="center"/>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pPr>
              <w:pStyle w:val="6"/>
              <w:spacing w:line="360" w:lineRule="auto"/>
              <w:jc w:val="center"/>
              <w:rPr>
                <w:rFonts w:hint="eastAsia" w:ascii="宋体" w:hAnsi="宋体" w:cs="宋体"/>
                <w:highlight w:val="none"/>
              </w:rPr>
            </w:pPr>
          </w:p>
        </w:tc>
        <w:tc>
          <w:tcPr>
            <w:tcW w:w="2514" w:type="dxa"/>
            <w:noWrap w:val="0"/>
            <w:vAlign w:val="center"/>
          </w:tcPr>
          <w:p>
            <w:pPr>
              <w:pStyle w:val="6"/>
              <w:spacing w:line="360" w:lineRule="auto"/>
              <w:jc w:val="center"/>
              <w:rPr>
                <w:rFonts w:hint="eastAsia" w:ascii="宋体" w:hAnsi="宋体" w:cs="宋体"/>
                <w:highlight w:val="none"/>
              </w:rPr>
            </w:pPr>
          </w:p>
        </w:tc>
        <w:tc>
          <w:tcPr>
            <w:tcW w:w="2266" w:type="dxa"/>
            <w:noWrap w:val="0"/>
            <w:vAlign w:val="center"/>
          </w:tcPr>
          <w:p>
            <w:pPr>
              <w:pStyle w:val="6"/>
              <w:spacing w:line="360" w:lineRule="auto"/>
              <w:jc w:val="center"/>
              <w:rPr>
                <w:rFonts w:hint="eastAsia" w:ascii="宋体" w:hAnsi="宋体" w:cs="宋体"/>
                <w:highlight w:val="none"/>
              </w:rPr>
            </w:pPr>
          </w:p>
        </w:tc>
        <w:tc>
          <w:tcPr>
            <w:tcW w:w="2966" w:type="dxa"/>
            <w:noWrap w:val="0"/>
            <w:vAlign w:val="center"/>
          </w:tcPr>
          <w:p>
            <w:pPr>
              <w:pStyle w:val="6"/>
              <w:spacing w:line="360" w:lineRule="auto"/>
              <w:jc w:val="center"/>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pPr>
              <w:pStyle w:val="6"/>
              <w:spacing w:line="360" w:lineRule="auto"/>
              <w:jc w:val="center"/>
              <w:rPr>
                <w:rFonts w:hint="eastAsia" w:ascii="宋体" w:hAnsi="宋体" w:cs="宋体"/>
                <w:highlight w:val="none"/>
              </w:rPr>
            </w:pPr>
          </w:p>
        </w:tc>
        <w:tc>
          <w:tcPr>
            <w:tcW w:w="2514" w:type="dxa"/>
            <w:noWrap w:val="0"/>
            <w:vAlign w:val="center"/>
          </w:tcPr>
          <w:p>
            <w:pPr>
              <w:pStyle w:val="6"/>
              <w:spacing w:line="360" w:lineRule="auto"/>
              <w:jc w:val="center"/>
              <w:rPr>
                <w:rFonts w:hint="eastAsia" w:ascii="宋体" w:hAnsi="宋体" w:cs="宋体"/>
                <w:highlight w:val="none"/>
              </w:rPr>
            </w:pPr>
          </w:p>
        </w:tc>
        <w:tc>
          <w:tcPr>
            <w:tcW w:w="2266" w:type="dxa"/>
            <w:noWrap w:val="0"/>
            <w:vAlign w:val="center"/>
          </w:tcPr>
          <w:p>
            <w:pPr>
              <w:pStyle w:val="6"/>
              <w:spacing w:line="360" w:lineRule="auto"/>
              <w:jc w:val="center"/>
              <w:rPr>
                <w:rFonts w:hint="eastAsia" w:ascii="宋体" w:hAnsi="宋体" w:cs="宋体"/>
                <w:highlight w:val="none"/>
              </w:rPr>
            </w:pPr>
          </w:p>
        </w:tc>
        <w:tc>
          <w:tcPr>
            <w:tcW w:w="2966" w:type="dxa"/>
            <w:noWrap w:val="0"/>
            <w:vAlign w:val="center"/>
          </w:tcPr>
          <w:p>
            <w:pPr>
              <w:pStyle w:val="6"/>
              <w:spacing w:line="360" w:lineRule="auto"/>
              <w:jc w:val="center"/>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pPr>
              <w:pStyle w:val="6"/>
              <w:spacing w:line="360" w:lineRule="auto"/>
              <w:jc w:val="center"/>
              <w:rPr>
                <w:rFonts w:hint="eastAsia" w:ascii="宋体" w:hAnsi="宋体" w:cs="宋体"/>
                <w:highlight w:val="none"/>
              </w:rPr>
            </w:pPr>
          </w:p>
        </w:tc>
        <w:tc>
          <w:tcPr>
            <w:tcW w:w="2514" w:type="dxa"/>
            <w:noWrap w:val="0"/>
            <w:vAlign w:val="center"/>
          </w:tcPr>
          <w:p>
            <w:pPr>
              <w:pStyle w:val="6"/>
              <w:spacing w:line="360" w:lineRule="auto"/>
              <w:jc w:val="center"/>
              <w:rPr>
                <w:rFonts w:hint="eastAsia" w:ascii="宋体" w:hAnsi="宋体" w:cs="宋体"/>
                <w:highlight w:val="none"/>
              </w:rPr>
            </w:pPr>
          </w:p>
        </w:tc>
        <w:tc>
          <w:tcPr>
            <w:tcW w:w="2266" w:type="dxa"/>
            <w:noWrap w:val="0"/>
            <w:vAlign w:val="center"/>
          </w:tcPr>
          <w:p>
            <w:pPr>
              <w:pStyle w:val="6"/>
              <w:spacing w:line="360" w:lineRule="auto"/>
              <w:jc w:val="center"/>
              <w:rPr>
                <w:rFonts w:hint="eastAsia" w:ascii="宋体" w:hAnsi="宋体" w:cs="宋体"/>
                <w:highlight w:val="none"/>
              </w:rPr>
            </w:pPr>
          </w:p>
        </w:tc>
        <w:tc>
          <w:tcPr>
            <w:tcW w:w="2966" w:type="dxa"/>
            <w:noWrap w:val="0"/>
            <w:vAlign w:val="center"/>
          </w:tcPr>
          <w:p>
            <w:pPr>
              <w:pStyle w:val="6"/>
              <w:spacing w:line="360" w:lineRule="auto"/>
              <w:jc w:val="center"/>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pPr>
              <w:pStyle w:val="6"/>
              <w:spacing w:line="360" w:lineRule="auto"/>
              <w:jc w:val="center"/>
              <w:rPr>
                <w:rFonts w:hint="eastAsia" w:ascii="宋体" w:hAnsi="宋体" w:cs="宋体"/>
                <w:highlight w:val="none"/>
              </w:rPr>
            </w:pPr>
          </w:p>
        </w:tc>
        <w:tc>
          <w:tcPr>
            <w:tcW w:w="2514" w:type="dxa"/>
            <w:noWrap w:val="0"/>
            <w:vAlign w:val="center"/>
          </w:tcPr>
          <w:p>
            <w:pPr>
              <w:pStyle w:val="6"/>
              <w:spacing w:line="360" w:lineRule="auto"/>
              <w:jc w:val="center"/>
              <w:rPr>
                <w:rFonts w:hint="eastAsia" w:ascii="宋体" w:hAnsi="宋体" w:cs="宋体"/>
                <w:highlight w:val="none"/>
              </w:rPr>
            </w:pPr>
          </w:p>
        </w:tc>
        <w:tc>
          <w:tcPr>
            <w:tcW w:w="2266" w:type="dxa"/>
            <w:noWrap w:val="0"/>
            <w:vAlign w:val="center"/>
          </w:tcPr>
          <w:p>
            <w:pPr>
              <w:pStyle w:val="6"/>
              <w:spacing w:line="360" w:lineRule="auto"/>
              <w:jc w:val="center"/>
              <w:rPr>
                <w:rFonts w:hint="eastAsia" w:ascii="宋体" w:hAnsi="宋体" w:cs="宋体"/>
                <w:highlight w:val="none"/>
              </w:rPr>
            </w:pPr>
          </w:p>
        </w:tc>
        <w:tc>
          <w:tcPr>
            <w:tcW w:w="2966" w:type="dxa"/>
            <w:noWrap w:val="0"/>
            <w:vAlign w:val="center"/>
          </w:tcPr>
          <w:p>
            <w:pPr>
              <w:pStyle w:val="6"/>
              <w:spacing w:line="360" w:lineRule="auto"/>
              <w:jc w:val="center"/>
              <w:rPr>
                <w:rFonts w:hint="eastAsia" w:ascii="宋体" w:hAnsi="宋体" w:cs="宋体"/>
                <w:highlight w:val="none"/>
              </w:rPr>
            </w:pPr>
          </w:p>
        </w:tc>
      </w:tr>
    </w:tbl>
    <w:p>
      <w:pPr>
        <w:spacing w:line="360" w:lineRule="auto"/>
        <w:jc w:val="center"/>
        <w:rPr>
          <w:rFonts w:ascii="宋体" w:hAnsi="宋体"/>
          <w:bCs/>
          <w:sz w:val="24"/>
          <w:szCs w:val="28"/>
          <w:highlight w:val="none"/>
        </w:rPr>
      </w:pPr>
    </w:p>
    <w:p>
      <w:pPr>
        <w:pStyle w:val="4"/>
        <w:numPr>
          <w:ilvl w:val="0"/>
          <w:numId w:val="0"/>
        </w:numPr>
        <w:tabs>
          <w:tab w:val="left" w:pos="425"/>
          <w:tab w:val="left" w:pos="720"/>
        </w:tabs>
        <w:ind w:left="709" w:hanging="709"/>
        <w:rPr>
          <w:rFonts w:hAnsi="宋体"/>
          <w:highlight w:val="none"/>
          <w:lang w:val="zh-CN"/>
        </w:rPr>
      </w:pPr>
      <w:r>
        <w:rPr>
          <w:rFonts w:hAnsi="宋体"/>
          <w:bCs/>
          <w:sz w:val="24"/>
          <w:szCs w:val="28"/>
          <w:highlight w:val="none"/>
        </w:rPr>
        <w:br w:type="page"/>
      </w:r>
      <w:bookmarkStart w:id="216" w:name="_Toc12772_WPSOffice_Level1"/>
      <w:bookmarkStart w:id="217" w:name="_Toc20968"/>
      <w:bookmarkStart w:id="218" w:name="_Toc535422008"/>
      <w:r>
        <w:rPr>
          <w:rFonts w:hint="eastAsia" w:hAnsi="宋体"/>
          <w:b/>
          <w:sz w:val="32"/>
          <w:highlight w:val="none"/>
          <w:lang w:val="zh-CN"/>
        </w:rPr>
        <w:t>格式</w:t>
      </w:r>
      <w:r>
        <w:rPr>
          <w:rFonts w:hint="eastAsia" w:hAnsi="宋体"/>
          <w:b/>
          <w:sz w:val="32"/>
          <w:highlight w:val="none"/>
          <w:lang w:val="zh-CN" w:eastAsia="zh-CN"/>
        </w:rPr>
        <w:t>12</w:t>
      </w:r>
      <w:r>
        <w:rPr>
          <w:rFonts w:hint="eastAsia" w:hAnsi="宋体"/>
          <w:b/>
          <w:sz w:val="32"/>
          <w:highlight w:val="none"/>
          <w:lang w:val="zh-CN"/>
        </w:rPr>
        <w:t>、</w:t>
      </w:r>
      <w:bookmarkStart w:id="219" w:name="_Toc487036155"/>
      <w:r>
        <w:rPr>
          <w:rFonts w:hint="eastAsia" w:hAnsi="宋体"/>
          <w:b/>
          <w:sz w:val="32"/>
          <w:szCs w:val="32"/>
          <w:highlight w:val="none"/>
        </w:rPr>
        <w:t>竞争性磋商首次报价表</w:t>
      </w:r>
      <w:bookmarkEnd w:id="216"/>
      <w:bookmarkEnd w:id="217"/>
      <w:bookmarkEnd w:id="218"/>
      <w:bookmarkEnd w:id="219"/>
    </w:p>
    <w:p>
      <w:pPr>
        <w:autoSpaceDE w:val="0"/>
        <w:autoSpaceDN w:val="0"/>
        <w:adjustRightInd w:val="0"/>
        <w:spacing w:line="360" w:lineRule="auto"/>
        <w:jc w:val="center"/>
        <w:rPr>
          <w:rFonts w:ascii="宋体" w:hAnsi="宋体"/>
          <w:b/>
          <w:sz w:val="32"/>
          <w:szCs w:val="32"/>
          <w:highlight w:val="none"/>
        </w:rPr>
      </w:pPr>
      <w:bookmarkStart w:id="220" w:name="_Toc8952_WPSOffice_Level2"/>
      <w:r>
        <w:rPr>
          <w:rFonts w:hint="eastAsia" w:ascii="宋体" w:hAnsi="宋体"/>
          <w:b/>
          <w:sz w:val="32"/>
          <w:szCs w:val="32"/>
          <w:highlight w:val="none"/>
        </w:rPr>
        <w:t>竞争性磋商首次报价表</w:t>
      </w:r>
      <w:bookmarkEnd w:id="220"/>
    </w:p>
    <w:p>
      <w:pPr>
        <w:autoSpaceDE w:val="0"/>
        <w:autoSpaceDN w:val="0"/>
        <w:adjustRightInd w:val="0"/>
        <w:spacing w:line="360" w:lineRule="auto"/>
        <w:rPr>
          <w:rFonts w:ascii="宋体" w:hAnsi="宋体" w:cs="宋体"/>
          <w:b/>
          <w:bCs/>
          <w:kern w:val="0"/>
          <w:sz w:val="24"/>
          <w:highlight w:val="none"/>
          <w:lang w:val="zh-CN"/>
        </w:rPr>
      </w:pPr>
      <w:r>
        <w:rPr>
          <w:rFonts w:hint="eastAsia" w:ascii="宋体" w:hAnsi="宋体" w:cs="宋体"/>
          <w:b/>
          <w:bCs/>
          <w:kern w:val="0"/>
          <w:sz w:val="24"/>
          <w:highlight w:val="none"/>
          <w:lang w:val="zh-CN"/>
        </w:rPr>
        <w:t>采购项目名称:</w:t>
      </w:r>
      <w:r>
        <w:rPr>
          <w:rFonts w:ascii="宋体" w:hAnsi="宋体" w:cs="宋体"/>
          <w:b/>
          <w:bCs/>
          <w:kern w:val="0"/>
          <w:sz w:val="24"/>
          <w:highlight w:val="none"/>
          <w:lang w:val="zh-CN"/>
        </w:rPr>
        <w:t xml:space="preserve">                    </w:t>
      </w:r>
      <w:r>
        <w:rPr>
          <w:rFonts w:hint="eastAsia" w:ascii="宋体" w:hAnsi="宋体" w:cs="宋体"/>
          <w:b/>
          <w:bCs/>
          <w:kern w:val="0"/>
          <w:sz w:val="24"/>
          <w:highlight w:val="none"/>
          <w:lang w:val="zh-CN"/>
        </w:rPr>
        <w:t xml:space="preserve">  采购项目编号：</w:t>
      </w:r>
    </w:p>
    <w:p>
      <w:pPr>
        <w:autoSpaceDE w:val="0"/>
        <w:autoSpaceDN w:val="0"/>
        <w:spacing w:line="360" w:lineRule="auto"/>
        <w:jc w:val="right"/>
        <w:rPr>
          <w:rFonts w:ascii="宋体" w:hAnsi="宋体" w:cs="宋体"/>
          <w:bCs/>
          <w:kern w:val="0"/>
          <w:sz w:val="24"/>
          <w:highlight w:val="none"/>
          <w:lang w:val="zh-CN"/>
        </w:rPr>
      </w:pPr>
      <w:r>
        <w:rPr>
          <w:rFonts w:hint="eastAsia" w:ascii="宋体" w:hAnsi="宋体" w:cs="宋体"/>
          <w:bCs/>
          <w:kern w:val="0"/>
          <w:sz w:val="24"/>
          <w:highlight w:val="none"/>
          <w:lang w:val="zh-CN"/>
        </w:rPr>
        <w:t>单位：人民币（元）</w:t>
      </w:r>
    </w:p>
    <w:p>
      <w:pPr>
        <w:autoSpaceDE w:val="0"/>
        <w:autoSpaceDN w:val="0"/>
        <w:spacing w:line="360" w:lineRule="auto"/>
        <w:rPr>
          <w:rFonts w:ascii="宋体" w:hAnsi="宋体" w:cs="宋体"/>
          <w:b/>
          <w:bCs/>
          <w:sz w:val="24"/>
          <w:highlight w:val="none"/>
          <w:lang w:val="zh-CN"/>
        </w:rPr>
      </w:pPr>
      <w:r>
        <w:rPr>
          <w:rFonts w:hint="eastAsia" w:ascii="宋体" w:hAnsi="宋体" w:cs="宋体"/>
          <w:b/>
          <w:bCs/>
          <w:sz w:val="24"/>
          <w:highlight w:val="none"/>
          <w:lang w:val="zh-CN"/>
        </w:rPr>
        <w:t>磋商供应商名称：</w:t>
      </w:r>
    </w:p>
    <w:tbl>
      <w:tblPr>
        <w:tblStyle w:val="27"/>
        <w:tblW w:w="0" w:type="auto"/>
        <w:jc w:val="center"/>
        <w:tblLayout w:type="fixed"/>
        <w:tblCellMar>
          <w:top w:w="0" w:type="dxa"/>
          <w:left w:w="108" w:type="dxa"/>
          <w:bottom w:w="0" w:type="dxa"/>
          <w:right w:w="108" w:type="dxa"/>
        </w:tblCellMar>
      </w:tblPr>
      <w:tblGrid>
        <w:gridCol w:w="2966"/>
        <w:gridCol w:w="3188"/>
        <w:gridCol w:w="2129"/>
        <w:gridCol w:w="1685"/>
      </w:tblGrid>
      <w:tr>
        <w:tblPrEx>
          <w:tblCellMar>
            <w:top w:w="0" w:type="dxa"/>
            <w:left w:w="108" w:type="dxa"/>
            <w:bottom w:w="0" w:type="dxa"/>
            <w:right w:w="108" w:type="dxa"/>
          </w:tblCellMar>
        </w:tblPrEx>
        <w:trPr>
          <w:trHeight w:val="699" w:hRule="atLeast"/>
          <w:jc w:val="center"/>
        </w:trPr>
        <w:tc>
          <w:tcPr>
            <w:tcW w:w="296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sz w:val="24"/>
                <w:highlight w:val="none"/>
                <w:lang w:val="zh-CN"/>
              </w:rPr>
            </w:pPr>
            <w:r>
              <w:rPr>
                <w:rFonts w:ascii="Arial" w:hAnsi="Arial" w:cs="Arial"/>
                <w:bCs/>
                <w:sz w:val="24"/>
                <w:highlight w:val="none"/>
                <w:lang w:val="zh-CN"/>
              </w:rPr>
              <w:t>项目名称</w:t>
            </w:r>
          </w:p>
        </w:tc>
        <w:tc>
          <w:tcPr>
            <w:tcW w:w="318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ind w:firstLine="482"/>
              <w:jc w:val="center"/>
              <w:rPr>
                <w:rFonts w:ascii="Arial" w:hAnsi="Arial" w:cs="Arial"/>
                <w:highlight w:val="none"/>
                <w:lang w:val="zh-CN"/>
              </w:rPr>
            </w:pPr>
            <w:r>
              <w:rPr>
                <w:rFonts w:hint="eastAsia" w:ascii="Arial" w:hAnsi="Arial" w:cs="Arial"/>
                <w:bCs/>
                <w:sz w:val="24"/>
                <w:highlight w:val="none"/>
                <w:lang w:val="zh-CN"/>
              </w:rPr>
              <w:t>磋商首次</w:t>
            </w:r>
            <w:r>
              <w:rPr>
                <w:rFonts w:ascii="Arial" w:hAnsi="Arial" w:cs="Arial"/>
                <w:bCs/>
                <w:sz w:val="24"/>
                <w:highlight w:val="none"/>
                <w:lang w:val="zh-CN"/>
              </w:rPr>
              <w:t>报价</w:t>
            </w:r>
          </w:p>
        </w:tc>
        <w:tc>
          <w:tcPr>
            <w:tcW w:w="212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bCs/>
                <w:sz w:val="24"/>
                <w:highlight w:val="none"/>
                <w:lang w:val="zh-CN"/>
              </w:rPr>
            </w:pPr>
            <w:r>
              <w:rPr>
                <w:rFonts w:hint="eastAsia" w:ascii="Arial" w:hAnsi="Arial" w:cs="Arial"/>
                <w:bCs/>
                <w:sz w:val="24"/>
                <w:highlight w:val="none"/>
                <w:lang w:val="zh-CN"/>
              </w:rPr>
              <w:t>服务</w:t>
            </w:r>
            <w:r>
              <w:rPr>
                <w:rFonts w:ascii="Arial" w:hAnsi="Arial" w:cs="Arial"/>
                <w:bCs/>
                <w:sz w:val="24"/>
                <w:highlight w:val="none"/>
                <w:lang w:val="zh-CN"/>
              </w:rPr>
              <w:t>期</w:t>
            </w:r>
          </w:p>
          <w:p>
            <w:pPr>
              <w:autoSpaceDE w:val="0"/>
              <w:autoSpaceDN w:val="0"/>
              <w:spacing w:line="360" w:lineRule="auto"/>
              <w:jc w:val="center"/>
              <w:rPr>
                <w:rFonts w:hint="eastAsia" w:ascii="Arial" w:hAnsi="Arial" w:cs="Arial"/>
                <w:sz w:val="24"/>
                <w:highlight w:val="none"/>
                <w:lang w:val="zh-CN"/>
              </w:rPr>
            </w:pPr>
            <w:r>
              <w:rPr>
                <w:rFonts w:ascii="Arial" w:hAnsi="Arial" w:cs="Arial"/>
                <w:bCs/>
                <w:sz w:val="24"/>
                <w:highlight w:val="none"/>
                <w:lang w:val="zh-CN"/>
              </w:rPr>
              <w:t>（日历日）</w:t>
            </w:r>
          </w:p>
        </w:tc>
        <w:tc>
          <w:tcPr>
            <w:tcW w:w="168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highlight w:val="none"/>
                <w:lang w:val="zh-CN"/>
              </w:rPr>
            </w:pPr>
            <w:r>
              <w:rPr>
                <w:rFonts w:ascii="Arial" w:hAnsi="Arial" w:cs="Arial"/>
                <w:bCs/>
                <w:sz w:val="24"/>
                <w:highlight w:val="none"/>
                <w:lang w:val="zh-CN"/>
              </w:rPr>
              <w:t>备注</w:t>
            </w:r>
          </w:p>
        </w:tc>
      </w:tr>
      <w:tr>
        <w:tblPrEx>
          <w:tblCellMar>
            <w:top w:w="0" w:type="dxa"/>
            <w:left w:w="108" w:type="dxa"/>
            <w:bottom w:w="0" w:type="dxa"/>
            <w:right w:w="108" w:type="dxa"/>
          </w:tblCellMar>
        </w:tblPrEx>
        <w:trPr>
          <w:trHeight w:val="555" w:hRule="atLeast"/>
          <w:jc w:val="center"/>
        </w:trPr>
        <w:tc>
          <w:tcPr>
            <w:tcW w:w="2966" w:type="dxa"/>
            <w:vMerge w:val="restart"/>
            <w:tcBorders>
              <w:top w:val="single" w:color="000000" w:sz="6" w:space="0"/>
              <w:left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highlight w:val="none"/>
                <w:lang w:val="zh-CN"/>
              </w:rPr>
            </w:pPr>
          </w:p>
        </w:tc>
        <w:tc>
          <w:tcPr>
            <w:tcW w:w="318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rPr>
                <w:rFonts w:ascii="Arial" w:hAnsi="Arial" w:cs="Arial"/>
                <w:highlight w:val="none"/>
                <w:lang w:val="zh-CN"/>
              </w:rPr>
            </w:pPr>
            <w:r>
              <w:rPr>
                <w:rFonts w:ascii="Arial" w:hAnsi="Arial" w:cs="Arial"/>
                <w:bCs/>
                <w:sz w:val="24"/>
                <w:highlight w:val="none"/>
                <w:lang w:val="zh-CN"/>
              </w:rPr>
              <w:t>大写：</w:t>
            </w:r>
          </w:p>
        </w:tc>
        <w:tc>
          <w:tcPr>
            <w:tcW w:w="2129" w:type="dxa"/>
            <w:vMerge w:val="restart"/>
            <w:tcBorders>
              <w:top w:val="single" w:color="000000" w:sz="6" w:space="0"/>
              <w:left w:val="single" w:color="000000" w:sz="6" w:space="0"/>
              <w:right w:val="single" w:color="000000" w:sz="6" w:space="0"/>
            </w:tcBorders>
            <w:shd w:val="clear" w:color="000000" w:fill="FFFFFF"/>
            <w:noWrap w:val="0"/>
            <w:vAlign w:val="center"/>
          </w:tcPr>
          <w:p>
            <w:pPr>
              <w:autoSpaceDE w:val="0"/>
              <w:autoSpaceDN w:val="0"/>
              <w:spacing w:line="360" w:lineRule="auto"/>
              <w:ind w:firstLine="197"/>
              <w:jc w:val="center"/>
              <w:rPr>
                <w:rFonts w:ascii="Arial" w:hAnsi="Arial" w:cs="Arial"/>
                <w:highlight w:val="none"/>
                <w:lang w:val="zh-CN"/>
              </w:rPr>
            </w:pPr>
          </w:p>
        </w:tc>
        <w:tc>
          <w:tcPr>
            <w:tcW w:w="1685" w:type="dxa"/>
            <w:vMerge w:val="restart"/>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highlight w:val="none"/>
                <w:lang w:val="zh-CN"/>
              </w:rPr>
            </w:pPr>
          </w:p>
        </w:tc>
      </w:tr>
      <w:tr>
        <w:tblPrEx>
          <w:tblCellMar>
            <w:top w:w="0" w:type="dxa"/>
            <w:left w:w="108" w:type="dxa"/>
            <w:bottom w:w="0" w:type="dxa"/>
            <w:right w:w="108" w:type="dxa"/>
          </w:tblCellMar>
        </w:tblPrEx>
        <w:trPr>
          <w:trHeight w:val="577" w:hRule="atLeast"/>
          <w:jc w:val="center"/>
        </w:trPr>
        <w:tc>
          <w:tcPr>
            <w:tcW w:w="2966" w:type="dxa"/>
            <w:vMerge w:val="continue"/>
            <w:tcBorders>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highlight w:val="none"/>
                <w:lang w:val="zh-CN"/>
              </w:rPr>
            </w:pPr>
          </w:p>
        </w:tc>
        <w:tc>
          <w:tcPr>
            <w:tcW w:w="318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rPr>
                <w:rFonts w:ascii="Arial" w:hAnsi="Arial" w:cs="Arial"/>
                <w:highlight w:val="none"/>
                <w:lang w:val="zh-CN"/>
              </w:rPr>
            </w:pPr>
            <w:r>
              <w:rPr>
                <w:rFonts w:ascii="Arial" w:hAnsi="Arial" w:cs="Arial"/>
                <w:bCs/>
                <w:sz w:val="24"/>
                <w:highlight w:val="none"/>
                <w:lang w:val="zh-CN"/>
              </w:rPr>
              <w:t>小写：</w:t>
            </w:r>
          </w:p>
        </w:tc>
        <w:tc>
          <w:tcPr>
            <w:tcW w:w="2129" w:type="dxa"/>
            <w:vMerge w:val="continue"/>
            <w:tcBorders>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highlight w:val="none"/>
                <w:lang w:val="zh-CN"/>
              </w:rPr>
            </w:pPr>
          </w:p>
        </w:tc>
        <w:tc>
          <w:tcPr>
            <w:tcW w:w="1685" w:type="dxa"/>
            <w:vMerge w:val="continue"/>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highlight w:val="none"/>
                <w:lang w:val="zh-CN"/>
              </w:rPr>
            </w:pPr>
          </w:p>
        </w:tc>
      </w:tr>
      <w:tr>
        <w:tblPrEx>
          <w:tblCellMar>
            <w:top w:w="0" w:type="dxa"/>
            <w:left w:w="108" w:type="dxa"/>
            <w:bottom w:w="0" w:type="dxa"/>
            <w:right w:w="108" w:type="dxa"/>
          </w:tblCellMar>
        </w:tblPrEx>
        <w:trPr>
          <w:trHeight w:val="1283" w:hRule="atLeast"/>
          <w:jc w:val="center"/>
        </w:trPr>
        <w:tc>
          <w:tcPr>
            <w:tcW w:w="9968" w:type="dxa"/>
            <w:gridSpan w:val="4"/>
            <w:tcBorders>
              <w:top w:val="single" w:color="000000" w:sz="6" w:space="0"/>
              <w:left w:val="single" w:color="000000" w:sz="6" w:space="0"/>
              <w:bottom w:val="single" w:color="000000" w:sz="6" w:space="0"/>
              <w:right w:val="single" w:color="000000" w:sz="6" w:space="0"/>
            </w:tcBorders>
            <w:shd w:val="clear" w:color="000000" w:fill="FFFFFF"/>
            <w:noWrap w:val="0"/>
            <w:vAlign w:val="top"/>
          </w:tcPr>
          <w:p>
            <w:pPr>
              <w:autoSpaceDE w:val="0"/>
              <w:autoSpaceDN w:val="0"/>
              <w:spacing w:line="360" w:lineRule="auto"/>
              <w:rPr>
                <w:rFonts w:ascii="Arial" w:hAnsi="Arial" w:cs="Arial"/>
                <w:highlight w:val="none"/>
                <w:lang w:val="zh-CN"/>
              </w:rPr>
            </w:pPr>
            <w:r>
              <w:rPr>
                <w:rFonts w:ascii="Arial" w:hAnsi="Arial" w:cs="Arial"/>
                <w:bCs/>
                <w:sz w:val="24"/>
                <w:highlight w:val="none"/>
                <w:lang w:val="zh-CN"/>
              </w:rPr>
              <w:t>优惠承诺及其他：</w:t>
            </w:r>
          </w:p>
        </w:tc>
      </w:tr>
    </w:tbl>
    <w:p>
      <w:pPr>
        <w:autoSpaceDE w:val="0"/>
        <w:autoSpaceDN w:val="0"/>
        <w:spacing w:line="360" w:lineRule="auto"/>
        <w:rPr>
          <w:rFonts w:hint="eastAsia" w:ascii="宋体" w:hAnsi="宋体" w:eastAsia="宋体" w:cs="宋体"/>
          <w:b/>
          <w:szCs w:val="21"/>
          <w:highlight w:val="none"/>
          <w:lang w:val="zh-CN"/>
        </w:rPr>
      </w:pPr>
      <w:r>
        <w:rPr>
          <w:rFonts w:hint="eastAsia" w:ascii="宋体" w:hAnsi="宋体" w:eastAsia="宋体" w:cs="宋体"/>
          <w:b/>
          <w:bCs/>
          <w:szCs w:val="21"/>
          <w:highlight w:val="none"/>
          <w:lang w:val="zh-CN"/>
        </w:rPr>
        <w:t>注：</w:t>
      </w:r>
      <w:r>
        <w:rPr>
          <w:rFonts w:hint="eastAsia" w:ascii="宋体" w:hAnsi="宋体" w:eastAsia="宋体" w:cs="宋体"/>
          <w:b/>
          <w:szCs w:val="21"/>
          <w:highlight w:val="none"/>
          <w:lang w:val="zh-CN"/>
        </w:rPr>
        <w:t>1、填写此表时不得改变表格形式（可按所投包增加行）。</w:t>
      </w:r>
    </w:p>
    <w:p>
      <w:pPr>
        <w:spacing w:line="360" w:lineRule="auto"/>
        <w:ind w:firstLine="407" w:firstLineChars="193"/>
        <w:rPr>
          <w:rFonts w:hint="eastAsia" w:ascii="宋体" w:hAnsi="宋体" w:eastAsia="宋体" w:cs="宋体"/>
          <w:b/>
          <w:szCs w:val="21"/>
          <w:highlight w:val="none"/>
          <w:lang w:val="zh-CN"/>
        </w:rPr>
      </w:pPr>
      <w:r>
        <w:rPr>
          <w:rFonts w:hint="eastAsia" w:ascii="宋体" w:hAnsi="宋体" w:eastAsia="宋体" w:cs="宋体"/>
          <w:b/>
          <w:szCs w:val="21"/>
          <w:highlight w:val="none"/>
          <w:lang w:val="zh-CN"/>
        </w:rPr>
        <w:t>2、“磋商报价”为磋商总价。磋商报价必须包括：完成本服务内容可能发生的各项费用，如人员工资、交通、通讯、设备、利润、税收、招标代理费以及所有有关的管理成本和其他不可预见费等全部费用。</w:t>
      </w:r>
    </w:p>
    <w:p>
      <w:pPr>
        <w:spacing w:line="360" w:lineRule="auto"/>
        <w:ind w:firstLine="407" w:firstLineChars="193"/>
        <w:rPr>
          <w:rFonts w:hint="eastAsia" w:ascii="宋体" w:hAnsi="宋体" w:eastAsia="宋体" w:cs="宋体"/>
          <w:b/>
          <w:bCs/>
          <w:kern w:val="0"/>
          <w:szCs w:val="21"/>
          <w:highlight w:val="none"/>
          <w:lang w:val="zh-CN"/>
        </w:rPr>
      </w:pPr>
      <w:r>
        <w:rPr>
          <w:rFonts w:hint="eastAsia" w:ascii="宋体" w:hAnsi="宋体" w:eastAsia="宋体" w:cs="宋体"/>
          <w:b/>
          <w:szCs w:val="21"/>
          <w:highlight w:val="none"/>
          <w:lang w:val="zh-CN"/>
        </w:rPr>
        <w:t>3、“服务时间”是指服务能够交付使用的具体时间。</w:t>
      </w:r>
    </w:p>
    <w:p>
      <w:pPr>
        <w:spacing w:line="360" w:lineRule="auto"/>
        <w:ind w:firstLine="407" w:firstLineChars="193"/>
        <w:rPr>
          <w:rFonts w:hint="eastAsia" w:ascii="宋体" w:hAnsi="宋体" w:eastAsia="宋体" w:cs="宋体"/>
          <w:b/>
          <w:bCs/>
          <w:kern w:val="0"/>
          <w:szCs w:val="21"/>
          <w:highlight w:val="none"/>
          <w:lang w:val="zh-CN"/>
        </w:rPr>
      </w:pPr>
      <w:r>
        <w:rPr>
          <w:rFonts w:hint="eastAsia" w:ascii="宋体" w:hAnsi="宋体" w:eastAsia="宋体" w:cs="宋体"/>
          <w:b/>
          <w:szCs w:val="21"/>
          <w:highlight w:val="none"/>
          <w:lang w:val="zh-CN"/>
        </w:rPr>
        <w:t>4、磋商报价不能有两个或两个以上的报价方案。</w:t>
      </w:r>
    </w:p>
    <w:p>
      <w:pPr>
        <w:spacing w:line="360" w:lineRule="auto"/>
        <w:ind w:firstLine="388" w:firstLineChars="193"/>
        <w:rPr>
          <w:rFonts w:hint="eastAsia" w:ascii="宋体" w:hAnsi="宋体" w:cs="宋体"/>
          <w:b/>
          <w:bCs/>
          <w:kern w:val="0"/>
          <w:sz w:val="20"/>
          <w:highlight w:val="none"/>
          <w:lang w:val="zh-CN"/>
        </w:rPr>
      </w:pPr>
    </w:p>
    <w:p>
      <w:pPr>
        <w:spacing w:line="360" w:lineRule="auto"/>
        <w:ind w:firstLine="388" w:firstLineChars="193"/>
        <w:rPr>
          <w:rFonts w:hint="eastAsia" w:ascii="宋体" w:hAnsi="宋体" w:cs="宋体"/>
          <w:b/>
          <w:bCs/>
          <w:kern w:val="0"/>
          <w:sz w:val="20"/>
          <w:highlight w:val="none"/>
          <w:lang w:val="zh-CN"/>
        </w:rPr>
      </w:pPr>
    </w:p>
    <w:p>
      <w:pPr>
        <w:spacing w:line="360" w:lineRule="auto"/>
        <w:ind w:firstLine="388" w:firstLineChars="193"/>
        <w:rPr>
          <w:rFonts w:hint="eastAsia" w:ascii="宋体" w:hAnsi="宋体" w:cs="宋体"/>
          <w:b/>
          <w:bCs/>
          <w:kern w:val="0"/>
          <w:sz w:val="20"/>
          <w:highlight w:val="none"/>
          <w:lang w:val="zh-CN"/>
        </w:rPr>
      </w:pPr>
    </w:p>
    <w:p>
      <w:pPr>
        <w:spacing w:line="360" w:lineRule="auto"/>
        <w:ind w:firstLine="388" w:firstLineChars="193"/>
        <w:rPr>
          <w:rFonts w:ascii="宋体" w:hAnsi="宋体" w:cs="宋体"/>
          <w:b/>
          <w:bCs/>
          <w:kern w:val="0"/>
          <w:sz w:val="20"/>
          <w:szCs w:val="22"/>
          <w:highlight w:val="none"/>
          <w:lang w:val="zh-CN"/>
        </w:rPr>
      </w:pP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 xml:space="preserve">磋商供应商：     </w:t>
      </w:r>
      <w:r>
        <w:rPr>
          <w:rFonts w:ascii="宋体" w:hAnsi="宋体"/>
          <w:bCs/>
          <w:sz w:val="24"/>
          <w:szCs w:val="28"/>
          <w:highlight w:val="none"/>
        </w:rPr>
        <w:t xml:space="preserve">      </w:t>
      </w:r>
      <w:r>
        <w:rPr>
          <w:rFonts w:hint="eastAsia" w:ascii="宋体" w:hAnsi="宋体"/>
          <w:bCs/>
          <w:sz w:val="24"/>
          <w:szCs w:val="28"/>
          <w:highlight w:val="none"/>
        </w:rPr>
        <w:t xml:space="preserve">        （公章）</w:t>
      </w: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委托代理人：                （签字）</w:t>
      </w: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 xml:space="preserve">日期：  </w:t>
      </w:r>
      <w:r>
        <w:rPr>
          <w:rFonts w:ascii="宋体" w:hAnsi="宋体"/>
          <w:bCs/>
          <w:sz w:val="24"/>
          <w:szCs w:val="28"/>
          <w:highlight w:val="none"/>
        </w:rPr>
        <w:t xml:space="preserve">      </w:t>
      </w:r>
      <w:r>
        <w:rPr>
          <w:rFonts w:hint="eastAsia" w:ascii="宋体" w:hAnsi="宋体"/>
          <w:bCs/>
          <w:sz w:val="24"/>
          <w:szCs w:val="28"/>
          <w:highlight w:val="none"/>
        </w:rPr>
        <w:t xml:space="preserve">  年   月   日</w:t>
      </w:r>
    </w:p>
    <w:p>
      <w:pPr>
        <w:pStyle w:val="4"/>
        <w:numPr>
          <w:ilvl w:val="0"/>
          <w:numId w:val="0"/>
        </w:numPr>
        <w:tabs>
          <w:tab w:val="left" w:pos="425"/>
          <w:tab w:val="left" w:pos="720"/>
        </w:tabs>
        <w:ind w:left="709" w:hanging="709"/>
        <w:rPr>
          <w:rFonts w:hAnsi="宋体"/>
          <w:highlight w:val="none"/>
          <w:lang w:val="zh-CN"/>
        </w:rPr>
      </w:pPr>
      <w:r>
        <w:rPr>
          <w:rFonts w:hAnsi="宋体"/>
          <w:bCs/>
          <w:sz w:val="24"/>
          <w:szCs w:val="28"/>
          <w:highlight w:val="none"/>
        </w:rPr>
        <w:br w:type="page"/>
      </w:r>
      <w:bookmarkStart w:id="221" w:name="_Toc1765_WPSOffice_Level1"/>
      <w:bookmarkStart w:id="222" w:name="_Toc3700"/>
      <w:bookmarkStart w:id="223" w:name="_Toc535422009"/>
      <w:r>
        <w:rPr>
          <w:rFonts w:hint="eastAsia" w:hAnsi="宋体"/>
          <w:b/>
          <w:sz w:val="32"/>
          <w:highlight w:val="none"/>
          <w:lang w:val="zh-CN"/>
        </w:rPr>
        <w:t>格式</w:t>
      </w:r>
      <w:r>
        <w:rPr>
          <w:rFonts w:hint="eastAsia" w:hAnsi="宋体"/>
          <w:b/>
          <w:sz w:val="32"/>
          <w:highlight w:val="none"/>
          <w:lang w:val="zh-CN" w:eastAsia="zh-CN"/>
        </w:rPr>
        <w:t>13</w:t>
      </w:r>
      <w:r>
        <w:rPr>
          <w:rFonts w:hint="eastAsia" w:hAnsi="宋体"/>
          <w:b/>
          <w:sz w:val="32"/>
          <w:highlight w:val="none"/>
          <w:lang w:val="zh-CN"/>
        </w:rPr>
        <w:t>、分项报价表</w:t>
      </w:r>
      <w:bookmarkEnd w:id="221"/>
      <w:bookmarkEnd w:id="222"/>
      <w:bookmarkEnd w:id="223"/>
    </w:p>
    <w:p>
      <w:pPr>
        <w:autoSpaceDE w:val="0"/>
        <w:autoSpaceDN w:val="0"/>
        <w:adjustRightInd w:val="0"/>
        <w:spacing w:line="360" w:lineRule="auto"/>
        <w:jc w:val="center"/>
        <w:rPr>
          <w:rFonts w:ascii="宋体" w:hAnsi="宋体" w:cs="宋体"/>
          <w:b/>
          <w:bCs/>
          <w:kern w:val="0"/>
          <w:sz w:val="32"/>
          <w:szCs w:val="30"/>
          <w:highlight w:val="none"/>
          <w:lang w:val="zh-CN"/>
        </w:rPr>
      </w:pPr>
      <w:bookmarkStart w:id="224" w:name="_Toc29971_WPSOffice_Level2"/>
      <w:r>
        <w:rPr>
          <w:rFonts w:hint="eastAsia" w:ascii="宋体" w:hAnsi="宋体" w:cs="宋体"/>
          <w:b/>
          <w:bCs/>
          <w:kern w:val="0"/>
          <w:sz w:val="32"/>
          <w:szCs w:val="30"/>
          <w:highlight w:val="none"/>
          <w:lang w:val="zh-CN"/>
        </w:rPr>
        <w:t>分项报价表</w:t>
      </w:r>
      <w:bookmarkEnd w:id="224"/>
    </w:p>
    <w:p>
      <w:pPr>
        <w:spacing w:line="360" w:lineRule="auto"/>
        <w:rPr>
          <w:rFonts w:ascii="宋体" w:hAnsi="宋体" w:cs="宋体"/>
          <w:b/>
          <w:bCs/>
          <w:kern w:val="0"/>
          <w:sz w:val="24"/>
          <w:highlight w:val="none"/>
          <w:lang w:val="zh-CN"/>
        </w:rPr>
      </w:pPr>
      <w:r>
        <w:rPr>
          <w:rFonts w:hint="eastAsia" w:ascii="宋体" w:hAnsi="宋体" w:cs="宋体"/>
          <w:b/>
          <w:bCs/>
          <w:kern w:val="0"/>
          <w:sz w:val="24"/>
          <w:highlight w:val="none"/>
          <w:lang w:val="zh-CN"/>
        </w:rPr>
        <w:t>采购项目名称:</w:t>
      </w:r>
      <w:r>
        <w:rPr>
          <w:rFonts w:ascii="宋体" w:hAnsi="宋体" w:cs="宋体"/>
          <w:b/>
          <w:bCs/>
          <w:kern w:val="0"/>
          <w:sz w:val="24"/>
          <w:highlight w:val="none"/>
          <w:lang w:val="zh-CN"/>
        </w:rPr>
        <w:t xml:space="preserve">                    </w:t>
      </w:r>
      <w:r>
        <w:rPr>
          <w:rFonts w:hint="eastAsia" w:ascii="宋体" w:hAnsi="宋体" w:cs="宋体"/>
          <w:b/>
          <w:bCs/>
          <w:kern w:val="0"/>
          <w:sz w:val="24"/>
          <w:highlight w:val="none"/>
          <w:lang w:val="zh-CN"/>
        </w:rPr>
        <w:t xml:space="preserve">  采购项目编号：</w:t>
      </w:r>
    </w:p>
    <w:p>
      <w:pPr>
        <w:spacing w:line="360" w:lineRule="auto"/>
        <w:jc w:val="right"/>
        <w:rPr>
          <w:rFonts w:ascii="宋体" w:hAnsi="宋体"/>
          <w:highlight w:val="none"/>
          <w:lang w:val="zh-CN"/>
        </w:rPr>
      </w:pPr>
      <w:r>
        <w:rPr>
          <w:rFonts w:ascii="宋体" w:hAnsi="宋体" w:cs="宋体"/>
          <w:bCs/>
          <w:kern w:val="0"/>
          <w:sz w:val="24"/>
          <w:highlight w:val="none"/>
          <w:lang w:val="zh-CN"/>
        </w:rPr>
        <w:t>单位</w:t>
      </w:r>
      <w:r>
        <w:rPr>
          <w:rFonts w:hint="eastAsia" w:ascii="宋体" w:hAnsi="宋体" w:cs="宋体"/>
          <w:bCs/>
          <w:kern w:val="0"/>
          <w:sz w:val="24"/>
          <w:highlight w:val="none"/>
          <w:lang w:val="zh-CN"/>
        </w:rPr>
        <w:t>：</w:t>
      </w:r>
      <w:r>
        <w:rPr>
          <w:rFonts w:ascii="宋体" w:hAnsi="宋体" w:cs="宋体"/>
          <w:bCs/>
          <w:kern w:val="0"/>
          <w:sz w:val="24"/>
          <w:highlight w:val="none"/>
          <w:lang w:val="zh-CN"/>
        </w:rPr>
        <w:t>人民币</w:t>
      </w:r>
      <w:r>
        <w:rPr>
          <w:rFonts w:hint="eastAsia" w:ascii="宋体" w:hAnsi="宋体" w:cs="宋体"/>
          <w:bCs/>
          <w:kern w:val="0"/>
          <w:sz w:val="24"/>
          <w:highlight w:val="none"/>
          <w:lang w:val="zh-CN"/>
        </w:rPr>
        <w:t>（</w:t>
      </w:r>
      <w:r>
        <w:rPr>
          <w:rFonts w:ascii="宋体" w:hAnsi="宋体" w:cs="宋体"/>
          <w:bCs/>
          <w:kern w:val="0"/>
          <w:sz w:val="24"/>
          <w:highlight w:val="none"/>
          <w:lang w:val="zh-CN"/>
        </w:rPr>
        <w:t>元</w:t>
      </w:r>
      <w:r>
        <w:rPr>
          <w:rFonts w:hint="eastAsia" w:ascii="宋体" w:hAnsi="宋体" w:cs="宋体"/>
          <w:bCs/>
          <w:kern w:val="0"/>
          <w:sz w:val="24"/>
          <w:highlight w:val="none"/>
          <w:lang w:val="zh-CN"/>
        </w:rPr>
        <w:t>）</w:t>
      </w:r>
    </w:p>
    <w:tbl>
      <w:tblPr>
        <w:tblStyle w:val="27"/>
        <w:tblW w:w="0" w:type="auto"/>
        <w:jc w:val="center"/>
        <w:tblLayout w:type="fixed"/>
        <w:tblCellMar>
          <w:top w:w="0" w:type="dxa"/>
          <w:left w:w="108" w:type="dxa"/>
          <w:bottom w:w="0" w:type="dxa"/>
          <w:right w:w="108" w:type="dxa"/>
        </w:tblCellMar>
      </w:tblPr>
      <w:tblGrid>
        <w:gridCol w:w="826"/>
        <w:gridCol w:w="1403"/>
        <w:gridCol w:w="14"/>
        <w:gridCol w:w="1416"/>
        <w:gridCol w:w="1417"/>
        <w:gridCol w:w="1983"/>
        <w:gridCol w:w="1275"/>
        <w:gridCol w:w="1702"/>
      </w:tblGrid>
      <w:tr>
        <w:tblPrEx>
          <w:tblCellMar>
            <w:top w:w="0" w:type="dxa"/>
            <w:left w:w="108" w:type="dxa"/>
            <w:bottom w:w="0" w:type="dxa"/>
            <w:right w:w="108" w:type="dxa"/>
          </w:tblCellMar>
        </w:tblPrEx>
        <w:trPr>
          <w:trHeight w:val="870" w:hRule="atLeast"/>
          <w:jc w:val="center"/>
        </w:trPr>
        <w:tc>
          <w:tcPr>
            <w:tcW w:w="826" w:type="dxa"/>
            <w:tcBorders>
              <w:top w:val="single" w:color="auto" w:sz="8" w:space="0"/>
              <w:left w:val="single" w:color="auto" w:sz="8" w:space="0"/>
              <w:bottom w:val="single" w:color="auto" w:sz="8" w:space="0"/>
              <w:right w:val="single" w:color="auto" w:sz="8" w:space="0"/>
            </w:tcBorders>
            <w:noWrap w:val="0"/>
            <w:vAlign w:val="center"/>
          </w:tcPr>
          <w:p>
            <w:pPr>
              <w:spacing w:line="360" w:lineRule="auto"/>
              <w:ind w:left="0" w:leftChars="0" w:firstLine="0" w:firstLineChars="0"/>
              <w:jc w:val="both"/>
              <w:rPr>
                <w:rFonts w:ascii="Arial" w:hAnsi="Arial" w:cs="Arial"/>
                <w:bCs/>
                <w:sz w:val="24"/>
                <w:highlight w:val="none"/>
                <w:lang w:val="zh-CN"/>
              </w:rPr>
            </w:pPr>
            <w:r>
              <w:rPr>
                <w:rFonts w:hint="eastAsia" w:ascii="Arial" w:hAnsi="Arial" w:cs="Arial"/>
                <w:bCs/>
                <w:sz w:val="24"/>
                <w:highlight w:val="none"/>
                <w:lang w:val="zh-CN"/>
              </w:rPr>
              <w:t>序号</w:t>
            </w:r>
          </w:p>
        </w:tc>
        <w:tc>
          <w:tcPr>
            <w:tcW w:w="1403" w:type="dxa"/>
            <w:tcBorders>
              <w:top w:val="single" w:color="auto" w:sz="8" w:space="0"/>
              <w:left w:val="nil"/>
              <w:bottom w:val="single" w:color="auto" w:sz="8" w:space="0"/>
              <w:right w:val="single" w:color="auto" w:sz="8" w:space="0"/>
            </w:tcBorders>
            <w:noWrap w:val="0"/>
            <w:vAlign w:val="center"/>
          </w:tcPr>
          <w:p>
            <w:pPr>
              <w:spacing w:line="360" w:lineRule="auto"/>
              <w:ind w:left="0" w:leftChars="0" w:firstLine="0" w:firstLineChars="0"/>
              <w:jc w:val="both"/>
              <w:rPr>
                <w:rFonts w:hint="eastAsia" w:ascii="Arial" w:hAnsi="Arial" w:cs="Arial"/>
                <w:bCs/>
                <w:sz w:val="24"/>
                <w:highlight w:val="none"/>
                <w:lang w:val="zh-CN"/>
              </w:rPr>
            </w:pPr>
            <w:r>
              <w:rPr>
                <w:rFonts w:hint="eastAsia" w:ascii="Arial" w:hAnsi="Arial" w:cs="Arial"/>
                <w:bCs/>
                <w:sz w:val="24"/>
                <w:highlight w:val="none"/>
                <w:lang w:val="zh-CN"/>
              </w:rPr>
              <w:t>服务名称</w:t>
            </w:r>
          </w:p>
        </w:tc>
        <w:tc>
          <w:tcPr>
            <w:tcW w:w="1430" w:type="dxa"/>
            <w:gridSpan w:val="2"/>
            <w:tcBorders>
              <w:top w:val="single" w:color="auto" w:sz="8" w:space="0"/>
              <w:left w:val="nil"/>
              <w:bottom w:val="single" w:color="auto" w:sz="8" w:space="0"/>
              <w:right w:val="single" w:color="auto" w:sz="8" w:space="0"/>
            </w:tcBorders>
            <w:noWrap w:val="0"/>
            <w:vAlign w:val="center"/>
          </w:tcPr>
          <w:p>
            <w:pPr>
              <w:spacing w:line="360" w:lineRule="auto"/>
              <w:ind w:left="0" w:leftChars="0" w:firstLine="0" w:firstLineChars="0"/>
              <w:rPr>
                <w:rFonts w:hint="eastAsia" w:ascii="Arial" w:hAnsi="Arial" w:cs="Arial"/>
                <w:bCs/>
                <w:sz w:val="24"/>
                <w:highlight w:val="none"/>
                <w:lang w:val="zh-CN"/>
              </w:rPr>
            </w:pPr>
            <w:r>
              <w:rPr>
                <w:rFonts w:hint="eastAsia" w:ascii="Arial" w:hAnsi="Arial" w:cs="Arial"/>
                <w:bCs/>
                <w:sz w:val="24"/>
                <w:highlight w:val="none"/>
                <w:lang w:val="zh-CN"/>
              </w:rPr>
              <w:t>服务内容</w:t>
            </w:r>
          </w:p>
        </w:tc>
        <w:tc>
          <w:tcPr>
            <w:tcW w:w="1417" w:type="dxa"/>
            <w:tcBorders>
              <w:top w:val="single" w:color="auto" w:sz="8" w:space="0"/>
              <w:left w:val="nil"/>
              <w:bottom w:val="single" w:color="auto" w:sz="8" w:space="0"/>
              <w:right w:val="single" w:color="auto" w:sz="8" w:space="0"/>
            </w:tcBorders>
            <w:noWrap w:val="0"/>
            <w:vAlign w:val="center"/>
          </w:tcPr>
          <w:p>
            <w:pPr>
              <w:spacing w:line="360" w:lineRule="auto"/>
              <w:jc w:val="both"/>
              <w:rPr>
                <w:rFonts w:hint="eastAsia" w:ascii="Arial" w:hAnsi="Arial" w:cs="Arial"/>
                <w:bCs/>
                <w:sz w:val="24"/>
                <w:highlight w:val="none"/>
                <w:lang w:val="zh-CN"/>
              </w:rPr>
            </w:pPr>
            <w:r>
              <w:rPr>
                <w:rFonts w:hint="eastAsia" w:ascii="Arial" w:hAnsi="Arial" w:cs="Arial"/>
                <w:bCs/>
                <w:sz w:val="24"/>
                <w:highlight w:val="none"/>
                <w:lang w:val="zh-CN"/>
              </w:rPr>
              <w:t>单价</w:t>
            </w:r>
          </w:p>
        </w:tc>
        <w:tc>
          <w:tcPr>
            <w:tcW w:w="1983" w:type="dxa"/>
            <w:tcBorders>
              <w:top w:val="single" w:color="auto" w:sz="8" w:space="0"/>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r>
              <w:rPr>
                <w:rFonts w:hint="eastAsia" w:ascii="Arial" w:hAnsi="Arial" w:cs="Arial"/>
                <w:bCs/>
                <w:sz w:val="24"/>
                <w:highlight w:val="none"/>
                <w:lang w:val="zh-CN"/>
              </w:rPr>
              <w:t>数量及单位</w:t>
            </w:r>
          </w:p>
        </w:tc>
        <w:tc>
          <w:tcPr>
            <w:tcW w:w="1275" w:type="dxa"/>
            <w:tcBorders>
              <w:top w:val="single" w:color="auto" w:sz="8" w:space="0"/>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r>
              <w:rPr>
                <w:rFonts w:hint="eastAsia" w:ascii="Arial" w:hAnsi="Arial" w:cs="Arial"/>
                <w:bCs/>
                <w:sz w:val="24"/>
                <w:highlight w:val="none"/>
                <w:lang w:val="zh-CN"/>
              </w:rPr>
              <w:t>合计</w:t>
            </w:r>
          </w:p>
        </w:tc>
        <w:tc>
          <w:tcPr>
            <w:tcW w:w="1702" w:type="dxa"/>
            <w:tcBorders>
              <w:top w:val="single" w:color="auto" w:sz="8" w:space="0"/>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r>
              <w:rPr>
                <w:rFonts w:hint="eastAsia" w:ascii="Arial" w:hAnsi="Arial" w:cs="Arial"/>
                <w:bCs/>
                <w:sz w:val="24"/>
                <w:highlight w:val="none"/>
                <w:lang w:val="zh-CN"/>
              </w:rPr>
              <w:t>备注</w:t>
            </w:r>
          </w:p>
        </w:tc>
      </w:tr>
      <w:tr>
        <w:tblPrEx>
          <w:tblCellMar>
            <w:top w:w="0" w:type="dxa"/>
            <w:left w:w="108" w:type="dxa"/>
            <w:bottom w:w="0" w:type="dxa"/>
            <w:right w:w="108" w:type="dxa"/>
          </w:tblCellMar>
        </w:tblPrEx>
        <w:trPr>
          <w:trHeight w:val="462" w:hRule="atLeast"/>
          <w:jc w:val="center"/>
        </w:trPr>
        <w:tc>
          <w:tcPr>
            <w:tcW w:w="826" w:type="dxa"/>
            <w:tcBorders>
              <w:top w:val="nil"/>
              <w:left w:val="single" w:color="auto" w:sz="8" w:space="0"/>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r>
              <w:rPr>
                <w:rFonts w:hint="eastAsia" w:ascii="Arial" w:hAnsi="Arial" w:cs="Arial"/>
                <w:bCs/>
                <w:sz w:val="24"/>
                <w:highlight w:val="none"/>
                <w:lang w:val="zh-CN"/>
              </w:rPr>
              <w:t>1</w:t>
            </w:r>
          </w:p>
        </w:tc>
        <w:tc>
          <w:tcPr>
            <w:tcW w:w="1403"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430" w:type="dxa"/>
            <w:gridSpan w:val="2"/>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417"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983"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275"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702" w:type="dxa"/>
            <w:tcBorders>
              <w:top w:val="nil"/>
              <w:left w:val="nil"/>
              <w:bottom w:val="single" w:color="auto" w:sz="8" w:space="0"/>
              <w:right w:val="single" w:color="auto" w:sz="8" w:space="0"/>
            </w:tcBorders>
            <w:noWrap w:val="0"/>
            <w:vAlign w:val="center"/>
          </w:tcPr>
          <w:p>
            <w:pPr>
              <w:spacing w:line="360" w:lineRule="auto"/>
              <w:rPr>
                <w:rFonts w:hint="eastAsia" w:ascii="Arial" w:hAnsi="Arial" w:cs="Arial"/>
                <w:bCs/>
                <w:sz w:val="24"/>
                <w:highlight w:val="none"/>
                <w:lang w:val="zh-CN"/>
              </w:rPr>
            </w:pPr>
          </w:p>
        </w:tc>
      </w:tr>
      <w:tr>
        <w:tblPrEx>
          <w:tblCellMar>
            <w:top w:w="0" w:type="dxa"/>
            <w:left w:w="108" w:type="dxa"/>
            <w:bottom w:w="0" w:type="dxa"/>
            <w:right w:w="108" w:type="dxa"/>
          </w:tblCellMar>
        </w:tblPrEx>
        <w:trPr>
          <w:trHeight w:val="554" w:hRule="atLeast"/>
          <w:jc w:val="center"/>
        </w:trPr>
        <w:tc>
          <w:tcPr>
            <w:tcW w:w="826" w:type="dxa"/>
            <w:tcBorders>
              <w:top w:val="nil"/>
              <w:left w:val="single" w:color="auto" w:sz="8" w:space="0"/>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r>
              <w:rPr>
                <w:rFonts w:hint="eastAsia" w:ascii="Arial" w:hAnsi="Arial" w:cs="Arial"/>
                <w:bCs/>
                <w:sz w:val="24"/>
                <w:highlight w:val="none"/>
                <w:lang w:val="zh-CN"/>
              </w:rPr>
              <w:t>2</w:t>
            </w:r>
          </w:p>
        </w:tc>
        <w:tc>
          <w:tcPr>
            <w:tcW w:w="1403"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430" w:type="dxa"/>
            <w:gridSpan w:val="2"/>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417"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983"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275"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702" w:type="dxa"/>
            <w:tcBorders>
              <w:top w:val="nil"/>
              <w:left w:val="nil"/>
              <w:bottom w:val="single" w:color="auto" w:sz="8" w:space="0"/>
              <w:right w:val="single" w:color="auto" w:sz="8" w:space="0"/>
            </w:tcBorders>
            <w:noWrap w:val="0"/>
            <w:vAlign w:val="center"/>
          </w:tcPr>
          <w:p>
            <w:pPr>
              <w:spacing w:line="360" w:lineRule="auto"/>
              <w:rPr>
                <w:rFonts w:hint="eastAsia" w:ascii="Arial" w:hAnsi="Arial" w:cs="Arial"/>
                <w:bCs/>
                <w:sz w:val="24"/>
                <w:highlight w:val="none"/>
                <w:lang w:val="zh-CN"/>
              </w:rPr>
            </w:pPr>
          </w:p>
        </w:tc>
      </w:tr>
      <w:tr>
        <w:tblPrEx>
          <w:tblCellMar>
            <w:top w:w="0" w:type="dxa"/>
            <w:left w:w="108" w:type="dxa"/>
            <w:bottom w:w="0" w:type="dxa"/>
            <w:right w:w="108" w:type="dxa"/>
          </w:tblCellMar>
        </w:tblPrEx>
        <w:trPr>
          <w:trHeight w:val="534" w:hRule="atLeast"/>
          <w:jc w:val="center"/>
        </w:trPr>
        <w:tc>
          <w:tcPr>
            <w:tcW w:w="826" w:type="dxa"/>
            <w:tcBorders>
              <w:top w:val="nil"/>
              <w:left w:val="single" w:color="auto" w:sz="8" w:space="0"/>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r>
              <w:rPr>
                <w:rFonts w:hint="eastAsia" w:ascii="Arial" w:hAnsi="Arial" w:cs="Arial"/>
                <w:bCs/>
                <w:sz w:val="24"/>
                <w:highlight w:val="none"/>
                <w:lang w:val="zh-CN"/>
              </w:rPr>
              <w:t>3</w:t>
            </w:r>
          </w:p>
        </w:tc>
        <w:tc>
          <w:tcPr>
            <w:tcW w:w="1403"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430" w:type="dxa"/>
            <w:gridSpan w:val="2"/>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417"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983"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275"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702" w:type="dxa"/>
            <w:tcBorders>
              <w:top w:val="nil"/>
              <w:left w:val="nil"/>
              <w:bottom w:val="single" w:color="auto" w:sz="8" w:space="0"/>
              <w:right w:val="single" w:color="auto" w:sz="8" w:space="0"/>
            </w:tcBorders>
            <w:noWrap w:val="0"/>
            <w:vAlign w:val="center"/>
          </w:tcPr>
          <w:p>
            <w:pPr>
              <w:spacing w:line="360" w:lineRule="auto"/>
              <w:rPr>
                <w:rFonts w:hint="eastAsia" w:ascii="Arial" w:hAnsi="Arial" w:cs="Arial"/>
                <w:bCs/>
                <w:sz w:val="24"/>
                <w:highlight w:val="none"/>
                <w:lang w:val="zh-CN"/>
              </w:rPr>
            </w:pPr>
          </w:p>
        </w:tc>
      </w:tr>
      <w:tr>
        <w:tblPrEx>
          <w:tblCellMar>
            <w:top w:w="0" w:type="dxa"/>
            <w:left w:w="108" w:type="dxa"/>
            <w:bottom w:w="0" w:type="dxa"/>
            <w:right w:w="108" w:type="dxa"/>
          </w:tblCellMar>
        </w:tblPrEx>
        <w:trPr>
          <w:trHeight w:val="542" w:hRule="atLeast"/>
          <w:jc w:val="center"/>
        </w:trPr>
        <w:tc>
          <w:tcPr>
            <w:tcW w:w="826" w:type="dxa"/>
            <w:tcBorders>
              <w:top w:val="nil"/>
              <w:left w:val="single" w:color="auto" w:sz="8" w:space="0"/>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r>
              <w:rPr>
                <w:rFonts w:hint="eastAsia" w:ascii="Arial" w:hAnsi="Arial" w:cs="Arial"/>
                <w:bCs/>
                <w:sz w:val="24"/>
                <w:highlight w:val="none"/>
                <w:lang w:val="zh-CN"/>
              </w:rPr>
              <w:t>4</w:t>
            </w:r>
          </w:p>
        </w:tc>
        <w:tc>
          <w:tcPr>
            <w:tcW w:w="1403"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430" w:type="dxa"/>
            <w:gridSpan w:val="2"/>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417"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983"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275"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702" w:type="dxa"/>
            <w:tcBorders>
              <w:top w:val="nil"/>
              <w:left w:val="nil"/>
              <w:bottom w:val="single" w:color="auto" w:sz="8" w:space="0"/>
              <w:right w:val="single" w:color="auto" w:sz="8" w:space="0"/>
            </w:tcBorders>
            <w:noWrap w:val="0"/>
            <w:vAlign w:val="center"/>
          </w:tcPr>
          <w:p>
            <w:pPr>
              <w:spacing w:line="360" w:lineRule="auto"/>
              <w:rPr>
                <w:rFonts w:hint="eastAsia" w:ascii="Arial" w:hAnsi="Arial" w:cs="Arial"/>
                <w:bCs/>
                <w:sz w:val="24"/>
                <w:highlight w:val="none"/>
                <w:lang w:val="zh-CN"/>
              </w:rPr>
            </w:pPr>
          </w:p>
        </w:tc>
      </w:tr>
      <w:tr>
        <w:tblPrEx>
          <w:tblCellMar>
            <w:top w:w="0" w:type="dxa"/>
            <w:left w:w="108" w:type="dxa"/>
            <w:bottom w:w="0" w:type="dxa"/>
            <w:right w:w="108" w:type="dxa"/>
          </w:tblCellMar>
        </w:tblPrEx>
        <w:trPr>
          <w:trHeight w:val="550" w:hRule="atLeast"/>
          <w:jc w:val="center"/>
        </w:trPr>
        <w:tc>
          <w:tcPr>
            <w:tcW w:w="826" w:type="dxa"/>
            <w:tcBorders>
              <w:top w:val="nil"/>
              <w:left w:val="single" w:color="auto" w:sz="8" w:space="0"/>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r>
              <w:rPr>
                <w:rFonts w:hint="eastAsia" w:ascii="Arial" w:hAnsi="Arial" w:cs="Arial"/>
                <w:bCs/>
                <w:sz w:val="24"/>
                <w:highlight w:val="none"/>
                <w:lang w:val="zh-CN"/>
              </w:rPr>
              <w:t>……</w:t>
            </w:r>
          </w:p>
        </w:tc>
        <w:tc>
          <w:tcPr>
            <w:tcW w:w="1403"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430" w:type="dxa"/>
            <w:gridSpan w:val="2"/>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417"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983"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275" w:type="dxa"/>
            <w:tcBorders>
              <w:top w:val="nil"/>
              <w:left w:val="nil"/>
              <w:bottom w:val="single" w:color="auto" w:sz="8" w:space="0"/>
              <w:right w:val="single" w:color="auto" w:sz="8" w:space="0"/>
            </w:tcBorders>
            <w:noWrap w:val="0"/>
            <w:vAlign w:val="center"/>
          </w:tcPr>
          <w:p>
            <w:pPr>
              <w:spacing w:line="360" w:lineRule="auto"/>
              <w:jc w:val="center"/>
              <w:rPr>
                <w:rFonts w:hint="eastAsia" w:ascii="Arial" w:hAnsi="Arial" w:cs="Arial"/>
                <w:bCs/>
                <w:sz w:val="24"/>
                <w:highlight w:val="none"/>
                <w:lang w:val="zh-CN"/>
              </w:rPr>
            </w:pPr>
          </w:p>
        </w:tc>
        <w:tc>
          <w:tcPr>
            <w:tcW w:w="1702" w:type="dxa"/>
            <w:tcBorders>
              <w:top w:val="nil"/>
              <w:left w:val="nil"/>
              <w:bottom w:val="single" w:color="auto" w:sz="8" w:space="0"/>
              <w:right w:val="single" w:color="auto" w:sz="8" w:space="0"/>
            </w:tcBorders>
            <w:noWrap w:val="0"/>
            <w:vAlign w:val="center"/>
          </w:tcPr>
          <w:p>
            <w:pPr>
              <w:spacing w:line="360" w:lineRule="auto"/>
              <w:rPr>
                <w:rFonts w:hint="eastAsia" w:ascii="Arial" w:hAnsi="Arial" w:cs="Arial"/>
                <w:bCs/>
                <w:sz w:val="24"/>
                <w:highlight w:val="none"/>
                <w:lang w:val="zh-CN"/>
              </w:rPr>
            </w:pPr>
          </w:p>
        </w:tc>
      </w:tr>
      <w:tr>
        <w:tblPrEx>
          <w:tblCellMar>
            <w:top w:w="0" w:type="dxa"/>
            <w:left w:w="108" w:type="dxa"/>
            <w:bottom w:w="0" w:type="dxa"/>
            <w:right w:w="108" w:type="dxa"/>
          </w:tblCellMar>
        </w:tblPrEx>
        <w:trPr>
          <w:trHeight w:val="1125" w:hRule="atLeast"/>
          <w:jc w:val="center"/>
        </w:trPr>
        <w:tc>
          <w:tcPr>
            <w:tcW w:w="10036" w:type="dxa"/>
            <w:gridSpan w:val="8"/>
            <w:tcBorders>
              <w:top w:val="single" w:color="auto" w:sz="8" w:space="0"/>
              <w:left w:val="single" w:color="auto" w:sz="8" w:space="0"/>
              <w:bottom w:val="single" w:color="auto" w:sz="8" w:space="0"/>
              <w:right w:val="single" w:color="auto" w:sz="8" w:space="0"/>
            </w:tcBorders>
            <w:noWrap w:val="0"/>
            <w:vAlign w:val="center"/>
          </w:tcPr>
          <w:p>
            <w:pPr>
              <w:spacing w:line="360" w:lineRule="auto"/>
              <w:rPr>
                <w:rFonts w:hint="eastAsia" w:ascii="Arial" w:hAnsi="Arial" w:cs="Arial"/>
                <w:bCs/>
                <w:sz w:val="24"/>
                <w:highlight w:val="none"/>
                <w:lang w:val="zh-CN"/>
              </w:rPr>
            </w:pPr>
            <w:r>
              <w:rPr>
                <w:rFonts w:hint="eastAsia" w:ascii="Arial" w:hAnsi="Arial" w:cs="Arial"/>
                <w:bCs/>
                <w:sz w:val="24"/>
                <w:highlight w:val="none"/>
                <w:lang w:val="zh-CN"/>
              </w:rPr>
              <w:t>优惠承诺及其他：</w:t>
            </w:r>
          </w:p>
          <w:p>
            <w:pPr>
              <w:spacing w:line="360" w:lineRule="auto"/>
              <w:rPr>
                <w:rFonts w:hint="eastAsia" w:ascii="Arial" w:hAnsi="Arial" w:cs="Arial"/>
                <w:bCs/>
                <w:sz w:val="24"/>
                <w:highlight w:val="none"/>
                <w:lang w:val="zh-CN"/>
              </w:rPr>
            </w:pPr>
          </w:p>
          <w:p>
            <w:pPr>
              <w:spacing w:line="360" w:lineRule="auto"/>
              <w:rPr>
                <w:rFonts w:hint="eastAsia" w:ascii="Arial" w:hAnsi="Arial" w:cs="Arial"/>
                <w:bCs/>
                <w:sz w:val="24"/>
                <w:highlight w:val="none"/>
                <w:lang w:val="zh-CN"/>
              </w:rPr>
            </w:pPr>
          </w:p>
        </w:tc>
      </w:tr>
      <w:tr>
        <w:tblPrEx>
          <w:tblCellMar>
            <w:top w:w="0" w:type="dxa"/>
            <w:left w:w="108" w:type="dxa"/>
            <w:bottom w:w="0" w:type="dxa"/>
            <w:right w:w="108" w:type="dxa"/>
          </w:tblCellMar>
        </w:tblPrEx>
        <w:trPr>
          <w:trHeight w:val="971" w:hRule="atLeast"/>
          <w:jc w:val="center"/>
        </w:trPr>
        <w:tc>
          <w:tcPr>
            <w:tcW w:w="2243" w:type="dxa"/>
            <w:gridSpan w:val="3"/>
            <w:tcBorders>
              <w:top w:val="single" w:color="auto" w:sz="8" w:space="0"/>
              <w:left w:val="single" w:color="auto" w:sz="8" w:space="0"/>
              <w:bottom w:val="single" w:color="auto" w:sz="8" w:space="0"/>
              <w:right w:val="single" w:color="000000" w:sz="8" w:space="0"/>
            </w:tcBorders>
            <w:noWrap w:val="0"/>
            <w:vAlign w:val="center"/>
          </w:tcPr>
          <w:p>
            <w:pPr>
              <w:spacing w:line="360" w:lineRule="auto"/>
              <w:jc w:val="center"/>
              <w:rPr>
                <w:rFonts w:hint="eastAsia" w:ascii="Arial" w:hAnsi="Arial" w:cs="Arial"/>
                <w:bCs/>
                <w:sz w:val="24"/>
                <w:highlight w:val="none"/>
                <w:lang w:val="zh-CN"/>
              </w:rPr>
            </w:pPr>
            <w:r>
              <w:rPr>
                <w:rFonts w:hint="eastAsia" w:ascii="Arial" w:hAnsi="Arial" w:cs="Arial"/>
                <w:bCs/>
                <w:sz w:val="24"/>
                <w:highlight w:val="none"/>
                <w:lang w:val="zh-CN"/>
              </w:rPr>
              <w:t>投标总价</w:t>
            </w:r>
          </w:p>
        </w:tc>
        <w:tc>
          <w:tcPr>
            <w:tcW w:w="7793" w:type="dxa"/>
            <w:gridSpan w:val="5"/>
            <w:tcBorders>
              <w:top w:val="single" w:color="auto" w:sz="8" w:space="0"/>
              <w:left w:val="nil"/>
              <w:bottom w:val="single" w:color="auto" w:sz="8" w:space="0"/>
              <w:right w:val="single" w:color="000000" w:sz="8" w:space="0"/>
            </w:tcBorders>
            <w:noWrap w:val="0"/>
            <w:vAlign w:val="center"/>
          </w:tcPr>
          <w:p>
            <w:pPr>
              <w:spacing w:line="360" w:lineRule="auto"/>
              <w:rPr>
                <w:rFonts w:ascii="Arial" w:hAnsi="Arial" w:cs="Arial"/>
                <w:bCs/>
                <w:sz w:val="24"/>
                <w:highlight w:val="none"/>
                <w:lang w:val="zh-CN"/>
              </w:rPr>
            </w:pPr>
            <w:r>
              <w:rPr>
                <w:rFonts w:hint="eastAsia" w:ascii="Arial" w:hAnsi="Arial" w:cs="Arial"/>
                <w:bCs/>
                <w:sz w:val="24"/>
                <w:highlight w:val="none"/>
                <w:lang w:val="zh-CN"/>
              </w:rPr>
              <w:t>大写：</w:t>
            </w:r>
          </w:p>
          <w:p>
            <w:pPr>
              <w:spacing w:line="360" w:lineRule="auto"/>
              <w:rPr>
                <w:rFonts w:hint="eastAsia" w:ascii="Arial" w:hAnsi="Arial" w:cs="Arial"/>
                <w:bCs/>
                <w:sz w:val="24"/>
                <w:highlight w:val="none"/>
                <w:lang w:val="zh-CN"/>
              </w:rPr>
            </w:pPr>
          </w:p>
          <w:p>
            <w:pPr>
              <w:spacing w:line="360" w:lineRule="auto"/>
              <w:rPr>
                <w:rFonts w:hint="eastAsia" w:ascii="Arial" w:hAnsi="Arial" w:cs="Arial"/>
                <w:bCs/>
                <w:sz w:val="24"/>
                <w:highlight w:val="none"/>
                <w:lang w:val="zh-CN"/>
              </w:rPr>
            </w:pPr>
            <w:r>
              <w:rPr>
                <w:rFonts w:hint="eastAsia" w:ascii="Arial" w:hAnsi="Arial" w:cs="Arial"/>
                <w:bCs/>
                <w:sz w:val="24"/>
                <w:highlight w:val="none"/>
                <w:lang w:val="zh-CN"/>
              </w:rPr>
              <w:t>小写：</w:t>
            </w:r>
          </w:p>
        </w:tc>
      </w:tr>
    </w:tbl>
    <w:p>
      <w:pPr>
        <w:autoSpaceDE w:val="0"/>
        <w:autoSpaceDN w:val="0"/>
        <w:spacing w:line="360" w:lineRule="auto"/>
        <w:rPr>
          <w:rFonts w:hint="eastAsia" w:ascii="楷体" w:hAnsi="楷体" w:eastAsia="楷体" w:cs="Arial"/>
          <w:b/>
          <w:bCs/>
          <w:szCs w:val="21"/>
          <w:highlight w:val="none"/>
          <w:lang w:val="zh-CN"/>
        </w:rPr>
      </w:pPr>
    </w:p>
    <w:p>
      <w:pPr>
        <w:spacing w:line="360" w:lineRule="auto"/>
        <w:rPr>
          <w:rFonts w:hint="eastAsia" w:ascii="Arial" w:hAnsi="Arial" w:cs="Arial"/>
          <w:bCs/>
          <w:sz w:val="24"/>
          <w:highlight w:val="none"/>
          <w:lang w:val="zh-CN"/>
        </w:rPr>
      </w:pPr>
      <w:r>
        <w:rPr>
          <w:rFonts w:hint="eastAsia" w:ascii="Arial" w:hAnsi="Arial" w:cs="Arial"/>
          <w:bCs/>
          <w:sz w:val="24"/>
          <w:highlight w:val="none"/>
          <w:lang w:val="zh-CN"/>
        </w:rPr>
        <w:t>注：“分项报价表”须为打印版，手写无效。</w:t>
      </w:r>
    </w:p>
    <w:p>
      <w:pPr>
        <w:tabs>
          <w:tab w:val="left" w:pos="168"/>
        </w:tabs>
        <w:adjustRightInd w:val="0"/>
        <w:spacing w:line="360" w:lineRule="auto"/>
        <w:jc w:val="both"/>
        <w:textAlignment w:val="baseline"/>
        <w:rPr>
          <w:rFonts w:hint="eastAsia" w:ascii="宋体" w:hAnsi="宋体" w:eastAsia="宋体"/>
          <w:bCs/>
          <w:sz w:val="24"/>
          <w:szCs w:val="28"/>
          <w:highlight w:val="none"/>
          <w:lang w:eastAsia="zh-CN"/>
        </w:rPr>
      </w:pPr>
    </w:p>
    <w:p>
      <w:pPr>
        <w:tabs>
          <w:tab w:val="left" w:pos="168"/>
        </w:tabs>
        <w:adjustRightInd w:val="0"/>
        <w:spacing w:line="360" w:lineRule="auto"/>
        <w:jc w:val="right"/>
        <w:textAlignment w:val="baseline"/>
        <w:rPr>
          <w:rFonts w:hint="eastAsia" w:ascii="宋体" w:hAnsi="宋体"/>
          <w:bCs/>
          <w:sz w:val="24"/>
          <w:szCs w:val="28"/>
          <w:highlight w:val="none"/>
        </w:rPr>
      </w:pPr>
    </w:p>
    <w:p>
      <w:pPr>
        <w:tabs>
          <w:tab w:val="left" w:pos="168"/>
        </w:tabs>
        <w:adjustRightInd w:val="0"/>
        <w:spacing w:line="360" w:lineRule="auto"/>
        <w:jc w:val="right"/>
        <w:textAlignment w:val="baseline"/>
        <w:rPr>
          <w:rFonts w:hint="eastAsia" w:ascii="宋体" w:hAnsi="宋体"/>
          <w:bCs/>
          <w:sz w:val="24"/>
          <w:szCs w:val="28"/>
          <w:highlight w:val="none"/>
        </w:rPr>
      </w:pP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 xml:space="preserve">磋商供应商：     </w:t>
      </w:r>
      <w:r>
        <w:rPr>
          <w:rFonts w:ascii="宋体" w:hAnsi="宋体"/>
          <w:bCs/>
          <w:sz w:val="24"/>
          <w:szCs w:val="28"/>
          <w:highlight w:val="none"/>
        </w:rPr>
        <w:t xml:space="preserve">      </w:t>
      </w:r>
      <w:r>
        <w:rPr>
          <w:rFonts w:hint="eastAsia" w:ascii="宋体" w:hAnsi="宋体"/>
          <w:bCs/>
          <w:sz w:val="24"/>
          <w:szCs w:val="28"/>
          <w:highlight w:val="none"/>
        </w:rPr>
        <w:t xml:space="preserve">        （公章）</w:t>
      </w:r>
    </w:p>
    <w:p>
      <w:pPr>
        <w:tabs>
          <w:tab w:val="left" w:pos="168"/>
        </w:tabs>
        <w:adjustRightInd w:val="0"/>
        <w:spacing w:line="360" w:lineRule="auto"/>
        <w:jc w:val="right"/>
        <w:textAlignment w:val="baseline"/>
        <w:rPr>
          <w:rFonts w:hint="eastAsia" w:ascii="宋体" w:hAnsi="宋体"/>
          <w:bCs/>
          <w:sz w:val="24"/>
          <w:szCs w:val="28"/>
          <w:highlight w:val="none"/>
        </w:rPr>
      </w:pPr>
      <w:r>
        <w:rPr>
          <w:rFonts w:hint="eastAsia" w:ascii="宋体" w:hAnsi="宋体"/>
          <w:bCs/>
          <w:sz w:val="24"/>
          <w:szCs w:val="28"/>
          <w:highlight w:val="none"/>
        </w:rPr>
        <w:t>委托代理人：                 （签字）</w:t>
      </w:r>
    </w:p>
    <w:p>
      <w:pPr>
        <w:tabs>
          <w:tab w:val="left" w:pos="168"/>
        </w:tabs>
        <w:adjustRightInd w:val="0"/>
        <w:spacing w:line="360" w:lineRule="auto"/>
        <w:jc w:val="center"/>
        <w:textAlignment w:val="baseline"/>
        <w:rPr>
          <w:rFonts w:ascii="宋体" w:hAnsi="宋体"/>
          <w:bCs/>
          <w:sz w:val="24"/>
          <w:szCs w:val="28"/>
          <w:highlight w:val="none"/>
        </w:rPr>
      </w:pPr>
      <w:r>
        <w:rPr>
          <w:rFonts w:hint="eastAsia" w:ascii="宋体" w:hAnsi="宋体"/>
          <w:bCs/>
          <w:sz w:val="24"/>
          <w:szCs w:val="28"/>
          <w:highlight w:val="none"/>
          <w:lang w:val="en-US" w:eastAsia="zh-CN"/>
        </w:rPr>
        <w:t xml:space="preserve">                                               </w:t>
      </w:r>
      <w:r>
        <w:rPr>
          <w:rFonts w:hint="eastAsia" w:ascii="宋体" w:hAnsi="宋体"/>
          <w:bCs/>
          <w:sz w:val="24"/>
          <w:szCs w:val="28"/>
          <w:highlight w:val="none"/>
        </w:rPr>
        <w:t xml:space="preserve">日期：  </w:t>
      </w:r>
      <w:r>
        <w:rPr>
          <w:rFonts w:ascii="宋体" w:hAnsi="宋体"/>
          <w:bCs/>
          <w:sz w:val="24"/>
          <w:szCs w:val="28"/>
          <w:highlight w:val="none"/>
        </w:rPr>
        <w:t xml:space="preserve">      </w:t>
      </w:r>
      <w:r>
        <w:rPr>
          <w:rFonts w:hint="eastAsia" w:ascii="宋体" w:hAnsi="宋体"/>
          <w:bCs/>
          <w:sz w:val="24"/>
          <w:szCs w:val="28"/>
          <w:highlight w:val="none"/>
        </w:rPr>
        <w:t xml:space="preserve">  年   月   日</w:t>
      </w:r>
    </w:p>
    <w:p>
      <w:pPr>
        <w:pStyle w:val="4"/>
        <w:numPr>
          <w:ilvl w:val="0"/>
          <w:numId w:val="0"/>
        </w:numPr>
        <w:tabs>
          <w:tab w:val="left" w:pos="425"/>
          <w:tab w:val="left" w:pos="720"/>
        </w:tabs>
        <w:rPr>
          <w:rFonts w:hAnsi="宋体" w:cs="宋体"/>
          <w:bCs/>
          <w:sz w:val="24"/>
          <w:highlight w:val="none"/>
        </w:rPr>
      </w:pPr>
      <w:r>
        <w:rPr>
          <w:rFonts w:hAnsi="宋体"/>
          <w:bCs/>
          <w:sz w:val="24"/>
          <w:szCs w:val="28"/>
          <w:highlight w:val="none"/>
        </w:rPr>
        <w:t xml:space="preserve"> </w:t>
      </w:r>
      <w:bookmarkStart w:id="225" w:name="_Toc15166"/>
      <w:bookmarkStart w:id="226" w:name="_Toc535422010"/>
      <w:bookmarkStart w:id="227" w:name="_Toc24154_WPSOffice_Level1"/>
      <w:bookmarkStart w:id="228" w:name="_Toc20510"/>
      <w:bookmarkStart w:id="229" w:name="_Toc25742"/>
      <w:bookmarkStart w:id="230" w:name="_Toc444715742"/>
      <w:r>
        <w:rPr>
          <w:rFonts w:hint="eastAsia" w:hAnsi="宋体"/>
          <w:b/>
          <w:sz w:val="32"/>
          <w:highlight w:val="none"/>
          <w:lang w:val="zh-CN"/>
        </w:rPr>
        <w:t>格式</w:t>
      </w:r>
      <w:r>
        <w:rPr>
          <w:rFonts w:hint="eastAsia" w:hAnsi="宋体"/>
          <w:b/>
          <w:sz w:val="32"/>
          <w:highlight w:val="none"/>
          <w:lang w:val="zh-CN" w:eastAsia="zh-CN"/>
        </w:rPr>
        <w:t>14</w:t>
      </w:r>
      <w:r>
        <w:rPr>
          <w:rFonts w:hint="eastAsia" w:hAnsi="宋体"/>
          <w:b/>
          <w:sz w:val="32"/>
          <w:highlight w:val="none"/>
          <w:lang w:val="zh-CN"/>
        </w:rPr>
        <w:t>：磋商</w:t>
      </w:r>
      <w:r>
        <w:rPr>
          <w:rFonts w:hint="eastAsia" w:hAnsi="宋体"/>
          <w:b/>
          <w:sz w:val="32"/>
          <w:highlight w:val="none"/>
          <w:lang w:val="zh-CN" w:eastAsia="zh-CN"/>
        </w:rPr>
        <w:t>服务</w:t>
      </w:r>
      <w:r>
        <w:rPr>
          <w:rFonts w:hint="eastAsia" w:hAnsi="宋体"/>
          <w:b/>
          <w:sz w:val="32"/>
          <w:highlight w:val="none"/>
          <w:lang w:val="zh-CN"/>
        </w:rPr>
        <w:t>相关资料</w:t>
      </w:r>
      <w:bookmarkEnd w:id="225"/>
      <w:bookmarkEnd w:id="226"/>
      <w:bookmarkEnd w:id="227"/>
    </w:p>
    <w:p>
      <w:pPr>
        <w:spacing w:line="360" w:lineRule="auto"/>
        <w:rPr>
          <w:rFonts w:ascii="宋体" w:hAnsi="宋体"/>
          <w:b/>
          <w:bCs/>
          <w:kern w:val="28"/>
          <w:sz w:val="32"/>
          <w:szCs w:val="32"/>
          <w:highlight w:val="none"/>
          <w:lang w:val="zh-CN"/>
        </w:rPr>
      </w:pPr>
    </w:p>
    <w:p>
      <w:pPr>
        <w:autoSpaceDE w:val="0"/>
        <w:autoSpaceDN w:val="0"/>
        <w:adjustRightInd w:val="0"/>
        <w:spacing w:line="360" w:lineRule="auto"/>
        <w:jc w:val="center"/>
        <w:rPr>
          <w:rFonts w:ascii="宋体" w:hAnsi="宋体" w:cs="Arial"/>
          <w:bCs/>
          <w:sz w:val="40"/>
          <w:szCs w:val="36"/>
          <w:highlight w:val="none"/>
          <w:lang w:val="zh-CN"/>
        </w:rPr>
      </w:pPr>
      <w:bookmarkStart w:id="231" w:name="_Toc16896_WPSOffice_Level2"/>
      <w:r>
        <w:rPr>
          <w:rFonts w:hint="eastAsia" w:ascii="宋体" w:hAnsi="宋体" w:cs="宋体"/>
          <w:b/>
          <w:bCs/>
          <w:kern w:val="0"/>
          <w:sz w:val="32"/>
          <w:szCs w:val="30"/>
          <w:highlight w:val="none"/>
          <w:lang w:val="zh-CN"/>
        </w:rPr>
        <w:t>磋商服务</w:t>
      </w:r>
      <w:r>
        <w:rPr>
          <w:rFonts w:ascii="宋体" w:hAnsi="宋体" w:cs="宋体"/>
          <w:b/>
          <w:bCs/>
          <w:kern w:val="0"/>
          <w:sz w:val="32"/>
          <w:szCs w:val="30"/>
          <w:highlight w:val="none"/>
          <w:lang w:val="zh-CN"/>
        </w:rPr>
        <w:t>相关资料</w:t>
      </w:r>
      <w:bookmarkEnd w:id="231"/>
    </w:p>
    <w:p>
      <w:pPr>
        <w:tabs>
          <w:tab w:val="left" w:pos="168"/>
        </w:tabs>
        <w:spacing w:line="360" w:lineRule="auto"/>
        <w:ind w:firstLine="480" w:firstLineChars="200"/>
        <w:textAlignment w:val="baseline"/>
        <w:rPr>
          <w:rFonts w:ascii="宋体" w:hAnsi="宋体" w:cs="宋体"/>
          <w:kern w:val="0"/>
          <w:sz w:val="24"/>
          <w:highlight w:val="none"/>
          <w:lang w:val="zh-CN"/>
        </w:rPr>
      </w:pPr>
      <w:r>
        <w:rPr>
          <w:rFonts w:hint="eastAsia" w:ascii="宋体" w:hAnsi="宋体" w:cs="宋体"/>
          <w:kern w:val="0"/>
          <w:sz w:val="24"/>
          <w:highlight w:val="none"/>
          <w:lang w:val="zh-CN"/>
        </w:rPr>
        <w:t>根据采购项目内容，提供磋商服务相关资料；扫描（或复印）件应全面、完整、清晰并加盖磋商供应商公章。</w:t>
      </w:r>
    </w:p>
    <w:bookmarkEnd w:id="228"/>
    <w:bookmarkEnd w:id="229"/>
    <w:bookmarkEnd w:id="230"/>
    <w:p>
      <w:pPr>
        <w:spacing w:line="360" w:lineRule="auto"/>
        <w:ind w:firstLine="569" w:firstLineChars="177"/>
        <w:rPr>
          <w:rFonts w:hAnsi="宋体"/>
          <w:b/>
          <w:sz w:val="32"/>
          <w:highlight w:val="none"/>
          <w:lang w:val="zh-CN"/>
        </w:rPr>
      </w:pPr>
    </w:p>
    <w:p>
      <w:pPr>
        <w:pStyle w:val="4"/>
        <w:numPr>
          <w:ilvl w:val="0"/>
          <w:numId w:val="0"/>
        </w:numPr>
        <w:tabs>
          <w:tab w:val="left" w:pos="425"/>
          <w:tab w:val="left" w:pos="720"/>
        </w:tabs>
        <w:ind w:left="709" w:hanging="709"/>
        <w:rPr>
          <w:rFonts w:hAnsi="宋体" w:cs="宋体"/>
          <w:highlight w:val="none"/>
        </w:rPr>
      </w:pPr>
      <w:r>
        <w:rPr>
          <w:rFonts w:hAnsi="宋体"/>
          <w:bCs/>
          <w:sz w:val="24"/>
          <w:szCs w:val="28"/>
          <w:highlight w:val="none"/>
        </w:rPr>
        <w:br w:type="page"/>
      </w:r>
      <w:bookmarkStart w:id="232" w:name="_Toc26502"/>
      <w:bookmarkStart w:id="233" w:name="_Toc18383_WPSOffice_Level1"/>
      <w:bookmarkStart w:id="234" w:name="_Toc535422011"/>
      <w:r>
        <w:rPr>
          <w:rFonts w:hint="eastAsia" w:hAnsi="宋体"/>
          <w:b/>
          <w:sz w:val="32"/>
          <w:highlight w:val="none"/>
          <w:lang w:val="zh-CN"/>
        </w:rPr>
        <w:t>格式</w:t>
      </w:r>
      <w:r>
        <w:rPr>
          <w:rFonts w:hint="eastAsia" w:hAnsi="宋体"/>
          <w:b/>
          <w:sz w:val="32"/>
          <w:highlight w:val="none"/>
          <w:lang w:val="zh-CN" w:eastAsia="zh-CN"/>
        </w:rPr>
        <w:t>15</w:t>
      </w:r>
      <w:r>
        <w:rPr>
          <w:rFonts w:hint="eastAsia" w:hAnsi="宋体"/>
          <w:b/>
          <w:sz w:val="32"/>
          <w:highlight w:val="none"/>
          <w:lang w:val="zh-CN"/>
        </w:rPr>
        <w:t>、磋商供应商的类似业绩证明材料</w:t>
      </w:r>
      <w:bookmarkEnd w:id="232"/>
      <w:bookmarkEnd w:id="233"/>
      <w:bookmarkEnd w:id="234"/>
    </w:p>
    <w:p>
      <w:pPr>
        <w:autoSpaceDE w:val="0"/>
        <w:autoSpaceDN w:val="0"/>
        <w:adjustRightInd w:val="0"/>
        <w:spacing w:line="360" w:lineRule="auto"/>
        <w:rPr>
          <w:rFonts w:ascii="宋体" w:hAnsi="宋体" w:cs="宋体"/>
          <w:kern w:val="0"/>
          <w:sz w:val="28"/>
          <w:highlight w:val="none"/>
          <w:lang w:val="zh-CN"/>
        </w:rPr>
      </w:pPr>
    </w:p>
    <w:p>
      <w:pPr>
        <w:autoSpaceDE w:val="0"/>
        <w:autoSpaceDN w:val="0"/>
        <w:adjustRightInd w:val="0"/>
        <w:spacing w:line="360" w:lineRule="auto"/>
        <w:jc w:val="center"/>
        <w:rPr>
          <w:rFonts w:ascii="宋体" w:hAnsi="宋体" w:cs="宋体"/>
          <w:b/>
          <w:bCs/>
          <w:kern w:val="0"/>
          <w:sz w:val="32"/>
          <w:szCs w:val="30"/>
          <w:highlight w:val="none"/>
          <w:lang w:val="zh-CN"/>
        </w:rPr>
      </w:pPr>
      <w:bookmarkStart w:id="235" w:name="_Toc13964_WPSOffice_Level2"/>
      <w:r>
        <w:rPr>
          <w:rFonts w:hint="eastAsia" w:ascii="宋体" w:hAnsi="宋体" w:cs="宋体"/>
          <w:b/>
          <w:bCs/>
          <w:kern w:val="0"/>
          <w:sz w:val="32"/>
          <w:szCs w:val="30"/>
          <w:highlight w:val="none"/>
          <w:lang w:val="zh-CN"/>
        </w:rPr>
        <w:t>磋商供应商的类似业绩证明材料</w:t>
      </w:r>
      <w:bookmarkEnd w:id="235"/>
    </w:p>
    <w:p>
      <w:pPr>
        <w:autoSpaceDE w:val="0"/>
        <w:autoSpaceDN w:val="0"/>
        <w:adjustRightInd w:val="0"/>
        <w:spacing w:line="360" w:lineRule="auto"/>
        <w:rPr>
          <w:rFonts w:hint="eastAsia" w:ascii="宋体" w:hAnsi="宋体" w:cs="宋体"/>
          <w:kern w:val="0"/>
          <w:sz w:val="24"/>
          <w:highlight w:val="none"/>
          <w:lang w:val="zh-CN"/>
        </w:rPr>
      </w:pPr>
    </w:p>
    <w:p>
      <w:pPr>
        <w:autoSpaceDE w:val="0"/>
        <w:autoSpaceDN w:val="0"/>
        <w:adjustRightInd w:val="0"/>
        <w:spacing w:line="360" w:lineRule="auto"/>
        <w:ind w:firstLine="480"/>
        <w:rPr>
          <w:rFonts w:hint="eastAsia" w:ascii="宋体" w:hAnsi="宋体" w:cs="宋体" w:eastAsiaTheme="minorEastAsia"/>
          <w:kern w:val="0"/>
          <w:sz w:val="24"/>
          <w:highlight w:val="none"/>
          <w:lang w:val="zh-CN" w:eastAsia="zh-CN"/>
        </w:rPr>
      </w:pPr>
      <w:r>
        <w:rPr>
          <w:rFonts w:hint="eastAsia" w:ascii="宋体" w:hAnsi="宋体" w:cs="宋体"/>
          <w:color w:val="000000"/>
          <w:sz w:val="24"/>
          <w:szCs w:val="21"/>
          <w:highlight w:val="none"/>
        </w:rPr>
        <w:t>提供</w:t>
      </w:r>
      <w:r>
        <w:rPr>
          <w:rFonts w:hint="eastAsia" w:ascii="宋体" w:hAnsi="宋体" w:cs="宋体"/>
          <w:color w:val="000000"/>
          <w:sz w:val="24"/>
          <w:szCs w:val="21"/>
          <w:highlight w:val="none"/>
          <w:lang w:val="en-US" w:eastAsia="zh-CN"/>
        </w:rPr>
        <w:t>2021</w:t>
      </w:r>
      <w:r>
        <w:rPr>
          <w:rFonts w:hint="eastAsia" w:ascii="宋体" w:hAnsi="宋体" w:cs="宋体"/>
          <w:color w:val="000000"/>
          <w:sz w:val="24"/>
          <w:szCs w:val="21"/>
          <w:highlight w:val="none"/>
        </w:rPr>
        <w:t>年以来的磋商供应商类似业绩证明材料</w:t>
      </w:r>
      <w:r>
        <w:rPr>
          <w:rFonts w:hint="eastAsia" w:ascii="宋体" w:hAnsi="宋体" w:cs="宋体"/>
          <w:color w:val="000000"/>
          <w:sz w:val="24"/>
          <w:szCs w:val="21"/>
          <w:highlight w:val="none"/>
          <w:lang w:val="en-US" w:eastAsia="zh-CN"/>
        </w:rPr>
        <w:t xml:space="preserve">    </w:t>
      </w:r>
      <w:r>
        <w:rPr>
          <w:rFonts w:hint="eastAsia" w:ascii="宋体" w:hAnsi="宋体" w:cs="宋体"/>
          <w:color w:val="000000"/>
          <w:sz w:val="24"/>
          <w:szCs w:val="21"/>
          <w:highlight w:val="none"/>
        </w:rPr>
        <w:t>注：以中标通知书或合同复印件为准，合同提供包含合同首页、标的及金额所在页、签字盖章页的扫描（或复印）件。</w:t>
      </w:r>
    </w:p>
    <w:p>
      <w:pPr>
        <w:pStyle w:val="3"/>
        <w:keepNext/>
        <w:keepLines/>
        <w:numPr>
          <w:ilvl w:val="0"/>
          <w:numId w:val="0"/>
        </w:numPr>
        <w:tabs>
          <w:tab w:val="left" w:pos="425"/>
        </w:tabs>
        <w:snapToGrid/>
        <w:jc w:val="left"/>
        <w:rPr>
          <w:rFonts w:hAnsi="宋体"/>
          <w:kern w:val="0"/>
          <w:sz w:val="32"/>
          <w:szCs w:val="32"/>
          <w:highlight w:val="none"/>
        </w:rPr>
      </w:pPr>
      <w:r>
        <w:rPr>
          <w:rFonts w:hAnsi="宋体"/>
          <w:bCs/>
          <w:sz w:val="24"/>
          <w:szCs w:val="28"/>
          <w:highlight w:val="none"/>
        </w:rPr>
        <w:br w:type="page"/>
      </w:r>
      <w:bookmarkStart w:id="236" w:name="_Toc535422012"/>
      <w:bookmarkStart w:id="237" w:name="_Toc29319_WPSOffice_Level1"/>
      <w:bookmarkStart w:id="238" w:name="_Toc31976"/>
      <w:r>
        <w:rPr>
          <w:rFonts w:hint="eastAsia" w:hAnsi="宋体"/>
          <w:b/>
          <w:sz w:val="32"/>
          <w:highlight w:val="none"/>
          <w:lang w:val="zh-CN"/>
        </w:rPr>
        <w:t>格式</w:t>
      </w:r>
      <w:r>
        <w:rPr>
          <w:rFonts w:hint="eastAsia" w:hAnsi="宋体"/>
          <w:b/>
          <w:sz w:val="32"/>
          <w:highlight w:val="none"/>
          <w:lang w:val="zh-CN" w:eastAsia="zh-CN"/>
        </w:rPr>
        <w:t>16</w:t>
      </w:r>
      <w:r>
        <w:rPr>
          <w:rFonts w:hint="eastAsia" w:hAnsi="宋体"/>
          <w:b/>
          <w:sz w:val="32"/>
          <w:highlight w:val="none"/>
          <w:lang w:val="zh-CN"/>
        </w:rPr>
        <w:t>、</w:t>
      </w:r>
      <w:bookmarkStart w:id="239" w:name="_Toc488314153"/>
      <w:bookmarkStart w:id="240" w:name="_Toc459377894"/>
      <w:bookmarkStart w:id="241" w:name="_Toc479326333"/>
      <w:r>
        <w:rPr>
          <w:rFonts w:hint="eastAsia" w:hAnsi="宋体"/>
          <w:b/>
          <w:sz w:val="32"/>
          <w:highlight w:val="none"/>
          <w:lang w:val="zh-CN"/>
        </w:rPr>
        <w:t>中小微型企业声明函</w:t>
      </w:r>
      <w:bookmarkEnd w:id="236"/>
      <w:bookmarkEnd w:id="237"/>
      <w:bookmarkEnd w:id="238"/>
      <w:bookmarkEnd w:id="239"/>
      <w:bookmarkEnd w:id="240"/>
      <w:bookmarkEnd w:id="241"/>
    </w:p>
    <w:p>
      <w:pPr>
        <w:spacing w:line="360" w:lineRule="auto"/>
        <w:rPr>
          <w:rFonts w:hint="eastAsia" w:ascii="宋体" w:hAnsi="宋体" w:cs="Arial"/>
          <w:highlight w:val="none"/>
        </w:rPr>
      </w:pPr>
    </w:p>
    <w:p>
      <w:pPr>
        <w:autoSpaceDE w:val="0"/>
        <w:autoSpaceDN w:val="0"/>
        <w:spacing w:line="360" w:lineRule="auto"/>
        <w:jc w:val="center"/>
        <w:rPr>
          <w:rFonts w:hint="eastAsia" w:ascii="宋体" w:hAnsi="宋体" w:cs="宋体"/>
          <w:b/>
          <w:bCs/>
          <w:sz w:val="32"/>
          <w:szCs w:val="30"/>
          <w:highlight w:val="none"/>
          <w:lang w:val="zh-CN"/>
        </w:rPr>
      </w:pPr>
      <w:bookmarkStart w:id="242" w:name="_Toc19443_WPSOffice_Level2"/>
      <w:r>
        <w:rPr>
          <w:rFonts w:hint="eastAsia" w:ascii="宋体" w:hAnsi="宋体" w:cs="宋体"/>
          <w:b/>
          <w:bCs/>
          <w:sz w:val="32"/>
          <w:szCs w:val="30"/>
          <w:highlight w:val="none"/>
          <w:lang w:val="zh-CN"/>
        </w:rPr>
        <w:t>中小微型企业声明函</w:t>
      </w:r>
      <w:bookmarkEnd w:id="242"/>
    </w:p>
    <w:p>
      <w:pPr>
        <w:adjustRightInd w:val="0"/>
        <w:spacing w:line="360" w:lineRule="auto"/>
        <w:ind w:left="482" w:hanging="482" w:hangingChars="200"/>
        <w:textAlignment w:val="baseline"/>
        <w:rPr>
          <w:rFonts w:hint="default" w:ascii="宋体" w:hAnsi="宋体" w:eastAsiaTheme="minorEastAsia"/>
          <w:b/>
          <w:color w:val="auto"/>
          <w:sz w:val="24"/>
          <w:highlight w:val="none"/>
          <w:u w:val="single"/>
          <w:lang w:val="en-US" w:eastAsia="zh-CN"/>
        </w:rPr>
      </w:pPr>
      <w:r>
        <w:rPr>
          <w:rFonts w:hint="eastAsia" w:ascii="宋体" w:hAnsi="宋体"/>
          <w:b/>
          <w:color w:val="auto"/>
          <w:sz w:val="24"/>
          <w:highlight w:val="none"/>
        </w:rPr>
        <w:t>致：</w:t>
      </w:r>
      <w:r>
        <w:rPr>
          <w:rFonts w:hint="eastAsia" w:ascii="宋体" w:hAnsi="宋体"/>
          <w:b/>
          <w:color w:val="auto"/>
          <w:sz w:val="24"/>
          <w:highlight w:val="none"/>
          <w:u w:val="single"/>
          <w:lang w:val="en-US" w:eastAsia="zh-CN"/>
        </w:rPr>
        <w:t xml:space="preserve">（采购人或代理机构） </w:t>
      </w:r>
    </w:p>
    <w:p>
      <w:pPr>
        <w:spacing w:line="360" w:lineRule="auto"/>
        <w:rPr>
          <w:rFonts w:hint="eastAsia" w:ascii="宋体" w:hAnsi="宋体" w:cs="宋体"/>
          <w:highlight w:val="none"/>
          <w:lang w:val="zh-CN"/>
        </w:rPr>
      </w:pPr>
    </w:p>
    <w:p>
      <w:pPr>
        <w:autoSpaceDE w:val="0"/>
        <w:autoSpaceDN w:val="0"/>
        <w:spacing w:line="360" w:lineRule="auto"/>
        <w:ind w:firstLine="480" w:firstLineChars="200"/>
        <w:rPr>
          <w:rFonts w:hint="eastAsia" w:ascii="宋体" w:hAnsi="宋体" w:cs="宋体"/>
          <w:sz w:val="24"/>
          <w:highlight w:val="none"/>
        </w:rPr>
      </w:pPr>
      <w:r>
        <w:rPr>
          <w:rFonts w:hint="eastAsia" w:ascii="宋体" w:hAnsi="宋体" w:cs="宋体"/>
          <w:sz w:val="24"/>
          <w:highlight w:val="none"/>
        </w:rPr>
        <w:t>本公司郑重声明，根据《政府采购促进中小企业发展暂行办法》（财库〔2011〕181号）的规定，本公司为______（请填写：中型、小型、微型）企业。即，本公司满足以下条件：</w:t>
      </w:r>
    </w:p>
    <w:p>
      <w:pPr>
        <w:numPr>
          <w:ilvl w:val="0"/>
          <w:numId w:val="35"/>
        </w:numPr>
        <w:autoSpaceDE w:val="0"/>
        <w:autoSpaceDN w:val="0"/>
        <w:spacing w:line="360" w:lineRule="auto"/>
        <w:rPr>
          <w:rFonts w:hint="eastAsia" w:ascii="宋体" w:hAnsi="宋体" w:cs="宋体"/>
          <w:sz w:val="24"/>
          <w:highlight w:val="none"/>
        </w:rPr>
      </w:pPr>
      <w:r>
        <w:rPr>
          <w:rFonts w:hint="eastAsia" w:ascii="宋体" w:hAnsi="宋体" w:cs="宋体"/>
          <w:sz w:val="24"/>
          <w:highlight w:val="none"/>
        </w:rPr>
        <w:t xml:space="preserve">根据《工业和信息化部、国家统计局、国家发展和改革委员会、财政部关于印发中小企业划型标准规定的通知》（工信部联企业〔2011〕300号）规定的划分标准，本公司为     （请填写：中型、小型、微型）企业  </w:t>
      </w:r>
    </w:p>
    <w:p>
      <w:pPr>
        <w:numPr>
          <w:ilvl w:val="0"/>
          <w:numId w:val="35"/>
        </w:numPr>
        <w:autoSpaceDE w:val="0"/>
        <w:autoSpaceDN w:val="0"/>
        <w:spacing w:line="360" w:lineRule="auto"/>
        <w:rPr>
          <w:rFonts w:hint="eastAsia" w:ascii="宋体" w:hAnsi="宋体" w:cs="宋体"/>
          <w:sz w:val="24"/>
          <w:highlight w:val="none"/>
        </w:rPr>
      </w:pPr>
      <w:r>
        <w:rPr>
          <w:rFonts w:hint="eastAsia" w:ascii="宋体" w:hAnsi="宋体" w:cs="宋体"/>
          <w:sz w:val="24"/>
          <w:highlight w:val="none"/>
        </w:rPr>
        <w:t>本公司参加__________________单位的________________________项目采购活动提供本企业制造的货物，由本企业承担工程、提供服务，或者提供其他______（请填写：中型、小型、微型）企业制造的货物。本条所称货物不包括使用大型企业注册商标的货物。</w:t>
      </w:r>
    </w:p>
    <w:p>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本公司对上述声明的真实性负责。如有虚假，将依法承担相应责任。</w:t>
      </w:r>
    </w:p>
    <w:p>
      <w:pPr>
        <w:spacing w:line="360" w:lineRule="auto"/>
        <w:ind w:firstLine="480" w:firstLineChars="200"/>
        <w:rPr>
          <w:rFonts w:hint="eastAsia" w:ascii="宋体" w:hAnsi="宋体" w:cs="宋体"/>
          <w:sz w:val="24"/>
          <w:highlight w:val="none"/>
        </w:rPr>
      </w:pPr>
    </w:p>
    <w:p>
      <w:pPr>
        <w:spacing w:line="360" w:lineRule="auto"/>
        <w:ind w:firstLine="480" w:firstLineChars="200"/>
        <w:rPr>
          <w:rFonts w:hint="eastAsia" w:ascii="宋体" w:hAnsi="宋体" w:cs="宋体"/>
          <w:sz w:val="24"/>
          <w:highlight w:val="none"/>
        </w:rPr>
      </w:pPr>
    </w:p>
    <w:p>
      <w:pPr>
        <w:spacing w:line="360" w:lineRule="auto"/>
        <w:ind w:firstLine="480" w:firstLineChars="200"/>
        <w:rPr>
          <w:rFonts w:hint="eastAsia" w:ascii="宋体" w:hAnsi="宋体" w:cs="宋体"/>
          <w:sz w:val="24"/>
          <w:highlight w:val="none"/>
        </w:rPr>
      </w:pPr>
    </w:p>
    <w:p>
      <w:pPr>
        <w:spacing w:line="360" w:lineRule="auto"/>
        <w:ind w:firstLine="480" w:firstLineChars="200"/>
        <w:rPr>
          <w:rFonts w:hint="eastAsia" w:ascii="宋体" w:hAnsi="宋体" w:cs="宋体"/>
          <w:sz w:val="24"/>
          <w:highlight w:val="none"/>
        </w:rPr>
      </w:pPr>
    </w:p>
    <w:p>
      <w:pPr>
        <w:spacing w:line="360" w:lineRule="auto"/>
        <w:rPr>
          <w:rFonts w:hint="eastAsia" w:ascii="宋体" w:hAnsi="宋体" w:cs="宋体"/>
          <w:sz w:val="24"/>
          <w:highlight w:val="none"/>
        </w:rPr>
      </w:pPr>
    </w:p>
    <w:p>
      <w:pPr>
        <w:spacing w:line="360" w:lineRule="auto"/>
        <w:ind w:firstLine="480" w:firstLineChars="200"/>
        <w:rPr>
          <w:rFonts w:hint="eastAsia" w:ascii="宋体" w:hAnsi="宋体" w:cs="宋体"/>
          <w:sz w:val="24"/>
          <w:highlight w:val="none"/>
        </w:rPr>
      </w:pPr>
    </w:p>
    <w:p>
      <w:pPr>
        <w:spacing w:line="360" w:lineRule="auto"/>
        <w:ind w:firstLine="480" w:firstLineChars="200"/>
        <w:rPr>
          <w:rFonts w:hint="eastAsia" w:ascii="宋体" w:hAnsi="宋体" w:cs="宋体"/>
          <w:sz w:val="24"/>
          <w:highlight w:val="none"/>
        </w:rPr>
      </w:pPr>
    </w:p>
    <w:p>
      <w:pPr>
        <w:spacing w:line="360" w:lineRule="auto"/>
        <w:ind w:firstLine="480" w:firstLineChars="200"/>
        <w:rPr>
          <w:rFonts w:hint="eastAsia" w:ascii="宋体" w:hAnsi="宋体" w:cs="宋体"/>
          <w:sz w:val="24"/>
          <w:highlight w:val="none"/>
        </w:rPr>
      </w:pPr>
    </w:p>
    <w:p>
      <w:pPr>
        <w:spacing w:line="360" w:lineRule="auto"/>
        <w:rPr>
          <w:rFonts w:hint="eastAsia" w:ascii="宋体" w:hAnsi="宋体" w:cs="宋体"/>
          <w:sz w:val="24"/>
          <w:highlight w:val="none"/>
        </w:rPr>
      </w:pPr>
    </w:p>
    <w:p>
      <w:pPr>
        <w:autoSpaceDE w:val="0"/>
        <w:autoSpaceDN w:val="0"/>
        <w:spacing w:line="360" w:lineRule="auto"/>
        <w:ind w:firstLine="3120" w:firstLineChars="1300"/>
        <w:jc w:val="right"/>
        <w:rPr>
          <w:rFonts w:hint="eastAsia" w:ascii="宋体" w:hAnsi="宋体"/>
          <w:bCs/>
          <w:sz w:val="24"/>
          <w:szCs w:val="28"/>
          <w:highlight w:val="none"/>
        </w:rPr>
      </w:pPr>
      <w:r>
        <w:rPr>
          <w:rFonts w:hint="eastAsia" w:ascii="宋体" w:hAnsi="宋体"/>
          <w:bCs/>
          <w:sz w:val="24"/>
          <w:szCs w:val="28"/>
          <w:highlight w:val="none"/>
        </w:rPr>
        <w:t>企业名称：       （公章）</w:t>
      </w:r>
    </w:p>
    <w:p>
      <w:pPr>
        <w:autoSpaceDE w:val="0"/>
        <w:autoSpaceDN w:val="0"/>
        <w:spacing w:line="360" w:lineRule="auto"/>
        <w:ind w:firstLine="2400" w:firstLineChars="1000"/>
        <w:jc w:val="right"/>
        <w:rPr>
          <w:rFonts w:hint="eastAsia" w:ascii="宋体" w:hAnsi="宋体"/>
          <w:bCs/>
          <w:sz w:val="24"/>
          <w:szCs w:val="28"/>
          <w:highlight w:val="none"/>
        </w:rPr>
      </w:pPr>
      <w:r>
        <w:rPr>
          <w:rFonts w:hint="eastAsia" w:ascii="宋体" w:hAnsi="宋体"/>
          <w:bCs/>
          <w:sz w:val="24"/>
          <w:szCs w:val="28"/>
          <w:highlight w:val="none"/>
        </w:rPr>
        <w:t>企业法定代表人：       （签字）</w:t>
      </w:r>
    </w:p>
    <w:p>
      <w:pPr>
        <w:pStyle w:val="59"/>
        <w:jc w:val="right"/>
        <w:rPr>
          <w:rFonts w:hint="eastAsia" w:ascii="宋体" w:hAnsi="宋体" w:cs="宋体"/>
          <w:b/>
          <w:sz w:val="28"/>
          <w:szCs w:val="28"/>
          <w:highlight w:val="none"/>
        </w:rPr>
      </w:pPr>
      <w:bookmarkStart w:id="243" w:name="_Toc500519553"/>
      <w:r>
        <w:rPr>
          <w:rFonts w:hint="eastAsia"/>
          <w:sz w:val="24"/>
          <w:highlight w:val="none"/>
        </w:rPr>
        <w:t xml:space="preserve">年   月   </w:t>
      </w:r>
      <w:bookmarkEnd w:id="243"/>
    </w:p>
    <w:p>
      <w:pPr>
        <w:adjustRightInd w:val="0"/>
        <w:snapToGrid w:val="0"/>
        <w:spacing w:line="360" w:lineRule="auto"/>
        <w:ind w:firstLine="3654" w:firstLineChars="1300"/>
        <w:jc w:val="both"/>
        <w:rPr>
          <w:rFonts w:hint="eastAsia" w:ascii="宋体" w:hAnsi="宋体" w:cs="宋体"/>
          <w:b/>
          <w:highlight w:val="none"/>
        </w:rPr>
      </w:pPr>
      <w:r>
        <w:rPr>
          <w:rFonts w:hint="eastAsia" w:ascii="宋体" w:hAnsi="宋体" w:cs="宋体"/>
          <w:b/>
          <w:sz w:val="28"/>
          <w:szCs w:val="28"/>
          <w:highlight w:val="none"/>
        </w:rPr>
        <w:t>从业人员声明函</w:t>
      </w:r>
    </w:p>
    <w:p>
      <w:pPr>
        <w:adjustRightInd w:val="0"/>
        <w:snapToGrid w:val="0"/>
        <w:spacing w:line="360" w:lineRule="auto"/>
        <w:ind w:left="6114" w:hanging="6114" w:hangingChars="2900"/>
        <w:rPr>
          <w:rFonts w:hint="eastAsia" w:ascii="宋体" w:hAnsi="宋体" w:cs="宋体"/>
          <w:b/>
          <w:bCs/>
          <w:kern w:val="0"/>
          <w:highlight w:val="none"/>
          <w:lang w:val="zh-CN"/>
        </w:rPr>
      </w:pPr>
    </w:p>
    <w:p>
      <w:pPr>
        <w:adjustRightInd w:val="0"/>
        <w:spacing w:line="360" w:lineRule="auto"/>
        <w:ind w:left="482" w:hanging="482" w:hangingChars="200"/>
        <w:textAlignment w:val="baseline"/>
        <w:rPr>
          <w:rFonts w:hint="default" w:ascii="宋体" w:hAnsi="宋体" w:eastAsiaTheme="minorEastAsia"/>
          <w:b/>
          <w:color w:val="auto"/>
          <w:sz w:val="24"/>
          <w:highlight w:val="none"/>
          <w:u w:val="single"/>
          <w:lang w:val="en-US" w:eastAsia="zh-CN"/>
        </w:rPr>
      </w:pPr>
      <w:r>
        <w:rPr>
          <w:rFonts w:hint="eastAsia" w:ascii="宋体" w:hAnsi="宋体"/>
          <w:b/>
          <w:color w:val="auto"/>
          <w:sz w:val="24"/>
          <w:highlight w:val="none"/>
        </w:rPr>
        <w:t>致：</w:t>
      </w:r>
      <w:r>
        <w:rPr>
          <w:rFonts w:hint="eastAsia" w:ascii="宋体" w:hAnsi="宋体"/>
          <w:b/>
          <w:color w:val="auto"/>
          <w:sz w:val="24"/>
          <w:highlight w:val="none"/>
          <w:u w:val="single"/>
          <w:lang w:val="en-US" w:eastAsia="zh-CN"/>
        </w:rPr>
        <w:t xml:space="preserve">（采购人或代理机构） </w:t>
      </w:r>
    </w:p>
    <w:p>
      <w:pPr>
        <w:adjustRightInd w:val="0"/>
        <w:snapToGrid w:val="0"/>
        <w:spacing w:line="360" w:lineRule="auto"/>
        <w:ind w:left="-4" w:leftChars="-2" w:firstLine="480" w:firstLineChars="200"/>
        <w:rPr>
          <w:rFonts w:hint="eastAsia" w:ascii="宋体" w:hAnsi="宋体" w:cs="宋体"/>
          <w:sz w:val="24"/>
          <w:highlight w:val="none"/>
        </w:rPr>
      </w:pPr>
      <w:r>
        <w:rPr>
          <w:rFonts w:hint="eastAsia" w:ascii="宋体" w:hAnsi="宋体" w:cs="宋体"/>
          <w:sz w:val="24"/>
          <w:highlight w:val="none"/>
        </w:rPr>
        <w:t>本公司郑重声明：根据《政府采购促进中小企业发展暂行办法》（财库[2011]181号）、《工业和信息部、国家统计局、国家发展和改革委员会、财政部关于印发中小企业划型标准规定的通知》（工信部联企业[2011]300 号）规定，本公司从业人员数为</w:t>
      </w:r>
      <w:r>
        <w:rPr>
          <w:rFonts w:hint="eastAsia" w:ascii="宋体" w:hAnsi="宋体" w:cs="宋体"/>
          <w:sz w:val="24"/>
          <w:highlight w:val="none"/>
          <w:u w:val="single"/>
        </w:rPr>
        <w:t xml:space="preserve">       </w:t>
      </w:r>
      <w:r>
        <w:rPr>
          <w:rFonts w:hint="eastAsia" w:ascii="宋体" w:hAnsi="宋体" w:cs="宋体"/>
          <w:sz w:val="24"/>
          <w:highlight w:val="none"/>
        </w:rPr>
        <w:t>人。</w:t>
      </w:r>
    </w:p>
    <w:p>
      <w:pPr>
        <w:adjustRightInd w:val="0"/>
        <w:snapToGrid w:val="0"/>
        <w:spacing w:line="360" w:lineRule="auto"/>
        <w:ind w:left="-2" w:leftChars="-1" w:firstLine="480" w:firstLineChars="200"/>
        <w:rPr>
          <w:rFonts w:hint="eastAsia" w:ascii="宋体" w:hAnsi="宋体" w:cs="宋体"/>
          <w:sz w:val="24"/>
          <w:highlight w:val="none"/>
        </w:rPr>
      </w:pPr>
      <w:r>
        <w:rPr>
          <w:rFonts w:hint="eastAsia" w:ascii="宋体" w:hAnsi="宋体" w:cs="宋体"/>
          <w:sz w:val="24"/>
          <w:highlight w:val="none"/>
        </w:rPr>
        <w:t>本公司对上述声明的真实性负责，如有虚假，将依法承担相应责任。</w:t>
      </w:r>
    </w:p>
    <w:p>
      <w:pPr>
        <w:autoSpaceDE w:val="0"/>
        <w:autoSpaceDN w:val="0"/>
        <w:spacing w:line="360" w:lineRule="auto"/>
        <w:jc w:val="center"/>
        <w:rPr>
          <w:rFonts w:hint="eastAsia" w:ascii="宋体" w:hAnsi="宋体" w:cs="宋体"/>
          <w:b/>
          <w:bCs/>
          <w:kern w:val="0"/>
          <w:sz w:val="24"/>
          <w:highlight w:val="none"/>
          <w:lang w:val="zh-CN"/>
        </w:rPr>
      </w:pPr>
    </w:p>
    <w:p>
      <w:pPr>
        <w:autoSpaceDE w:val="0"/>
        <w:autoSpaceDN w:val="0"/>
        <w:spacing w:line="360" w:lineRule="auto"/>
        <w:jc w:val="center"/>
        <w:rPr>
          <w:rFonts w:hint="eastAsia" w:ascii="宋体" w:hAnsi="宋体" w:cs="宋体"/>
          <w:b/>
          <w:bCs/>
          <w:kern w:val="0"/>
          <w:highlight w:val="none"/>
          <w:lang w:val="zh-CN"/>
        </w:rPr>
      </w:pPr>
    </w:p>
    <w:p>
      <w:pPr>
        <w:autoSpaceDE w:val="0"/>
        <w:autoSpaceDN w:val="0"/>
        <w:spacing w:line="360" w:lineRule="auto"/>
        <w:jc w:val="center"/>
        <w:rPr>
          <w:rFonts w:hint="eastAsia" w:ascii="宋体" w:hAnsi="宋体" w:cs="宋体"/>
          <w:b/>
          <w:bCs/>
          <w:kern w:val="0"/>
          <w:highlight w:val="none"/>
          <w:lang w:val="zh-CN"/>
        </w:rPr>
      </w:pPr>
    </w:p>
    <w:p>
      <w:pPr>
        <w:autoSpaceDE w:val="0"/>
        <w:autoSpaceDN w:val="0"/>
        <w:spacing w:line="360" w:lineRule="auto"/>
        <w:jc w:val="center"/>
        <w:rPr>
          <w:rFonts w:hint="eastAsia" w:ascii="宋体" w:hAnsi="宋体" w:cs="宋体"/>
          <w:b/>
          <w:bCs/>
          <w:kern w:val="0"/>
          <w:highlight w:val="none"/>
          <w:lang w:val="zh-CN"/>
        </w:rPr>
      </w:pPr>
    </w:p>
    <w:p>
      <w:pPr>
        <w:autoSpaceDE w:val="0"/>
        <w:autoSpaceDN w:val="0"/>
        <w:spacing w:line="360" w:lineRule="auto"/>
        <w:jc w:val="center"/>
        <w:rPr>
          <w:rFonts w:hint="eastAsia" w:ascii="宋体" w:hAnsi="宋体" w:cs="宋体"/>
          <w:b/>
          <w:bCs/>
          <w:kern w:val="0"/>
          <w:highlight w:val="none"/>
          <w:lang w:val="zh-CN"/>
        </w:rPr>
      </w:pPr>
    </w:p>
    <w:p>
      <w:pPr>
        <w:autoSpaceDE w:val="0"/>
        <w:autoSpaceDN w:val="0"/>
        <w:spacing w:line="360" w:lineRule="auto"/>
        <w:jc w:val="center"/>
        <w:rPr>
          <w:rFonts w:hint="eastAsia" w:ascii="宋体" w:hAnsi="宋体" w:cs="宋体"/>
          <w:b/>
          <w:bCs/>
          <w:kern w:val="0"/>
          <w:highlight w:val="none"/>
          <w:lang w:val="zh-CN"/>
        </w:rPr>
      </w:pPr>
    </w:p>
    <w:p>
      <w:pPr>
        <w:autoSpaceDE w:val="0"/>
        <w:autoSpaceDN w:val="0"/>
        <w:spacing w:line="360" w:lineRule="auto"/>
        <w:jc w:val="center"/>
        <w:rPr>
          <w:rFonts w:hint="eastAsia" w:ascii="宋体" w:hAnsi="宋体" w:cs="宋体"/>
          <w:b/>
          <w:bCs/>
          <w:kern w:val="0"/>
          <w:highlight w:val="none"/>
          <w:lang w:val="zh-CN"/>
        </w:rPr>
      </w:pPr>
    </w:p>
    <w:p>
      <w:pPr>
        <w:autoSpaceDE w:val="0"/>
        <w:autoSpaceDN w:val="0"/>
        <w:spacing w:line="360" w:lineRule="auto"/>
        <w:jc w:val="center"/>
        <w:rPr>
          <w:rFonts w:hint="eastAsia" w:ascii="宋体" w:hAnsi="宋体" w:cs="宋体"/>
          <w:b/>
          <w:bCs/>
          <w:kern w:val="0"/>
          <w:highlight w:val="none"/>
          <w:lang w:val="zh-CN"/>
        </w:rPr>
      </w:pPr>
    </w:p>
    <w:p>
      <w:pPr>
        <w:autoSpaceDE w:val="0"/>
        <w:autoSpaceDN w:val="0"/>
        <w:spacing w:line="360" w:lineRule="auto"/>
        <w:jc w:val="center"/>
        <w:rPr>
          <w:rFonts w:hint="eastAsia" w:ascii="宋体" w:hAnsi="宋体" w:cs="宋体"/>
          <w:b/>
          <w:bCs/>
          <w:kern w:val="0"/>
          <w:highlight w:val="none"/>
          <w:lang w:val="zh-CN"/>
        </w:rPr>
      </w:pPr>
    </w:p>
    <w:p>
      <w:pPr>
        <w:autoSpaceDE w:val="0"/>
        <w:autoSpaceDN w:val="0"/>
        <w:spacing w:line="360" w:lineRule="auto"/>
        <w:jc w:val="center"/>
        <w:rPr>
          <w:rFonts w:hint="eastAsia" w:ascii="宋体" w:hAnsi="宋体" w:cs="宋体"/>
          <w:b/>
          <w:bCs/>
          <w:kern w:val="0"/>
          <w:highlight w:val="none"/>
          <w:lang w:val="zh-CN"/>
        </w:rPr>
      </w:pPr>
    </w:p>
    <w:p>
      <w:pPr>
        <w:autoSpaceDE w:val="0"/>
        <w:autoSpaceDN w:val="0"/>
        <w:spacing w:line="360" w:lineRule="auto"/>
        <w:jc w:val="center"/>
        <w:rPr>
          <w:rFonts w:hint="eastAsia" w:ascii="宋体" w:hAnsi="宋体" w:cs="宋体"/>
          <w:b/>
          <w:bCs/>
          <w:kern w:val="0"/>
          <w:highlight w:val="none"/>
          <w:lang w:val="zh-CN"/>
        </w:rPr>
      </w:pPr>
    </w:p>
    <w:p>
      <w:pPr>
        <w:autoSpaceDE w:val="0"/>
        <w:autoSpaceDN w:val="0"/>
        <w:spacing w:line="360" w:lineRule="auto"/>
        <w:jc w:val="center"/>
        <w:rPr>
          <w:rFonts w:hint="eastAsia" w:ascii="宋体" w:hAnsi="宋体" w:cs="宋体"/>
          <w:b/>
          <w:bCs/>
          <w:kern w:val="0"/>
          <w:highlight w:val="none"/>
          <w:lang w:val="zh-CN"/>
        </w:rPr>
      </w:pPr>
    </w:p>
    <w:p>
      <w:pPr>
        <w:autoSpaceDE w:val="0"/>
        <w:autoSpaceDN w:val="0"/>
        <w:spacing w:line="360" w:lineRule="auto"/>
        <w:jc w:val="center"/>
        <w:rPr>
          <w:rFonts w:hint="eastAsia" w:ascii="宋体" w:hAnsi="宋体" w:cs="宋体"/>
          <w:b/>
          <w:bCs/>
          <w:kern w:val="0"/>
          <w:highlight w:val="none"/>
          <w:lang w:val="zh-CN"/>
        </w:rPr>
      </w:pPr>
    </w:p>
    <w:p>
      <w:pPr>
        <w:autoSpaceDE w:val="0"/>
        <w:autoSpaceDN w:val="0"/>
        <w:spacing w:line="360" w:lineRule="auto"/>
        <w:jc w:val="right"/>
        <w:rPr>
          <w:rFonts w:hint="eastAsia" w:ascii="宋体" w:hAnsi="宋体"/>
          <w:bCs/>
          <w:sz w:val="24"/>
          <w:szCs w:val="28"/>
          <w:highlight w:val="none"/>
        </w:rPr>
      </w:pPr>
      <w:r>
        <w:rPr>
          <w:rFonts w:hint="eastAsia" w:ascii="宋体" w:hAnsi="宋体"/>
          <w:bCs/>
          <w:sz w:val="24"/>
          <w:szCs w:val="28"/>
          <w:highlight w:val="none"/>
        </w:rPr>
        <w:t>制造（生产）企业名称：       （公章）</w:t>
      </w:r>
    </w:p>
    <w:p>
      <w:pPr>
        <w:autoSpaceDE w:val="0"/>
        <w:autoSpaceDN w:val="0"/>
        <w:spacing w:line="360" w:lineRule="auto"/>
        <w:jc w:val="right"/>
        <w:rPr>
          <w:rFonts w:hint="eastAsia" w:ascii="宋体" w:hAnsi="宋体"/>
          <w:bCs/>
          <w:sz w:val="24"/>
          <w:szCs w:val="28"/>
          <w:highlight w:val="none"/>
        </w:rPr>
      </w:pPr>
      <w:r>
        <w:rPr>
          <w:rFonts w:hint="eastAsia" w:ascii="宋体" w:hAnsi="宋体"/>
          <w:bCs/>
          <w:sz w:val="24"/>
          <w:szCs w:val="28"/>
          <w:highlight w:val="none"/>
        </w:rPr>
        <w:t>制造（生产）企业法定代表人：       （签字）</w:t>
      </w:r>
    </w:p>
    <w:p>
      <w:pPr>
        <w:autoSpaceDE w:val="0"/>
        <w:autoSpaceDN w:val="0"/>
        <w:spacing w:line="360" w:lineRule="auto"/>
        <w:jc w:val="right"/>
        <w:rPr>
          <w:rFonts w:hint="eastAsia" w:ascii="宋体" w:hAnsi="宋体"/>
          <w:bCs/>
          <w:sz w:val="24"/>
          <w:szCs w:val="28"/>
          <w:highlight w:val="none"/>
        </w:rPr>
      </w:pPr>
      <w:r>
        <w:rPr>
          <w:rFonts w:hint="eastAsia" w:ascii="宋体" w:hAnsi="宋体"/>
          <w:bCs/>
          <w:sz w:val="24"/>
          <w:szCs w:val="28"/>
          <w:highlight w:val="none"/>
        </w:rPr>
        <w:t xml:space="preserve">日期：  </w:t>
      </w:r>
      <w:r>
        <w:rPr>
          <w:rFonts w:ascii="宋体" w:hAnsi="宋体"/>
          <w:bCs/>
          <w:sz w:val="24"/>
          <w:szCs w:val="28"/>
          <w:highlight w:val="none"/>
        </w:rPr>
        <w:t xml:space="preserve">      </w:t>
      </w:r>
      <w:r>
        <w:rPr>
          <w:rFonts w:hint="eastAsia" w:ascii="宋体" w:hAnsi="宋体"/>
          <w:bCs/>
          <w:sz w:val="24"/>
          <w:szCs w:val="28"/>
          <w:highlight w:val="none"/>
        </w:rPr>
        <w:t xml:space="preserve">  年   月   日</w:t>
      </w:r>
    </w:p>
    <w:p>
      <w:pPr>
        <w:spacing w:line="360" w:lineRule="auto"/>
        <w:rPr>
          <w:rFonts w:hint="eastAsia"/>
          <w:highlight w:val="none"/>
          <w:lang w:val="zh-CN"/>
        </w:rPr>
      </w:pPr>
    </w:p>
    <w:p>
      <w:pPr>
        <w:spacing w:line="360" w:lineRule="auto"/>
        <w:rPr>
          <w:rFonts w:hint="eastAsia"/>
          <w:highlight w:val="none"/>
          <w:lang w:val="zh-CN"/>
        </w:rPr>
      </w:pPr>
    </w:p>
    <w:p>
      <w:pPr>
        <w:spacing w:line="360" w:lineRule="auto"/>
        <w:rPr>
          <w:rFonts w:hint="eastAsia"/>
          <w:highlight w:val="none"/>
          <w:lang w:val="zh-CN"/>
        </w:rPr>
      </w:pPr>
    </w:p>
    <w:p>
      <w:pPr>
        <w:spacing w:line="360" w:lineRule="auto"/>
        <w:rPr>
          <w:rFonts w:hint="eastAsia"/>
          <w:highlight w:val="none"/>
          <w:lang w:val="zh-CN"/>
        </w:rPr>
      </w:pPr>
    </w:p>
    <w:p>
      <w:pPr>
        <w:pStyle w:val="4"/>
        <w:numPr>
          <w:ilvl w:val="0"/>
          <w:numId w:val="0"/>
        </w:numPr>
        <w:tabs>
          <w:tab w:val="left" w:pos="425"/>
          <w:tab w:val="left" w:pos="720"/>
        </w:tabs>
        <w:rPr>
          <w:rFonts w:hint="eastAsia" w:hAnsi="宋体"/>
          <w:b/>
          <w:sz w:val="32"/>
          <w:highlight w:val="none"/>
          <w:lang w:val="zh-CN"/>
        </w:rPr>
      </w:pPr>
      <w:bookmarkStart w:id="244" w:name="_Toc26054_WPSOffice_Level1"/>
      <w:bookmarkStart w:id="245" w:name="_Toc535422013"/>
      <w:bookmarkStart w:id="246" w:name="_Toc6017"/>
      <w:bookmarkStart w:id="247" w:name="OLE_LINK14"/>
      <w:bookmarkStart w:id="248" w:name="OLE_LINK13"/>
      <w:bookmarkStart w:id="249" w:name="_Toc31287"/>
      <w:r>
        <w:rPr>
          <w:rFonts w:hint="eastAsia" w:hAnsi="宋体"/>
          <w:b/>
          <w:sz w:val="32"/>
          <w:highlight w:val="none"/>
          <w:lang w:val="zh-CN"/>
        </w:rPr>
        <w:t>格式</w:t>
      </w:r>
      <w:r>
        <w:rPr>
          <w:rFonts w:hint="eastAsia" w:hAnsi="宋体"/>
          <w:b/>
          <w:sz w:val="32"/>
          <w:highlight w:val="none"/>
          <w:lang w:val="zh-CN" w:eastAsia="zh-CN"/>
        </w:rPr>
        <w:t>17</w:t>
      </w:r>
      <w:r>
        <w:rPr>
          <w:rFonts w:hint="eastAsia" w:hAnsi="宋体"/>
          <w:b/>
          <w:sz w:val="32"/>
          <w:highlight w:val="none"/>
          <w:lang w:val="zh-CN"/>
        </w:rPr>
        <w:t>、残疾人福利性单位声明函</w:t>
      </w:r>
      <w:bookmarkEnd w:id="244"/>
      <w:bookmarkEnd w:id="245"/>
      <w:bookmarkEnd w:id="246"/>
    </w:p>
    <w:p>
      <w:pPr>
        <w:autoSpaceDE w:val="0"/>
        <w:autoSpaceDN w:val="0"/>
        <w:spacing w:line="360" w:lineRule="auto"/>
        <w:jc w:val="center"/>
        <w:rPr>
          <w:rFonts w:hint="eastAsia" w:ascii="宋体" w:hAnsi="宋体" w:cs="宋体"/>
          <w:b/>
          <w:bCs/>
          <w:kern w:val="0"/>
          <w:sz w:val="28"/>
          <w:szCs w:val="28"/>
          <w:highlight w:val="none"/>
          <w:lang w:val="zh-CN"/>
        </w:rPr>
      </w:pPr>
      <w:bookmarkStart w:id="250" w:name="_Toc31610_WPSOffice_Level2"/>
      <w:r>
        <w:rPr>
          <w:rFonts w:hint="eastAsia" w:ascii="宋体" w:hAnsi="宋体" w:cs="宋体"/>
          <w:b/>
          <w:bCs/>
          <w:kern w:val="0"/>
          <w:sz w:val="28"/>
          <w:szCs w:val="28"/>
          <w:highlight w:val="none"/>
          <w:lang w:val="zh-CN"/>
        </w:rPr>
        <w:t>残疾人福利性单位声明函</w:t>
      </w:r>
      <w:bookmarkEnd w:id="250"/>
    </w:p>
    <w:bookmarkEnd w:id="247"/>
    <w:bookmarkEnd w:id="248"/>
    <w:p>
      <w:pPr>
        <w:spacing w:after="120" w:afterLines="50" w:line="360" w:lineRule="auto"/>
        <w:rPr>
          <w:rFonts w:hint="eastAsia" w:ascii="宋体" w:hAnsi="宋体" w:cs="宋体"/>
          <w:bCs/>
          <w:highlight w:val="none"/>
        </w:rPr>
      </w:pPr>
    </w:p>
    <w:p>
      <w:pPr>
        <w:adjustRightInd w:val="0"/>
        <w:spacing w:line="360" w:lineRule="auto"/>
        <w:ind w:left="482" w:hanging="482" w:hangingChars="200"/>
        <w:textAlignment w:val="baseline"/>
        <w:rPr>
          <w:rFonts w:hint="default" w:ascii="宋体" w:hAnsi="宋体" w:eastAsiaTheme="minorEastAsia"/>
          <w:b/>
          <w:color w:val="auto"/>
          <w:sz w:val="24"/>
          <w:highlight w:val="none"/>
          <w:u w:val="single"/>
          <w:lang w:val="en-US" w:eastAsia="zh-CN"/>
        </w:rPr>
      </w:pPr>
      <w:r>
        <w:rPr>
          <w:rFonts w:hint="eastAsia" w:ascii="宋体" w:hAnsi="宋体"/>
          <w:b/>
          <w:color w:val="auto"/>
          <w:sz w:val="24"/>
          <w:highlight w:val="none"/>
        </w:rPr>
        <w:t>致：</w:t>
      </w:r>
      <w:r>
        <w:rPr>
          <w:rFonts w:hint="eastAsia" w:ascii="宋体" w:hAnsi="宋体"/>
          <w:b/>
          <w:color w:val="auto"/>
          <w:sz w:val="24"/>
          <w:highlight w:val="none"/>
          <w:u w:val="single"/>
          <w:lang w:val="en-US" w:eastAsia="zh-CN"/>
        </w:rPr>
        <w:t xml:space="preserve">（采购人或代理机构） </w:t>
      </w:r>
    </w:p>
    <w:p>
      <w:pPr>
        <w:spacing w:line="360" w:lineRule="auto"/>
        <w:ind w:firstLine="480"/>
        <w:rPr>
          <w:rFonts w:hint="eastAsia" w:ascii="宋体" w:hAnsi="宋体" w:cs="宋体"/>
          <w:highlight w:val="none"/>
        </w:rPr>
      </w:pPr>
    </w:p>
    <w:p>
      <w:pPr>
        <w:adjustRightInd w:val="0"/>
        <w:snapToGrid w:val="0"/>
        <w:spacing w:line="360" w:lineRule="auto"/>
        <w:ind w:left="-4" w:leftChars="-2" w:firstLine="480" w:firstLineChars="200"/>
        <w:rPr>
          <w:rFonts w:hint="eastAsia" w:ascii="宋体" w:hAnsi="宋体" w:cs="宋体"/>
          <w:sz w:val="24"/>
          <w:highlight w:val="none"/>
        </w:rPr>
      </w:pPr>
      <w:r>
        <w:rPr>
          <w:rFonts w:hint="eastAsia" w:ascii="宋体" w:hAnsi="宋体" w:cs="宋体"/>
          <w:sz w:val="24"/>
          <w:highlight w:val="none"/>
        </w:rPr>
        <w:t>本单位郑重声明，根据《财政部、民政部、中国残疾人联合会关于促进残疾人就业政府采购政策的通知》（财库〔2017〕141号）的规定，本单位为符合条件的残疾人福利性单位，本单位在职职工人数为       人，安置的残疾人人数      人。且本单位参加______单位的______项目采购活动提供本单位制造的货物（由本单位承担工程/提供服务），或者提供其他残疾人福利性单位制造的货物（不包括使用非残疾人福利性单位注册商标的货物）。</w:t>
      </w:r>
    </w:p>
    <w:p>
      <w:pPr>
        <w:adjustRightInd w:val="0"/>
        <w:snapToGrid w:val="0"/>
        <w:spacing w:line="360" w:lineRule="auto"/>
        <w:ind w:left="-4" w:leftChars="-2" w:firstLine="480" w:firstLineChars="200"/>
        <w:rPr>
          <w:rFonts w:hint="eastAsia" w:ascii="宋体" w:hAnsi="宋体" w:cs="宋体"/>
          <w:sz w:val="24"/>
          <w:highlight w:val="none"/>
        </w:rPr>
      </w:pPr>
      <w:r>
        <w:rPr>
          <w:rFonts w:hint="eastAsia" w:ascii="宋体" w:hAnsi="宋体" w:cs="宋体"/>
          <w:sz w:val="24"/>
          <w:highlight w:val="none"/>
        </w:rPr>
        <w:t>本单位对上述声明的真实性负责。如有虚假，将依法承担相应责任。</w:t>
      </w:r>
    </w:p>
    <w:p>
      <w:pPr>
        <w:adjustRightInd w:val="0"/>
        <w:snapToGrid w:val="0"/>
        <w:spacing w:line="360" w:lineRule="auto"/>
        <w:ind w:left="-4" w:leftChars="-2" w:firstLine="480" w:firstLineChars="200"/>
        <w:rPr>
          <w:rFonts w:hint="eastAsia" w:ascii="宋体" w:hAnsi="宋体" w:cs="宋体"/>
          <w:sz w:val="24"/>
          <w:highlight w:val="none"/>
        </w:rPr>
      </w:pPr>
    </w:p>
    <w:p>
      <w:pPr>
        <w:adjustRightInd w:val="0"/>
        <w:snapToGrid w:val="0"/>
        <w:spacing w:line="360" w:lineRule="auto"/>
        <w:ind w:left="-4" w:leftChars="-2" w:firstLine="480" w:firstLineChars="200"/>
        <w:rPr>
          <w:rFonts w:hint="eastAsia" w:ascii="宋体" w:hAnsi="宋体" w:cs="宋体"/>
          <w:sz w:val="24"/>
          <w:highlight w:val="none"/>
        </w:rPr>
      </w:pPr>
      <w:r>
        <w:rPr>
          <w:rFonts w:hint="eastAsia" w:ascii="宋体" w:hAnsi="宋体" w:cs="宋体"/>
          <w:sz w:val="24"/>
          <w:highlight w:val="none"/>
        </w:rPr>
        <w:t>注：若无此项内容，可不提供此函。</w:t>
      </w:r>
    </w:p>
    <w:p>
      <w:pPr>
        <w:spacing w:line="360" w:lineRule="auto"/>
        <w:ind w:firstLine="480"/>
        <w:rPr>
          <w:rFonts w:hint="eastAsia" w:ascii="宋体" w:hAnsi="宋体" w:cs="宋体"/>
          <w:highlight w:val="none"/>
        </w:rPr>
      </w:pPr>
    </w:p>
    <w:p>
      <w:pPr>
        <w:spacing w:line="360" w:lineRule="auto"/>
        <w:ind w:firstLine="480"/>
        <w:rPr>
          <w:rFonts w:hint="eastAsia" w:ascii="宋体" w:hAnsi="宋体" w:cs="宋体"/>
          <w:highlight w:val="none"/>
        </w:rPr>
      </w:pPr>
    </w:p>
    <w:p>
      <w:pPr>
        <w:spacing w:line="360" w:lineRule="auto"/>
        <w:ind w:firstLine="480"/>
        <w:rPr>
          <w:rFonts w:hint="eastAsia" w:ascii="宋体" w:hAnsi="宋体" w:cs="宋体"/>
          <w:highlight w:val="none"/>
        </w:rPr>
      </w:pPr>
    </w:p>
    <w:p>
      <w:pPr>
        <w:spacing w:line="360" w:lineRule="auto"/>
        <w:ind w:firstLine="480"/>
        <w:rPr>
          <w:rFonts w:hint="eastAsia" w:ascii="宋体" w:hAnsi="宋体" w:cs="宋体"/>
          <w:highlight w:val="none"/>
        </w:rPr>
      </w:pPr>
    </w:p>
    <w:p>
      <w:pPr>
        <w:spacing w:line="360" w:lineRule="auto"/>
        <w:ind w:firstLine="480"/>
        <w:rPr>
          <w:rFonts w:hint="eastAsia" w:ascii="宋体" w:hAnsi="宋体" w:cs="宋体"/>
          <w:highlight w:val="none"/>
        </w:rPr>
      </w:pPr>
    </w:p>
    <w:p>
      <w:pPr>
        <w:spacing w:line="360" w:lineRule="auto"/>
        <w:ind w:firstLine="480"/>
        <w:rPr>
          <w:rFonts w:hint="eastAsia" w:ascii="宋体" w:hAnsi="宋体" w:cs="宋体"/>
          <w:highlight w:val="none"/>
        </w:rPr>
      </w:pPr>
    </w:p>
    <w:p>
      <w:pPr>
        <w:spacing w:line="360" w:lineRule="auto"/>
        <w:ind w:firstLine="480"/>
        <w:rPr>
          <w:rFonts w:hint="eastAsia" w:ascii="宋体" w:hAnsi="宋体" w:cs="宋体"/>
          <w:highlight w:val="none"/>
        </w:rPr>
      </w:pPr>
    </w:p>
    <w:p>
      <w:pPr>
        <w:spacing w:line="360" w:lineRule="auto"/>
        <w:jc w:val="right"/>
        <w:rPr>
          <w:rFonts w:hint="eastAsia" w:ascii="宋体" w:hAnsi="宋体"/>
          <w:bCs/>
          <w:sz w:val="24"/>
          <w:szCs w:val="28"/>
          <w:highlight w:val="none"/>
        </w:rPr>
      </w:pPr>
      <w:r>
        <w:rPr>
          <w:rFonts w:hint="eastAsia" w:ascii="宋体" w:hAnsi="宋体" w:cs="宋体"/>
          <w:b/>
          <w:highlight w:val="none"/>
        </w:rPr>
        <w:t xml:space="preserve">                                </w:t>
      </w:r>
      <w:r>
        <w:rPr>
          <w:rFonts w:hint="eastAsia" w:ascii="宋体" w:hAnsi="宋体"/>
          <w:bCs/>
          <w:sz w:val="24"/>
          <w:szCs w:val="28"/>
          <w:highlight w:val="none"/>
        </w:rPr>
        <w:t>企业名称：       （公章）</w:t>
      </w:r>
    </w:p>
    <w:p>
      <w:pPr>
        <w:spacing w:line="360" w:lineRule="auto"/>
        <w:ind w:firstLine="482"/>
        <w:jc w:val="right"/>
        <w:rPr>
          <w:rFonts w:hint="eastAsia" w:ascii="宋体" w:hAnsi="宋体"/>
          <w:bCs/>
          <w:sz w:val="24"/>
          <w:szCs w:val="28"/>
          <w:highlight w:val="none"/>
        </w:rPr>
      </w:pPr>
      <w:r>
        <w:rPr>
          <w:rFonts w:hint="eastAsia" w:ascii="宋体" w:hAnsi="宋体"/>
          <w:bCs/>
          <w:sz w:val="24"/>
          <w:szCs w:val="28"/>
          <w:highlight w:val="none"/>
        </w:rPr>
        <w:t xml:space="preserve">       企业法定代表人：       （签字或盖章）</w:t>
      </w:r>
    </w:p>
    <w:p>
      <w:pPr>
        <w:autoSpaceDE w:val="0"/>
        <w:autoSpaceDN w:val="0"/>
        <w:spacing w:line="360" w:lineRule="auto"/>
        <w:jc w:val="right"/>
        <w:rPr>
          <w:rFonts w:hAnsi="宋体"/>
          <w:bCs/>
          <w:sz w:val="24"/>
          <w:szCs w:val="28"/>
          <w:highlight w:val="none"/>
        </w:rPr>
      </w:pPr>
      <w:r>
        <w:rPr>
          <w:rFonts w:hint="eastAsia" w:hAnsi="宋体"/>
          <w:bCs/>
          <w:sz w:val="24"/>
          <w:szCs w:val="28"/>
          <w:highlight w:val="none"/>
        </w:rPr>
        <w:t xml:space="preserve">   </w:t>
      </w:r>
      <w:r>
        <w:rPr>
          <w:rFonts w:hAnsi="宋体"/>
          <w:bCs/>
          <w:sz w:val="24"/>
          <w:szCs w:val="28"/>
          <w:highlight w:val="none"/>
        </w:rPr>
        <w:t xml:space="preserve">                              </w:t>
      </w:r>
      <w:r>
        <w:rPr>
          <w:rFonts w:hint="eastAsia" w:hAnsi="宋体"/>
          <w:bCs/>
          <w:sz w:val="24"/>
          <w:szCs w:val="28"/>
          <w:highlight w:val="none"/>
        </w:rPr>
        <w:t xml:space="preserve">           </w:t>
      </w:r>
      <w:r>
        <w:rPr>
          <w:rFonts w:hint="eastAsia" w:ascii="宋体" w:hAnsi="宋体"/>
          <w:bCs/>
          <w:sz w:val="24"/>
          <w:szCs w:val="28"/>
          <w:highlight w:val="none"/>
        </w:rPr>
        <w:t>年   月  日</w:t>
      </w:r>
    </w:p>
    <w:p>
      <w:pPr>
        <w:pStyle w:val="4"/>
        <w:numPr>
          <w:ilvl w:val="0"/>
          <w:numId w:val="0"/>
        </w:numPr>
        <w:tabs>
          <w:tab w:val="left" w:pos="425"/>
          <w:tab w:val="left" w:pos="720"/>
        </w:tabs>
        <w:ind w:left="709" w:hanging="709"/>
        <w:outlineLvl w:val="9"/>
        <w:rPr>
          <w:rFonts w:hAnsi="宋体"/>
          <w:b/>
          <w:sz w:val="32"/>
          <w:highlight w:val="none"/>
          <w:lang w:val="zh-CN" w:eastAsia="zh-CN"/>
        </w:rPr>
      </w:pPr>
    </w:p>
    <w:p>
      <w:pPr>
        <w:rPr>
          <w:highlight w:val="none"/>
          <w:lang w:val="zh-CN" w:eastAsia="zh-CN"/>
        </w:rPr>
      </w:pPr>
    </w:p>
    <w:p>
      <w:pPr>
        <w:pStyle w:val="4"/>
        <w:numPr>
          <w:ilvl w:val="0"/>
          <w:numId w:val="0"/>
        </w:numPr>
        <w:tabs>
          <w:tab w:val="left" w:pos="425"/>
          <w:tab w:val="left" w:pos="720"/>
        </w:tabs>
        <w:outlineLvl w:val="9"/>
        <w:rPr>
          <w:rFonts w:hint="eastAsia" w:hAnsi="宋体"/>
          <w:b/>
          <w:sz w:val="32"/>
          <w:highlight w:val="none"/>
          <w:lang w:val="zh-CN"/>
        </w:rPr>
      </w:pPr>
      <w:bookmarkStart w:id="251" w:name="_Toc20617_WPSOffice_Level1"/>
      <w:bookmarkStart w:id="252" w:name="_Toc535422014"/>
      <w:bookmarkStart w:id="253" w:name="_Toc31534"/>
    </w:p>
    <w:p>
      <w:pPr>
        <w:pStyle w:val="4"/>
        <w:numPr>
          <w:ilvl w:val="0"/>
          <w:numId w:val="0"/>
        </w:numPr>
        <w:tabs>
          <w:tab w:val="left" w:pos="425"/>
          <w:tab w:val="left" w:pos="720"/>
        </w:tabs>
        <w:rPr>
          <w:rFonts w:hAnsi="宋体"/>
          <w:b/>
          <w:sz w:val="32"/>
          <w:highlight w:val="none"/>
          <w:lang w:val="zh-CN" w:eastAsia="zh-CN"/>
        </w:rPr>
      </w:pPr>
      <w:r>
        <w:rPr>
          <w:rFonts w:hint="eastAsia" w:hAnsi="宋体"/>
          <w:b/>
          <w:sz w:val="32"/>
          <w:highlight w:val="none"/>
          <w:lang w:val="zh-CN"/>
        </w:rPr>
        <w:t>格式</w:t>
      </w:r>
      <w:r>
        <w:rPr>
          <w:rFonts w:hint="eastAsia" w:hAnsi="宋体"/>
          <w:b/>
          <w:sz w:val="32"/>
          <w:highlight w:val="none"/>
          <w:lang w:val="zh-CN" w:eastAsia="zh-CN"/>
        </w:rPr>
        <w:t>18</w:t>
      </w:r>
      <w:r>
        <w:rPr>
          <w:rFonts w:hint="eastAsia" w:hAnsi="宋体"/>
          <w:b/>
          <w:sz w:val="32"/>
          <w:highlight w:val="none"/>
          <w:lang w:val="zh-CN"/>
        </w:rPr>
        <w:t>、磋商供应商认为在其他方面有必要说明的事项</w:t>
      </w:r>
      <w:bookmarkEnd w:id="249"/>
      <w:bookmarkEnd w:id="251"/>
      <w:bookmarkEnd w:id="252"/>
      <w:bookmarkEnd w:id="253"/>
    </w:p>
    <w:p>
      <w:pPr>
        <w:autoSpaceDE w:val="0"/>
        <w:autoSpaceDN w:val="0"/>
        <w:adjustRightInd w:val="0"/>
        <w:spacing w:line="360" w:lineRule="auto"/>
        <w:rPr>
          <w:rFonts w:ascii="宋体" w:hAnsi="宋体" w:cs="宋体"/>
          <w:kern w:val="0"/>
          <w:sz w:val="24"/>
          <w:highlight w:val="none"/>
          <w:lang w:val="zh-CN"/>
        </w:rPr>
      </w:pPr>
    </w:p>
    <w:p>
      <w:pPr>
        <w:pStyle w:val="13"/>
        <w:spacing w:line="360" w:lineRule="auto"/>
        <w:jc w:val="center"/>
        <w:rPr>
          <w:rFonts w:hAnsi="宋体" w:cs="宋体"/>
          <w:b/>
          <w:bCs/>
          <w:sz w:val="30"/>
          <w:szCs w:val="30"/>
          <w:highlight w:val="none"/>
          <w:lang w:val="zh-CN"/>
        </w:rPr>
      </w:pPr>
      <w:bookmarkStart w:id="254" w:name="_Toc4042_WPSOffice_Level2"/>
      <w:r>
        <w:rPr>
          <w:rFonts w:hint="eastAsia" w:hAnsi="宋体" w:cs="宋体"/>
          <w:b/>
          <w:bCs/>
          <w:sz w:val="32"/>
          <w:szCs w:val="30"/>
          <w:highlight w:val="none"/>
          <w:lang w:val="zh-CN"/>
        </w:rPr>
        <w:t>磋商供应商认为在其他方面有必要说明的事项</w:t>
      </w:r>
      <w:bookmarkEnd w:id="254"/>
    </w:p>
    <w:p>
      <w:pPr>
        <w:autoSpaceDE w:val="0"/>
        <w:autoSpaceDN w:val="0"/>
        <w:adjustRightInd w:val="0"/>
        <w:spacing w:line="360" w:lineRule="auto"/>
        <w:rPr>
          <w:rFonts w:ascii="宋体" w:hAnsi="宋体" w:cs="宋体"/>
          <w:kern w:val="0"/>
          <w:sz w:val="24"/>
          <w:highlight w:val="none"/>
          <w:lang w:val="zh-CN"/>
        </w:rPr>
      </w:pPr>
    </w:p>
    <w:p>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磋商供应商在参加本项目磋商中根据磋商文件的要求认为需要说明的事项，但不作为评标依据。如没有说明事项，此项可忽略。（格式可自定）</w:t>
      </w:r>
    </w:p>
    <w:p>
      <w:pPr>
        <w:pStyle w:val="4"/>
        <w:numPr>
          <w:ilvl w:val="0"/>
          <w:numId w:val="0"/>
        </w:numPr>
        <w:tabs>
          <w:tab w:val="left" w:pos="425"/>
          <w:tab w:val="left" w:pos="720"/>
        </w:tabs>
        <w:ind w:left="709" w:hanging="709"/>
        <w:rPr>
          <w:rFonts w:hAnsi="宋体"/>
          <w:b/>
          <w:sz w:val="32"/>
          <w:highlight w:val="none"/>
          <w:lang w:val="zh-CN"/>
        </w:rPr>
      </w:pPr>
      <w:r>
        <w:rPr>
          <w:rFonts w:hAnsi="宋体"/>
          <w:bCs/>
          <w:sz w:val="24"/>
          <w:szCs w:val="28"/>
          <w:highlight w:val="none"/>
        </w:rPr>
        <w:br w:type="page"/>
      </w:r>
      <w:bookmarkStart w:id="255" w:name="_Toc535422015"/>
      <w:bookmarkStart w:id="256" w:name="_Toc10925"/>
      <w:bookmarkStart w:id="257" w:name="_Toc21486_WPSOffice_Level1"/>
      <w:r>
        <w:rPr>
          <w:rFonts w:hint="eastAsia" w:hAnsi="宋体"/>
          <w:b/>
          <w:sz w:val="32"/>
          <w:highlight w:val="none"/>
          <w:lang w:val="zh-CN"/>
        </w:rPr>
        <w:t>格式</w:t>
      </w:r>
      <w:r>
        <w:rPr>
          <w:rFonts w:hint="eastAsia" w:hAnsi="宋体"/>
          <w:b/>
          <w:sz w:val="32"/>
          <w:highlight w:val="none"/>
          <w:lang w:val="zh-CN" w:eastAsia="zh-CN"/>
        </w:rPr>
        <w:t>19</w:t>
      </w:r>
      <w:r>
        <w:rPr>
          <w:rFonts w:hint="eastAsia" w:hAnsi="宋体"/>
          <w:b/>
          <w:sz w:val="32"/>
          <w:highlight w:val="none"/>
          <w:lang w:val="zh-CN"/>
        </w:rPr>
        <w:t>、磋商最终报价表</w:t>
      </w:r>
      <w:r>
        <w:rPr>
          <w:rFonts w:hint="eastAsia" w:hAnsi="宋体"/>
          <w:b/>
          <w:sz w:val="36"/>
          <w:szCs w:val="36"/>
          <w:highlight w:val="none"/>
        </w:rPr>
        <w:t>（单独提交）</w:t>
      </w:r>
      <w:bookmarkEnd w:id="255"/>
      <w:bookmarkEnd w:id="256"/>
      <w:bookmarkEnd w:id="257"/>
    </w:p>
    <w:p>
      <w:pPr>
        <w:spacing w:line="360" w:lineRule="auto"/>
        <w:jc w:val="center"/>
        <w:rPr>
          <w:rFonts w:ascii="宋体" w:hAnsi="宋体"/>
          <w:b/>
          <w:sz w:val="32"/>
          <w:szCs w:val="36"/>
          <w:highlight w:val="none"/>
        </w:rPr>
      </w:pPr>
      <w:bookmarkStart w:id="258" w:name="_Toc2620_WPSOffice_Level2"/>
      <w:r>
        <w:rPr>
          <w:rFonts w:hint="eastAsia" w:ascii="宋体" w:hAnsi="宋体"/>
          <w:b/>
          <w:sz w:val="32"/>
          <w:szCs w:val="36"/>
          <w:highlight w:val="none"/>
        </w:rPr>
        <w:t>磋商最终报价表</w:t>
      </w:r>
      <w:bookmarkEnd w:id="258"/>
    </w:p>
    <w:p>
      <w:pPr>
        <w:spacing w:line="360" w:lineRule="auto"/>
        <w:rPr>
          <w:rFonts w:ascii="宋体" w:hAnsi="宋体"/>
          <w:b/>
          <w:sz w:val="28"/>
          <w:szCs w:val="28"/>
          <w:highlight w:val="none"/>
        </w:rPr>
      </w:pPr>
      <w:r>
        <w:rPr>
          <w:rFonts w:hint="eastAsia" w:ascii="宋体" w:hAnsi="宋体"/>
          <w:b/>
          <w:sz w:val="24"/>
          <w:szCs w:val="28"/>
          <w:highlight w:val="none"/>
        </w:rPr>
        <w:t xml:space="preserve">磋商供应商名称： </w:t>
      </w:r>
      <w:r>
        <w:rPr>
          <w:rFonts w:hint="eastAsia" w:ascii="宋体" w:hAnsi="宋体"/>
          <w:b/>
          <w:sz w:val="28"/>
          <w:szCs w:val="28"/>
          <w:highlight w:val="none"/>
        </w:rPr>
        <w:t xml:space="preserve">                                       </w:t>
      </w:r>
      <w:r>
        <w:rPr>
          <w:rFonts w:hint="eastAsia" w:ascii="宋体" w:hAnsi="宋体"/>
          <w:b/>
          <w:sz w:val="24"/>
          <w:highlight w:val="none"/>
        </w:rPr>
        <w:t>单位：元</w:t>
      </w:r>
    </w:p>
    <w:tbl>
      <w:tblPr>
        <w:tblStyle w:val="27"/>
        <w:tblW w:w="0" w:type="auto"/>
        <w:jc w:val="center"/>
        <w:tblLayout w:type="fixed"/>
        <w:tblCellMar>
          <w:top w:w="0" w:type="dxa"/>
          <w:left w:w="108" w:type="dxa"/>
          <w:bottom w:w="0" w:type="dxa"/>
          <w:right w:w="108" w:type="dxa"/>
        </w:tblCellMar>
      </w:tblPr>
      <w:tblGrid>
        <w:gridCol w:w="2534"/>
        <w:gridCol w:w="3188"/>
        <w:gridCol w:w="2129"/>
        <w:gridCol w:w="1685"/>
      </w:tblGrid>
      <w:tr>
        <w:tblPrEx>
          <w:tblCellMar>
            <w:top w:w="0" w:type="dxa"/>
            <w:left w:w="108" w:type="dxa"/>
            <w:bottom w:w="0" w:type="dxa"/>
            <w:right w:w="108" w:type="dxa"/>
          </w:tblCellMar>
        </w:tblPrEx>
        <w:trPr>
          <w:trHeight w:val="699" w:hRule="atLeast"/>
          <w:jc w:val="center"/>
        </w:trPr>
        <w:tc>
          <w:tcPr>
            <w:tcW w:w="253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sz w:val="24"/>
                <w:highlight w:val="none"/>
                <w:lang w:val="zh-CN"/>
              </w:rPr>
            </w:pPr>
            <w:r>
              <w:rPr>
                <w:rFonts w:ascii="Arial" w:hAnsi="Arial" w:cs="Arial"/>
                <w:bCs/>
                <w:sz w:val="24"/>
                <w:highlight w:val="none"/>
                <w:lang w:val="zh-CN"/>
              </w:rPr>
              <w:t>项目名称</w:t>
            </w:r>
          </w:p>
        </w:tc>
        <w:tc>
          <w:tcPr>
            <w:tcW w:w="318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ind w:firstLine="482"/>
              <w:jc w:val="center"/>
              <w:rPr>
                <w:rFonts w:ascii="Arial" w:hAnsi="Arial" w:cs="Arial"/>
                <w:highlight w:val="none"/>
                <w:lang w:val="zh-CN"/>
              </w:rPr>
            </w:pPr>
            <w:r>
              <w:rPr>
                <w:rFonts w:ascii="Arial" w:hAnsi="Arial" w:cs="Arial"/>
                <w:bCs/>
                <w:sz w:val="24"/>
                <w:highlight w:val="none"/>
                <w:lang w:val="zh-CN"/>
              </w:rPr>
              <w:t>投标报价</w:t>
            </w:r>
          </w:p>
        </w:tc>
        <w:tc>
          <w:tcPr>
            <w:tcW w:w="212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bCs/>
                <w:sz w:val="24"/>
                <w:highlight w:val="none"/>
                <w:lang w:val="zh-CN"/>
              </w:rPr>
            </w:pPr>
            <w:r>
              <w:rPr>
                <w:rFonts w:hint="eastAsia" w:ascii="Arial" w:hAnsi="Arial" w:cs="Arial"/>
                <w:bCs/>
                <w:sz w:val="24"/>
                <w:highlight w:val="none"/>
                <w:lang w:val="zh-CN"/>
              </w:rPr>
              <w:t>服务</w:t>
            </w:r>
            <w:r>
              <w:rPr>
                <w:rFonts w:ascii="Arial" w:hAnsi="Arial" w:cs="Arial"/>
                <w:bCs/>
                <w:sz w:val="24"/>
                <w:highlight w:val="none"/>
                <w:lang w:val="zh-CN"/>
              </w:rPr>
              <w:t>期</w:t>
            </w:r>
          </w:p>
          <w:p>
            <w:pPr>
              <w:autoSpaceDE w:val="0"/>
              <w:autoSpaceDN w:val="0"/>
              <w:spacing w:line="360" w:lineRule="auto"/>
              <w:jc w:val="center"/>
              <w:rPr>
                <w:rFonts w:hint="eastAsia" w:ascii="Arial" w:hAnsi="Arial" w:cs="Arial"/>
                <w:sz w:val="24"/>
                <w:highlight w:val="none"/>
                <w:lang w:val="zh-CN"/>
              </w:rPr>
            </w:pPr>
            <w:r>
              <w:rPr>
                <w:rFonts w:ascii="Arial" w:hAnsi="Arial" w:cs="Arial"/>
                <w:bCs/>
                <w:sz w:val="24"/>
                <w:highlight w:val="none"/>
                <w:lang w:val="zh-CN"/>
              </w:rPr>
              <w:t>（日历日）</w:t>
            </w:r>
          </w:p>
        </w:tc>
        <w:tc>
          <w:tcPr>
            <w:tcW w:w="168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highlight w:val="none"/>
                <w:lang w:val="zh-CN"/>
              </w:rPr>
            </w:pPr>
            <w:r>
              <w:rPr>
                <w:rFonts w:ascii="Arial" w:hAnsi="Arial" w:cs="Arial"/>
                <w:bCs/>
                <w:sz w:val="24"/>
                <w:highlight w:val="none"/>
                <w:lang w:val="zh-CN"/>
              </w:rPr>
              <w:t>备注</w:t>
            </w:r>
          </w:p>
        </w:tc>
      </w:tr>
      <w:tr>
        <w:tblPrEx>
          <w:tblCellMar>
            <w:top w:w="0" w:type="dxa"/>
            <w:left w:w="108" w:type="dxa"/>
            <w:bottom w:w="0" w:type="dxa"/>
            <w:right w:w="108" w:type="dxa"/>
          </w:tblCellMar>
        </w:tblPrEx>
        <w:trPr>
          <w:trHeight w:val="555" w:hRule="atLeast"/>
          <w:jc w:val="center"/>
        </w:trPr>
        <w:tc>
          <w:tcPr>
            <w:tcW w:w="2534" w:type="dxa"/>
            <w:vMerge w:val="restart"/>
            <w:tcBorders>
              <w:top w:val="single" w:color="000000" w:sz="6" w:space="0"/>
              <w:left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highlight w:val="none"/>
                <w:lang w:val="zh-CN"/>
              </w:rPr>
            </w:pPr>
          </w:p>
        </w:tc>
        <w:tc>
          <w:tcPr>
            <w:tcW w:w="318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rPr>
                <w:rFonts w:ascii="Arial" w:hAnsi="Arial" w:cs="Arial"/>
                <w:highlight w:val="none"/>
                <w:lang w:val="zh-CN"/>
              </w:rPr>
            </w:pPr>
            <w:r>
              <w:rPr>
                <w:rFonts w:ascii="Arial" w:hAnsi="Arial" w:cs="Arial"/>
                <w:bCs/>
                <w:sz w:val="24"/>
                <w:highlight w:val="none"/>
                <w:lang w:val="zh-CN"/>
              </w:rPr>
              <w:t>大写：</w:t>
            </w:r>
          </w:p>
        </w:tc>
        <w:tc>
          <w:tcPr>
            <w:tcW w:w="2129" w:type="dxa"/>
            <w:vMerge w:val="restart"/>
            <w:tcBorders>
              <w:top w:val="single" w:color="000000" w:sz="6" w:space="0"/>
              <w:left w:val="single" w:color="000000" w:sz="6" w:space="0"/>
              <w:right w:val="single" w:color="000000" w:sz="6" w:space="0"/>
            </w:tcBorders>
            <w:shd w:val="clear" w:color="000000" w:fill="FFFFFF"/>
            <w:noWrap w:val="0"/>
            <w:vAlign w:val="center"/>
          </w:tcPr>
          <w:p>
            <w:pPr>
              <w:autoSpaceDE w:val="0"/>
              <w:autoSpaceDN w:val="0"/>
              <w:spacing w:line="360" w:lineRule="auto"/>
              <w:ind w:firstLine="197"/>
              <w:jc w:val="center"/>
              <w:rPr>
                <w:rFonts w:ascii="Arial" w:hAnsi="Arial" w:cs="Arial"/>
                <w:highlight w:val="none"/>
                <w:lang w:val="zh-CN"/>
              </w:rPr>
            </w:pPr>
          </w:p>
        </w:tc>
        <w:tc>
          <w:tcPr>
            <w:tcW w:w="1685" w:type="dxa"/>
            <w:vMerge w:val="restart"/>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highlight w:val="none"/>
                <w:lang w:val="zh-CN"/>
              </w:rPr>
            </w:pPr>
          </w:p>
        </w:tc>
      </w:tr>
      <w:tr>
        <w:tblPrEx>
          <w:tblCellMar>
            <w:top w:w="0" w:type="dxa"/>
            <w:left w:w="108" w:type="dxa"/>
            <w:bottom w:w="0" w:type="dxa"/>
            <w:right w:w="108" w:type="dxa"/>
          </w:tblCellMar>
        </w:tblPrEx>
        <w:trPr>
          <w:trHeight w:val="577" w:hRule="atLeast"/>
          <w:jc w:val="center"/>
        </w:trPr>
        <w:tc>
          <w:tcPr>
            <w:tcW w:w="2534" w:type="dxa"/>
            <w:vMerge w:val="continue"/>
            <w:tcBorders>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highlight w:val="none"/>
                <w:lang w:val="zh-CN"/>
              </w:rPr>
            </w:pPr>
          </w:p>
        </w:tc>
        <w:tc>
          <w:tcPr>
            <w:tcW w:w="318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rPr>
                <w:rFonts w:ascii="Arial" w:hAnsi="Arial" w:cs="Arial"/>
                <w:highlight w:val="none"/>
                <w:lang w:val="zh-CN"/>
              </w:rPr>
            </w:pPr>
            <w:r>
              <w:rPr>
                <w:rFonts w:ascii="Arial" w:hAnsi="Arial" w:cs="Arial"/>
                <w:bCs/>
                <w:sz w:val="24"/>
                <w:highlight w:val="none"/>
                <w:lang w:val="zh-CN"/>
              </w:rPr>
              <w:t>小写：</w:t>
            </w:r>
          </w:p>
        </w:tc>
        <w:tc>
          <w:tcPr>
            <w:tcW w:w="2129" w:type="dxa"/>
            <w:vMerge w:val="continue"/>
            <w:tcBorders>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highlight w:val="none"/>
                <w:lang w:val="zh-CN"/>
              </w:rPr>
            </w:pPr>
          </w:p>
        </w:tc>
        <w:tc>
          <w:tcPr>
            <w:tcW w:w="1685" w:type="dxa"/>
            <w:vMerge w:val="continue"/>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pPr>
              <w:autoSpaceDE w:val="0"/>
              <w:autoSpaceDN w:val="0"/>
              <w:spacing w:line="360" w:lineRule="auto"/>
              <w:jc w:val="center"/>
              <w:rPr>
                <w:rFonts w:ascii="Arial" w:hAnsi="Arial" w:cs="Arial"/>
                <w:highlight w:val="none"/>
                <w:lang w:val="zh-CN"/>
              </w:rPr>
            </w:pPr>
          </w:p>
        </w:tc>
      </w:tr>
      <w:tr>
        <w:tblPrEx>
          <w:tblCellMar>
            <w:top w:w="0" w:type="dxa"/>
            <w:left w:w="108" w:type="dxa"/>
            <w:bottom w:w="0" w:type="dxa"/>
            <w:right w:w="108" w:type="dxa"/>
          </w:tblCellMar>
        </w:tblPrEx>
        <w:trPr>
          <w:trHeight w:val="1283" w:hRule="atLeast"/>
          <w:jc w:val="center"/>
        </w:trPr>
        <w:tc>
          <w:tcPr>
            <w:tcW w:w="9536" w:type="dxa"/>
            <w:gridSpan w:val="4"/>
            <w:tcBorders>
              <w:top w:val="single" w:color="000000" w:sz="6" w:space="0"/>
              <w:left w:val="single" w:color="000000" w:sz="6" w:space="0"/>
              <w:bottom w:val="single" w:color="000000" w:sz="6" w:space="0"/>
              <w:right w:val="single" w:color="000000" w:sz="6" w:space="0"/>
            </w:tcBorders>
            <w:shd w:val="clear" w:color="000000" w:fill="FFFFFF"/>
            <w:noWrap w:val="0"/>
            <w:vAlign w:val="top"/>
          </w:tcPr>
          <w:p>
            <w:pPr>
              <w:autoSpaceDE w:val="0"/>
              <w:autoSpaceDN w:val="0"/>
              <w:spacing w:line="360" w:lineRule="auto"/>
              <w:rPr>
                <w:rFonts w:ascii="Arial" w:hAnsi="Arial" w:cs="Arial"/>
                <w:highlight w:val="none"/>
                <w:lang w:val="zh-CN"/>
              </w:rPr>
            </w:pPr>
            <w:r>
              <w:rPr>
                <w:rFonts w:ascii="Arial" w:hAnsi="Arial" w:cs="Arial"/>
                <w:bCs/>
                <w:sz w:val="24"/>
                <w:highlight w:val="none"/>
                <w:lang w:val="zh-CN"/>
              </w:rPr>
              <w:t>优惠承诺及其他：</w:t>
            </w:r>
          </w:p>
        </w:tc>
      </w:tr>
    </w:tbl>
    <w:p>
      <w:pPr>
        <w:spacing w:line="360" w:lineRule="auto"/>
        <w:rPr>
          <w:rFonts w:hint="eastAsia" w:ascii="宋体" w:hAnsi="宋体" w:eastAsia="宋体" w:cs="宋体"/>
          <w:b/>
          <w:bCs/>
          <w:kern w:val="2"/>
          <w:sz w:val="24"/>
          <w:szCs w:val="24"/>
          <w:highlight w:val="none"/>
        </w:rPr>
      </w:pPr>
      <w:r>
        <w:rPr>
          <w:rFonts w:hint="eastAsia" w:ascii="宋体" w:hAnsi="宋体" w:eastAsia="宋体" w:cs="宋体"/>
          <w:b/>
          <w:bCs/>
          <w:kern w:val="2"/>
          <w:sz w:val="24"/>
          <w:szCs w:val="24"/>
          <w:highlight w:val="none"/>
        </w:rPr>
        <w:t>注：此表不需填写在磋商响应文件中。在磋商期间，由磋商小组确定合格的磋商供应商线上提交，磋商供应商须在固定电脑设备前登陆等待磋商最终报价，磋商供应商须在规定的时间内完成，如超时，则视为无效投标。</w:t>
      </w:r>
    </w:p>
    <w:p>
      <w:pPr>
        <w:spacing w:line="360" w:lineRule="auto"/>
        <w:ind w:firstLine="482" w:firstLineChars="200"/>
        <w:jc w:val="left"/>
        <w:rPr>
          <w:rFonts w:hint="eastAsia" w:ascii="宋体" w:hAnsi="宋体" w:eastAsia="宋体" w:cs="宋体"/>
          <w:b/>
          <w:sz w:val="24"/>
          <w:szCs w:val="24"/>
          <w:highlight w:val="none"/>
        </w:rPr>
      </w:pPr>
    </w:p>
    <w:p>
      <w:pPr>
        <w:tabs>
          <w:tab w:val="left" w:pos="168"/>
        </w:tabs>
        <w:adjustRightInd w:val="0"/>
        <w:spacing w:line="360" w:lineRule="auto"/>
        <w:textAlignment w:val="baseline"/>
        <w:rPr>
          <w:rFonts w:ascii="宋体" w:hAnsi="宋体"/>
          <w:b/>
          <w:bCs/>
          <w:sz w:val="28"/>
          <w:highlight w:val="none"/>
        </w:rPr>
      </w:pPr>
    </w:p>
    <w:p>
      <w:pPr>
        <w:tabs>
          <w:tab w:val="left" w:pos="168"/>
        </w:tabs>
        <w:adjustRightInd w:val="0"/>
        <w:spacing w:line="360" w:lineRule="auto"/>
        <w:textAlignment w:val="baseline"/>
        <w:rPr>
          <w:rFonts w:ascii="宋体" w:hAnsi="宋体"/>
          <w:b/>
          <w:bCs/>
          <w:sz w:val="28"/>
          <w:highlight w:val="none"/>
        </w:rPr>
      </w:pPr>
    </w:p>
    <w:p>
      <w:pPr>
        <w:tabs>
          <w:tab w:val="left" w:pos="168"/>
        </w:tabs>
        <w:adjustRightInd w:val="0"/>
        <w:spacing w:line="360" w:lineRule="auto"/>
        <w:textAlignment w:val="baseline"/>
        <w:rPr>
          <w:rFonts w:ascii="宋体" w:hAnsi="宋体"/>
          <w:b/>
          <w:bCs/>
          <w:sz w:val="28"/>
          <w:highlight w:val="none"/>
        </w:rPr>
      </w:pPr>
    </w:p>
    <w:p>
      <w:pPr>
        <w:tabs>
          <w:tab w:val="left" w:pos="168"/>
        </w:tabs>
        <w:adjustRightInd w:val="0"/>
        <w:spacing w:line="360" w:lineRule="auto"/>
        <w:textAlignment w:val="baseline"/>
        <w:rPr>
          <w:rFonts w:ascii="宋体" w:hAnsi="宋体"/>
          <w:b/>
          <w:bCs/>
          <w:sz w:val="28"/>
          <w:highlight w:val="none"/>
        </w:rPr>
      </w:pPr>
    </w:p>
    <w:p>
      <w:pPr>
        <w:tabs>
          <w:tab w:val="left" w:pos="168"/>
        </w:tabs>
        <w:adjustRightInd w:val="0"/>
        <w:spacing w:line="360" w:lineRule="auto"/>
        <w:textAlignment w:val="baseline"/>
        <w:rPr>
          <w:rFonts w:hint="eastAsia" w:ascii="宋体" w:hAnsi="宋体"/>
          <w:bCs/>
          <w:sz w:val="28"/>
          <w:szCs w:val="28"/>
          <w:highlight w:val="none"/>
        </w:rPr>
      </w:pP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 xml:space="preserve">磋商供应商：     </w:t>
      </w:r>
      <w:r>
        <w:rPr>
          <w:rFonts w:ascii="宋体" w:hAnsi="宋体"/>
          <w:bCs/>
          <w:sz w:val="24"/>
          <w:szCs w:val="28"/>
          <w:highlight w:val="none"/>
        </w:rPr>
        <w:t xml:space="preserve">      </w:t>
      </w:r>
      <w:r>
        <w:rPr>
          <w:rFonts w:hint="eastAsia" w:ascii="宋体" w:hAnsi="宋体"/>
          <w:bCs/>
          <w:sz w:val="24"/>
          <w:szCs w:val="28"/>
          <w:highlight w:val="none"/>
        </w:rPr>
        <w:t xml:space="preserve">        （公章）</w:t>
      </w:r>
    </w:p>
    <w:p>
      <w:pPr>
        <w:tabs>
          <w:tab w:val="left" w:pos="168"/>
        </w:tabs>
        <w:adjustRightInd w:val="0"/>
        <w:spacing w:line="360" w:lineRule="auto"/>
        <w:jc w:val="right"/>
        <w:textAlignment w:val="baseline"/>
        <w:rPr>
          <w:rFonts w:ascii="宋体" w:hAnsi="宋体"/>
          <w:bCs/>
          <w:sz w:val="24"/>
          <w:szCs w:val="28"/>
          <w:highlight w:val="none"/>
        </w:rPr>
      </w:pPr>
      <w:r>
        <w:rPr>
          <w:rFonts w:hint="eastAsia" w:ascii="宋体" w:hAnsi="宋体"/>
          <w:bCs/>
          <w:sz w:val="24"/>
          <w:szCs w:val="28"/>
          <w:highlight w:val="none"/>
        </w:rPr>
        <w:t>委托代理人：                （签字）</w:t>
      </w:r>
    </w:p>
    <w:p>
      <w:pPr>
        <w:tabs>
          <w:tab w:val="left" w:pos="168"/>
        </w:tabs>
        <w:adjustRightInd w:val="0"/>
        <w:spacing w:line="360" w:lineRule="auto"/>
        <w:jc w:val="right"/>
        <w:textAlignment w:val="baseline"/>
        <w:rPr>
          <w:rFonts w:hint="eastAsia" w:ascii="宋体" w:hAnsi="宋体"/>
          <w:bCs/>
          <w:sz w:val="24"/>
          <w:szCs w:val="28"/>
          <w:highlight w:val="none"/>
        </w:rPr>
      </w:pPr>
      <w:r>
        <w:rPr>
          <w:rFonts w:hint="eastAsia" w:ascii="宋体" w:hAnsi="宋体"/>
          <w:bCs/>
          <w:sz w:val="24"/>
          <w:szCs w:val="28"/>
          <w:highlight w:val="none"/>
        </w:rPr>
        <w:t xml:space="preserve">日期：  </w:t>
      </w:r>
      <w:r>
        <w:rPr>
          <w:rFonts w:ascii="宋体" w:hAnsi="宋体"/>
          <w:bCs/>
          <w:sz w:val="24"/>
          <w:szCs w:val="28"/>
          <w:highlight w:val="none"/>
        </w:rPr>
        <w:t xml:space="preserve">      </w:t>
      </w:r>
      <w:r>
        <w:rPr>
          <w:rFonts w:hint="eastAsia" w:ascii="宋体" w:hAnsi="宋体"/>
          <w:bCs/>
          <w:sz w:val="24"/>
          <w:szCs w:val="28"/>
          <w:highlight w:val="none"/>
        </w:rPr>
        <w:t xml:space="preserve">  年   月  </w:t>
      </w:r>
    </w:p>
    <w:p>
      <w:pPr>
        <w:tabs>
          <w:tab w:val="left" w:pos="168"/>
        </w:tabs>
        <w:adjustRightInd w:val="0"/>
        <w:spacing w:line="360" w:lineRule="auto"/>
        <w:jc w:val="right"/>
        <w:textAlignment w:val="baseline"/>
        <w:rPr>
          <w:rFonts w:hint="eastAsia" w:ascii="宋体" w:hAnsi="宋体"/>
          <w:bCs/>
          <w:sz w:val="24"/>
          <w:szCs w:val="28"/>
          <w:highlight w:val="none"/>
        </w:rPr>
      </w:pPr>
    </w:p>
    <w:p>
      <w:pPr>
        <w:tabs>
          <w:tab w:val="left" w:pos="168"/>
        </w:tabs>
        <w:adjustRightInd w:val="0"/>
        <w:spacing w:line="360" w:lineRule="auto"/>
        <w:jc w:val="right"/>
        <w:textAlignment w:val="baseline"/>
        <w:rPr>
          <w:rFonts w:hint="eastAsia" w:ascii="宋体" w:hAnsi="宋体"/>
          <w:bCs/>
          <w:sz w:val="24"/>
          <w:szCs w:val="28"/>
          <w:highlight w:val="none"/>
        </w:rPr>
      </w:pPr>
    </w:p>
    <w:p>
      <w:pPr>
        <w:tabs>
          <w:tab w:val="left" w:pos="168"/>
        </w:tabs>
        <w:adjustRightInd w:val="0"/>
        <w:spacing w:line="360" w:lineRule="auto"/>
        <w:jc w:val="right"/>
        <w:textAlignment w:val="baseline"/>
        <w:rPr>
          <w:rFonts w:hint="eastAsia" w:ascii="宋体" w:hAnsi="宋体"/>
          <w:bCs/>
          <w:sz w:val="24"/>
          <w:szCs w:val="28"/>
          <w:highlight w:val="none"/>
        </w:rPr>
      </w:pPr>
    </w:p>
    <w:p>
      <w:pPr>
        <w:rPr>
          <w:rFonts w:hint="eastAsia"/>
          <w:b/>
          <w:sz w:val="36"/>
          <w:szCs w:val="36"/>
          <w:highlight w:val="none"/>
        </w:rPr>
      </w:pPr>
      <w:r>
        <w:rPr>
          <w:rFonts w:hint="eastAsia"/>
          <w:b/>
          <w:sz w:val="36"/>
          <w:szCs w:val="36"/>
          <w:highlight w:val="none"/>
        </w:rPr>
        <w:br w:type="page"/>
      </w:r>
    </w:p>
    <w:p>
      <w:pPr>
        <w:pStyle w:val="18"/>
        <w:spacing w:before="0" w:after="0" w:line="360" w:lineRule="auto"/>
        <w:outlineLvl w:val="0"/>
        <w:rPr>
          <w:rFonts w:hint="eastAsia" w:ascii="宋体" w:hAnsi="宋体"/>
          <w:sz w:val="48"/>
          <w:highlight w:val="none"/>
        </w:rPr>
      </w:pPr>
      <w:bookmarkStart w:id="259" w:name="_Toc15235"/>
      <w:bookmarkStart w:id="260" w:name="_Toc70"/>
      <w:r>
        <w:rPr>
          <w:rFonts w:hint="eastAsia" w:ascii="宋体" w:hAnsi="宋体"/>
          <w:sz w:val="48"/>
          <w:highlight w:val="none"/>
        </w:rPr>
        <w:t>第</w:t>
      </w:r>
      <w:r>
        <w:rPr>
          <w:rFonts w:hint="eastAsia" w:ascii="宋体" w:hAnsi="宋体"/>
          <w:sz w:val="48"/>
          <w:highlight w:val="none"/>
          <w:lang w:eastAsia="zh-CN"/>
        </w:rPr>
        <w:t>六</w:t>
      </w:r>
      <w:r>
        <w:rPr>
          <w:rFonts w:hint="eastAsia" w:ascii="宋体" w:hAnsi="宋体"/>
          <w:sz w:val="48"/>
          <w:highlight w:val="none"/>
        </w:rPr>
        <w:t>部分  磋商及采购项目要求</w:t>
      </w:r>
      <w:bookmarkEnd w:id="259"/>
      <w:bookmarkEnd w:id="260"/>
    </w:p>
    <w:p>
      <w:pPr>
        <w:widowControl/>
        <w:ind w:firstLine="0" w:firstLineChars="0"/>
        <w:outlineLvl w:val="2"/>
        <w:rPr>
          <w:rFonts w:hint="eastAsia" w:ascii="宋体"/>
          <w:b/>
          <w:kern w:val="28"/>
          <w:sz w:val="36"/>
          <w:szCs w:val="20"/>
        </w:rPr>
      </w:pPr>
    </w:p>
    <w:p>
      <w:pPr>
        <w:widowControl/>
        <w:spacing w:before="100" w:beforeAutospacing="1" w:after="100" w:afterAutospacing="1"/>
        <w:ind w:firstLine="0" w:firstLineChars="0"/>
        <w:jc w:val="left"/>
        <w:outlineLvl w:val="2"/>
        <w:rPr>
          <w:rFonts w:hint="eastAsia" w:ascii="宋体" w:hAnsi="宋体"/>
          <w:b/>
          <w:bCs/>
          <w:kern w:val="0"/>
          <w:sz w:val="27"/>
          <w:szCs w:val="27"/>
        </w:rPr>
      </w:pPr>
      <w:bookmarkStart w:id="261" w:name="_Toc376936784"/>
      <w:bookmarkStart w:id="262" w:name="_Toc325726053"/>
      <w:bookmarkStart w:id="263" w:name="_Toc461529388"/>
      <w:r>
        <w:rPr>
          <w:rFonts w:hint="eastAsia"/>
          <w:b/>
          <w:sz w:val="28"/>
          <w:szCs w:val="28"/>
        </w:rPr>
        <w:t xml:space="preserve"> </w:t>
      </w:r>
      <w:bookmarkEnd w:id="261"/>
      <w:bookmarkEnd w:id="262"/>
      <w:bookmarkEnd w:id="263"/>
      <w:bookmarkStart w:id="264" w:name="_Toc17422"/>
      <w:bookmarkStart w:id="265" w:name="_Toc19145"/>
      <w:bookmarkStart w:id="266" w:name="_Toc12061"/>
      <w:bookmarkStart w:id="267" w:name="_Toc474156782"/>
      <w:bookmarkStart w:id="268" w:name="_Toc16644"/>
      <w:r>
        <w:rPr>
          <w:rFonts w:hint="eastAsia" w:ascii="宋体" w:hAnsi="宋体"/>
          <w:b/>
          <w:bCs/>
          <w:kern w:val="0"/>
          <w:sz w:val="27"/>
          <w:szCs w:val="27"/>
        </w:rPr>
        <w:t>1.投标说明</w:t>
      </w:r>
      <w:bookmarkEnd w:id="264"/>
      <w:bookmarkEnd w:id="265"/>
      <w:bookmarkEnd w:id="266"/>
      <w:bookmarkEnd w:id="267"/>
      <w:bookmarkEnd w:id="268"/>
    </w:p>
    <w:p>
      <w:pPr>
        <w:autoSpaceDE w:val="0"/>
        <w:autoSpaceDN w:val="0"/>
        <w:spacing w:line="360" w:lineRule="auto"/>
        <w:ind w:firstLine="480" w:firstLineChars="200"/>
        <w:jc w:val="left"/>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 xml:space="preserve">1.1 </w:t>
      </w:r>
      <w:r>
        <w:rPr>
          <w:rFonts w:hint="eastAsia" w:ascii="宋体" w:hAnsi="宋体" w:cs="宋体"/>
          <w:kern w:val="0"/>
          <w:sz w:val="24"/>
          <w:highlight w:val="none"/>
          <w:lang w:val="en-US" w:eastAsia="zh-CN"/>
        </w:rPr>
        <w:tab/>
      </w:r>
      <w:r>
        <w:rPr>
          <w:rFonts w:hint="eastAsia" w:ascii="宋体" w:hAnsi="宋体" w:cs="宋体"/>
          <w:kern w:val="0"/>
          <w:sz w:val="24"/>
          <w:highlight w:val="none"/>
          <w:lang w:val="en-US" w:eastAsia="zh-CN"/>
        </w:rPr>
        <w:t>投标人必须对磋商文件采购一览表中所有内容作为一个整体进行投标，不能拆分或少报。</w:t>
      </w:r>
    </w:p>
    <w:p>
      <w:pPr>
        <w:autoSpaceDE w:val="0"/>
        <w:autoSpaceDN w:val="0"/>
        <w:spacing w:line="360" w:lineRule="auto"/>
        <w:ind w:firstLine="480" w:firstLineChars="200"/>
        <w:jc w:val="left"/>
        <w:rPr>
          <w:rFonts w:hint="eastAsia" w:ascii="宋体" w:hAnsi="宋体" w:cs="宋体"/>
          <w:kern w:val="0"/>
          <w:sz w:val="24"/>
          <w:highlight w:val="none"/>
          <w:lang w:val="zh-CN" w:eastAsia="zh-CN"/>
        </w:rPr>
      </w:pPr>
      <w:bookmarkStart w:id="269" w:name="_Toc14082"/>
      <w:bookmarkStart w:id="270" w:name="_Toc11887"/>
      <w:bookmarkStart w:id="271" w:name="_Toc30854"/>
      <w:r>
        <w:rPr>
          <w:rFonts w:hint="eastAsia" w:ascii="宋体" w:hAnsi="宋体" w:cs="宋体"/>
          <w:kern w:val="0"/>
          <w:sz w:val="24"/>
          <w:highlight w:val="none"/>
          <w:lang w:val="en-US" w:eastAsia="zh-CN"/>
        </w:rPr>
        <w:t>1.2投标报价为投标总价。必须包括：</w:t>
      </w:r>
      <w:r>
        <w:rPr>
          <w:rFonts w:hint="eastAsia" w:ascii="宋体" w:hAnsi="宋体" w:cs="宋体"/>
          <w:kern w:val="0"/>
          <w:sz w:val="24"/>
          <w:highlight w:val="none"/>
          <w:lang w:val="zh-CN" w:eastAsia="zh-CN"/>
        </w:rPr>
        <w:t>人员工资、交通、通讯、设备、利润、税收、招标代理费以及所有有关的管理成本和其他不可预见费等全部费用。</w:t>
      </w:r>
      <w:bookmarkEnd w:id="269"/>
      <w:bookmarkEnd w:id="270"/>
      <w:bookmarkEnd w:id="271"/>
      <w:bookmarkStart w:id="272" w:name="_Toc474156783"/>
      <w:bookmarkStart w:id="273" w:name="_Toc376936785"/>
      <w:bookmarkStart w:id="274" w:name="_Toc14487"/>
      <w:bookmarkStart w:id="275" w:name="_Toc325726054"/>
    </w:p>
    <w:p>
      <w:pPr>
        <w:widowControl/>
        <w:numPr>
          <w:ilvl w:val="0"/>
          <w:numId w:val="36"/>
        </w:numPr>
        <w:spacing w:before="100" w:beforeAutospacing="1" w:after="100" w:afterAutospacing="1"/>
        <w:ind w:firstLine="0" w:firstLineChars="0"/>
        <w:jc w:val="left"/>
        <w:outlineLvl w:val="2"/>
        <w:rPr>
          <w:rFonts w:hint="eastAsia" w:ascii="宋体" w:hAnsi="宋体"/>
          <w:b/>
          <w:bCs/>
          <w:kern w:val="0"/>
          <w:sz w:val="27"/>
          <w:szCs w:val="27"/>
        </w:rPr>
      </w:pPr>
      <w:bookmarkStart w:id="276" w:name="_Toc902"/>
      <w:bookmarkStart w:id="277" w:name="_Toc3677"/>
      <w:bookmarkStart w:id="278" w:name="_Toc30662"/>
      <w:r>
        <w:rPr>
          <w:rFonts w:hint="eastAsia" w:ascii="宋体" w:hAnsi="宋体"/>
          <w:b/>
          <w:bCs/>
          <w:kern w:val="0"/>
          <w:sz w:val="27"/>
          <w:szCs w:val="27"/>
        </w:rPr>
        <w:t>报价说明</w:t>
      </w:r>
      <w:bookmarkEnd w:id="272"/>
      <w:bookmarkEnd w:id="273"/>
      <w:bookmarkEnd w:id="274"/>
      <w:bookmarkEnd w:id="276"/>
      <w:bookmarkEnd w:id="277"/>
      <w:bookmarkEnd w:id="278"/>
    </w:p>
    <w:p>
      <w:pPr>
        <w:autoSpaceDE w:val="0"/>
        <w:autoSpaceDN w:val="0"/>
        <w:spacing w:line="360" w:lineRule="auto"/>
        <w:ind w:firstLine="480" w:firstLineChars="200"/>
        <w:jc w:val="left"/>
        <w:rPr>
          <w:rFonts w:hint="eastAsia" w:ascii="宋体" w:hAnsi="宋体" w:cs="宋体"/>
          <w:kern w:val="0"/>
          <w:sz w:val="24"/>
          <w:highlight w:val="none"/>
          <w:lang w:val="en-US" w:eastAsia="zh-CN"/>
        </w:rPr>
      </w:pPr>
      <w:bookmarkStart w:id="279" w:name="_Toc29591"/>
      <w:bookmarkStart w:id="280" w:name="_Toc21365"/>
      <w:bookmarkStart w:id="281" w:name="_Toc29569"/>
      <w:r>
        <w:rPr>
          <w:rFonts w:hint="eastAsia" w:ascii="宋体" w:hAnsi="宋体" w:cs="宋体"/>
          <w:kern w:val="0"/>
          <w:sz w:val="24"/>
          <w:highlight w:val="none"/>
          <w:lang w:val="en-US" w:eastAsia="zh-CN"/>
        </w:rPr>
        <w:t>本次磋商文件中规定的采购预算额度为招标最高限价，投标单位的投标报价不得超出此额度。否则，投标无效。</w:t>
      </w:r>
      <w:bookmarkEnd w:id="275"/>
      <w:bookmarkEnd w:id="279"/>
      <w:bookmarkEnd w:id="280"/>
      <w:bookmarkEnd w:id="281"/>
      <w:bookmarkStart w:id="282" w:name="_Toc486514512"/>
      <w:bookmarkStart w:id="283" w:name="_Toc486252154"/>
    </w:p>
    <w:p>
      <w:pPr>
        <w:pStyle w:val="24"/>
        <w:numPr>
          <w:ilvl w:val="0"/>
          <w:numId w:val="36"/>
        </w:numPr>
        <w:spacing w:line="360" w:lineRule="auto"/>
        <w:ind w:left="0" w:leftChars="0" w:firstLine="0" w:firstLineChars="0"/>
        <w:jc w:val="left"/>
        <w:rPr>
          <w:rFonts w:hint="eastAsia" w:ascii="宋体" w:hAnsi="宋体"/>
          <w:kern w:val="0"/>
          <w:sz w:val="27"/>
          <w:szCs w:val="27"/>
          <w:lang w:eastAsia="zh-CN"/>
        </w:rPr>
      </w:pPr>
      <w:bookmarkStart w:id="284" w:name="_Toc4380"/>
      <w:bookmarkStart w:id="285" w:name="_Toc12629"/>
      <w:r>
        <w:rPr>
          <w:rFonts w:hint="eastAsia" w:ascii="宋体" w:hAnsi="宋体"/>
          <w:kern w:val="0"/>
          <w:sz w:val="27"/>
          <w:szCs w:val="27"/>
          <w:lang w:eastAsia="zh-CN"/>
        </w:rPr>
        <w:t>商务要求</w:t>
      </w:r>
      <w:bookmarkEnd w:id="282"/>
      <w:bookmarkEnd w:id="283"/>
      <w:bookmarkEnd w:id="284"/>
      <w:bookmarkEnd w:id="285"/>
    </w:p>
    <w:p>
      <w:pPr>
        <w:autoSpaceDE w:val="0"/>
        <w:autoSpaceDN w:val="0"/>
        <w:spacing w:line="360" w:lineRule="auto"/>
        <w:ind w:firstLine="480" w:firstLineChars="200"/>
        <w:jc w:val="left"/>
        <w:rPr>
          <w:rFonts w:hint="eastAsia" w:ascii="宋体" w:hAnsi="宋体" w:cs="宋体"/>
          <w:kern w:val="0"/>
          <w:sz w:val="24"/>
          <w:highlight w:val="none"/>
          <w:lang w:val="zh-CN" w:eastAsia="zh-CN"/>
        </w:rPr>
      </w:pPr>
      <w:r>
        <w:rPr>
          <w:rFonts w:hint="eastAsia" w:ascii="宋体" w:hAnsi="宋体" w:cs="宋体"/>
          <w:kern w:val="0"/>
          <w:sz w:val="24"/>
          <w:highlight w:val="none"/>
          <w:lang w:val="en-US" w:eastAsia="zh-CN"/>
        </w:rPr>
        <w:t xml:space="preserve">3.1 </w:t>
      </w:r>
      <w:r>
        <w:rPr>
          <w:rFonts w:hint="eastAsia" w:ascii="宋体" w:hAnsi="宋体" w:cs="宋体"/>
          <w:kern w:val="0"/>
          <w:sz w:val="24"/>
          <w:highlight w:val="none"/>
          <w:lang w:val="zh-CN" w:eastAsia="zh-CN"/>
        </w:rPr>
        <w:t>服务地点：德令哈市</w:t>
      </w:r>
    </w:p>
    <w:p>
      <w:pPr>
        <w:autoSpaceDE w:val="0"/>
        <w:autoSpaceDN w:val="0"/>
        <w:spacing w:line="360" w:lineRule="auto"/>
        <w:ind w:firstLine="480" w:firstLineChars="200"/>
        <w:jc w:val="left"/>
        <w:rPr>
          <w:rFonts w:hint="default" w:ascii="宋体" w:hAnsi="宋体" w:cs="宋体"/>
          <w:kern w:val="0"/>
          <w:sz w:val="24"/>
          <w:highlight w:val="none"/>
          <w:lang w:val="en-US" w:eastAsia="zh-CN"/>
        </w:rPr>
      </w:pPr>
      <w:r>
        <w:rPr>
          <w:rFonts w:hint="eastAsia" w:ascii="宋体" w:hAnsi="宋体" w:cs="宋体"/>
          <w:kern w:val="0"/>
          <w:sz w:val="24"/>
          <w:highlight w:val="none"/>
          <w:lang w:val="en-US" w:eastAsia="zh-CN"/>
        </w:rPr>
        <w:t xml:space="preserve">3.2 </w:t>
      </w:r>
      <w:r>
        <w:rPr>
          <w:rFonts w:hint="eastAsia" w:ascii="宋体" w:hAnsi="宋体" w:cs="宋体"/>
          <w:kern w:val="0"/>
          <w:sz w:val="24"/>
          <w:highlight w:val="none"/>
          <w:lang w:val="zh-CN" w:eastAsia="zh-CN"/>
        </w:rPr>
        <w:t>服务期：合同签订后30天内提交成果。</w:t>
      </w:r>
    </w:p>
    <w:p>
      <w:pPr>
        <w:pStyle w:val="24"/>
        <w:numPr>
          <w:ilvl w:val="0"/>
          <w:numId w:val="36"/>
        </w:numPr>
        <w:spacing w:line="360" w:lineRule="auto"/>
        <w:ind w:left="0" w:leftChars="0" w:firstLine="0" w:firstLineChars="0"/>
        <w:jc w:val="left"/>
        <w:rPr>
          <w:rFonts w:hint="eastAsia" w:ascii="宋体" w:hAnsi="宋体" w:eastAsia="宋体" w:cs="Times New Roman"/>
          <w:b w:val="0"/>
          <w:bCs/>
          <w:smallCaps/>
          <w:kern w:val="0"/>
          <w:sz w:val="27"/>
          <w:szCs w:val="27"/>
          <w:lang w:val="en-US" w:eastAsia="zh-CN"/>
        </w:rPr>
      </w:pPr>
      <w:bookmarkStart w:id="286" w:name="_Toc24480"/>
      <w:bookmarkStart w:id="287" w:name="_Toc8404"/>
      <w:r>
        <w:rPr>
          <w:rFonts w:hint="eastAsia" w:ascii="宋体" w:hAnsi="宋体" w:eastAsia="宋体" w:cs="Times New Roman"/>
          <w:b/>
          <w:smallCaps/>
          <w:kern w:val="0"/>
          <w:sz w:val="27"/>
          <w:szCs w:val="27"/>
          <w:lang w:val="en-US" w:eastAsia="zh-CN"/>
        </w:rPr>
        <w:t>服</w:t>
      </w:r>
      <w:r>
        <w:rPr>
          <w:rFonts w:hint="eastAsia" w:ascii="宋体" w:hAnsi="宋体" w:eastAsia="宋体" w:cs="Times New Roman"/>
          <w:b/>
          <w:bCs w:val="0"/>
          <w:smallCaps/>
          <w:kern w:val="0"/>
          <w:sz w:val="27"/>
          <w:szCs w:val="27"/>
          <w:lang w:val="en-US" w:eastAsia="zh-CN"/>
        </w:rPr>
        <w:t>务内容</w:t>
      </w:r>
      <w:bookmarkEnd w:id="286"/>
      <w:bookmarkEnd w:id="287"/>
    </w:p>
    <w:p>
      <w:pPr>
        <w:autoSpaceDE w:val="0"/>
        <w:autoSpaceDN w:val="0"/>
        <w:spacing w:line="360" w:lineRule="auto"/>
        <w:ind w:firstLine="480" w:firstLineChars="200"/>
        <w:jc w:val="left"/>
        <w:rPr>
          <w:rFonts w:hint="default" w:ascii="宋体" w:hAnsi="宋体" w:cs="宋体"/>
          <w:kern w:val="0"/>
          <w:sz w:val="24"/>
          <w:highlight w:val="none"/>
          <w:lang w:val="en-US" w:eastAsia="zh-CN"/>
        </w:rPr>
      </w:pPr>
      <w:r>
        <w:rPr>
          <w:rFonts w:hint="eastAsia" w:ascii="宋体" w:hAnsi="宋体" w:cs="宋体"/>
          <w:kern w:val="0"/>
          <w:sz w:val="24"/>
          <w:highlight w:val="none"/>
          <w:lang w:val="en-US" w:eastAsia="zh-CN"/>
        </w:rPr>
        <w:t>本项目采购内容为:德令哈市城区供水管网老化更新项目的</w:t>
      </w:r>
      <w:r>
        <w:rPr>
          <w:rFonts w:hint="default" w:ascii="宋体" w:hAnsi="宋体" w:cs="宋体"/>
          <w:kern w:val="0"/>
          <w:sz w:val="24"/>
          <w:highlight w:val="none"/>
          <w:lang w:val="en-US" w:eastAsia="zh-CN"/>
        </w:rPr>
        <w:t>初步设计、</w:t>
      </w:r>
      <w:r>
        <w:rPr>
          <w:rFonts w:hint="eastAsia" w:ascii="宋体" w:hAnsi="宋体" w:cs="宋体"/>
          <w:kern w:val="0"/>
          <w:sz w:val="24"/>
          <w:highlight w:val="none"/>
          <w:lang w:val="en-US" w:eastAsia="zh-CN"/>
        </w:rPr>
        <w:t>可行性研究报告等</w:t>
      </w:r>
      <w:r>
        <w:rPr>
          <w:rFonts w:hint="default" w:ascii="宋体" w:hAnsi="宋体" w:cs="宋体"/>
          <w:kern w:val="0"/>
          <w:sz w:val="24"/>
          <w:highlight w:val="none"/>
          <w:lang w:val="en-US" w:eastAsia="zh-CN"/>
        </w:rPr>
        <w:t>后期的技术服务等，成果质量符合国家及行业规范标准要求。</w:t>
      </w:r>
    </w:p>
    <w:p>
      <w:pPr>
        <w:pStyle w:val="25"/>
        <w:rPr>
          <w:rFonts w:hint="default"/>
          <w:lang w:val="en-US" w:eastAsia="zh-CN"/>
        </w:rPr>
      </w:pPr>
    </w:p>
    <w:p>
      <w:pPr>
        <w:pStyle w:val="24"/>
        <w:spacing w:before="0" w:after="0" w:line="360" w:lineRule="auto"/>
        <w:ind w:firstLine="723"/>
        <w:jc w:val="left"/>
        <w:outlineLvl w:val="9"/>
        <w:rPr>
          <w:highlight w:val="none"/>
        </w:rPr>
      </w:pPr>
    </w:p>
    <w:sectPr>
      <w:headerReference r:id="rId5" w:type="default"/>
      <w:footerReference r:id="rId6" w:type="default"/>
      <w:pgSz w:w="11906" w:h="16838"/>
      <w:pgMar w:top="1440" w:right="1800" w:bottom="1440" w:left="118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Calibri Light">
    <w:panose1 w:val="020F0302020204030204"/>
    <w:charset w:val="00"/>
    <w:family w:val="swiss"/>
    <w:pitch w:val="default"/>
    <w:sig w:usb0="A00002EF" w:usb1="4000207B" w:usb2="00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0" w:firstLineChars="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w:t>
                    </w:r>
                    <w:r>
                      <w:rPr>
                        <w:rFonts w:hint="eastAsia"/>
                        <w:sz w:val="1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1"/>
      </w:pBdr>
      <w:ind w:firstLine="0" w:firstLineChars="0"/>
      <w:rPr>
        <w:rFonts w:eastAsia="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A628D5"/>
    <w:multiLevelType w:val="singleLevel"/>
    <w:tmpl w:val="84A628D5"/>
    <w:lvl w:ilvl="0" w:tentative="0">
      <w:start w:val="2"/>
      <w:numFmt w:val="decimal"/>
      <w:lvlText w:val="%1."/>
      <w:lvlJc w:val="left"/>
      <w:pPr>
        <w:tabs>
          <w:tab w:val="left" w:pos="312"/>
        </w:tabs>
      </w:pPr>
    </w:lvl>
  </w:abstractNum>
  <w:abstractNum w:abstractNumId="1">
    <w:nsid w:val="005C669B"/>
    <w:multiLevelType w:val="multilevel"/>
    <w:tmpl w:val="005C669B"/>
    <w:lvl w:ilvl="0" w:tentative="0">
      <w:start w:val="1"/>
      <w:numFmt w:val="decimal"/>
      <w:lvlText w:val="（%1）"/>
      <w:lvlJc w:val="left"/>
      <w:pPr>
        <w:tabs>
          <w:tab w:val="left" w:pos="-1260"/>
        </w:tabs>
        <w:ind w:left="-219" w:hanging="420"/>
      </w:pPr>
      <w:rPr>
        <w:rFonts w:hint="default"/>
      </w:rPr>
    </w:lvl>
    <w:lvl w:ilvl="1" w:tentative="0">
      <w:start w:val="1"/>
      <w:numFmt w:val="lowerLetter"/>
      <w:lvlText w:val="%2)"/>
      <w:lvlJc w:val="left"/>
      <w:pPr>
        <w:tabs>
          <w:tab w:val="left" w:pos="-1260"/>
        </w:tabs>
        <w:ind w:left="201" w:hanging="420"/>
      </w:pPr>
    </w:lvl>
    <w:lvl w:ilvl="2" w:tentative="0">
      <w:start w:val="1"/>
      <w:numFmt w:val="lowerRoman"/>
      <w:lvlText w:val="%3."/>
      <w:lvlJc w:val="right"/>
      <w:pPr>
        <w:tabs>
          <w:tab w:val="left" w:pos="-1260"/>
        </w:tabs>
        <w:ind w:left="621" w:hanging="420"/>
      </w:pPr>
    </w:lvl>
    <w:lvl w:ilvl="3" w:tentative="0">
      <w:start w:val="1"/>
      <w:numFmt w:val="decimal"/>
      <w:lvlText w:val="%4."/>
      <w:lvlJc w:val="left"/>
      <w:pPr>
        <w:tabs>
          <w:tab w:val="left" w:pos="-1260"/>
        </w:tabs>
        <w:ind w:left="1041" w:hanging="420"/>
      </w:pPr>
    </w:lvl>
    <w:lvl w:ilvl="4" w:tentative="0">
      <w:start w:val="1"/>
      <w:numFmt w:val="lowerLetter"/>
      <w:lvlText w:val="%5)"/>
      <w:lvlJc w:val="left"/>
      <w:pPr>
        <w:tabs>
          <w:tab w:val="left" w:pos="-1260"/>
        </w:tabs>
        <w:ind w:left="1461" w:hanging="420"/>
      </w:pPr>
    </w:lvl>
    <w:lvl w:ilvl="5" w:tentative="0">
      <w:start w:val="1"/>
      <w:numFmt w:val="lowerRoman"/>
      <w:lvlText w:val="%6."/>
      <w:lvlJc w:val="right"/>
      <w:pPr>
        <w:tabs>
          <w:tab w:val="left" w:pos="-1260"/>
        </w:tabs>
        <w:ind w:left="1881" w:hanging="420"/>
      </w:pPr>
    </w:lvl>
    <w:lvl w:ilvl="6" w:tentative="0">
      <w:start w:val="1"/>
      <w:numFmt w:val="decimal"/>
      <w:lvlText w:val="%7."/>
      <w:lvlJc w:val="left"/>
      <w:pPr>
        <w:tabs>
          <w:tab w:val="left" w:pos="-1260"/>
        </w:tabs>
        <w:ind w:left="2301" w:hanging="420"/>
      </w:pPr>
    </w:lvl>
    <w:lvl w:ilvl="7" w:tentative="0">
      <w:start w:val="1"/>
      <w:numFmt w:val="lowerLetter"/>
      <w:lvlText w:val="%8)"/>
      <w:lvlJc w:val="left"/>
      <w:pPr>
        <w:tabs>
          <w:tab w:val="left" w:pos="-1260"/>
        </w:tabs>
        <w:ind w:left="2721" w:hanging="420"/>
      </w:pPr>
    </w:lvl>
    <w:lvl w:ilvl="8" w:tentative="0">
      <w:start w:val="1"/>
      <w:numFmt w:val="lowerRoman"/>
      <w:lvlText w:val="%9."/>
      <w:lvlJc w:val="right"/>
      <w:pPr>
        <w:tabs>
          <w:tab w:val="left" w:pos="-1260"/>
        </w:tabs>
        <w:ind w:left="3141" w:hanging="420"/>
      </w:pPr>
    </w:lvl>
  </w:abstractNum>
  <w:abstractNum w:abstractNumId="2">
    <w:nsid w:val="02400DDE"/>
    <w:multiLevelType w:val="multilevel"/>
    <w:tmpl w:val="02400DDE"/>
    <w:lvl w:ilvl="0" w:tentative="0">
      <w:start w:val="1"/>
      <w:numFmt w:val="decimal"/>
      <w:lvlText w:val="%1、"/>
      <w:lvlJc w:val="left"/>
      <w:pPr>
        <w:ind w:left="21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49"/>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4">
    <w:nsid w:val="084C0B88"/>
    <w:multiLevelType w:val="multilevel"/>
    <w:tmpl w:val="084C0B88"/>
    <w:lvl w:ilvl="0" w:tentative="0">
      <w:start w:val="1"/>
      <w:numFmt w:val="decimal"/>
      <w:lvlText w:val="%1."/>
      <w:lvlJc w:val="left"/>
      <w:pPr>
        <w:ind w:left="360" w:hanging="360"/>
      </w:pPr>
      <w:rPr>
        <w:rFonts w:hint="default"/>
        <w:b/>
      </w:rPr>
    </w:lvl>
    <w:lvl w:ilvl="1" w:tentative="0">
      <w:start w:val="1"/>
      <w:numFmt w:val="decimal"/>
      <w:isLgl/>
      <w:lvlText w:val="%1.%2"/>
      <w:lvlJc w:val="left"/>
      <w:pPr>
        <w:ind w:left="480" w:hanging="480"/>
      </w:pPr>
      <w:rPr>
        <w:rFonts w:hint="default"/>
        <w:b w:val="0"/>
      </w:rPr>
    </w:lvl>
    <w:lvl w:ilvl="2" w:tentative="0">
      <w:start w:val="1"/>
      <w:numFmt w:val="decimal"/>
      <w:isLgl/>
      <w:lvlText w:val="%1.%2.%3"/>
      <w:lvlJc w:val="left"/>
      <w:pPr>
        <w:ind w:left="720" w:hanging="720"/>
      </w:pPr>
      <w:rPr>
        <w:rFonts w:hint="default"/>
      </w:rPr>
    </w:lvl>
    <w:lvl w:ilvl="3" w:tentative="0">
      <w:start w:val="1"/>
      <w:numFmt w:val="decimal"/>
      <w:isLgl/>
      <w:lvlText w:val="%1.%2.%3.%4"/>
      <w:lvlJc w:val="left"/>
      <w:pPr>
        <w:ind w:left="1080" w:hanging="1080"/>
      </w:pPr>
      <w:rPr>
        <w:rFonts w:hint="default"/>
      </w:rPr>
    </w:lvl>
    <w:lvl w:ilvl="4" w:tentative="0">
      <w:start w:val="1"/>
      <w:numFmt w:val="decimal"/>
      <w:isLgl/>
      <w:lvlText w:val="%1.%2.%3.%4.%5"/>
      <w:lvlJc w:val="left"/>
      <w:pPr>
        <w:ind w:left="1080" w:hanging="1080"/>
      </w:pPr>
      <w:rPr>
        <w:rFonts w:hint="default"/>
      </w:rPr>
    </w:lvl>
    <w:lvl w:ilvl="5" w:tentative="0">
      <w:start w:val="1"/>
      <w:numFmt w:val="decimal"/>
      <w:isLgl/>
      <w:lvlText w:val="%1.%2.%3.%4.%5.%6"/>
      <w:lvlJc w:val="left"/>
      <w:pPr>
        <w:ind w:left="1440" w:hanging="1440"/>
      </w:pPr>
      <w:rPr>
        <w:rFonts w:hint="default"/>
      </w:rPr>
    </w:lvl>
    <w:lvl w:ilvl="6" w:tentative="0">
      <w:start w:val="1"/>
      <w:numFmt w:val="decimal"/>
      <w:isLgl/>
      <w:lvlText w:val="%1.%2.%3.%4.%5.%6.%7"/>
      <w:lvlJc w:val="left"/>
      <w:pPr>
        <w:ind w:left="1800" w:hanging="1800"/>
      </w:pPr>
      <w:rPr>
        <w:rFonts w:hint="default"/>
      </w:rPr>
    </w:lvl>
    <w:lvl w:ilvl="7" w:tentative="0">
      <w:start w:val="1"/>
      <w:numFmt w:val="decimal"/>
      <w:isLgl/>
      <w:lvlText w:val="%1.%2.%3.%4.%5.%6.%7.%8"/>
      <w:lvlJc w:val="left"/>
      <w:pPr>
        <w:ind w:left="1800" w:hanging="1800"/>
      </w:pPr>
      <w:rPr>
        <w:rFonts w:hint="default"/>
      </w:rPr>
    </w:lvl>
    <w:lvl w:ilvl="8" w:tentative="0">
      <w:start w:val="1"/>
      <w:numFmt w:val="decimal"/>
      <w:isLgl/>
      <w:lvlText w:val="%1.%2.%3.%4.%5.%6.%7.%8.%9"/>
      <w:lvlJc w:val="left"/>
      <w:pPr>
        <w:ind w:left="2160" w:hanging="2160"/>
      </w:pPr>
      <w:rPr>
        <w:rFonts w:hint="default"/>
      </w:rPr>
    </w:lvl>
  </w:abstractNum>
  <w:abstractNum w:abstractNumId="5">
    <w:nsid w:val="09372158"/>
    <w:multiLevelType w:val="multilevel"/>
    <w:tmpl w:val="09372158"/>
    <w:lvl w:ilvl="0" w:tentative="0">
      <w:start w:val="1"/>
      <w:numFmt w:val="decimal"/>
      <w:lvlText w:val="%1."/>
      <w:lvlJc w:val="left"/>
      <w:pPr>
        <w:ind w:left="1041" w:hanging="420"/>
      </w:pPr>
    </w:lvl>
    <w:lvl w:ilvl="1" w:tentative="0">
      <w:start w:val="1"/>
      <w:numFmt w:val="lowerLetter"/>
      <w:lvlText w:val="%2)"/>
      <w:lvlJc w:val="left"/>
      <w:pPr>
        <w:ind w:left="1461" w:hanging="420"/>
      </w:pPr>
    </w:lvl>
    <w:lvl w:ilvl="2" w:tentative="0">
      <w:start w:val="1"/>
      <w:numFmt w:val="lowerRoman"/>
      <w:lvlText w:val="%3."/>
      <w:lvlJc w:val="right"/>
      <w:pPr>
        <w:ind w:left="1881" w:hanging="420"/>
      </w:pPr>
    </w:lvl>
    <w:lvl w:ilvl="3" w:tentative="0">
      <w:start w:val="1"/>
      <w:numFmt w:val="decimal"/>
      <w:lvlText w:val="%4."/>
      <w:lvlJc w:val="left"/>
      <w:pPr>
        <w:ind w:left="2301" w:hanging="420"/>
      </w:pPr>
    </w:lvl>
    <w:lvl w:ilvl="4" w:tentative="0">
      <w:start w:val="1"/>
      <w:numFmt w:val="lowerLetter"/>
      <w:lvlText w:val="%5)"/>
      <w:lvlJc w:val="left"/>
      <w:pPr>
        <w:ind w:left="2721" w:hanging="420"/>
      </w:pPr>
    </w:lvl>
    <w:lvl w:ilvl="5" w:tentative="0">
      <w:start w:val="1"/>
      <w:numFmt w:val="lowerRoman"/>
      <w:lvlText w:val="%6."/>
      <w:lvlJc w:val="right"/>
      <w:pPr>
        <w:ind w:left="3141" w:hanging="420"/>
      </w:pPr>
    </w:lvl>
    <w:lvl w:ilvl="6" w:tentative="0">
      <w:start w:val="1"/>
      <w:numFmt w:val="decimal"/>
      <w:lvlText w:val="%7."/>
      <w:lvlJc w:val="left"/>
      <w:pPr>
        <w:ind w:left="3561" w:hanging="420"/>
      </w:pPr>
    </w:lvl>
    <w:lvl w:ilvl="7" w:tentative="0">
      <w:start w:val="1"/>
      <w:numFmt w:val="lowerLetter"/>
      <w:lvlText w:val="%8)"/>
      <w:lvlJc w:val="left"/>
      <w:pPr>
        <w:ind w:left="3981" w:hanging="420"/>
      </w:pPr>
    </w:lvl>
    <w:lvl w:ilvl="8" w:tentative="0">
      <w:start w:val="1"/>
      <w:numFmt w:val="lowerRoman"/>
      <w:lvlText w:val="%9."/>
      <w:lvlJc w:val="right"/>
      <w:pPr>
        <w:ind w:left="4401" w:hanging="420"/>
      </w:pPr>
    </w:lvl>
  </w:abstractNum>
  <w:abstractNum w:abstractNumId="6">
    <w:nsid w:val="0B143627"/>
    <w:multiLevelType w:val="multilevel"/>
    <w:tmpl w:val="0B143627"/>
    <w:lvl w:ilvl="0" w:tentative="0">
      <w:start w:val="1"/>
      <w:numFmt w:val="decimal"/>
      <w:lvlText w:val="%1)"/>
      <w:lvlJc w:val="left"/>
      <w:pPr>
        <w:ind w:left="1129" w:hanging="420"/>
      </w:p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7">
    <w:nsid w:val="0B21349E"/>
    <w:multiLevelType w:val="multilevel"/>
    <w:tmpl w:val="0B21349E"/>
    <w:lvl w:ilvl="0" w:tentative="0">
      <w:start w:val="1"/>
      <w:numFmt w:val="decimal"/>
      <w:lvlText w:val="（%1）"/>
      <w:lvlJc w:val="left"/>
      <w:pPr>
        <w:tabs>
          <w:tab w:val="left" w:pos="-420"/>
        </w:tabs>
        <w:ind w:left="425" w:hanging="420"/>
      </w:pPr>
    </w:lvl>
    <w:lvl w:ilvl="1" w:tentative="0">
      <w:start w:val="1"/>
      <w:numFmt w:val="lowerLetter"/>
      <w:lvlText w:val="%2)"/>
      <w:lvlJc w:val="left"/>
      <w:pPr>
        <w:tabs>
          <w:tab w:val="left" w:pos="-420"/>
        </w:tabs>
        <w:ind w:left="845" w:hanging="420"/>
      </w:pPr>
    </w:lvl>
    <w:lvl w:ilvl="2" w:tentative="0">
      <w:start w:val="1"/>
      <w:numFmt w:val="lowerRoman"/>
      <w:lvlText w:val="%3."/>
      <w:lvlJc w:val="right"/>
      <w:pPr>
        <w:tabs>
          <w:tab w:val="left" w:pos="-420"/>
        </w:tabs>
        <w:ind w:left="1265" w:hanging="420"/>
      </w:pPr>
    </w:lvl>
    <w:lvl w:ilvl="3" w:tentative="0">
      <w:start w:val="1"/>
      <w:numFmt w:val="decimal"/>
      <w:lvlText w:val="%4."/>
      <w:lvlJc w:val="left"/>
      <w:pPr>
        <w:tabs>
          <w:tab w:val="left" w:pos="-420"/>
        </w:tabs>
        <w:ind w:left="1685" w:hanging="420"/>
      </w:pPr>
    </w:lvl>
    <w:lvl w:ilvl="4" w:tentative="0">
      <w:start w:val="1"/>
      <w:numFmt w:val="lowerLetter"/>
      <w:lvlText w:val="%5)"/>
      <w:lvlJc w:val="left"/>
      <w:pPr>
        <w:tabs>
          <w:tab w:val="left" w:pos="-420"/>
        </w:tabs>
        <w:ind w:left="2105" w:hanging="420"/>
      </w:pPr>
    </w:lvl>
    <w:lvl w:ilvl="5" w:tentative="0">
      <w:start w:val="1"/>
      <w:numFmt w:val="lowerRoman"/>
      <w:lvlText w:val="%6."/>
      <w:lvlJc w:val="right"/>
      <w:pPr>
        <w:tabs>
          <w:tab w:val="left" w:pos="-420"/>
        </w:tabs>
        <w:ind w:left="2525" w:hanging="420"/>
      </w:pPr>
    </w:lvl>
    <w:lvl w:ilvl="6" w:tentative="0">
      <w:start w:val="1"/>
      <w:numFmt w:val="decimal"/>
      <w:lvlText w:val="%7."/>
      <w:lvlJc w:val="left"/>
      <w:pPr>
        <w:tabs>
          <w:tab w:val="left" w:pos="-420"/>
        </w:tabs>
        <w:ind w:left="2945" w:hanging="420"/>
      </w:pPr>
    </w:lvl>
    <w:lvl w:ilvl="7" w:tentative="0">
      <w:start w:val="1"/>
      <w:numFmt w:val="lowerLetter"/>
      <w:lvlText w:val="%8)"/>
      <w:lvlJc w:val="left"/>
      <w:pPr>
        <w:tabs>
          <w:tab w:val="left" w:pos="-420"/>
        </w:tabs>
        <w:ind w:left="3365" w:hanging="420"/>
      </w:pPr>
    </w:lvl>
    <w:lvl w:ilvl="8" w:tentative="0">
      <w:start w:val="1"/>
      <w:numFmt w:val="lowerRoman"/>
      <w:lvlText w:val="%9."/>
      <w:lvlJc w:val="right"/>
      <w:pPr>
        <w:tabs>
          <w:tab w:val="left" w:pos="-420"/>
        </w:tabs>
        <w:ind w:left="3785" w:hanging="420"/>
      </w:pPr>
    </w:lvl>
  </w:abstractNum>
  <w:abstractNum w:abstractNumId="8">
    <w:nsid w:val="0EE52C73"/>
    <w:multiLevelType w:val="multilevel"/>
    <w:tmpl w:val="0EE52C73"/>
    <w:lvl w:ilvl="0" w:tentative="0">
      <w:start w:val="11"/>
      <w:numFmt w:val="decimal"/>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9">
    <w:nsid w:val="0FD92A73"/>
    <w:multiLevelType w:val="multilevel"/>
    <w:tmpl w:val="0FD92A73"/>
    <w:lvl w:ilvl="0" w:tentative="0">
      <w:start w:val="2"/>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10">
    <w:nsid w:val="18814C8C"/>
    <w:multiLevelType w:val="multilevel"/>
    <w:tmpl w:val="18814C8C"/>
    <w:lvl w:ilvl="0" w:tentative="0">
      <w:start w:val="1"/>
      <w:numFmt w:val="decimal"/>
      <w:lvlText w:val="（%1）"/>
      <w:lvlJc w:val="left"/>
      <w:pPr>
        <w:tabs>
          <w:tab w:val="left" w:pos="-420"/>
        </w:tabs>
        <w:ind w:left="425" w:hanging="420"/>
      </w:pPr>
    </w:lvl>
    <w:lvl w:ilvl="1" w:tentative="0">
      <w:start w:val="1"/>
      <w:numFmt w:val="lowerLetter"/>
      <w:lvlText w:val="%2)"/>
      <w:lvlJc w:val="left"/>
      <w:pPr>
        <w:tabs>
          <w:tab w:val="left" w:pos="-420"/>
        </w:tabs>
        <w:ind w:left="845" w:hanging="420"/>
      </w:pPr>
    </w:lvl>
    <w:lvl w:ilvl="2" w:tentative="0">
      <w:start w:val="1"/>
      <w:numFmt w:val="lowerRoman"/>
      <w:lvlText w:val="%3."/>
      <w:lvlJc w:val="right"/>
      <w:pPr>
        <w:tabs>
          <w:tab w:val="left" w:pos="-420"/>
        </w:tabs>
        <w:ind w:left="1265" w:hanging="420"/>
      </w:pPr>
    </w:lvl>
    <w:lvl w:ilvl="3" w:tentative="0">
      <w:start w:val="1"/>
      <w:numFmt w:val="decimal"/>
      <w:lvlText w:val="%4."/>
      <w:lvlJc w:val="left"/>
      <w:pPr>
        <w:tabs>
          <w:tab w:val="left" w:pos="-420"/>
        </w:tabs>
        <w:ind w:left="1685" w:hanging="420"/>
      </w:pPr>
    </w:lvl>
    <w:lvl w:ilvl="4" w:tentative="0">
      <w:start w:val="1"/>
      <w:numFmt w:val="lowerLetter"/>
      <w:lvlText w:val="%5)"/>
      <w:lvlJc w:val="left"/>
      <w:pPr>
        <w:tabs>
          <w:tab w:val="left" w:pos="-420"/>
        </w:tabs>
        <w:ind w:left="2105" w:hanging="420"/>
      </w:pPr>
    </w:lvl>
    <w:lvl w:ilvl="5" w:tentative="0">
      <w:start w:val="1"/>
      <w:numFmt w:val="lowerRoman"/>
      <w:lvlText w:val="%6."/>
      <w:lvlJc w:val="right"/>
      <w:pPr>
        <w:tabs>
          <w:tab w:val="left" w:pos="-420"/>
        </w:tabs>
        <w:ind w:left="2525" w:hanging="420"/>
      </w:pPr>
    </w:lvl>
    <w:lvl w:ilvl="6" w:tentative="0">
      <w:start w:val="1"/>
      <w:numFmt w:val="decimal"/>
      <w:lvlText w:val="%7."/>
      <w:lvlJc w:val="left"/>
      <w:pPr>
        <w:tabs>
          <w:tab w:val="left" w:pos="-420"/>
        </w:tabs>
        <w:ind w:left="2945" w:hanging="420"/>
      </w:pPr>
    </w:lvl>
    <w:lvl w:ilvl="7" w:tentative="0">
      <w:start w:val="1"/>
      <w:numFmt w:val="lowerLetter"/>
      <w:lvlText w:val="%8)"/>
      <w:lvlJc w:val="left"/>
      <w:pPr>
        <w:tabs>
          <w:tab w:val="left" w:pos="-420"/>
        </w:tabs>
        <w:ind w:left="3365" w:hanging="420"/>
      </w:pPr>
    </w:lvl>
    <w:lvl w:ilvl="8" w:tentative="0">
      <w:start w:val="1"/>
      <w:numFmt w:val="lowerRoman"/>
      <w:lvlText w:val="%9."/>
      <w:lvlJc w:val="right"/>
      <w:pPr>
        <w:tabs>
          <w:tab w:val="left" w:pos="-420"/>
        </w:tabs>
        <w:ind w:left="3785" w:hanging="420"/>
      </w:pPr>
    </w:lvl>
  </w:abstractNum>
  <w:abstractNum w:abstractNumId="11">
    <w:nsid w:val="1E920307"/>
    <w:multiLevelType w:val="multilevel"/>
    <w:tmpl w:val="1E920307"/>
    <w:lvl w:ilvl="0" w:tentative="0">
      <w:start w:val="21"/>
      <w:numFmt w:val="decimal"/>
      <w:lvlText w:val="%1"/>
      <w:lvlJc w:val="left"/>
      <w:pPr>
        <w:ind w:left="480" w:hanging="480"/>
      </w:pPr>
      <w:rPr>
        <w:rFonts w:hint="default"/>
        <w:b w:val="0"/>
        <w:sz w:val="24"/>
      </w:rPr>
    </w:lvl>
    <w:lvl w:ilvl="1" w:tentative="0">
      <w:start w:val="1"/>
      <w:numFmt w:val="decimal"/>
      <w:lvlText w:val="20.%2."/>
      <w:lvlJc w:val="left"/>
      <w:pPr>
        <w:ind w:left="861" w:hanging="720"/>
      </w:pPr>
      <w:rPr>
        <w:rFonts w:hint="eastAsia"/>
        <w:b w:val="0"/>
        <w:sz w:val="24"/>
      </w:rPr>
    </w:lvl>
    <w:lvl w:ilvl="2" w:tentative="0">
      <w:start w:val="1"/>
      <w:numFmt w:val="decimal"/>
      <w:lvlText w:val="%1.%2.%3"/>
      <w:lvlJc w:val="left"/>
      <w:pPr>
        <w:ind w:left="2040" w:hanging="1080"/>
      </w:pPr>
      <w:rPr>
        <w:rFonts w:hint="default"/>
        <w:b w:val="0"/>
        <w:sz w:val="24"/>
      </w:rPr>
    </w:lvl>
    <w:lvl w:ilvl="3" w:tentative="0">
      <w:start w:val="1"/>
      <w:numFmt w:val="decimal"/>
      <w:lvlText w:val="%1.%2.%3.%4"/>
      <w:lvlJc w:val="left"/>
      <w:pPr>
        <w:ind w:left="2880" w:hanging="1440"/>
      </w:pPr>
      <w:rPr>
        <w:rFonts w:hint="default"/>
        <w:b w:val="0"/>
        <w:sz w:val="24"/>
      </w:rPr>
    </w:lvl>
    <w:lvl w:ilvl="4" w:tentative="0">
      <w:start w:val="1"/>
      <w:numFmt w:val="decimal"/>
      <w:lvlText w:val="%1.%2.%3.%4.%5"/>
      <w:lvlJc w:val="left"/>
      <w:pPr>
        <w:ind w:left="3720" w:hanging="1800"/>
      </w:pPr>
      <w:rPr>
        <w:rFonts w:hint="default"/>
        <w:b w:val="0"/>
        <w:sz w:val="24"/>
      </w:rPr>
    </w:lvl>
    <w:lvl w:ilvl="5" w:tentative="0">
      <w:start w:val="1"/>
      <w:numFmt w:val="decimal"/>
      <w:lvlText w:val="%1.%2.%3.%4.%5.%6"/>
      <w:lvlJc w:val="left"/>
      <w:pPr>
        <w:ind w:left="4200" w:hanging="1800"/>
      </w:pPr>
      <w:rPr>
        <w:rFonts w:hint="default"/>
        <w:b w:val="0"/>
        <w:sz w:val="24"/>
      </w:rPr>
    </w:lvl>
    <w:lvl w:ilvl="6" w:tentative="0">
      <w:start w:val="1"/>
      <w:numFmt w:val="decimal"/>
      <w:lvlText w:val="%1.%2.%3.%4.%5.%6.%7"/>
      <w:lvlJc w:val="left"/>
      <w:pPr>
        <w:ind w:left="5040" w:hanging="2160"/>
      </w:pPr>
      <w:rPr>
        <w:rFonts w:hint="default"/>
        <w:b w:val="0"/>
        <w:sz w:val="24"/>
      </w:rPr>
    </w:lvl>
    <w:lvl w:ilvl="7" w:tentative="0">
      <w:start w:val="1"/>
      <w:numFmt w:val="decimal"/>
      <w:lvlText w:val="%1.%2.%3.%4.%5.%6.%7.%8"/>
      <w:lvlJc w:val="left"/>
      <w:pPr>
        <w:ind w:left="5880" w:hanging="2520"/>
      </w:pPr>
      <w:rPr>
        <w:rFonts w:hint="default"/>
        <w:b w:val="0"/>
        <w:sz w:val="24"/>
      </w:rPr>
    </w:lvl>
    <w:lvl w:ilvl="8" w:tentative="0">
      <w:start w:val="1"/>
      <w:numFmt w:val="decimal"/>
      <w:lvlText w:val="%1.%2.%3.%4.%5.%6.%7.%8.%9"/>
      <w:lvlJc w:val="left"/>
      <w:pPr>
        <w:ind w:left="6720" w:hanging="2880"/>
      </w:pPr>
      <w:rPr>
        <w:rFonts w:hint="default"/>
        <w:b w:val="0"/>
        <w:sz w:val="24"/>
      </w:rPr>
    </w:lvl>
  </w:abstractNum>
  <w:abstractNum w:abstractNumId="12">
    <w:nsid w:val="25933C0A"/>
    <w:multiLevelType w:val="multilevel"/>
    <w:tmpl w:val="25933C0A"/>
    <w:lvl w:ilvl="0" w:tentative="0">
      <w:start w:val="1"/>
      <w:numFmt w:val="decimal"/>
      <w:lvlText w:val="（%1）"/>
      <w:lvlJc w:val="left"/>
      <w:pPr>
        <w:tabs>
          <w:tab w:val="left" w:pos="-840"/>
        </w:tabs>
        <w:ind w:left="5" w:hanging="420"/>
      </w:pPr>
    </w:lvl>
    <w:lvl w:ilvl="1" w:tentative="0">
      <w:start w:val="1"/>
      <w:numFmt w:val="lowerLetter"/>
      <w:lvlText w:val="%2)"/>
      <w:lvlJc w:val="left"/>
      <w:pPr>
        <w:tabs>
          <w:tab w:val="left" w:pos="-840"/>
        </w:tabs>
        <w:ind w:left="425" w:hanging="420"/>
      </w:pPr>
    </w:lvl>
    <w:lvl w:ilvl="2" w:tentative="0">
      <w:start w:val="1"/>
      <w:numFmt w:val="lowerRoman"/>
      <w:lvlText w:val="%3."/>
      <w:lvlJc w:val="right"/>
      <w:pPr>
        <w:tabs>
          <w:tab w:val="left" w:pos="-840"/>
        </w:tabs>
        <w:ind w:left="845" w:hanging="420"/>
      </w:pPr>
    </w:lvl>
    <w:lvl w:ilvl="3" w:tentative="0">
      <w:start w:val="1"/>
      <w:numFmt w:val="decimal"/>
      <w:lvlText w:val="%4."/>
      <w:lvlJc w:val="left"/>
      <w:pPr>
        <w:tabs>
          <w:tab w:val="left" w:pos="-840"/>
        </w:tabs>
        <w:ind w:left="1265" w:hanging="420"/>
      </w:pPr>
    </w:lvl>
    <w:lvl w:ilvl="4" w:tentative="0">
      <w:start w:val="1"/>
      <w:numFmt w:val="lowerLetter"/>
      <w:lvlText w:val="%5)"/>
      <w:lvlJc w:val="left"/>
      <w:pPr>
        <w:tabs>
          <w:tab w:val="left" w:pos="-840"/>
        </w:tabs>
        <w:ind w:left="1685" w:hanging="420"/>
      </w:pPr>
    </w:lvl>
    <w:lvl w:ilvl="5" w:tentative="0">
      <w:start w:val="1"/>
      <w:numFmt w:val="lowerRoman"/>
      <w:lvlText w:val="%6."/>
      <w:lvlJc w:val="right"/>
      <w:pPr>
        <w:tabs>
          <w:tab w:val="left" w:pos="-840"/>
        </w:tabs>
        <w:ind w:left="2105" w:hanging="420"/>
      </w:pPr>
    </w:lvl>
    <w:lvl w:ilvl="6" w:tentative="0">
      <w:start w:val="1"/>
      <w:numFmt w:val="decimal"/>
      <w:lvlText w:val="%7."/>
      <w:lvlJc w:val="left"/>
      <w:pPr>
        <w:tabs>
          <w:tab w:val="left" w:pos="-840"/>
        </w:tabs>
        <w:ind w:left="2525" w:hanging="420"/>
      </w:pPr>
    </w:lvl>
    <w:lvl w:ilvl="7" w:tentative="0">
      <w:start w:val="1"/>
      <w:numFmt w:val="lowerLetter"/>
      <w:lvlText w:val="%8)"/>
      <w:lvlJc w:val="left"/>
      <w:pPr>
        <w:tabs>
          <w:tab w:val="left" w:pos="-840"/>
        </w:tabs>
        <w:ind w:left="2945" w:hanging="420"/>
      </w:pPr>
    </w:lvl>
    <w:lvl w:ilvl="8" w:tentative="0">
      <w:start w:val="1"/>
      <w:numFmt w:val="lowerRoman"/>
      <w:lvlText w:val="%9."/>
      <w:lvlJc w:val="right"/>
      <w:pPr>
        <w:tabs>
          <w:tab w:val="left" w:pos="-840"/>
        </w:tabs>
        <w:ind w:left="3365" w:hanging="420"/>
      </w:pPr>
    </w:lvl>
  </w:abstractNum>
  <w:abstractNum w:abstractNumId="13">
    <w:nsid w:val="274D6CBC"/>
    <w:multiLevelType w:val="multilevel"/>
    <w:tmpl w:val="274D6CBC"/>
    <w:lvl w:ilvl="0" w:tentative="0">
      <w:start w:val="1"/>
      <w:numFmt w:val="decimal"/>
      <w:lvlText w:val="（%1）"/>
      <w:lvlJc w:val="left"/>
      <w:pPr>
        <w:tabs>
          <w:tab w:val="left" w:pos="-840"/>
        </w:tabs>
        <w:ind w:left="573" w:hanging="420"/>
      </w:pPr>
      <w:rPr>
        <w:rFonts w:hint="default"/>
      </w:rPr>
    </w:lvl>
    <w:lvl w:ilvl="1" w:tentative="0">
      <w:start w:val="1"/>
      <w:numFmt w:val="lowerLetter"/>
      <w:lvlText w:val="%2)"/>
      <w:lvlJc w:val="left"/>
      <w:pPr>
        <w:tabs>
          <w:tab w:val="left" w:pos="-840"/>
        </w:tabs>
        <w:ind w:left="993" w:hanging="420"/>
      </w:pPr>
    </w:lvl>
    <w:lvl w:ilvl="2" w:tentative="0">
      <w:start w:val="1"/>
      <w:numFmt w:val="lowerRoman"/>
      <w:lvlText w:val="%3."/>
      <w:lvlJc w:val="right"/>
      <w:pPr>
        <w:tabs>
          <w:tab w:val="left" w:pos="-840"/>
        </w:tabs>
        <w:ind w:left="1413" w:hanging="420"/>
      </w:pPr>
    </w:lvl>
    <w:lvl w:ilvl="3" w:tentative="0">
      <w:start w:val="1"/>
      <w:numFmt w:val="decimal"/>
      <w:lvlText w:val="%4."/>
      <w:lvlJc w:val="left"/>
      <w:pPr>
        <w:tabs>
          <w:tab w:val="left" w:pos="-840"/>
        </w:tabs>
        <w:ind w:left="1833" w:hanging="420"/>
      </w:pPr>
    </w:lvl>
    <w:lvl w:ilvl="4" w:tentative="0">
      <w:start w:val="1"/>
      <w:numFmt w:val="lowerLetter"/>
      <w:lvlText w:val="%5)"/>
      <w:lvlJc w:val="left"/>
      <w:pPr>
        <w:tabs>
          <w:tab w:val="left" w:pos="-840"/>
        </w:tabs>
        <w:ind w:left="2253" w:hanging="420"/>
      </w:pPr>
    </w:lvl>
    <w:lvl w:ilvl="5" w:tentative="0">
      <w:start w:val="1"/>
      <w:numFmt w:val="lowerRoman"/>
      <w:lvlText w:val="%6."/>
      <w:lvlJc w:val="right"/>
      <w:pPr>
        <w:tabs>
          <w:tab w:val="left" w:pos="-840"/>
        </w:tabs>
        <w:ind w:left="2673" w:hanging="420"/>
      </w:pPr>
    </w:lvl>
    <w:lvl w:ilvl="6" w:tentative="0">
      <w:start w:val="1"/>
      <w:numFmt w:val="decimal"/>
      <w:lvlText w:val="%7."/>
      <w:lvlJc w:val="left"/>
      <w:pPr>
        <w:tabs>
          <w:tab w:val="left" w:pos="-840"/>
        </w:tabs>
        <w:ind w:left="3093" w:hanging="420"/>
      </w:pPr>
    </w:lvl>
    <w:lvl w:ilvl="7" w:tentative="0">
      <w:start w:val="1"/>
      <w:numFmt w:val="lowerLetter"/>
      <w:lvlText w:val="%8)"/>
      <w:lvlJc w:val="left"/>
      <w:pPr>
        <w:tabs>
          <w:tab w:val="left" w:pos="-840"/>
        </w:tabs>
        <w:ind w:left="3513" w:hanging="420"/>
      </w:pPr>
    </w:lvl>
    <w:lvl w:ilvl="8" w:tentative="0">
      <w:start w:val="1"/>
      <w:numFmt w:val="lowerRoman"/>
      <w:lvlText w:val="%9."/>
      <w:lvlJc w:val="right"/>
      <w:pPr>
        <w:tabs>
          <w:tab w:val="left" w:pos="-840"/>
        </w:tabs>
        <w:ind w:left="3933" w:hanging="420"/>
      </w:pPr>
    </w:lvl>
  </w:abstractNum>
  <w:abstractNum w:abstractNumId="14">
    <w:nsid w:val="3298278A"/>
    <w:multiLevelType w:val="multilevel"/>
    <w:tmpl w:val="3298278A"/>
    <w:lvl w:ilvl="0" w:tentative="0">
      <w:start w:val="1"/>
      <w:numFmt w:val="decimal"/>
      <w:lvlText w:val="%1"/>
      <w:lvlJc w:val="left"/>
      <w:pPr>
        <w:ind w:left="420" w:hanging="420"/>
      </w:pPr>
      <w:rPr>
        <w:rFonts w:hint="eastAsia"/>
      </w:rPr>
    </w:lvl>
    <w:lvl w:ilvl="1" w:tentative="0">
      <w:start w:val="4"/>
      <w:numFmt w:val="decimal"/>
      <w:isLgl/>
      <w:lvlText w:val="%1.%2."/>
      <w:lvlJc w:val="left"/>
      <w:pPr>
        <w:ind w:left="1200" w:hanging="720"/>
      </w:pPr>
      <w:rPr>
        <w:rFonts w:hint="default" w:hAnsi="Calibri" w:cs="宋体"/>
      </w:rPr>
    </w:lvl>
    <w:lvl w:ilvl="2" w:tentative="0">
      <w:start w:val="1"/>
      <w:numFmt w:val="decimal"/>
      <w:isLgl/>
      <w:lvlText w:val="%1.%2.%3."/>
      <w:lvlJc w:val="left"/>
      <w:pPr>
        <w:ind w:left="1680" w:hanging="720"/>
      </w:pPr>
      <w:rPr>
        <w:rFonts w:hint="default" w:hAnsi="Calibri" w:cs="宋体"/>
      </w:rPr>
    </w:lvl>
    <w:lvl w:ilvl="3" w:tentative="0">
      <w:start w:val="1"/>
      <w:numFmt w:val="decimal"/>
      <w:isLgl/>
      <w:lvlText w:val="%1.%2.%3.%4."/>
      <w:lvlJc w:val="left"/>
      <w:pPr>
        <w:ind w:left="2520" w:hanging="1080"/>
      </w:pPr>
      <w:rPr>
        <w:rFonts w:hint="default" w:hAnsi="Calibri" w:cs="宋体"/>
      </w:rPr>
    </w:lvl>
    <w:lvl w:ilvl="4" w:tentative="0">
      <w:start w:val="1"/>
      <w:numFmt w:val="decimal"/>
      <w:isLgl/>
      <w:lvlText w:val="%1.%2.%3.%4.%5."/>
      <w:lvlJc w:val="left"/>
      <w:pPr>
        <w:ind w:left="3360" w:hanging="1440"/>
      </w:pPr>
      <w:rPr>
        <w:rFonts w:hint="default" w:hAnsi="Calibri" w:cs="宋体"/>
      </w:rPr>
    </w:lvl>
    <w:lvl w:ilvl="5" w:tentative="0">
      <w:start w:val="1"/>
      <w:numFmt w:val="decimal"/>
      <w:isLgl/>
      <w:lvlText w:val="%1.%2.%3.%4.%5.%6."/>
      <w:lvlJc w:val="left"/>
      <w:pPr>
        <w:ind w:left="3840" w:hanging="1440"/>
      </w:pPr>
      <w:rPr>
        <w:rFonts w:hint="default" w:hAnsi="Calibri" w:cs="宋体"/>
      </w:rPr>
    </w:lvl>
    <w:lvl w:ilvl="6" w:tentative="0">
      <w:start w:val="1"/>
      <w:numFmt w:val="decimal"/>
      <w:isLgl/>
      <w:lvlText w:val="%1.%2.%3.%4.%5.%6.%7."/>
      <w:lvlJc w:val="left"/>
      <w:pPr>
        <w:ind w:left="4680" w:hanging="1800"/>
      </w:pPr>
      <w:rPr>
        <w:rFonts w:hint="default" w:hAnsi="Calibri" w:cs="宋体"/>
      </w:rPr>
    </w:lvl>
    <w:lvl w:ilvl="7" w:tentative="0">
      <w:start w:val="1"/>
      <w:numFmt w:val="decimal"/>
      <w:isLgl/>
      <w:lvlText w:val="%1.%2.%3.%4.%5.%6.%7.%8."/>
      <w:lvlJc w:val="left"/>
      <w:pPr>
        <w:ind w:left="5520" w:hanging="2160"/>
      </w:pPr>
      <w:rPr>
        <w:rFonts w:hint="default" w:hAnsi="Calibri" w:cs="宋体"/>
      </w:rPr>
    </w:lvl>
    <w:lvl w:ilvl="8" w:tentative="0">
      <w:start w:val="1"/>
      <w:numFmt w:val="decimal"/>
      <w:isLgl/>
      <w:lvlText w:val="%1.%2.%3.%4.%5.%6.%7.%8.%9."/>
      <w:lvlJc w:val="left"/>
      <w:pPr>
        <w:ind w:left="6000" w:hanging="2160"/>
      </w:pPr>
      <w:rPr>
        <w:rFonts w:hint="default" w:hAnsi="Calibri" w:cs="宋体"/>
      </w:rPr>
    </w:lvl>
  </w:abstractNum>
  <w:abstractNum w:abstractNumId="15">
    <w:nsid w:val="433044D6"/>
    <w:multiLevelType w:val="multilevel"/>
    <w:tmpl w:val="433044D6"/>
    <w:lvl w:ilvl="0" w:tentative="0">
      <w:start w:val="1"/>
      <w:numFmt w:val="decimal"/>
      <w:lvlText w:val="%1)"/>
      <w:lvlJc w:val="left"/>
      <w:pPr>
        <w:ind w:left="1129" w:hanging="420"/>
      </w:p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16">
    <w:nsid w:val="46C71494"/>
    <w:multiLevelType w:val="multilevel"/>
    <w:tmpl w:val="46C71494"/>
    <w:lvl w:ilvl="0" w:tentative="0">
      <w:start w:val="1"/>
      <w:numFmt w:val="decimal"/>
      <w:lvlText w:val="%1)"/>
      <w:lvlJc w:val="left"/>
      <w:pPr>
        <w:tabs>
          <w:tab w:val="left" w:pos="-420"/>
        </w:tabs>
        <w:ind w:left="1041" w:hanging="420"/>
      </w:pPr>
    </w:lvl>
    <w:lvl w:ilvl="1" w:tentative="0">
      <w:start w:val="1"/>
      <w:numFmt w:val="lowerLetter"/>
      <w:lvlText w:val="%2)"/>
      <w:lvlJc w:val="left"/>
      <w:pPr>
        <w:tabs>
          <w:tab w:val="left" w:pos="-420"/>
        </w:tabs>
        <w:ind w:left="1461" w:hanging="420"/>
      </w:pPr>
    </w:lvl>
    <w:lvl w:ilvl="2" w:tentative="0">
      <w:start w:val="1"/>
      <w:numFmt w:val="lowerRoman"/>
      <w:lvlText w:val="%3."/>
      <w:lvlJc w:val="right"/>
      <w:pPr>
        <w:tabs>
          <w:tab w:val="left" w:pos="-420"/>
        </w:tabs>
        <w:ind w:left="1881" w:hanging="420"/>
      </w:pPr>
    </w:lvl>
    <w:lvl w:ilvl="3" w:tentative="0">
      <w:start w:val="1"/>
      <w:numFmt w:val="decimal"/>
      <w:lvlText w:val="%4."/>
      <w:lvlJc w:val="left"/>
      <w:pPr>
        <w:tabs>
          <w:tab w:val="left" w:pos="-420"/>
        </w:tabs>
        <w:ind w:left="2301" w:hanging="420"/>
      </w:pPr>
    </w:lvl>
    <w:lvl w:ilvl="4" w:tentative="0">
      <w:start w:val="1"/>
      <w:numFmt w:val="lowerLetter"/>
      <w:lvlText w:val="%5)"/>
      <w:lvlJc w:val="left"/>
      <w:pPr>
        <w:tabs>
          <w:tab w:val="left" w:pos="-420"/>
        </w:tabs>
        <w:ind w:left="2721" w:hanging="420"/>
      </w:pPr>
    </w:lvl>
    <w:lvl w:ilvl="5" w:tentative="0">
      <w:start w:val="1"/>
      <w:numFmt w:val="lowerRoman"/>
      <w:lvlText w:val="%6."/>
      <w:lvlJc w:val="right"/>
      <w:pPr>
        <w:tabs>
          <w:tab w:val="left" w:pos="-420"/>
        </w:tabs>
        <w:ind w:left="3141" w:hanging="420"/>
      </w:pPr>
    </w:lvl>
    <w:lvl w:ilvl="6" w:tentative="0">
      <w:start w:val="1"/>
      <w:numFmt w:val="decimal"/>
      <w:lvlText w:val="%7."/>
      <w:lvlJc w:val="left"/>
      <w:pPr>
        <w:tabs>
          <w:tab w:val="left" w:pos="-420"/>
        </w:tabs>
        <w:ind w:left="3561" w:hanging="420"/>
      </w:pPr>
    </w:lvl>
    <w:lvl w:ilvl="7" w:tentative="0">
      <w:start w:val="1"/>
      <w:numFmt w:val="lowerLetter"/>
      <w:lvlText w:val="%8)"/>
      <w:lvlJc w:val="left"/>
      <w:pPr>
        <w:tabs>
          <w:tab w:val="left" w:pos="-420"/>
        </w:tabs>
        <w:ind w:left="3981" w:hanging="420"/>
      </w:pPr>
    </w:lvl>
    <w:lvl w:ilvl="8" w:tentative="0">
      <w:start w:val="1"/>
      <w:numFmt w:val="lowerRoman"/>
      <w:lvlText w:val="%9."/>
      <w:lvlJc w:val="right"/>
      <w:pPr>
        <w:tabs>
          <w:tab w:val="left" w:pos="-420"/>
        </w:tabs>
        <w:ind w:left="4401" w:hanging="420"/>
      </w:pPr>
    </w:lvl>
  </w:abstractNum>
  <w:abstractNum w:abstractNumId="17">
    <w:nsid w:val="4A136EE9"/>
    <w:multiLevelType w:val="multilevel"/>
    <w:tmpl w:val="4A136EE9"/>
    <w:lvl w:ilvl="0" w:tentative="0">
      <w:start w:val="1"/>
      <w:numFmt w:val="decimal"/>
      <w:lvlText w:val="%1"/>
      <w:lvlJc w:val="left"/>
      <w:pPr>
        <w:ind w:left="420" w:hanging="420"/>
      </w:pPr>
      <w:rPr>
        <w:rFonts w:hint="eastAsia"/>
      </w:rPr>
    </w:lvl>
    <w:lvl w:ilvl="1" w:tentative="0">
      <w:start w:val="4"/>
      <w:numFmt w:val="decimal"/>
      <w:isLgl/>
      <w:lvlText w:val="%1.%2."/>
      <w:lvlJc w:val="left"/>
      <w:pPr>
        <w:ind w:left="1200" w:hanging="720"/>
      </w:pPr>
      <w:rPr>
        <w:rFonts w:hint="default" w:hAnsi="Calibri" w:cs="宋体"/>
      </w:rPr>
    </w:lvl>
    <w:lvl w:ilvl="2" w:tentative="0">
      <w:start w:val="1"/>
      <w:numFmt w:val="decimal"/>
      <w:isLgl/>
      <w:lvlText w:val="%1.%2.%3."/>
      <w:lvlJc w:val="left"/>
      <w:pPr>
        <w:ind w:left="1680" w:hanging="720"/>
      </w:pPr>
      <w:rPr>
        <w:rFonts w:hint="default" w:hAnsi="Calibri" w:cs="宋体"/>
      </w:rPr>
    </w:lvl>
    <w:lvl w:ilvl="3" w:tentative="0">
      <w:start w:val="1"/>
      <w:numFmt w:val="decimal"/>
      <w:isLgl/>
      <w:lvlText w:val="%1.%2.%3.%4."/>
      <w:lvlJc w:val="left"/>
      <w:pPr>
        <w:ind w:left="2520" w:hanging="1080"/>
      </w:pPr>
      <w:rPr>
        <w:rFonts w:hint="default" w:hAnsi="Calibri" w:cs="宋体"/>
      </w:rPr>
    </w:lvl>
    <w:lvl w:ilvl="4" w:tentative="0">
      <w:start w:val="1"/>
      <w:numFmt w:val="decimal"/>
      <w:isLgl/>
      <w:lvlText w:val="%1.%2.%3.%4.%5."/>
      <w:lvlJc w:val="left"/>
      <w:pPr>
        <w:ind w:left="3360" w:hanging="1440"/>
      </w:pPr>
      <w:rPr>
        <w:rFonts w:hint="default" w:hAnsi="Calibri" w:cs="宋体"/>
      </w:rPr>
    </w:lvl>
    <w:lvl w:ilvl="5" w:tentative="0">
      <w:start w:val="1"/>
      <w:numFmt w:val="decimal"/>
      <w:isLgl/>
      <w:lvlText w:val="%1.%2.%3.%4.%5.%6."/>
      <w:lvlJc w:val="left"/>
      <w:pPr>
        <w:ind w:left="3840" w:hanging="1440"/>
      </w:pPr>
      <w:rPr>
        <w:rFonts w:hint="default" w:hAnsi="Calibri" w:cs="宋体"/>
      </w:rPr>
    </w:lvl>
    <w:lvl w:ilvl="6" w:tentative="0">
      <w:start w:val="1"/>
      <w:numFmt w:val="decimal"/>
      <w:isLgl/>
      <w:lvlText w:val="%1.%2.%3.%4.%5.%6.%7."/>
      <w:lvlJc w:val="left"/>
      <w:pPr>
        <w:ind w:left="4680" w:hanging="1800"/>
      </w:pPr>
      <w:rPr>
        <w:rFonts w:hint="default" w:hAnsi="Calibri" w:cs="宋体"/>
      </w:rPr>
    </w:lvl>
    <w:lvl w:ilvl="7" w:tentative="0">
      <w:start w:val="1"/>
      <w:numFmt w:val="decimal"/>
      <w:isLgl/>
      <w:lvlText w:val="%1.%2.%3.%4.%5.%6.%7.%8."/>
      <w:lvlJc w:val="left"/>
      <w:pPr>
        <w:ind w:left="5520" w:hanging="2160"/>
      </w:pPr>
      <w:rPr>
        <w:rFonts w:hint="default" w:hAnsi="Calibri" w:cs="宋体"/>
      </w:rPr>
    </w:lvl>
    <w:lvl w:ilvl="8" w:tentative="0">
      <w:start w:val="1"/>
      <w:numFmt w:val="decimal"/>
      <w:isLgl/>
      <w:lvlText w:val="%1.%2.%3.%4.%5.%6.%7.%8.%9."/>
      <w:lvlJc w:val="left"/>
      <w:pPr>
        <w:ind w:left="6000" w:hanging="2160"/>
      </w:pPr>
      <w:rPr>
        <w:rFonts w:hint="default" w:hAnsi="Calibri" w:cs="宋体"/>
      </w:rPr>
    </w:lvl>
  </w:abstractNum>
  <w:abstractNum w:abstractNumId="18">
    <w:nsid w:val="4EFA17D5"/>
    <w:multiLevelType w:val="multilevel"/>
    <w:tmpl w:val="4EFA17D5"/>
    <w:lvl w:ilvl="0" w:tentative="0">
      <w:start w:val="19"/>
      <w:numFmt w:val="decimal"/>
      <w:lvlText w:val="%1"/>
      <w:lvlJc w:val="left"/>
      <w:pPr>
        <w:ind w:left="480" w:hanging="480"/>
      </w:pPr>
      <w:rPr>
        <w:rFonts w:hint="default"/>
      </w:rPr>
    </w:lvl>
    <w:lvl w:ilvl="1" w:tentative="0">
      <w:start w:val="1"/>
      <w:numFmt w:val="decimal"/>
      <w:lvlText w:val="18.%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19">
    <w:nsid w:val="4FE725AC"/>
    <w:multiLevelType w:val="multilevel"/>
    <w:tmpl w:val="4FE725AC"/>
    <w:lvl w:ilvl="0" w:tentative="0">
      <w:start w:val="1"/>
      <w:numFmt w:val="decimal"/>
      <w:lvlText w:val="（%1）"/>
      <w:lvlJc w:val="left"/>
      <w:pPr>
        <w:tabs>
          <w:tab w:val="left" w:pos="0"/>
        </w:tabs>
        <w:ind w:left="845" w:hanging="420"/>
      </w:pPr>
    </w:lvl>
    <w:lvl w:ilvl="1" w:tentative="0">
      <w:start w:val="1"/>
      <w:numFmt w:val="lowerLetter"/>
      <w:lvlText w:val="%2)"/>
      <w:lvlJc w:val="left"/>
      <w:pPr>
        <w:tabs>
          <w:tab w:val="left" w:pos="0"/>
        </w:tabs>
        <w:ind w:left="1265" w:hanging="420"/>
      </w:pPr>
    </w:lvl>
    <w:lvl w:ilvl="2" w:tentative="0">
      <w:start w:val="1"/>
      <w:numFmt w:val="lowerRoman"/>
      <w:lvlText w:val="%3."/>
      <w:lvlJc w:val="right"/>
      <w:pPr>
        <w:tabs>
          <w:tab w:val="left" w:pos="0"/>
        </w:tabs>
        <w:ind w:left="1685" w:hanging="420"/>
      </w:pPr>
    </w:lvl>
    <w:lvl w:ilvl="3" w:tentative="0">
      <w:start w:val="1"/>
      <w:numFmt w:val="decimal"/>
      <w:lvlText w:val="%4."/>
      <w:lvlJc w:val="left"/>
      <w:pPr>
        <w:tabs>
          <w:tab w:val="left" w:pos="0"/>
        </w:tabs>
        <w:ind w:left="2105" w:hanging="420"/>
      </w:pPr>
    </w:lvl>
    <w:lvl w:ilvl="4" w:tentative="0">
      <w:start w:val="1"/>
      <w:numFmt w:val="lowerLetter"/>
      <w:lvlText w:val="%5)"/>
      <w:lvlJc w:val="left"/>
      <w:pPr>
        <w:tabs>
          <w:tab w:val="left" w:pos="0"/>
        </w:tabs>
        <w:ind w:left="2525" w:hanging="420"/>
      </w:pPr>
    </w:lvl>
    <w:lvl w:ilvl="5" w:tentative="0">
      <w:start w:val="1"/>
      <w:numFmt w:val="lowerRoman"/>
      <w:lvlText w:val="%6."/>
      <w:lvlJc w:val="right"/>
      <w:pPr>
        <w:tabs>
          <w:tab w:val="left" w:pos="0"/>
        </w:tabs>
        <w:ind w:left="2945" w:hanging="420"/>
      </w:pPr>
    </w:lvl>
    <w:lvl w:ilvl="6" w:tentative="0">
      <w:start w:val="1"/>
      <w:numFmt w:val="decimal"/>
      <w:lvlText w:val="%7."/>
      <w:lvlJc w:val="left"/>
      <w:pPr>
        <w:tabs>
          <w:tab w:val="left" w:pos="0"/>
        </w:tabs>
        <w:ind w:left="3365" w:hanging="420"/>
      </w:pPr>
    </w:lvl>
    <w:lvl w:ilvl="7" w:tentative="0">
      <w:start w:val="1"/>
      <w:numFmt w:val="lowerLetter"/>
      <w:lvlText w:val="%8)"/>
      <w:lvlJc w:val="left"/>
      <w:pPr>
        <w:tabs>
          <w:tab w:val="left" w:pos="0"/>
        </w:tabs>
        <w:ind w:left="3785" w:hanging="420"/>
      </w:pPr>
    </w:lvl>
    <w:lvl w:ilvl="8" w:tentative="0">
      <w:start w:val="1"/>
      <w:numFmt w:val="lowerRoman"/>
      <w:lvlText w:val="%9."/>
      <w:lvlJc w:val="right"/>
      <w:pPr>
        <w:tabs>
          <w:tab w:val="left" w:pos="0"/>
        </w:tabs>
        <w:ind w:left="4205" w:hanging="420"/>
      </w:pPr>
    </w:lvl>
  </w:abstractNum>
  <w:abstractNum w:abstractNumId="20">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21">
    <w:nsid w:val="56222FB0"/>
    <w:multiLevelType w:val="multilevel"/>
    <w:tmpl w:val="56222FB0"/>
    <w:lvl w:ilvl="0" w:tentative="0">
      <w:start w:val="14"/>
      <w:numFmt w:val="decimal"/>
      <w:lvlText w:val="%1"/>
      <w:lvlJc w:val="left"/>
      <w:pPr>
        <w:ind w:left="480" w:hanging="480"/>
      </w:pPr>
      <w:rPr>
        <w:rFonts w:hint="default"/>
      </w:rPr>
    </w:lvl>
    <w:lvl w:ilvl="1" w:tentative="0">
      <w:start w:val="1"/>
      <w:numFmt w:val="decimal"/>
      <w:lvlText w:val="%1.%2"/>
      <w:lvlJc w:val="left"/>
      <w:pPr>
        <w:ind w:left="621" w:hanging="48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22">
    <w:nsid w:val="5670449B"/>
    <w:multiLevelType w:val="multilevel"/>
    <w:tmpl w:val="5670449B"/>
    <w:lvl w:ilvl="0" w:tentative="0">
      <w:start w:val="1"/>
      <w:numFmt w:val="lowerLetter"/>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56997346"/>
    <w:multiLevelType w:val="multilevel"/>
    <w:tmpl w:val="56997346"/>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24">
    <w:nsid w:val="57693060"/>
    <w:multiLevelType w:val="multilevel"/>
    <w:tmpl w:val="57693060"/>
    <w:lvl w:ilvl="0" w:tentative="0">
      <w:start w:val="1"/>
      <w:numFmt w:val="decimal"/>
      <w:lvlText w:val="（%1）"/>
      <w:lvlJc w:val="left"/>
      <w:pPr>
        <w:ind w:left="846" w:hanging="420"/>
      </w:pPr>
      <w:rPr>
        <w:rFonts w:hint="default"/>
      </w:rPr>
    </w:lvl>
    <w:lvl w:ilvl="1" w:tentative="0">
      <w:start w:val="1"/>
      <w:numFmt w:val="lowerLetter"/>
      <w:lvlText w:val="%2)"/>
      <w:lvlJc w:val="left"/>
      <w:pPr>
        <w:ind w:left="1266" w:hanging="420"/>
      </w:pPr>
    </w:lvl>
    <w:lvl w:ilvl="2" w:tentative="0">
      <w:start w:val="1"/>
      <w:numFmt w:val="lowerRoman"/>
      <w:lvlText w:val="%3."/>
      <w:lvlJc w:val="right"/>
      <w:pPr>
        <w:ind w:left="1686" w:hanging="420"/>
      </w:pPr>
    </w:lvl>
    <w:lvl w:ilvl="3" w:tentative="0">
      <w:start w:val="1"/>
      <w:numFmt w:val="decimal"/>
      <w:lvlText w:val="%4."/>
      <w:lvlJc w:val="left"/>
      <w:pPr>
        <w:ind w:left="2106" w:hanging="420"/>
      </w:pPr>
    </w:lvl>
    <w:lvl w:ilvl="4" w:tentative="0">
      <w:start w:val="1"/>
      <w:numFmt w:val="lowerLetter"/>
      <w:lvlText w:val="%5)"/>
      <w:lvlJc w:val="left"/>
      <w:pPr>
        <w:ind w:left="2526" w:hanging="420"/>
      </w:pPr>
    </w:lvl>
    <w:lvl w:ilvl="5" w:tentative="0">
      <w:start w:val="1"/>
      <w:numFmt w:val="lowerRoman"/>
      <w:lvlText w:val="%6."/>
      <w:lvlJc w:val="right"/>
      <w:pPr>
        <w:ind w:left="2946" w:hanging="420"/>
      </w:pPr>
    </w:lvl>
    <w:lvl w:ilvl="6" w:tentative="0">
      <w:start w:val="1"/>
      <w:numFmt w:val="decimal"/>
      <w:lvlText w:val="%7."/>
      <w:lvlJc w:val="left"/>
      <w:pPr>
        <w:ind w:left="3366" w:hanging="420"/>
      </w:pPr>
    </w:lvl>
    <w:lvl w:ilvl="7" w:tentative="0">
      <w:start w:val="1"/>
      <w:numFmt w:val="lowerLetter"/>
      <w:lvlText w:val="%8)"/>
      <w:lvlJc w:val="left"/>
      <w:pPr>
        <w:ind w:left="3786" w:hanging="420"/>
      </w:pPr>
    </w:lvl>
    <w:lvl w:ilvl="8" w:tentative="0">
      <w:start w:val="1"/>
      <w:numFmt w:val="lowerRoman"/>
      <w:lvlText w:val="%9."/>
      <w:lvlJc w:val="right"/>
      <w:pPr>
        <w:ind w:left="4206" w:hanging="420"/>
      </w:pPr>
    </w:lvl>
  </w:abstractNum>
  <w:abstractNum w:abstractNumId="25">
    <w:nsid w:val="57912FC9"/>
    <w:multiLevelType w:val="multilevel"/>
    <w:tmpl w:val="57912FC9"/>
    <w:lvl w:ilvl="0" w:tentative="0">
      <w:start w:val="23"/>
      <w:numFmt w:val="decimal"/>
      <w:lvlText w:val="%1"/>
      <w:lvlJc w:val="left"/>
      <w:pPr>
        <w:ind w:left="465" w:hanging="465"/>
      </w:pPr>
      <w:rPr>
        <w:rFonts w:hint="default" w:ascii="Arial" w:hAnsi="Arial" w:cs="Arial"/>
      </w:rPr>
    </w:lvl>
    <w:lvl w:ilvl="1" w:tentative="0">
      <w:start w:val="1"/>
      <w:numFmt w:val="decimal"/>
      <w:lvlText w:val="22.%2."/>
      <w:lvlJc w:val="left"/>
      <w:pPr>
        <w:ind w:left="606" w:hanging="465"/>
      </w:pPr>
      <w:rPr>
        <w:rFonts w:hint="eastAsia"/>
      </w:rPr>
    </w:lvl>
    <w:lvl w:ilvl="2" w:tentative="0">
      <w:start w:val="1"/>
      <w:numFmt w:val="decimal"/>
      <w:lvlText w:val="%1.%2.%3"/>
      <w:lvlJc w:val="left"/>
      <w:pPr>
        <w:ind w:left="1680" w:hanging="720"/>
      </w:pPr>
      <w:rPr>
        <w:rFonts w:hint="default" w:ascii="Arial" w:hAnsi="Arial" w:cs="Arial"/>
      </w:rPr>
    </w:lvl>
    <w:lvl w:ilvl="3" w:tentative="0">
      <w:start w:val="1"/>
      <w:numFmt w:val="decimal"/>
      <w:lvlText w:val="%1.%2.%3.%4"/>
      <w:lvlJc w:val="left"/>
      <w:pPr>
        <w:ind w:left="2520" w:hanging="1080"/>
      </w:pPr>
      <w:rPr>
        <w:rFonts w:hint="default" w:ascii="Arial" w:hAnsi="Arial" w:cs="Arial"/>
      </w:rPr>
    </w:lvl>
    <w:lvl w:ilvl="4" w:tentative="0">
      <w:start w:val="1"/>
      <w:numFmt w:val="decimal"/>
      <w:lvlText w:val="%1.%2.%3.%4.%5"/>
      <w:lvlJc w:val="left"/>
      <w:pPr>
        <w:ind w:left="3000" w:hanging="1080"/>
      </w:pPr>
      <w:rPr>
        <w:rFonts w:hint="default" w:ascii="Arial" w:hAnsi="Arial" w:cs="Arial"/>
      </w:rPr>
    </w:lvl>
    <w:lvl w:ilvl="5" w:tentative="0">
      <w:start w:val="1"/>
      <w:numFmt w:val="decimal"/>
      <w:lvlText w:val="%1.%2.%3.%4.%5.%6"/>
      <w:lvlJc w:val="left"/>
      <w:pPr>
        <w:ind w:left="3840" w:hanging="1440"/>
      </w:pPr>
      <w:rPr>
        <w:rFonts w:hint="default" w:ascii="Arial" w:hAnsi="Arial" w:cs="Arial"/>
      </w:rPr>
    </w:lvl>
    <w:lvl w:ilvl="6" w:tentative="0">
      <w:start w:val="1"/>
      <w:numFmt w:val="decimal"/>
      <w:lvlText w:val="%1.%2.%3.%4.%5.%6.%7"/>
      <w:lvlJc w:val="left"/>
      <w:pPr>
        <w:ind w:left="4680" w:hanging="1800"/>
      </w:pPr>
      <w:rPr>
        <w:rFonts w:hint="default" w:ascii="Arial" w:hAnsi="Arial" w:cs="Arial"/>
      </w:rPr>
    </w:lvl>
    <w:lvl w:ilvl="7" w:tentative="0">
      <w:start w:val="1"/>
      <w:numFmt w:val="decimal"/>
      <w:lvlText w:val="%1.%2.%3.%4.%5.%6.%7.%8"/>
      <w:lvlJc w:val="left"/>
      <w:pPr>
        <w:ind w:left="5160" w:hanging="1800"/>
      </w:pPr>
      <w:rPr>
        <w:rFonts w:hint="default" w:ascii="Arial" w:hAnsi="Arial" w:cs="Arial"/>
      </w:rPr>
    </w:lvl>
    <w:lvl w:ilvl="8" w:tentative="0">
      <w:start w:val="1"/>
      <w:numFmt w:val="decimal"/>
      <w:lvlText w:val="%1.%2.%3.%4.%5.%6.%7.%8.%9"/>
      <w:lvlJc w:val="left"/>
      <w:pPr>
        <w:ind w:left="6000" w:hanging="2160"/>
      </w:pPr>
      <w:rPr>
        <w:rFonts w:hint="default" w:ascii="Arial" w:hAnsi="Arial" w:cs="Arial"/>
      </w:rPr>
    </w:lvl>
  </w:abstractNum>
  <w:abstractNum w:abstractNumId="26">
    <w:nsid w:val="599149B8"/>
    <w:multiLevelType w:val="multilevel"/>
    <w:tmpl w:val="599149B8"/>
    <w:lvl w:ilvl="0" w:tentative="0">
      <w:start w:val="1"/>
      <w:numFmt w:val="decimal"/>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7">
    <w:nsid w:val="5B7609C1"/>
    <w:multiLevelType w:val="multilevel"/>
    <w:tmpl w:val="5B7609C1"/>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8">
    <w:nsid w:val="63AA4A1E"/>
    <w:multiLevelType w:val="multilevel"/>
    <w:tmpl w:val="63AA4A1E"/>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29">
    <w:nsid w:val="6B626D06"/>
    <w:multiLevelType w:val="multilevel"/>
    <w:tmpl w:val="6B626D06"/>
    <w:lvl w:ilvl="0" w:tentative="0">
      <w:start w:val="17"/>
      <w:numFmt w:val="decimal"/>
      <w:lvlText w:val="%1"/>
      <w:lvlJc w:val="left"/>
      <w:pPr>
        <w:ind w:left="480" w:hanging="480"/>
      </w:pPr>
      <w:rPr>
        <w:rFonts w:hint="default"/>
      </w:rPr>
    </w:lvl>
    <w:lvl w:ilvl="1" w:tentative="0">
      <w:start w:val="1"/>
      <w:numFmt w:val="decimal"/>
      <w:lvlText w:val="16.%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0">
    <w:nsid w:val="6FBA724A"/>
    <w:multiLevelType w:val="multilevel"/>
    <w:tmpl w:val="6FBA724A"/>
    <w:lvl w:ilvl="0" w:tentative="0">
      <w:start w:val="22"/>
      <w:numFmt w:val="decimal"/>
      <w:lvlText w:val="%1"/>
      <w:lvlJc w:val="left"/>
      <w:pPr>
        <w:ind w:left="480" w:hanging="480"/>
      </w:pPr>
      <w:rPr>
        <w:rFonts w:hint="default"/>
      </w:rPr>
    </w:lvl>
    <w:lvl w:ilvl="1" w:tentative="0">
      <w:start w:val="1"/>
      <w:numFmt w:val="decimal"/>
      <w:lvlText w:val="21.%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1">
    <w:nsid w:val="748D16CD"/>
    <w:multiLevelType w:val="multilevel"/>
    <w:tmpl w:val="748D16CD"/>
    <w:lvl w:ilvl="0" w:tentative="0">
      <w:start w:val="1"/>
      <w:numFmt w:val="decimal"/>
      <w:pStyle w:val="50"/>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32">
    <w:nsid w:val="79FF76B9"/>
    <w:multiLevelType w:val="multilevel"/>
    <w:tmpl w:val="79FF76B9"/>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3">
    <w:nsid w:val="7A113608"/>
    <w:multiLevelType w:val="multilevel"/>
    <w:tmpl w:val="7A113608"/>
    <w:lvl w:ilvl="0" w:tentative="0">
      <w:start w:val="1"/>
      <w:numFmt w:val="decimal"/>
      <w:lvlText w:val="（%1）"/>
      <w:lvlJc w:val="left"/>
      <w:pPr>
        <w:ind w:left="846" w:hanging="420"/>
      </w:pPr>
      <w:rPr>
        <w:rFonts w:hint="default"/>
      </w:rPr>
    </w:lvl>
    <w:lvl w:ilvl="1" w:tentative="0">
      <w:start w:val="1"/>
      <w:numFmt w:val="lowerLetter"/>
      <w:lvlText w:val="%2)"/>
      <w:lvlJc w:val="left"/>
      <w:pPr>
        <w:ind w:left="1266" w:hanging="420"/>
      </w:pPr>
    </w:lvl>
    <w:lvl w:ilvl="2" w:tentative="0">
      <w:start w:val="1"/>
      <w:numFmt w:val="lowerRoman"/>
      <w:lvlText w:val="%3."/>
      <w:lvlJc w:val="right"/>
      <w:pPr>
        <w:ind w:left="1686" w:hanging="420"/>
      </w:pPr>
    </w:lvl>
    <w:lvl w:ilvl="3" w:tentative="0">
      <w:start w:val="1"/>
      <w:numFmt w:val="decimal"/>
      <w:lvlText w:val="%4."/>
      <w:lvlJc w:val="left"/>
      <w:pPr>
        <w:ind w:left="2106" w:hanging="420"/>
      </w:pPr>
    </w:lvl>
    <w:lvl w:ilvl="4" w:tentative="0">
      <w:start w:val="1"/>
      <w:numFmt w:val="lowerLetter"/>
      <w:lvlText w:val="%5)"/>
      <w:lvlJc w:val="left"/>
      <w:pPr>
        <w:ind w:left="2526" w:hanging="420"/>
      </w:pPr>
    </w:lvl>
    <w:lvl w:ilvl="5" w:tentative="0">
      <w:start w:val="1"/>
      <w:numFmt w:val="lowerRoman"/>
      <w:lvlText w:val="%6."/>
      <w:lvlJc w:val="right"/>
      <w:pPr>
        <w:ind w:left="2946" w:hanging="420"/>
      </w:pPr>
    </w:lvl>
    <w:lvl w:ilvl="6" w:tentative="0">
      <w:start w:val="1"/>
      <w:numFmt w:val="decimal"/>
      <w:lvlText w:val="%7."/>
      <w:lvlJc w:val="left"/>
      <w:pPr>
        <w:ind w:left="3366" w:hanging="420"/>
      </w:pPr>
    </w:lvl>
    <w:lvl w:ilvl="7" w:tentative="0">
      <w:start w:val="1"/>
      <w:numFmt w:val="lowerLetter"/>
      <w:lvlText w:val="%8)"/>
      <w:lvlJc w:val="left"/>
      <w:pPr>
        <w:ind w:left="3786" w:hanging="420"/>
      </w:pPr>
    </w:lvl>
    <w:lvl w:ilvl="8" w:tentative="0">
      <w:start w:val="1"/>
      <w:numFmt w:val="lowerRoman"/>
      <w:lvlText w:val="%9."/>
      <w:lvlJc w:val="right"/>
      <w:pPr>
        <w:ind w:left="4206" w:hanging="420"/>
      </w:pPr>
    </w:lvl>
  </w:abstractNum>
  <w:abstractNum w:abstractNumId="34">
    <w:nsid w:val="7B216D2B"/>
    <w:multiLevelType w:val="multilevel"/>
    <w:tmpl w:val="7B216D2B"/>
    <w:lvl w:ilvl="0" w:tentative="0">
      <w:start w:val="20"/>
      <w:numFmt w:val="decimal"/>
      <w:lvlText w:val="%1"/>
      <w:lvlJc w:val="left"/>
      <w:pPr>
        <w:ind w:left="480" w:hanging="480"/>
      </w:pPr>
      <w:rPr>
        <w:rFonts w:hint="default"/>
      </w:rPr>
    </w:lvl>
    <w:lvl w:ilvl="1" w:tentative="0">
      <w:start w:val="1"/>
      <w:numFmt w:val="decimal"/>
      <w:lvlText w:val="19.%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5">
    <w:nsid w:val="7B9E3C32"/>
    <w:multiLevelType w:val="multilevel"/>
    <w:tmpl w:val="7B9E3C32"/>
    <w:lvl w:ilvl="0" w:tentative="0">
      <w:start w:val="18"/>
      <w:numFmt w:val="decimal"/>
      <w:lvlText w:val="%1"/>
      <w:lvlJc w:val="left"/>
      <w:pPr>
        <w:ind w:left="480" w:hanging="480"/>
      </w:pPr>
      <w:rPr>
        <w:rFonts w:hint="default"/>
      </w:rPr>
    </w:lvl>
    <w:lvl w:ilvl="1" w:tentative="0">
      <w:start w:val="1"/>
      <w:numFmt w:val="decimal"/>
      <w:lvlText w:val="17.%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num w:numId="1">
    <w:abstractNumId w:val="3"/>
  </w:num>
  <w:num w:numId="2">
    <w:abstractNumId w:val="31"/>
  </w:num>
  <w:num w:numId="3">
    <w:abstractNumId w:val="20"/>
  </w:num>
  <w:num w:numId="4">
    <w:abstractNumId w:val="2"/>
  </w:num>
  <w:num w:numId="5">
    <w:abstractNumId w:val="9"/>
  </w:num>
  <w:num w:numId="6">
    <w:abstractNumId w:val="7"/>
  </w:num>
  <w:num w:numId="7">
    <w:abstractNumId w:val="10"/>
  </w:num>
  <w:num w:numId="8">
    <w:abstractNumId w:val="19"/>
  </w:num>
  <w:num w:numId="9">
    <w:abstractNumId w:val="12"/>
  </w:num>
  <w:num w:numId="10">
    <w:abstractNumId w:val="21"/>
  </w:num>
  <w:num w:numId="11">
    <w:abstractNumId w:val="14"/>
  </w:num>
  <w:num w:numId="12">
    <w:abstractNumId w:val="17"/>
  </w:num>
  <w:num w:numId="13">
    <w:abstractNumId w:val="26"/>
  </w:num>
  <w:num w:numId="14">
    <w:abstractNumId w:val="29"/>
  </w:num>
  <w:num w:numId="15">
    <w:abstractNumId w:val="13"/>
  </w:num>
  <w:num w:numId="16">
    <w:abstractNumId w:val="33"/>
  </w:num>
  <w:num w:numId="17">
    <w:abstractNumId w:val="24"/>
  </w:num>
  <w:num w:numId="18">
    <w:abstractNumId w:val="35"/>
  </w:num>
  <w:num w:numId="19">
    <w:abstractNumId w:val="28"/>
  </w:num>
  <w:num w:numId="20">
    <w:abstractNumId w:val="6"/>
  </w:num>
  <w:num w:numId="21">
    <w:abstractNumId w:val="15"/>
  </w:num>
  <w:num w:numId="22">
    <w:abstractNumId w:val="18"/>
  </w:num>
  <w:num w:numId="23">
    <w:abstractNumId w:val="34"/>
  </w:num>
  <w:num w:numId="24">
    <w:abstractNumId w:val="1"/>
  </w:num>
  <w:num w:numId="25">
    <w:abstractNumId w:val="11"/>
  </w:num>
  <w:num w:numId="26">
    <w:abstractNumId w:val="30"/>
  </w:num>
  <w:num w:numId="27">
    <w:abstractNumId w:val="25"/>
  </w:num>
  <w:num w:numId="28">
    <w:abstractNumId w:val="23"/>
  </w:num>
  <w:num w:numId="29">
    <w:abstractNumId w:val="5"/>
  </w:num>
  <w:num w:numId="30">
    <w:abstractNumId w:val="16"/>
  </w:num>
  <w:num w:numId="31">
    <w:abstractNumId w:val="4"/>
  </w:num>
  <w:num w:numId="32">
    <w:abstractNumId w:val="22"/>
  </w:num>
  <w:num w:numId="33">
    <w:abstractNumId w:val="27"/>
  </w:num>
  <w:num w:numId="34">
    <w:abstractNumId w:val="8"/>
  </w:num>
  <w:num w:numId="3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6"/>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k2ZGEyMmUzZjNjYzgzNDg0OTQ3YWE1ZmU5NjdiMjEifQ=="/>
  </w:docVars>
  <w:rsids>
    <w:rsidRoot w:val="6F3A01D0"/>
    <w:rsid w:val="00004838"/>
    <w:rsid w:val="00025ACE"/>
    <w:rsid w:val="0004197C"/>
    <w:rsid w:val="00091B6D"/>
    <w:rsid w:val="000F5DFD"/>
    <w:rsid w:val="0011729F"/>
    <w:rsid w:val="002C5D0F"/>
    <w:rsid w:val="003A2523"/>
    <w:rsid w:val="003D01BC"/>
    <w:rsid w:val="003D18B1"/>
    <w:rsid w:val="003D66DD"/>
    <w:rsid w:val="00433970"/>
    <w:rsid w:val="004C4273"/>
    <w:rsid w:val="005669D4"/>
    <w:rsid w:val="005B571A"/>
    <w:rsid w:val="005F07DD"/>
    <w:rsid w:val="005F6627"/>
    <w:rsid w:val="006B72D7"/>
    <w:rsid w:val="006E3CC5"/>
    <w:rsid w:val="007650CB"/>
    <w:rsid w:val="007A752E"/>
    <w:rsid w:val="007C6A81"/>
    <w:rsid w:val="007D613A"/>
    <w:rsid w:val="008010DA"/>
    <w:rsid w:val="00813901"/>
    <w:rsid w:val="00814EB9"/>
    <w:rsid w:val="008D38AA"/>
    <w:rsid w:val="00920A7E"/>
    <w:rsid w:val="00936B7C"/>
    <w:rsid w:val="00991ADF"/>
    <w:rsid w:val="009B69FC"/>
    <w:rsid w:val="00A22D1A"/>
    <w:rsid w:val="00AE5A2B"/>
    <w:rsid w:val="00B20B08"/>
    <w:rsid w:val="00B45D1F"/>
    <w:rsid w:val="00B561ED"/>
    <w:rsid w:val="00C13371"/>
    <w:rsid w:val="00C84A7A"/>
    <w:rsid w:val="00CA67A6"/>
    <w:rsid w:val="00D0361E"/>
    <w:rsid w:val="00D16772"/>
    <w:rsid w:val="00D278D5"/>
    <w:rsid w:val="00DD4E9F"/>
    <w:rsid w:val="00E06D2D"/>
    <w:rsid w:val="00E22C49"/>
    <w:rsid w:val="00E24720"/>
    <w:rsid w:val="00E66878"/>
    <w:rsid w:val="00EC5FBD"/>
    <w:rsid w:val="00EF5D93"/>
    <w:rsid w:val="00F60FBE"/>
    <w:rsid w:val="00F86970"/>
    <w:rsid w:val="015772A4"/>
    <w:rsid w:val="01A061A5"/>
    <w:rsid w:val="01C40DDD"/>
    <w:rsid w:val="021A2F4F"/>
    <w:rsid w:val="026003DA"/>
    <w:rsid w:val="029C3B08"/>
    <w:rsid w:val="02C773A1"/>
    <w:rsid w:val="02E81C97"/>
    <w:rsid w:val="02EA4873"/>
    <w:rsid w:val="02F474A0"/>
    <w:rsid w:val="030D40BE"/>
    <w:rsid w:val="037851FE"/>
    <w:rsid w:val="03870A4B"/>
    <w:rsid w:val="03CE4418"/>
    <w:rsid w:val="03F24CB6"/>
    <w:rsid w:val="041D2837"/>
    <w:rsid w:val="0433224A"/>
    <w:rsid w:val="045D2E23"/>
    <w:rsid w:val="04BA7860"/>
    <w:rsid w:val="05900F9D"/>
    <w:rsid w:val="0665360B"/>
    <w:rsid w:val="06850C3E"/>
    <w:rsid w:val="06967632"/>
    <w:rsid w:val="06E21B75"/>
    <w:rsid w:val="0723388C"/>
    <w:rsid w:val="078F59E9"/>
    <w:rsid w:val="081C4D34"/>
    <w:rsid w:val="081C75DA"/>
    <w:rsid w:val="08BB687A"/>
    <w:rsid w:val="08F8223F"/>
    <w:rsid w:val="09047D03"/>
    <w:rsid w:val="09350D51"/>
    <w:rsid w:val="09FC72A5"/>
    <w:rsid w:val="0A27015B"/>
    <w:rsid w:val="0A431420"/>
    <w:rsid w:val="0A8923D7"/>
    <w:rsid w:val="0ADE77D3"/>
    <w:rsid w:val="0AEC6CAF"/>
    <w:rsid w:val="0AEE2A27"/>
    <w:rsid w:val="0AF357C2"/>
    <w:rsid w:val="0B033A47"/>
    <w:rsid w:val="0B6114C2"/>
    <w:rsid w:val="0B6A0F05"/>
    <w:rsid w:val="0B7C097A"/>
    <w:rsid w:val="0BB2024E"/>
    <w:rsid w:val="0C3765E7"/>
    <w:rsid w:val="0C4E156F"/>
    <w:rsid w:val="0C956936"/>
    <w:rsid w:val="0CF40E3D"/>
    <w:rsid w:val="0CF92FC1"/>
    <w:rsid w:val="0D4660DC"/>
    <w:rsid w:val="0DCB49FB"/>
    <w:rsid w:val="0E361188"/>
    <w:rsid w:val="0E5928AD"/>
    <w:rsid w:val="0EBD2460"/>
    <w:rsid w:val="0EC325CD"/>
    <w:rsid w:val="0ECD3139"/>
    <w:rsid w:val="0EF45363"/>
    <w:rsid w:val="0F130CDE"/>
    <w:rsid w:val="0F7151EB"/>
    <w:rsid w:val="0F74071D"/>
    <w:rsid w:val="0FA47B58"/>
    <w:rsid w:val="0FCD4D03"/>
    <w:rsid w:val="0FF367D8"/>
    <w:rsid w:val="10016CA2"/>
    <w:rsid w:val="100D416B"/>
    <w:rsid w:val="10950750"/>
    <w:rsid w:val="10A71125"/>
    <w:rsid w:val="10E36C2A"/>
    <w:rsid w:val="10E81A09"/>
    <w:rsid w:val="1129001A"/>
    <w:rsid w:val="11590B2F"/>
    <w:rsid w:val="115A14DB"/>
    <w:rsid w:val="115F2ADB"/>
    <w:rsid w:val="11692F53"/>
    <w:rsid w:val="11A774C1"/>
    <w:rsid w:val="11C72224"/>
    <w:rsid w:val="12180224"/>
    <w:rsid w:val="123E0181"/>
    <w:rsid w:val="127E32A9"/>
    <w:rsid w:val="12816876"/>
    <w:rsid w:val="128B14A3"/>
    <w:rsid w:val="12F92C2F"/>
    <w:rsid w:val="13241D90"/>
    <w:rsid w:val="132F0080"/>
    <w:rsid w:val="13437945"/>
    <w:rsid w:val="13712447"/>
    <w:rsid w:val="13936861"/>
    <w:rsid w:val="13F418A7"/>
    <w:rsid w:val="14164D9C"/>
    <w:rsid w:val="14C32256"/>
    <w:rsid w:val="14DB6698"/>
    <w:rsid w:val="150262D3"/>
    <w:rsid w:val="15826B8D"/>
    <w:rsid w:val="15D30830"/>
    <w:rsid w:val="1668363E"/>
    <w:rsid w:val="168B3039"/>
    <w:rsid w:val="169923E1"/>
    <w:rsid w:val="16CE459D"/>
    <w:rsid w:val="170F4451"/>
    <w:rsid w:val="17942540"/>
    <w:rsid w:val="17B175A3"/>
    <w:rsid w:val="17D627EB"/>
    <w:rsid w:val="17F732B1"/>
    <w:rsid w:val="18072805"/>
    <w:rsid w:val="191C3837"/>
    <w:rsid w:val="1A2975D8"/>
    <w:rsid w:val="1A457184"/>
    <w:rsid w:val="1A5B582C"/>
    <w:rsid w:val="1A9A4FE9"/>
    <w:rsid w:val="1AA15AB9"/>
    <w:rsid w:val="1AB95851"/>
    <w:rsid w:val="1AED3F48"/>
    <w:rsid w:val="1B6603B7"/>
    <w:rsid w:val="1B716426"/>
    <w:rsid w:val="1BA03796"/>
    <w:rsid w:val="1BAF484F"/>
    <w:rsid w:val="1BC53330"/>
    <w:rsid w:val="1C614DCB"/>
    <w:rsid w:val="1C940819"/>
    <w:rsid w:val="1CA97B7C"/>
    <w:rsid w:val="1D453D13"/>
    <w:rsid w:val="1DB827B6"/>
    <w:rsid w:val="1DE64446"/>
    <w:rsid w:val="1E925A89"/>
    <w:rsid w:val="1EC57AEB"/>
    <w:rsid w:val="1F6B6BDF"/>
    <w:rsid w:val="1F6F4896"/>
    <w:rsid w:val="1F992F77"/>
    <w:rsid w:val="20503E2D"/>
    <w:rsid w:val="205B00D3"/>
    <w:rsid w:val="206E043A"/>
    <w:rsid w:val="209112ED"/>
    <w:rsid w:val="20F70553"/>
    <w:rsid w:val="21667363"/>
    <w:rsid w:val="217212F8"/>
    <w:rsid w:val="217A4ACC"/>
    <w:rsid w:val="218A1F35"/>
    <w:rsid w:val="21E9685F"/>
    <w:rsid w:val="220F2144"/>
    <w:rsid w:val="22130638"/>
    <w:rsid w:val="22237002"/>
    <w:rsid w:val="222C0726"/>
    <w:rsid w:val="223F1ACA"/>
    <w:rsid w:val="22460F43"/>
    <w:rsid w:val="22787C6E"/>
    <w:rsid w:val="227E6175"/>
    <w:rsid w:val="22A75E85"/>
    <w:rsid w:val="22CB5E1F"/>
    <w:rsid w:val="23033365"/>
    <w:rsid w:val="230E380E"/>
    <w:rsid w:val="23EF1892"/>
    <w:rsid w:val="2420068E"/>
    <w:rsid w:val="24661428"/>
    <w:rsid w:val="24D30DA8"/>
    <w:rsid w:val="24E520CF"/>
    <w:rsid w:val="24FD3610"/>
    <w:rsid w:val="25071DB1"/>
    <w:rsid w:val="261A4BC0"/>
    <w:rsid w:val="26287BBA"/>
    <w:rsid w:val="264803D1"/>
    <w:rsid w:val="26A16E16"/>
    <w:rsid w:val="26BE1416"/>
    <w:rsid w:val="26CF59AB"/>
    <w:rsid w:val="270F023A"/>
    <w:rsid w:val="27FF372E"/>
    <w:rsid w:val="28AA222B"/>
    <w:rsid w:val="28CE6296"/>
    <w:rsid w:val="29125B79"/>
    <w:rsid w:val="291D2347"/>
    <w:rsid w:val="2975428F"/>
    <w:rsid w:val="297F71F3"/>
    <w:rsid w:val="29F80D74"/>
    <w:rsid w:val="29FD4568"/>
    <w:rsid w:val="2A3F69A3"/>
    <w:rsid w:val="2A522B7B"/>
    <w:rsid w:val="2A5E32AB"/>
    <w:rsid w:val="2ABB5610"/>
    <w:rsid w:val="2AEF5C2B"/>
    <w:rsid w:val="2B0F18C4"/>
    <w:rsid w:val="2B373B1E"/>
    <w:rsid w:val="2B9A264F"/>
    <w:rsid w:val="2C0D3E59"/>
    <w:rsid w:val="2C800AF9"/>
    <w:rsid w:val="2C966011"/>
    <w:rsid w:val="2D0538CA"/>
    <w:rsid w:val="2D2D119C"/>
    <w:rsid w:val="2D5E515F"/>
    <w:rsid w:val="2D74780B"/>
    <w:rsid w:val="2D8E08E9"/>
    <w:rsid w:val="2E266F24"/>
    <w:rsid w:val="2E334A71"/>
    <w:rsid w:val="2E9C0621"/>
    <w:rsid w:val="2F6D3FB3"/>
    <w:rsid w:val="2FAA56E9"/>
    <w:rsid w:val="2FDE6707"/>
    <w:rsid w:val="301E3F53"/>
    <w:rsid w:val="302246ED"/>
    <w:rsid w:val="30743736"/>
    <w:rsid w:val="308275EA"/>
    <w:rsid w:val="30C419B0"/>
    <w:rsid w:val="30D82F6B"/>
    <w:rsid w:val="31070FAA"/>
    <w:rsid w:val="31140335"/>
    <w:rsid w:val="313544F6"/>
    <w:rsid w:val="33182487"/>
    <w:rsid w:val="333257C0"/>
    <w:rsid w:val="33455C05"/>
    <w:rsid w:val="33B83934"/>
    <w:rsid w:val="33E76902"/>
    <w:rsid w:val="33FD157A"/>
    <w:rsid w:val="345624DA"/>
    <w:rsid w:val="345D1245"/>
    <w:rsid w:val="3492592C"/>
    <w:rsid w:val="34A856E4"/>
    <w:rsid w:val="34B275ED"/>
    <w:rsid w:val="34CE72A2"/>
    <w:rsid w:val="34D14E17"/>
    <w:rsid w:val="354F29F1"/>
    <w:rsid w:val="35980BD9"/>
    <w:rsid w:val="35F867F7"/>
    <w:rsid w:val="36255A2B"/>
    <w:rsid w:val="363C4D61"/>
    <w:rsid w:val="36714388"/>
    <w:rsid w:val="369B6E5E"/>
    <w:rsid w:val="36D05553"/>
    <w:rsid w:val="37101EAD"/>
    <w:rsid w:val="374B509E"/>
    <w:rsid w:val="378F54FE"/>
    <w:rsid w:val="3797463F"/>
    <w:rsid w:val="37A47E79"/>
    <w:rsid w:val="37C239D4"/>
    <w:rsid w:val="37E32FD7"/>
    <w:rsid w:val="37F373A1"/>
    <w:rsid w:val="38E15B4C"/>
    <w:rsid w:val="391D7BCB"/>
    <w:rsid w:val="39280C8C"/>
    <w:rsid w:val="39737207"/>
    <w:rsid w:val="39777A0A"/>
    <w:rsid w:val="398F7BA5"/>
    <w:rsid w:val="39CF01A0"/>
    <w:rsid w:val="3A4131C7"/>
    <w:rsid w:val="3A7B6527"/>
    <w:rsid w:val="3AB42FBD"/>
    <w:rsid w:val="3ADB172D"/>
    <w:rsid w:val="3B0529DF"/>
    <w:rsid w:val="3B082DE1"/>
    <w:rsid w:val="3B115045"/>
    <w:rsid w:val="3B3F52F3"/>
    <w:rsid w:val="3B9D79CE"/>
    <w:rsid w:val="3BE74E93"/>
    <w:rsid w:val="3BF27D19"/>
    <w:rsid w:val="3C0B0DDB"/>
    <w:rsid w:val="3C0D32ED"/>
    <w:rsid w:val="3C437ED3"/>
    <w:rsid w:val="3C9A5CBB"/>
    <w:rsid w:val="3CD817E2"/>
    <w:rsid w:val="3CF74D35"/>
    <w:rsid w:val="3D7E023C"/>
    <w:rsid w:val="3DFD2372"/>
    <w:rsid w:val="3EE6705F"/>
    <w:rsid w:val="3F082449"/>
    <w:rsid w:val="3F0D4E6A"/>
    <w:rsid w:val="3F2050E3"/>
    <w:rsid w:val="3F3348D1"/>
    <w:rsid w:val="3F4871AE"/>
    <w:rsid w:val="3F9B6B83"/>
    <w:rsid w:val="3FAE21A9"/>
    <w:rsid w:val="40271FFF"/>
    <w:rsid w:val="402E15AB"/>
    <w:rsid w:val="402E3F99"/>
    <w:rsid w:val="40403B10"/>
    <w:rsid w:val="4061546E"/>
    <w:rsid w:val="40CD107E"/>
    <w:rsid w:val="40EC6DDC"/>
    <w:rsid w:val="41085318"/>
    <w:rsid w:val="41262A39"/>
    <w:rsid w:val="414B0886"/>
    <w:rsid w:val="415B56A6"/>
    <w:rsid w:val="42B6331A"/>
    <w:rsid w:val="42B85653"/>
    <w:rsid w:val="42D02DF7"/>
    <w:rsid w:val="431D6BDD"/>
    <w:rsid w:val="439E35D7"/>
    <w:rsid w:val="43FE2ADF"/>
    <w:rsid w:val="4402033D"/>
    <w:rsid w:val="443F17B1"/>
    <w:rsid w:val="44405792"/>
    <w:rsid w:val="44505071"/>
    <w:rsid w:val="44B27F70"/>
    <w:rsid w:val="45154A79"/>
    <w:rsid w:val="451678A8"/>
    <w:rsid w:val="45897700"/>
    <w:rsid w:val="45984FD7"/>
    <w:rsid w:val="462C6948"/>
    <w:rsid w:val="4697777E"/>
    <w:rsid w:val="46C11D22"/>
    <w:rsid w:val="46EE64D5"/>
    <w:rsid w:val="47092E44"/>
    <w:rsid w:val="47136D96"/>
    <w:rsid w:val="47A9200D"/>
    <w:rsid w:val="4878527B"/>
    <w:rsid w:val="493F5A1F"/>
    <w:rsid w:val="49424348"/>
    <w:rsid w:val="49600500"/>
    <w:rsid w:val="4A061133"/>
    <w:rsid w:val="4A0F0002"/>
    <w:rsid w:val="4A214A91"/>
    <w:rsid w:val="4AA316A7"/>
    <w:rsid w:val="4AC9433B"/>
    <w:rsid w:val="4ACA7B2F"/>
    <w:rsid w:val="4AEA2D06"/>
    <w:rsid w:val="4AFC447A"/>
    <w:rsid w:val="4B9F6697"/>
    <w:rsid w:val="4BEF4440"/>
    <w:rsid w:val="4C7B78B7"/>
    <w:rsid w:val="4C842C9F"/>
    <w:rsid w:val="4CC614BB"/>
    <w:rsid w:val="4D045CC0"/>
    <w:rsid w:val="4D290B9B"/>
    <w:rsid w:val="4D2F3ED8"/>
    <w:rsid w:val="4E094A4F"/>
    <w:rsid w:val="4E9B708E"/>
    <w:rsid w:val="4F4D5A7D"/>
    <w:rsid w:val="4FBE01E7"/>
    <w:rsid w:val="4FD35314"/>
    <w:rsid w:val="4FE535DF"/>
    <w:rsid w:val="500833C1"/>
    <w:rsid w:val="50090465"/>
    <w:rsid w:val="501120A0"/>
    <w:rsid w:val="5024289C"/>
    <w:rsid w:val="503D700F"/>
    <w:rsid w:val="507F09AB"/>
    <w:rsid w:val="508532A9"/>
    <w:rsid w:val="50870F93"/>
    <w:rsid w:val="508F30CF"/>
    <w:rsid w:val="509467CD"/>
    <w:rsid w:val="50953002"/>
    <w:rsid w:val="50BB4CD3"/>
    <w:rsid w:val="50C41510"/>
    <w:rsid w:val="50C447E5"/>
    <w:rsid w:val="50F23AD3"/>
    <w:rsid w:val="50F54AA7"/>
    <w:rsid w:val="51106693"/>
    <w:rsid w:val="51311F23"/>
    <w:rsid w:val="51355C51"/>
    <w:rsid w:val="51787786"/>
    <w:rsid w:val="51824063"/>
    <w:rsid w:val="51A24FBC"/>
    <w:rsid w:val="51A27694"/>
    <w:rsid w:val="52702C5F"/>
    <w:rsid w:val="52AE1D12"/>
    <w:rsid w:val="53134A49"/>
    <w:rsid w:val="5379604F"/>
    <w:rsid w:val="53A96E0F"/>
    <w:rsid w:val="53F26538"/>
    <w:rsid w:val="54944689"/>
    <w:rsid w:val="54CC257A"/>
    <w:rsid w:val="551C7815"/>
    <w:rsid w:val="552402A2"/>
    <w:rsid w:val="553F2368"/>
    <w:rsid w:val="554629CE"/>
    <w:rsid w:val="554747DA"/>
    <w:rsid w:val="55EE10FA"/>
    <w:rsid w:val="560501DA"/>
    <w:rsid w:val="56130B60"/>
    <w:rsid w:val="561F7505"/>
    <w:rsid w:val="562A1C32"/>
    <w:rsid w:val="565457F8"/>
    <w:rsid w:val="56DC53F6"/>
    <w:rsid w:val="574865E8"/>
    <w:rsid w:val="581563B8"/>
    <w:rsid w:val="587344A7"/>
    <w:rsid w:val="58B04544"/>
    <w:rsid w:val="58B53639"/>
    <w:rsid w:val="58C6010C"/>
    <w:rsid w:val="58DF660A"/>
    <w:rsid w:val="591B394B"/>
    <w:rsid w:val="5967076A"/>
    <w:rsid w:val="59AE54DE"/>
    <w:rsid w:val="59D14B91"/>
    <w:rsid w:val="59F23E8E"/>
    <w:rsid w:val="5A0013FC"/>
    <w:rsid w:val="5A1A0207"/>
    <w:rsid w:val="5A4F5EDF"/>
    <w:rsid w:val="5A52184B"/>
    <w:rsid w:val="5A6E2809"/>
    <w:rsid w:val="5A8C7845"/>
    <w:rsid w:val="5AA32406"/>
    <w:rsid w:val="5ADE0F0B"/>
    <w:rsid w:val="5AED345F"/>
    <w:rsid w:val="5B002895"/>
    <w:rsid w:val="5B156EB0"/>
    <w:rsid w:val="5B3A4F9C"/>
    <w:rsid w:val="5B4B11D3"/>
    <w:rsid w:val="5C520709"/>
    <w:rsid w:val="5C5E54C8"/>
    <w:rsid w:val="5C7954AD"/>
    <w:rsid w:val="5CB0535B"/>
    <w:rsid w:val="5D0631CD"/>
    <w:rsid w:val="5D17675D"/>
    <w:rsid w:val="5D5815D2"/>
    <w:rsid w:val="5D8C538F"/>
    <w:rsid w:val="5D913E6F"/>
    <w:rsid w:val="5E892137"/>
    <w:rsid w:val="5E92066B"/>
    <w:rsid w:val="5F0C0E1E"/>
    <w:rsid w:val="5F4E3D34"/>
    <w:rsid w:val="601C14A8"/>
    <w:rsid w:val="60FD2458"/>
    <w:rsid w:val="61241E74"/>
    <w:rsid w:val="61B37CD9"/>
    <w:rsid w:val="61F91231"/>
    <w:rsid w:val="627E4927"/>
    <w:rsid w:val="62925BFF"/>
    <w:rsid w:val="6311467A"/>
    <w:rsid w:val="6353544C"/>
    <w:rsid w:val="63752BE8"/>
    <w:rsid w:val="63AA221A"/>
    <w:rsid w:val="63AF66DB"/>
    <w:rsid w:val="63C416EC"/>
    <w:rsid w:val="63D329A7"/>
    <w:rsid w:val="64446389"/>
    <w:rsid w:val="647D568F"/>
    <w:rsid w:val="64F20F9A"/>
    <w:rsid w:val="65212235"/>
    <w:rsid w:val="65491DFC"/>
    <w:rsid w:val="65644F35"/>
    <w:rsid w:val="65F10296"/>
    <w:rsid w:val="66067608"/>
    <w:rsid w:val="664D3E7B"/>
    <w:rsid w:val="66550056"/>
    <w:rsid w:val="667C001F"/>
    <w:rsid w:val="673E0421"/>
    <w:rsid w:val="675E5D5D"/>
    <w:rsid w:val="67A55390"/>
    <w:rsid w:val="684828EC"/>
    <w:rsid w:val="68721033"/>
    <w:rsid w:val="68D324EC"/>
    <w:rsid w:val="68F5288F"/>
    <w:rsid w:val="695218D5"/>
    <w:rsid w:val="6958729B"/>
    <w:rsid w:val="695D5763"/>
    <w:rsid w:val="696D4097"/>
    <w:rsid w:val="6A367BB0"/>
    <w:rsid w:val="6A4B791D"/>
    <w:rsid w:val="6A5A6210"/>
    <w:rsid w:val="6A8E0DDF"/>
    <w:rsid w:val="6AB02739"/>
    <w:rsid w:val="6B155FF3"/>
    <w:rsid w:val="6B295089"/>
    <w:rsid w:val="6B454354"/>
    <w:rsid w:val="6BF22A18"/>
    <w:rsid w:val="6C3D028D"/>
    <w:rsid w:val="6C6C0F3A"/>
    <w:rsid w:val="6C897B2B"/>
    <w:rsid w:val="6CA44B1F"/>
    <w:rsid w:val="6DD8045C"/>
    <w:rsid w:val="6DD81E53"/>
    <w:rsid w:val="6DE546DD"/>
    <w:rsid w:val="6E2A1B62"/>
    <w:rsid w:val="6E6455E6"/>
    <w:rsid w:val="6ED26602"/>
    <w:rsid w:val="6EF20050"/>
    <w:rsid w:val="6EF61365"/>
    <w:rsid w:val="6F045A6D"/>
    <w:rsid w:val="6F094FC8"/>
    <w:rsid w:val="6F3A01D0"/>
    <w:rsid w:val="6F53268F"/>
    <w:rsid w:val="6F55279E"/>
    <w:rsid w:val="700D09E4"/>
    <w:rsid w:val="705D76DF"/>
    <w:rsid w:val="70B338E3"/>
    <w:rsid w:val="70C55A7C"/>
    <w:rsid w:val="71142680"/>
    <w:rsid w:val="71B13AB2"/>
    <w:rsid w:val="71D54701"/>
    <w:rsid w:val="72D86461"/>
    <w:rsid w:val="731314E6"/>
    <w:rsid w:val="73317FDC"/>
    <w:rsid w:val="738D6B37"/>
    <w:rsid w:val="73F81AE1"/>
    <w:rsid w:val="74305C26"/>
    <w:rsid w:val="74470F3E"/>
    <w:rsid w:val="749E4C10"/>
    <w:rsid w:val="74CC20A6"/>
    <w:rsid w:val="75154017"/>
    <w:rsid w:val="751F2C26"/>
    <w:rsid w:val="75686749"/>
    <w:rsid w:val="7580276F"/>
    <w:rsid w:val="75E841DD"/>
    <w:rsid w:val="75EC72ED"/>
    <w:rsid w:val="76297BC1"/>
    <w:rsid w:val="76846A68"/>
    <w:rsid w:val="76BA469C"/>
    <w:rsid w:val="76BB3E4D"/>
    <w:rsid w:val="775D0BD3"/>
    <w:rsid w:val="77A9741D"/>
    <w:rsid w:val="77E974BC"/>
    <w:rsid w:val="781D792C"/>
    <w:rsid w:val="784139E1"/>
    <w:rsid w:val="78BD3BAD"/>
    <w:rsid w:val="78C7798B"/>
    <w:rsid w:val="78E23249"/>
    <w:rsid w:val="7926317F"/>
    <w:rsid w:val="79386064"/>
    <w:rsid w:val="793B40A9"/>
    <w:rsid w:val="79773031"/>
    <w:rsid w:val="798869F0"/>
    <w:rsid w:val="79C41B2A"/>
    <w:rsid w:val="79F7750E"/>
    <w:rsid w:val="7A24027A"/>
    <w:rsid w:val="7A5644BA"/>
    <w:rsid w:val="7A57199D"/>
    <w:rsid w:val="7A7F4B4B"/>
    <w:rsid w:val="7ACC5CEF"/>
    <w:rsid w:val="7AD67F34"/>
    <w:rsid w:val="7AE70F19"/>
    <w:rsid w:val="7B161E5A"/>
    <w:rsid w:val="7B33020B"/>
    <w:rsid w:val="7C090879"/>
    <w:rsid w:val="7C235C2E"/>
    <w:rsid w:val="7C4212A2"/>
    <w:rsid w:val="7C494E9D"/>
    <w:rsid w:val="7D890306"/>
    <w:rsid w:val="7E015D51"/>
    <w:rsid w:val="7E870ECF"/>
    <w:rsid w:val="7E9E696A"/>
    <w:rsid w:val="7E9F58CF"/>
    <w:rsid w:val="7EC15CA3"/>
    <w:rsid w:val="7F5E30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iPriority="39"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400" w:lineRule="exact"/>
      <w:ind w:firstLine="200" w:firstLineChars="200"/>
      <w:jc w:val="both"/>
    </w:pPr>
    <w:rPr>
      <w:rFonts w:asciiTheme="minorHAnsi" w:hAnsiTheme="minorHAnsi" w:eastAsiaTheme="minorEastAsia" w:cstheme="minorBidi"/>
      <w:sz w:val="21"/>
      <w:szCs w:val="22"/>
      <w:lang w:val="en-US" w:eastAsia="zh-CN" w:bidi="ar-SA"/>
    </w:rPr>
  </w:style>
  <w:style w:type="paragraph" w:styleId="3">
    <w:name w:val="heading 2"/>
    <w:basedOn w:val="1"/>
    <w:next w:val="1"/>
    <w:qFormat/>
    <w:uiPriority w:val="0"/>
    <w:pPr>
      <w:keepNext/>
      <w:keepLines/>
      <w:spacing w:before="260" w:after="260" w:line="416" w:lineRule="auto"/>
      <w:ind w:firstLine="0" w:firstLineChars="0"/>
      <w:outlineLvl w:val="1"/>
    </w:pPr>
    <w:rPr>
      <w:rFonts w:ascii="Cambria" w:hAnsi="Cambria"/>
      <w:b/>
      <w:bCs/>
      <w:kern w:val="2"/>
      <w:sz w:val="32"/>
      <w:szCs w:val="32"/>
    </w:rPr>
  </w:style>
  <w:style w:type="paragraph" w:styleId="4">
    <w:name w:val="heading 3"/>
    <w:basedOn w:val="3"/>
    <w:next w:val="1"/>
    <w:link w:val="55"/>
    <w:unhideWhenUsed/>
    <w:qFormat/>
    <w:uiPriority w:val="0"/>
    <w:pPr>
      <w:spacing w:before="100" w:beforeAutospacing="1" w:after="100" w:afterAutospacing="1"/>
      <w:jc w:val="left"/>
      <w:outlineLvl w:val="2"/>
    </w:pPr>
    <w:rPr>
      <w:rFonts w:ascii="宋体" w:hAnsi="宋体" w:cs="宋体"/>
      <w:sz w:val="27"/>
      <w:szCs w:val="27"/>
    </w:rPr>
  </w:style>
  <w:style w:type="paragraph" w:styleId="5">
    <w:name w:val="heading 4"/>
    <w:basedOn w:val="1"/>
    <w:next w:val="1"/>
    <w:unhideWhenUsed/>
    <w:qFormat/>
    <w:uiPriority w:val="0"/>
    <w:pPr>
      <w:keepNext/>
      <w:keepLines/>
      <w:spacing w:before="50" w:beforeLines="50" w:beforeAutospacing="0" w:after="50" w:afterLines="50" w:afterAutospacing="0" w:line="240" w:lineRule="auto"/>
      <w:outlineLvl w:val="3"/>
    </w:pPr>
    <w:rPr>
      <w:rFonts w:ascii="Arial" w:hAnsi="Arial" w:eastAsia="宋体"/>
      <w:b/>
      <w:sz w:val="28"/>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cs="Times New Roman"/>
      <w:kern w:val="2"/>
      <w:sz w:val="21"/>
      <w:szCs w:val="20"/>
    </w:rPr>
  </w:style>
  <w:style w:type="paragraph" w:styleId="6">
    <w:name w:val="Normal Indent"/>
    <w:basedOn w:val="1"/>
    <w:qFormat/>
    <w:uiPriority w:val="0"/>
    <w:pPr>
      <w:ind w:firstLine="420"/>
    </w:pPr>
    <w:rPr>
      <w:szCs w:val="20"/>
    </w:rPr>
  </w:style>
  <w:style w:type="paragraph" w:styleId="7">
    <w:name w:val="Body Text"/>
    <w:basedOn w:val="1"/>
    <w:next w:val="8"/>
    <w:qFormat/>
    <w:uiPriority w:val="0"/>
    <w:pPr>
      <w:spacing w:line="360" w:lineRule="exact"/>
    </w:pPr>
    <w:rPr>
      <w:sz w:val="24"/>
    </w:rPr>
  </w:style>
  <w:style w:type="paragraph" w:customStyle="1" w:styleId="8">
    <w:name w:val="一级条标题"/>
    <w:basedOn w:val="9"/>
    <w:next w:val="10"/>
    <w:qFormat/>
    <w:uiPriority w:val="0"/>
    <w:pPr>
      <w:spacing w:line="240" w:lineRule="auto"/>
      <w:ind w:left="420"/>
      <w:outlineLvl w:val="2"/>
    </w:pPr>
  </w:style>
  <w:style w:type="paragraph" w:customStyle="1" w:styleId="9">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10">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11">
    <w:name w:val="Body Text Indent"/>
    <w:basedOn w:val="1"/>
    <w:next w:val="1"/>
    <w:qFormat/>
    <w:uiPriority w:val="0"/>
    <w:pPr>
      <w:spacing w:after="120"/>
      <w:ind w:left="420" w:leftChars="200"/>
    </w:pPr>
  </w:style>
  <w:style w:type="paragraph" w:styleId="12">
    <w:name w:val="toc 3"/>
    <w:basedOn w:val="1"/>
    <w:next w:val="1"/>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3">
    <w:name w:val="Plain Text"/>
    <w:basedOn w:val="1"/>
    <w:link w:val="53"/>
    <w:qFormat/>
    <w:uiPriority w:val="0"/>
    <w:rPr>
      <w:rFonts w:ascii="宋体" w:hAnsi="Courier New"/>
      <w:szCs w:val="20"/>
    </w:rPr>
  </w:style>
  <w:style w:type="paragraph" w:styleId="14">
    <w:name w:val="Balloon Text"/>
    <w:basedOn w:val="1"/>
    <w:link w:val="45"/>
    <w:qFormat/>
    <w:uiPriority w:val="0"/>
    <w:pPr>
      <w:spacing w:line="240" w:lineRule="auto"/>
    </w:pPr>
    <w:rPr>
      <w:sz w:val="18"/>
      <w:szCs w:val="18"/>
    </w:rPr>
  </w:style>
  <w:style w:type="paragraph" w:styleId="15">
    <w:name w:val="footer"/>
    <w:basedOn w:val="1"/>
    <w:qFormat/>
    <w:uiPriority w:val="0"/>
    <w:pPr>
      <w:tabs>
        <w:tab w:val="center" w:pos="4153"/>
        <w:tab w:val="right" w:pos="8306"/>
      </w:tabs>
      <w:snapToGrid w:val="0"/>
      <w:jc w:val="left"/>
    </w:pPr>
    <w:rPr>
      <w:sz w:val="18"/>
      <w:szCs w:val="20"/>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pPr>
      <w:spacing w:before="120" w:after="120"/>
      <w:jc w:val="left"/>
    </w:pPr>
    <w:rPr>
      <w:rFonts w:ascii="Calibri" w:hAnsi="Calibri"/>
      <w:b/>
      <w:bCs/>
      <w:caps/>
      <w:sz w:val="20"/>
      <w:szCs w:val="20"/>
    </w:rPr>
  </w:style>
  <w:style w:type="paragraph" w:styleId="18">
    <w:name w:val="Subtitle"/>
    <w:basedOn w:val="1"/>
    <w:next w:val="1"/>
    <w:qFormat/>
    <w:uiPriority w:val="0"/>
    <w:pPr>
      <w:spacing w:before="240" w:after="60" w:line="312" w:lineRule="auto"/>
      <w:jc w:val="center"/>
      <w:outlineLvl w:val="1"/>
    </w:pPr>
    <w:rPr>
      <w:rFonts w:ascii="Calibri Light" w:hAnsi="Calibri Light"/>
      <w:b/>
      <w:bCs/>
      <w:kern w:val="28"/>
      <w:sz w:val="32"/>
      <w:szCs w:val="32"/>
    </w:rPr>
  </w:style>
  <w:style w:type="paragraph" w:styleId="19">
    <w:name w:val="footnote text"/>
    <w:basedOn w:val="1"/>
    <w:unhideWhenUsed/>
    <w:qFormat/>
    <w:uiPriority w:val="99"/>
    <w:pPr>
      <w:snapToGrid w:val="0"/>
      <w:jc w:val="left"/>
    </w:pPr>
    <w:rPr>
      <w:sz w:val="18"/>
    </w:rPr>
  </w:style>
  <w:style w:type="paragraph" w:styleId="20">
    <w:name w:val="toc 2"/>
    <w:basedOn w:val="1"/>
    <w:next w:val="1"/>
    <w:unhideWhenUsed/>
    <w:qFormat/>
    <w:uiPriority w:val="39"/>
    <w:pPr>
      <w:widowControl/>
      <w:spacing w:after="100" w:line="259" w:lineRule="auto"/>
      <w:ind w:left="220"/>
      <w:jc w:val="left"/>
    </w:pPr>
    <w:rPr>
      <w:rFonts w:ascii="Calibri" w:hAnsi="Calibri"/>
      <w:kern w:val="0"/>
      <w:sz w:val="22"/>
      <w:szCs w:val="22"/>
    </w:rPr>
  </w:style>
  <w:style w:type="paragraph" w:styleId="21">
    <w:name w:val="Body Text 2"/>
    <w:basedOn w:val="1"/>
    <w:qFormat/>
    <w:uiPriority w:val="0"/>
    <w:pPr>
      <w:widowControl w:val="0"/>
      <w:spacing w:line="360" w:lineRule="auto"/>
      <w:jc w:val="both"/>
    </w:pPr>
    <w:rPr>
      <w:rFonts w:ascii="宋体" w:hAnsi="Times New Roman" w:eastAsia="宋体" w:cs="Times New Roman"/>
      <w:kern w:val="2"/>
      <w:sz w:val="24"/>
      <w:lang w:val="en-US" w:eastAsia="zh-CN" w:bidi="ar-SA"/>
    </w:rPr>
  </w:style>
  <w:style w:type="paragraph" w:styleId="22">
    <w:name w:val="Message Header"/>
    <w:basedOn w:val="1"/>
    <w:autoRedefine/>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rPr>
  </w:style>
  <w:style w:type="paragraph" w:styleId="23">
    <w:name w:val="Normal (Web)"/>
    <w:basedOn w:val="1"/>
    <w:autoRedefine/>
    <w:qFormat/>
    <w:uiPriority w:val="99"/>
    <w:pPr>
      <w:widowControl/>
      <w:spacing w:before="100" w:beforeAutospacing="1" w:after="119"/>
      <w:jc w:val="left"/>
    </w:pPr>
    <w:rPr>
      <w:rFonts w:ascii="宋体" w:hAnsi="宋体" w:cs="宋体"/>
      <w:sz w:val="24"/>
    </w:rPr>
  </w:style>
  <w:style w:type="paragraph" w:styleId="24">
    <w:name w:val="Title"/>
    <w:basedOn w:val="1"/>
    <w:next w:val="1"/>
    <w:autoRedefine/>
    <w:qFormat/>
    <w:uiPriority w:val="0"/>
    <w:pPr>
      <w:spacing w:before="240" w:after="60"/>
      <w:jc w:val="center"/>
      <w:outlineLvl w:val="0"/>
    </w:pPr>
    <w:rPr>
      <w:rFonts w:ascii="Cambria" w:hAnsi="Cambria"/>
      <w:b/>
      <w:bCs/>
      <w:sz w:val="36"/>
      <w:szCs w:val="32"/>
    </w:rPr>
  </w:style>
  <w:style w:type="paragraph" w:styleId="25">
    <w:name w:val="Body Text First Indent"/>
    <w:basedOn w:val="7"/>
    <w:next w:val="1"/>
    <w:autoRedefine/>
    <w:qFormat/>
    <w:uiPriority w:val="0"/>
    <w:pPr>
      <w:ind w:firstLine="420"/>
    </w:pPr>
    <w:rPr>
      <w:sz w:val="32"/>
    </w:rPr>
  </w:style>
  <w:style w:type="paragraph" w:styleId="26">
    <w:name w:val="Body Text First Indent 2"/>
    <w:basedOn w:val="11"/>
    <w:autoRedefine/>
    <w:qFormat/>
    <w:uiPriority w:val="0"/>
    <w:pPr>
      <w:widowControl w:val="0"/>
      <w:spacing w:after="120" w:line="500" w:lineRule="exact"/>
      <w:ind w:left="420" w:firstLine="210"/>
      <w:jc w:val="both"/>
    </w:pPr>
    <w:rPr>
      <w:rFonts w:ascii="Times New Roman" w:hAnsi="Times New Roman" w:eastAsia="楷体_GB2312" w:cs="Times New Roman"/>
      <w:spacing w:val="8"/>
      <w:kern w:val="2"/>
      <w:sz w:val="24"/>
      <w:lang w:val="en-US" w:eastAsia="zh-CN" w:bidi="ar-SA"/>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0">
    <w:name w:val="Strong"/>
    <w:basedOn w:val="29"/>
    <w:qFormat/>
    <w:uiPriority w:val="0"/>
  </w:style>
  <w:style w:type="character" w:styleId="31">
    <w:name w:val="page number"/>
    <w:basedOn w:val="29"/>
    <w:qFormat/>
    <w:uiPriority w:val="0"/>
  </w:style>
  <w:style w:type="character" w:styleId="32">
    <w:name w:val="FollowedHyperlink"/>
    <w:basedOn w:val="29"/>
    <w:autoRedefine/>
    <w:qFormat/>
    <w:uiPriority w:val="0"/>
    <w:rPr>
      <w:color w:val="800080"/>
      <w:u w:val="none"/>
    </w:rPr>
  </w:style>
  <w:style w:type="character" w:styleId="33">
    <w:name w:val="Emphasis"/>
    <w:basedOn w:val="29"/>
    <w:qFormat/>
    <w:uiPriority w:val="0"/>
  </w:style>
  <w:style w:type="character" w:styleId="34">
    <w:name w:val="HTML Definition"/>
    <w:basedOn w:val="29"/>
    <w:qFormat/>
    <w:uiPriority w:val="0"/>
  </w:style>
  <w:style w:type="character" w:styleId="35">
    <w:name w:val="HTML Typewriter"/>
    <w:basedOn w:val="29"/>
    <w:qFormat/>
    <w:uiPriority w:val="0"/>
    <w:rPr>
      <w:rFonts w:ascii="monospace" w:hAnsi="monospace" w:eastAsia="monospace" w:cs="monospace"/>
      <w:sz w:val="20"/>
    </w:rPr>
  </w:style>
  <w:style w:type="character" w:styleId="36">
    <w:name w:val="HTML Acronym"/>
    <w:basedOn w:val="29"/>
    <w:qFormat/>
    <w:uiPriority w:val="0"/>
  </w:style>
  <w:style w:type="character" w:styleId="37">
    <w:name w:val="HTML Variable"/>
    <w:basedOn w:val="29"/>
    <w:qFormat/>
    <w:uiPriority w:val="0"/>
  </w:style>
  <w:style w:type="character" w:styleId="38">
    <w:name w:val="Hyperlink"/>
    <w:qFormat/>
    <w:uiPriority w:val="0"/>
    <w:rPr>
      <w:color w:val="000099"/>
      <w:u w:val="none"/>
    </w:rPr>
  </w:style>
  <w:style w:type="character" w:styleId="39">
    <w:name w:val="HTML Code"/>
    <w:basedOn w:val="29"/>
    <w:qFormat/>
    <w:uiPriority w:val="0"/>
    <w:rPr>
      <w:rFonts w:hint="default" w:ascii="monospace" w:hAnsi="monospace" w:eastAsia="monospace" w:cs="monospace"/>
      <w:sz w:val="20"/>
    </w:rPr>
  </w:style>
  <w:style w:type="character" w:styleId="40">
    <w:name w:val="HTML Cite"/>
    <w:basedOn w:val="29"/>
    <w:qFormat/>
    <w:uiPriority w:val="0"/>
  </w:style>
  <w:style w:type="character" w:styleId="41">
    <w:name w:val="footnote reference"/>
    <w:basedOn w:val="29"/>
    <w:unhideWhenUsed/>
    <w:qFormat/>
    <w:uiPriority w:val="99"/>
    <w:rPr>
      <w:vertAlign w:val="superscript"/>
    </w:rPr>
  </w:style>
  <w:style w:type="character" w:styleId="42">
    <w:name w:val="HTML Keyboard"/>
    <w:basedOn w:val="29"/>
    <w:qFormat/>
    <w:uiPriority w:val="0"/>
    <w:rPr>
      <w:rFonts w:hint="default" w:ascii="monospace" w:hAnsi="monospace" w:eastAsia="monospace" w:cs="monospace"/>
      <w:sz w:val="20"/>
    </w:rPr>
  </w:style>
  <w:style w:type="character" w:styleId="43">
    <w:name w:val="HTML Sample"/>
    <w:basedOn w:val="29"/>
    <w:qFormat/>
    <w:uiPriority w:val="0"/>
    <w:rPr>
      <w:rFonts w:hint="default" w:ascii="monospace" w:hAnsi="monospace" w:eastAsia="monospace" w:cs="monospace"/>
    </w:rPr>
  </w:style>
  <w:style w:type="paragraph" w:customStyle="1" w:styleId="44">
    <w:name w:val="列出段落1"/>
    <w:basedOn w:val="1"/>
    <w:qFormat/>
    <w:uiPriority w:val="34"/>
    <w:pPr>
      <w:ind w:firstLine="420"/>
    </w:pPr>
    <w:rPr>
      <w:rFonts w:ascii="Calibri" w:hAnsi="Calibri"/>
    </w:rPr>
  </w:style>
  <w:style w:type="character" w:customStyle="1" w:styleId="45">
    <w:name w:val="批注框文本 Char"/>
    <w:basedOn w:val="29"/>
    <w:link w:val="14"/>
    <w:qFormat/>
    <w:uiPriority w:val="0"/>
    <w:rPr>
      <w:sz w:val="18"/>
      <w:szCs w:val="18"/>
    </w:rPr>
  </w:style>
  <w:style w:type="character" w:customStyle="1" w:styleId="46">
    <w:name w:val="font41"/>
    <w:basedOn w:val="29"/>
    <w:qFormat/>
    <w:uiPriority w:val="0"/>
    <w:rPr>
      <w:rFonts w:hint="default" w:ascii="Tahoma" w:hAnsi="Tahoma" w:eastAsia="Tahoma" w:cs="Tahoma"/>
      <w:color w:val="000000"/>
      <w:sz w:val="18"/>
      <w:szCs w:val="18"/>
      <w:u w:val="none"/>
    </w:rPr>
  </w:style>
  <w:style w:type="character" w:customStyle="1" w:styleId="47">
    <w:name w:val="font11"/>
    <w:basedOn w:val="29"/>
    <w:qFormat/>
    <w:uiPriority w:val="0"/>
    <w:rPr>
      <w:rFonts w:hint="eastAsia" w:ascii="宋体" w:hAnsi="宋体" w:eastAsia="宋体" w:cs="宋体"/>
      <w:color w:val="000000"/>
      <w:sz w:val="24"/>
      <w:szCs w:val="24"/>
      <w:u w:val="none"/>
      <w:vertAlign w:val="subscript"/>
    </w:rPr>
  </w:style>
  <w:style w:type="character" w:customStyle="1" w:styleId="48">
    <w:name w:val="int_huang_12_b1"/>
    <w:qFormat/>
    <w:uiPriority w:val="0"/>
    <w:rPr>
      <w:rFonts w:hint="default" w:ascii="Verdana" w:hAnsi="Verdana"/>
      <w:b/>
      <w:bCs/>
      <w:color w:val="EECC77"/>
      <w:sz w:val="18"/>
      <w:szCs w:val="18"/>
    </w:rPr>
  </w:style>
  <w:style w:type="paragraph" w:customStyle="1" w:styleId="49">
    <w:name w:val="引言二级条标题"/>
    <w:basedOn w:val="50"/>
    <w:next w:val="10"/>
    <w:qFormat/>
    <w:uiPriority w:val="99"/>
    <w:pPr>
      <w:numPr>
        <w:ilvl w:val="1"/>
        <w:numId w:val="1"/>
      </w:numPr>
      <w:tabs>
        <w:tab w:val="left" w:pos="360"/>
        <w:tab w:val="left" w:pos="1200"/>
      </w:tabs>
    </w:pPr>
    <w:rPr>
      <w:b w:val="0"/>
    </w:rPr>
  </w:style>
  <w:style w:type="paragraph" w:customStyle="1" w:styleId="50">
    <w:name w:val="引言一级条标题"/>
    <w:basedOn w:val="1"/>
    <w:next w:val="10"/>
    <w:qFormat/>
    <w:uiPriority w:val="0"/>
    <w:pPr>
      <w:widowControl/>
      <w:numPr>
        <w:ilvl w:val="0"/>
        <w:numId w:val="2"/>
      </w:numPr>
    </w:pPr>
    <w:rPr>
      <w:rFonts w:eastAsia="黑体"/>
      <w:b/>
      <w:szCs w:val="20"/>
    </w:rPr>
  </w:style>
  <w:style w:type="character" w:customStyle="1" w:styleId="51">
    <w:name w:val="font21"/>
    <w:basedOn w:val="29"/>
    <w:qFormat/>
    <w:uiPriority w:val="0"/>
    <w:rPr>
      <w:rFonts w:hint="eastAsia" w:ascii="宋体" w:hAnsi="宋体" w:eastAsia="宋体" w:cs="宋体"/>
      <w:color w:val="000000"/>
      <w:sz w:val="24"/>
      <w:szCs w:val="24"/>
      <w:u w:val="none"/>
    </w:rPr>
  </w:style>
  <w:style w:type="paragraph" w:customStyle="1" w:styleId="52">
    <w:name w:val="Table Paragraph"/>
    <w:basedOn w:val="1"/>
    <w:qFormat/>
    <w:uiPriority w:val="1"/>
    <w:pPr>
      <w:autoSpaceDE w:val="0"/>
      <w:autoSpaceDN w:val="0"/>
      <w:spacing w:line="240" w:lineRule="auto"/>
      <w:ind w:firstLine="0" w:firstLineChars="0"/>
      <w:jc w:val="left"/>
    </w:pPr>
    <w:rPr>
      <w:rFonts w:ascii="宋体" w:hAnsi="宋体" w:eastAsia="宋体" w:cs="宋体"/>
      <w:sz w:val="22"/>
      <w:lang w:val="zh-CN" w:bidi="zh-CN"/>
    </w:rPr>
  </w:style>
  <w:style w:type="character" w:customStyle="1" w:styleId="53">
    <w:name w:val="纯文本 Char"/>
    <w:link w:val="13"/>
    <w:qFormat/>
    <w:uiPriority w:val="0"/>
    <w:rPr>
      <w:rFonts w:ascii="宋体" w:hAnsi="Courier New" w:cstheme="minorBidi"/>
      <w:sz w:val="21"/>
    </w:rPr>
  </w:style>
  <w:style w:type="paragraph" w:customStyle="1" w:styleId="54">
    <w:name w:val="1"/>
    <w:basedOn w:val="1"/>
    <w:qFormat/>
    <w:uiPriority w:val="99"/>
    <w:pPr>
      <w:spacing w:line="240" w:lineRule="auto"/>
      <w:ind w:firstLine="0" w:firstLineChars="0"/>
    </w:pPr>
    <w:rPr>
      <w:rFonts w:ascii="Times New Roman" w:hAnsi="Times New Roman" w:eastAsia="宋体" w:cs="Times New Roman"/>
      <w:kern w:val="2"/>
      <w:sz w:val="24"/>
      <w:szCs w:val="20"/>
    </w:rPr>
  </w:style>
  <w:style w:type="character" w:customStyle="1" w:styleId="55">
    <w:name w:val="标题 3 Char1"/>
    <w:link w:val="4"/>
    <w:qFormat/>
    <w:uiPriority w:val="1"/>
    <w:rPr>
      <w:rFonts w:ascii="宋体" w:hAnsi="宋体" w:cs="宋体"/>
      <w:b/>
      <w:sz w:val="27"/>
      <w:szCs w:val="27"/>
    </w:rPr>
  </w:style>
  <w:style w:type="paragraph" w:styleId="56">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57">
    <w:name w:val="_Style 32"/>
    <w:qFormat/>
    <w:uiPriority w:val="1"/>
    <w:pPr>
      <w:widowControl w:val="0"/>
      <w:jc w:val="both"/>
    </w:pPr>
    <w:rPr>
      <w:rFonts w:ascii="Times New Roman" w:hAnsi="Times New Roman" w:eastAsia="宋体" w:cs="Times New Roman"/>
      <w:kern w:val="2"/>
      <w:sz w:val="21"/>
      <w:szCs w:val="24"/>
      <w:lang w:val="en-US" w:eastAsia="zh-CN" w:bidi="ar-SA"/>
    </w:rPr>
  </w:style>
  <w:style w:type="paragraph" w:styleId="58">
    <w:name w:val="List Paragraph"/>
    <w:basedOn w:val="1"/>
    <w:qFormat/>
    <w:uiPriority w:val="99"/>
    <w:pPr>
      <w:ind w:firstLine="420" w:firstLineChars="200"/>
    </w:pPr>
  </w:style>
  <w:style w:type="paragraph" w:customStyle="1" w:styleId="59">
    <w:name w:val="正文_0"/>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paragraph" w:customStyle="1" w:styleId="60">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8E4D9F0-5B97-430B-8234-ED7142370552}">
  <ds:schemaRefs/>
</ds:datastoreItem>
</file>

<file path=docProps/app.xml><?xml version="1.0" encoding="utf-8"?>
<Properties xmlns="http://schemas.openxmlformats.org/officeDocument/2006/extended-properties" xmlns:vt="http://schemas.openxmlformats.org/officeDocument/2006/docPropsVTypes">
  <Template>Normal</Template>
  <Pages>63</Pages>
  <Words>27413</Words>
  <Characters>28473</Characters>
  <Lines>1</Lines>
  <Paragraphs>1</Paragraphs>
  <TotalTime>51</TotalTime>
  <ScaleCrop>false</ScaleCrop>
  <LinksUpToDate>false</LinksUpToDate>
  <CharactersWithSpaces>30506</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2020-07-07T09:50:00Z</dcterms:created>
  <dc:creator>Administrator</dc:creator>
  <cp:lastModifiedBy>刘延宁</cp:lastModifiedBy>
  <cp:lastPrinted>2023-03-17T00:54:00Z</cp:lastPrinted>
  <dcterms:modified xsi:type="dcterms:W3CDTF">2024-01-05T01:20:43Z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4C21A94BF6E24C23A10DC8CD88E2087A_13</vt:lpwstr>
  </property>
</Properties>
</file>