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jc w:val="left"/>
        <w:rPr>
          <w:rFonts w:ascii="宋体" w:hAnsi="宋体"/>
          <w:b/>
        </w:rPr>
      </w:pPr>
      <w:r>
        <w:rPr>
          <w:rFonts w:hint="eastAsia" w:ascii="宋体" w:hAnsi="宋体"/>
          <w:b/>
        </w:rPr>
        <w:t>特别提示：</w:t>
      </w:r>
    </w:p>
    <w:p>
      <w:pPr>
        <w:spacing w:line="440" w:lineRule="exact"/>
        <w:ind w:firstLine="480"/>
        <w:rPr>
          <w:rFonts w:hint="eastAsia" w:ascii="宋体" w:hAnsi="宋体"/>
        </w:rPr>
      </w:pPr>
      <w:r>
        <w:rPr>
          <w:rFonts w:hint="eastAsia" w:ascii="宋体" w:hAnsi="宋体"/>
        </w:rPr>
        <w:t>1、该项目报名及网上投标需在青海省政府采购电子化平台上操作，具体相关操作事宜请务必提前与青海省政府采购电子化平台的技术支持部门联系。</w:t>
      </w:r>
    </w:p>
    <w:p>
      <w:pPr>
        <w:spacing w:line="440" w:lineRule="exact"/>
        <w:ind w:firstLine="480"/>
        <w:rPr>
          <w:rFonts w:hint="eastAsia" w:ascii="宋体" w:hAnsi="宋体"/>
        </w:rPr>
      </w:pPr>
      <w:r>
        <w:rPr>
          <w:rFonts w:hint="eastAsia" w:ascii="宋体" w:hAnsi="宋体"/>
        </w:rPr>
        <w:t>2、参与投标的供应商必须在青海省政府采购中心登记。（省政务服务监督管理局二楼，联系电话：0971-5115646）</w:t>
      </w:r>
    </w:p>
    <w:p>
      <w:pPr>
        <w:spacing w:line="440" w:lineRule="exact"/>
        <w:ind w:firstLine="480"/>
        <w:rPr>
          <w:rFonts w:hint="eastAsia" w:ascii="宋体" w:hAnsi="宋体"/>
        </w:rPr>
      </w:pPr>
      <w:r>
        <w:rPr>
          <w:rFonts w:hint="eastAsia" w:ascii="宋体" w:hAnsi="宋体"/>
        </w:rPr>
        <w:t>3、参与投标的供应商须办理青海省政府采购电子化平台投标的相关手续，且具备在青海省政府采购电子化平台上投标的能力。（技术咨询：王女士，联系电话：0971-8224398）</w:t>
      </w:r>
    </w:p>
    <w:p>
      <w:pPr>
        <w:spacing w:line="440" w:lineRule="exact"/>
        <w:ind w:firstLine="480"/>
        <w:rPr>
          <w:rFonts w:hint="eastAsia" w:ascii="宋体" w:hAnsi="宋体"/>
        </w:rPr>
      </w:pPr>
      <w:r>
        <w:rPr>
          <w:rFonts w:hint="eastAsia" w:ascii="宋体" w:hAnsi="宋体"/>
        </w:rPr>
        <w:t>4、为了给投标人提供更好的服务，请办理注册、获取“安全证书”、电子标书制作等业务的供应商，务必统一加入青海省政府采购中心官方网站（http://118.213.59.178:8088/login?cloudid=104）QQ群（156765251、235610913、295834281、437762380、809415646）进行技术支持及业务咨询。</w:t>
      </w:r>
    </w:p>
    <w:p>
      <w:pPr>
        <w:spacing w:line="440" w:lineRule="exact"/>
        <w:ind w:firstLine="480"/>
        <w:rPr>
          <w:rFonts w:hint="eastAsia" w:ascii="宋体" w:hAnsi="宋体"/>
        </w:rPr>
      </w:pPr>
      <w:r>
        <w:rPr>
          <w:rFonts w:hint="eastAsia" w:ascii="宋体" w:hAnsi="宋体"/>
        </w:rPr>
        <w:t>5、供应商应充分考虑到网上投标可能会发生的故障和风险，应尽早上传投标文件及数据文件。如果电子平台操作遇到困难，或因网上不能如期上传投标文件的，请提前在上班时间及时与技术支持部门联系，到采购中心设置的供应商服务处办理。（技术支持部门联系人及电话：邹先生 0971-6105230）</w:t>
      </w:r>
    </w:p>
    <w:p>
      <w:pPr>
        <w:autoSpaceDE w:val="0"/>
        <w:autoSpaceDN w:val="0"/>
        <w:adjustRightInd w:val="0"/>
        <w:spacing w:line="360" w:lineRule="auto"/>
        <w:jc w:val="center"/>
        <w:rPr>
          <w:rFonts w:hint="eastAsia" w:ascii="宋体" w:hAnsi="宋体"/>
        </w:rPr>
      </w:pPr>
      <w:r>
        <w:rPr>
          <w:rFonts w:hint="eastAsia" w:ascii="宋体" w:hAnsi="宋体"/>
        </w:rPr>
        <w:t>（本提示不作为采购文件的组成部分）</w:t>
      </w:r>
    </w:p>
    <w:p>
      <w:pPr>
        <w:pStyle w:val="5"/>
        <w:rPr>
          <w:rFonts w:hint="eastAsia" w:ascii="宋体"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rPr>
      </w:pPr>
    </w:p>
    <w:p>
      <w:pPr>
        <w:pStyle w:val="6"/>
        <w:rPr>
          <w:rFonts w:hint="eastAsia" w:hAnsi="宋体"/>
          <w:lang w:val="zh-CN"/>
        </w:rPr>
      </w:pPr>
    </w:p>
    <w:p>
      <w:pPr>
        <w:autoSpaceDE w:val="0"/>
        <w:autoSpaceDN w:val="0"/>
        <w:adjustRightInd w:val="0"/>
        <w:spacing w:line="360" w:lineRule="auto"/>
        <w:jc w:val="center"/>
        <w:rPr>
          <w:rFonts w:hint="eastAsia" w:ascii="宋体" w:hAnsi="宋体" w:cs="宋体"/>
          <w:b/>
          <w:bCs/>
          <w:kern w:val="0"/>
          <w:sz w:val="84"/>
          <w:szCs w:val="84"/>
        </w:rPr>
      </w:pPr>
      <w:r>
        <w:rPr>
          <w:rFonts w:hint="eastAsia" w:ascii="宋体" w:hAnsi="宋体" w:cs="宋体"/>
          <w:b/>
          <w:bCs/>
          <w:kern w:val="0"/>
          <w:sz w:val="84"/>
          <w:szCs w:val="84"/>
          <w:lang w:val="zh-CN"/>
        </w:rPr>
        <w:t>公开招标文件</w:t>
      </w:r>
    </w:p>
    <w:p>
      <w:pPr>
        <w:autoSpaceDE w:val="0"/>
        <w:autoSpaceDN w:val="0"/>
        <w:adjustRightInd w:val="0"/>
        <w:spacing w:line="360" w:lineRule="auto"/>
        <w:jc w:val="left"/>
        <w:rPr>
          <w:rFonts w:hint="eastAsia" w:ascii="宋体" w:hAnsi="宋体" w:cs="宋体"/>
          <w:kern w:val="0"/>
          <w:sz w:val="36"/>
          <w:szCs w:val="36"/>
        </w:rPr>
      </w:pPr>
    </w:p>
    <w:p>
      <w:pPr>
        <w:autoSpaceDE w:val="0"/>
        <w:autoSpaceDN w:val="0"/>
        <w:adjustRightInd w:val="0"/>
        <w:spacing w:line="360" w:lineRule="auto"/>
        <w:jc w:val="left"/>
        <w:rPr>
          <w:rFonts w:hint="eastAsia" w:ascii="宋体" w:hAnsi="宋体" w:cs="宋体"/>
          <w:kern w:val="0"/>
          <w:sz w:val="36"/>
          <w:szCs w:val="36"/>
          <w:u w:val="dotDash"/>
        </w:rPr>
      </w:pPr>
    </w:p>
    <w:p>
      <w:pPr>
        <w:autoSpaceDE w:val="0"/>
        <w:autoSpaceDN w:val="0"/>
        <w:adjustRightInd w:val="0"/>
        <w:spacing w:line="360" w:lineRule="auto"/>
        <w:jc w:val="left"/>
        <w:rPr>
          <w:rFonts w:hint="eastAsia" w:ascii="宋体" w:hAnsi="宋体" w:cs="宋体"/>
          <w:kern w:val="0"/>
          <w:sz w:val="36"/>
          <w:szCs w:val="36"/>
          <w:u w:val="dotDash"/>
        </w:rPr>
      </w:pPr>
    </w:p>
    <w:p>
      <w:pPr>
        <w:autoSpaceDE w:val="0"/>
        <w:autoSpaceDN w:val="0"/>
        <w:adjustRightInd w:val="0"/>
        <w:spacing w:line="360" w:lineRule="auto"/>
        <w:jc w:val="left"/>
        <w:rPr>
          <w:rFonts w:hint="eastAsia" w:ascii="宋体" w:hAnsi="宋体" w:cs="宋体"/>
          <w:kern w:val="0"/>
          <w:sz w:val="28"/>
          <w:szCs w:val="28"/>
          <w:lang w:val="zh-CN"/>
        </w:rPr>
      </w:pPr>
      <w:r>
        <w:rPr>
          <w:rFonts w:hint="eastAsia" w:ascii="宋体" w:hAnsi="宋体" w:cs="宋体"/>
          <w:b/>
          <w:bCs/>
          <w:kern w:val="0"/>
          <w:sz w:val="36"/>
          <w:szCs w:val="36"/>
          <w:lang w:val="zh-CN"/>
        </w:rPr>
        <w:t>采购项目编号：城建招标公开（货物）2023-069（第二次）</w:t>
      </w:r>
    </w:p>
    <w:p>
      <w:pPr>
        <w:autoSpaceDE w:val="0"/>
        <w:autoSpaceDN w:val="0"/>
        <w:adjustRightInd w:val="0"/>
        <w:spacing w:line="360" w:lineRule="auto"/>
        <w:ind w:left="2530" w:hanging="2530" w:hangingChars="700"/>
        <w:jc w:val="left"/>
        <w:rPr>
          <w:rFonts w:hint="eastAsia" w:ascii="宋体" w:hAnsi="宋体" w:cs="宋体"/>
          <w:b/>
          <w:bCs/>
          <w:kern w:val="0"/>
          <w:sz w:val="36"/>
          <w:szCs w:val="36"/>
          <w:lang w:eastAsia="zh-CN"/>
        </w:rPr>
      </w:pPr>
      <w:r>
        <w:rPr>
          <w:rFonts w:hint="eastAsia" w:ascii="宋体" w:hAnsi="宋体" w:cs="宋体"/>
          <w:b/>
          <w:bCs/>
          <w:kern w:val="0"/>
          <w:sz w:val="36"/>
          <w:szCs w:val="36"/>
          <w:lang w:val="zh-CN"/>
        </w:rPr>
        <w:t>采购项目名称：</w:t>
      </w:r>
      <w:r>
        <w:rPr>
          <w:rFonts w:hint="eastAsia" w:ascii="宋体" w:hAnsi="宋体" w:cs="宋体"/>
          <w:b/>
          <w:bCs/>
          <w:kern w:val="0"/>
          <w:sz w:val="36"/>
          <w:szCs w:val="36"/>
          <w:lang w:eastAsia="zh-CN"/>
        </w:rPr>
        <w:t>德令哈市乡镇消防站场基础设施建设项目设备采购（第二次）</w:t>
      </w:r>
    </w:p>
    <w:p>
      <w:pPr>
        <w:autoSpaceDE w:val="0"/>
        <w:autoSpaceDN w:val="0"/>
        <w:adjustRightInd w:val="0"/>
        <w:spacing w:line="360" w:lineRule="auto"/>
        <w:jc w:val="left"/>
        <w:rPr>
          <w:rFonts w:hint="eastAsia" w:ascii="宋体" w:hAnsi="宋体" w:cs="宋体"/>
          <w:b/>
          <w:bCs/>
          <w:kern w:val="0"/>
          <w:sz w:val="28"/>
          <w:szCs w:val="28"/>
          <w:u w:val="dashDotHeavy"/>
          <w:lang w:val="zh-CN"/>
        </w:rPr>
      </w:pPr>
      <w:r>
        <w:rPr>
          <w:rFonts w:hint="eastAsia" w:ascii="宋体" w:hAnsi="宋体" w:cs="宋体"/>
          <w:b/>
          <w:bCs/>
          <w:kern w:val="0"/>
          <w:sz w:val="36"/>
          <w:szCs w:val="36"/>
          <w:lang w:val="zh-CN"/>
        </w:rPr>
        <w:t>采</w:t>
      </w:r>
      <w:r>
        <w:rPr>
          <w:rFonts w:hint="eastAsia" w:ascii="宋体" w:hAnsi="宋体" w:cs="宋体"/>
          <w:b/>
          <w:bCs/>
          <w:kern w:val="0"/>
          <w:sz w:val="36"/>
          <w:szCs w:val="36"/>
        </w:rPr>
        <w:t xml:space="preserve">   </w:t>
      </w:r>
      <w:r>
        <w:rPr>
          <w:rFonts w:hint="eastAsia" w:ascii="宋体" w:hAnsi="宋体" w:cs="宋体"/>
          <w:b/>
          <w:bCs/>
          <w:kern w:val="0"/>
          <w:sz w:val="36"/>
          <w:szCs w:val="36"/>
          <w:lang w:val="zh-CN"/>
        </w:rPr>
        <w:t>购</w:t>
      </w:r>
      <w:r>
        <w:rPr>
          <w:rFonts w:hint="eastAsia" w:ascii="宋体" w:hAnsi="宋体" w:cs="宋体"/>
          <w:b/>
          <w:bCs/>
          <w:kern w:val="0"/>
          <w:sz w:val="36"/>
          <w:szCs w:val="36"/>
        </w:rPr>
        <w:t xml:space="preserve">   </w:t>
      </w:r>
      <w:r>
        <w:rPr>
          <w:rFonts w:hint="eastAsia" w:ascii="宋体" w:hAnsi="宋体" w:cs="宋体"/>
          <w:b/>
          <w:bCs/>
          <w:kern w:val="0"/>
          <w:sz w:val="36"/>
          <w:szCs w:val="36"/>
          <w:lang w:val="zh-CN"/>
        </w:rPr>
        <w:t>人：德令哈市住房和城乡建设局</w:t>
      </w:r>
    </w:p>
    <w:p>
      <w:pPr>
        <w:autoSpaceDE w:val="0"/>
        <w:autoSpaceDN w:val="0"/>
        <w:adjustRightInd w:val="0"/>
        <w:spacing w:line="360" w:lineRule="auto"/>
        <w:jc w:val="left"/>
        <w:rPr>
          <w:rFonts w:hint="eastAsia" w:ascii="宋体" w:hAnsi="宋体" w:cs="宋体"/>
          <w:b/>
          <w:bCs/>
          <w:kern w:val="0"/>
          <w:sz w:val="28"/>
          <w:szCs w:val="28"/>
          <w:u w:val="dashDotHeavy"/>
          <w:lang w:val="zh-CN"/>
        </w:rPr>
      </w:pPr>
    </w:p>
    <w:p>
      <w:pPr>
        <w:autoSpaceDE w:val="0"/>
        <w:autoSpaceDN w:val="0"/>
        <w:adjustRightInd w:val="0"/>
        <w:spacing w:line="360" w:lineRule="auto"/>
        <w:jc w:val="left"/>
        <w:rPr>
          <w:rFonts w:hint="eastAsia" w:ascii="宋体" w:hAnsi="宋体" w:cs="宋体"/>
          <w:b/>
          <w:bCs/>
          <w:kern w:val="0"/>
          <w:sz w:val="28"/>
          <w:szCs w:val="28"/>
          <w:u w:val="dashDotHeavy"/>
          <w:lang w:val="zh-CN"/>
        </w:rPr>
      </w:pPr>
    </w:p>
    <w:p>
      <w:pPr>
        <w:autoSpaceDE w:val="0"/>
        <w:autoSpaceDN w:val="0"/>
        <w:adjustRightInd w:val="0"/>
        <w:spacing w:line="360" w:lineRule="auto"/>
        <w:jc w:val="left"/>
        <w:rPr>
          <w:rFonts w:hint="eastAsia" w:ascii="宋体" w:hAnsi="宋体" w:cs="宋体"/>
          <w:b/>
          <w:bCs/>
          <w:kern w:val="0"/>
          <w:sz w:val="36"/>
          <w:szCs w:val="36"/>
        </w:rPr>
      </w:pPr>
    </w:p>
    <w:p>
      <w:pPr>
        <w:autoSpaceDE w:val="0"/>
        <w:autoSpaceDN w:val="0"/>
        <w:adjustRightInd w:val="0"/>
        <w:spacing w:line="360" w:lineRule="auto"/>
        <w:jc w:val="left"/>
        <w:rPr>
          <w:rFonts w:hint="eastAsia" w:ascii="宋体" w:hAnsi="宋体" w:cs="宋体"/>
          <w:b/>
          <w:bCs/>
          <w:kern w:val="0"/>
          <w:sz w:val="36"/>
          <w:szCs w:val="36"/>
        </w:rPr>
      </w:pPr>
    </w:p>
    <w:p>
      <w:pPr>
        <w:autoSpaceDE w:val="0"/>
        <w:autoSpaceDN w:val="0"/>
        <w:adjustRightInd w:val="0"/>
        <w:spacing w:line="360" w:lineRule="auto"/>
        <w:jc w:val="center"/>
        <w:rPr>
          <w:rFonts w:hint="eastAsia" w:ascii="宋体" w:hAnsi="宋体" w:cs="宋体"/>
          <w:b/>
          <w:bCs/>
          <w:kern w:val="0"/>
          <w:sz w:val="28"/>
          <w:szCs w:val="28"/>
          <w:u w:val="single"/>
          <w:lang w:val="zh-CN"/>
        </w:rPr>
      </w:pPr>
      <w:r>
        <w:rPr>
          <w:rFonts w:hint="eastAsia" w:ascii="宋体" w:hAnsi="宋体" w:cs="宋体"/>
          <w:b/>
          <w:bCs/>
          <w:kern w:val="0"/>
          <w:sz w:val="36"/>
          <w:szCs w:val="36"/>
          <w:lang w:val="zh-CN"/>
        </w:rPr>
        <w:t>采购代理机构：德令哈城乡建设综合开发有限公司</w:t>
      </w:r>
    </w:p>
    <w:p>
      <w:pPr>
        <w:autoSpaceDE w:val="0"/>
        <w:autoSpaceDN w:val="0"/>
        <w:adjustRightInd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36"/>
          <w:szCs w:val="36"/>
          <w:lang w:val="zh-CN"/>
        </w:rPr>
        <w:t>2023年</w:t>
      </w:r>
      <w:r>
        <w:rPr>
          <w:rFonts w:hint="eastAsia" w:ascii="宋体" w:hAnsi="宋体" w:cs="宋体"/>
          <w:b/>
          <w:bCs/>
          <w:kern w:val="0"/>
          <w:sz w:val="36"/>
          <w:szCs w:val="36"/>
          <w:lang w:val="en-US" w:eastAsia="zh-CN"/>
        </w:rPr>
        <w:t>11</w:t>
      </w:r>
      <w:r>
        <w:rPr>
          <w:rFonts w:hint="eastAsia" w:ascii="宋体" w:hAnsi="宋体" w:cs="宋体"/>
          <w:b/>
          <w:bCs/>
          <w:kern w:val="0"/>
          <w:sz w:val="36"/>
          <w:szCs w:val="36"/>
          <w:lang w:val="zh-CN"/>
        </w:rPr>
        <w:t>月</w:t>
      </w:r>
    </w:p>
    <w:p>
      <w:pPr>
        <w:autoSpaceDE w:val="0"/>
        <w:autoSpaceDN w:val="0"/>
        <w:adjustRightInd w:val="0"/>
        <w:spacing w:line="360" w:lineRule="auto"/>
        <w:rPr>
          <w:rFonts w:hint="eastAsia" w:ascii="宋体" w:hAnsi="宋体" w:cs="宋体"/>
          <w:kern w:val="0"/>
          <w:sz w:val="36"/>
          <w:szCs w:val="36"/>
        </w:rPr>
      </w:pPr>
    </w:p>
    <w:p>
      <w:pPr>
        <w:adjustRightInd w:val="0"/>
        <w:spacing w:line="360" w:lineRule="auto"/>
        <w:jc w:val="center"/>
        <w:textAlignment w:val="baseline"/>
        <w:rPr>
          <w:rFonts w:hint="eastAsia" w:ascii="宋体" w:hAnsi="宋体" w:cs="宋体"/>
          <w:b/>
          <w:sz w:val="40"/>
          <w:szCs w:val="30"/>
        </w:rPr>
        <w:sectPr>
          <w:headerReference r:id="rId3" w:type="default"/>
          <w:footerReference r:id="rId4" w:type="even"/>
          <w:pgSz w:w="11849" w:h="16781"/>
          <w:pgMar w:top="1440" w:right="1803" w:bottom="1440" w:left="1803" w:header="851" w:footer="992" w:gutter="0"/>
          <w:pgNumType w:start="1"/>
          <w:cols w:space="720" w:num="1"/>
          <w:docGrid w:linePitch="397" w:charSpace="0"/>
        </w:sectPr>
      </w:pPr>
    </w:p>
    <w:p>
      <w:pPr>
        <w:adjustRightInd w:val="0"/>
        <w:spacing w:line="360" w:lineRule="auto"/>
        <w:jc w:val="center"/>
        <w:textAlignment w:val="baseline"/>
        <w:rPr>
          <w:rFonts w:hint="eastAsia" w:ascii="宋体" w:hAnsi="宋体" w:cs="宋体"/>
          <w:b/>
          <w:sz w:val="40"/>
          <w:szCs w:val="30"/>
        </w:rPr>
      </w:pPr>
      <w:r>
        <w:rPr>
          <w:rFonts w:hint="eastAsia" w:ascii="宋体" w:hAnsi="宋体" w:cs="宋体"/>
          <w:b/>
          <w:sz w:val="40"/>
          <w:szCs w:val="30"/>
        </w:rPr>
        <w:t>目  录</w:t>
      </w:r>
    </w:p>
    <w:p>
      <w:pPr>
        <w:pStyle w:val="9"/>
        <w:tabs>
          <w:tab w:val="right" w:leader="dot" w:pos="8243"/>
        </w:tabs>
        <w:ind w:firstLine="480"/>
      </w:pPr>
      <w:r>
        <w:rPr>
          <w:rFonts w:hint="eastAsia" w:ascii="宋体" w:hAnsi="宋体" w:cs="宋体"/>
          <w:b w:val="0"/>
          <w:bCs w:val="0"/>
          <w:kern w:val="0"/>
          <w:szCs w:val="24"/>
        </w:rPr>
        <w:fldChar w:fldCharType="begin"/>
      </w:r>
      <w:r>
        <w:rPr>
          <w:rStyle w:val="17"/>
          <w:rFonts w:hint="eastAsia" w:ascii="宋体" w:hAnsi="宋体" w:cs="宋体"/>
          <w:b w:val="0"/>
          <w:bCs w:val="0"/>
          <w:color w:val="auto"/>
          <w:kern w:val="0"/>
          <w:szCs w:val="24"/>
        </w:rPr>
        <w:instrText xml:space="preserve"> TOC \o "3-3" \h \z \t "标题 1,2,标题 2,3,标题,1" </w:instrText>
      </w:r>
      <w:r>
        <w:rPr>
          <w:rFonts w:hint="eastAsia" w:ascii="宋体" w:hAnsi="宋体" w:cs="宋体"/>
          <w:b w:val="0"/>
          <w:bCs w:val="0"/>
          <w:kern w:val="0"/>
          <w:szCs w:val="24"/>
        </w:rPr>
        <w:fldChar w:fldCharType="separate"/>
      </w:r>
      <w:r>
        <w:rPr>
          <w:rFonts w:hint="eastAsia" w:ascii="宋体" w:hAnsi="宋体" w:cs="宋体"/>
          <w:bCs w:val="0"/>
          <w:kern w:val="0"/>
          <w:szCs w:val="24"/>
        </w:rPr>
        <w:fldChar w:fldCharType="begin"/>
      </w:r>
      <w:r>
        <w:rPr>
          <w:rFonts w:hint="eastAsia" w:ascii="宋体" w:hAnsi="宋体" w:cs="宋体"/>
          <w:bCs w:val="0"/>
          <w:kern w:val="0"/>
          <w:szCs w:val="24"/>
        </w:rPr>
        <w:instrText xml:space="preserve"> HYPERLINK \l _Toc20021 </w:instrText>
      </w:r>
      <w:r>
        <w:rPr>
          <w:rFonts w:hint="eastAsia" w:ascii="宋体" w:hAnsi="宋体" w:cs="宋体"/>
          <w:bCs w:val="0"/>
          <w:kern w:val="0"/>
          <w:szCs w:val="24"/>
        </w:rPr>
        <w:fldChar w:fldCharType="separate"/>
      </w:r>
      <w:r>
        <w:rPr>
          <w:rFonts w:hint="eastAsia" w:ascii="宋体" w:hAnsi="宋体" w:cs="宋体"/>
          <w:szCs w:val="36"/>
          <w:lang w:val="zh-CN"/>
        </w:rPr>
        <w:t>第一部分  投标邀请</w:t>
      </w:r>
      <w:r>
        <w:tab/>
      </w:r>
      <w:r>
        <w:fldChar w:fldCharType="begin"/>
      </w:r>
      <w:r>
        <w:instrText xml:space="preserve"> PAGEREF _Toc20021 \h </w:instrText>
      </w:r>
      <w:r>
        <w:fldChar w:fldCharType="separate"/>
      </w:r>
      <w:r>
        <w:t>- 1 -</w:t>
      </w:r>
      <w:r>
        <w:fldChar w:fldCharType="end"/>
      </w:r>
      <w:r>
        <w:rPr>
          <w:rFonts w:hint="eastAsia" w:ascii="宋体" w:hAnsi="宋体" w:cs="宋体"/>
          <w:bCs w:val="0"/>
          <w:kern w:val="0"/>
          <w:szCs w:val="24"/>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_Toc7716 </w:instrText>
      </w:r>
      <w:r>
        <w:rPr>
          <w:rFonts w:hint="eastAsia" w:ascii="宋体" w:hAnsi="宋体" w:cs="宋体"/>
        </w:rPr>
        <w:fldChar w:fldCharType="separate"/>
      </w:r>
      <w:r>
        <w:rPr>
          <w:rFonts w:hint="eastAsia" w:ascii="宋体" w:hAnsi="宋体" w:cs="宋体"/>
          <w:szCs w:val="36"/>
          <w:lang w:val="zh-CN"/>
        </w:rPr>
        <w:t>第二部分  投标人须知</w:t>
      </w:r>
      <w:r>
        <w:tab/>
      </w:r>
      <w:r>
        <w:fldChar w:fldCharType="begin"/>
      </w:r>
      <w:r>
        <w:instrText xml:space="preserve"> PAGEREF _Toc7716 \h </w:instrText>
      </w:r>
      <w:r>
        <w:fldChar w:fldCharType="separate"/>
      </w:r>
      <w:r>
        <w:t>- 4 -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_Toc2114 </w:instrText>
      </w:r>
      <w:r>
        <w:rPr>
          <w:rFonts w:hint="eastAsia" w:ascii="宋体" w:hAnsi="宋体" w:cs="宋体"/>
        </w:rPr>
        <w:fldChar w:fldCharType="separate"/>
      </w:r>
      <w:r>
        <w:rPr>
          <w:rFonts w:hint="eastAsia" w:ascii="宋体" w:hAnsi="宋体" w:cs="宋体"/>
          <w:lang w:val="zh-CN"/>
        </w:rPr>
        <w:t>一、说明</w:t>
      </w:r>
      <w:r>
        <w:tab/>
      </w:r>
      <w:r>
        <w:fldChar w:fldCharType="begin"/>
      </w:r>
      <w:r>
        <w:instrText xml:space="preserve"> PAGEREF _Toc2114 \h </w:instrText>
      </w:r>
      <w:r>
        <w:fldChar w:fldCharType="separate"/>
      </w:r>
      <w:r>
        <w:t>- 4 -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_Toc28312 </w:instrText>
      </w:r>
      <w:r>
        <w:rPr>
          <w:rFonts w:hint="eastAsia" w:ascii="宋体" w:hAnsi="宋体" w:cs="宋体"/>
        </w:rPr>
        <w:fldChar w:fldCharType="separate"/>
      </w:r>
      <w:r>
        <w:rPr>
          <w:rFonts w:hint="eastAsia" w:ascii="宋体" w:hAnsi="宋体" w:cs="宋体"/>
          <w:szCs w:val="28"/>
          <w:lang w:val="zh-CN"/>
        </w:rPr>
        <w:t>1.适用范围</w:t>
      </w:r>
      <w:r>
        <w:tab/>
      </w:r>
      <w:r>
        <w:fldChar w:fldCharType="begin"/>
      </w:r>
      <w:r>
        <w:instrText xml:space="preserve"> PAGEREF _Toc28312 \h </w:instrText>
      </w:r>
      <w:r>
        <w:fldChar w:fldCharType="separate"/>
      </w:r>
      <w:r>
        <w:t>- 4 -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_Toc30255 </w:instrText>
      </w:r>
      <w:r>
        <w:rPr>
          <w:rFonts w:hint="eastAsia" w:ascii="宋体" w:hAnsi="宋体" w:cs="宋体"/>
        </w:rPr>
        <w:fldChar w:fldCharType="separate"/>
      </w:r>
      <w:r>
        <w:rPr>
          <w:rFonts w:hint="eastAsia" w:ascii="宋体" w:hAnsi="宋体" w:cs="宋体"/>
          <w:szCs w:val="28"/>
          <w:lang w:val="zh-CN"/>
        </w:rPr>
        <w:t>2.采购方式、合格的投标人</w:t>
      </w:r>
      <w:r>
        <w:tab/>
      </w:r>
      <w:r>
        <w:fldChar w:fldCharType="begin"/>
      </w:r>
      <w:r>
        <w:instrText xml:space="preserve"> PAGEREF _Toc30255 \h </w:instrText>
      </w:r>
      <w:r>
        <w:fldChar w:fldCharType="separate"/>
      </w:r>
      <w:r>
        <w:t>- 4 -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_Toc30096 </w:instrText>
      </w:r>
      <w:r>
        <w:rPr>
          <w:rFonts w:hint="eastAsia" w:ascii="宋体" w:hAnsi="宋体" w:cs="宋体"/>
        </w:rPr>
        <w:fldChar w:fldCharType="separate"/>
      </w:r>
      <w:r>
        <w:rPr>
          <w:rFonts w:hint="eastAsia" w:ascii="宋体" w:hAnsi="宋体" w:cs="宋体"/>
          <w:szCs w:val="28"/>
          <w:lang w:val="zh-CN"/>
        </w:rPr>
        <w:t>3.投标费用</w:t>
      </w:r>
      <w:r>
        <w:tab/>
      </w:r>
      <w:r>
        <w:fldChar w:fldCharType="begin"/>
      </w:r>
      <w:r>
        <w:instrText xml:space="preserve"> PAGEREF _Toc30096 \h </w:instrText>
      </w:r>
      <w:r>
        <w:fldChar w:fldCharType="separate"/>
      </w:r>
      <w:r>
        <w:t>- 4 -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_Toc9003 </w:instrText>
      </w:r>
      <w:r>
        <w:rPr>
          <w:rFonts w:hint="eastAsia" w:ascii="宋体" w:hAnsi="宋体" w:cs="宋体"/>
        </w:rPr>
        <w:fldChar w:fldCharType="separate"/>
      </w:r>
      <w:r>
        <w:rPr>
          <w:rFonts w:hint="eastAsia" w:ascii="宋体" w:hAnsi="宋体" w:cs="宋体"/>
          <w:lang w:val="zh-CN"/>
        </w:rPr>
        <w:t>二、招标文件说明</w:t>
      </w:r>
      <w:r>
        <w:tab/>
      </w:r>
      <w:r>
        <w:fldChar w:fldCharType="begin"/>
      </w:r>
      <w:r>
        <w:instrText xml:space="preserve"> PAGEREF _Toc9003 \h </w:instrText>
      </w:r>
      <w:r>
        <w:fldChar w:fldCharType="separate"/>
      </w:r>
      <w:r>
        <w:t>- 4 -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_Toc3215 </w:instrText>
      </w:r>
      <w:r>
        <w:rPr>
          <w:rFonts w:hint="eastAsia" w:ascii="宋体" w:hAnsi="宋体" w:cs="宋体"/>
        </w:rPr>
        <w:fldChar w:fldCharType="separate"/>
      </w:r>
      <w:r>
        <w:rPr>
          <w:rFonts w:hint="eastAsia" w:ascii="宋体" w:hAnsi="宋体" w:cs="宋体"/>
          <w:szCs w:val="28"/>
          <w:lang w:val="zh-CN"/>
        </w:rPr>
        <w:t>4.招标文件的构成</w:t>
      </w:r>
      <w:r>
        <w:tab/>
      </w:r>
      <w:r>
        <w:fldChar w:fldCharType="begin"/>
      </w:r>
      <w:r>
        <w:instrText xml:space="preserve"> PAGEREF _Toc3215 \h </w:instrText>
      </w:r>
      <w:r>
        <w:fldChar w:fldCharType="separate"/>
      </w:r>
      <w:r>
        <w:t>- 4 -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_Toc22903 </w:instrText>
      </w:r>
      <w:r>
        <w:rPr>
          <w:rFonts w:hint="eastAsia" w:ascii="宋体" w:hAnsi="宋体" w:cs="宋体"/>
        </w:rPr>
        <w:fldChar w:fldCharType="separate"/>
      </w:r>
      <w:r>
        <w:rPr>
          <w:rFonts w:hint="eastAsia" w:ascii="宋体" w:hAnsi="宋体" w:cs="宋体"/>
          <w:szCs w:val="28"/>
          <w:lang w:val="zh-CN"/>
        </w:rPr>
        <w:t>5.招标文件、采购活动和中标结果的质疑</w:t>
      </w:r>
      <w:r>
        <w:tab/>
      </w:r>
      <w:r>
        <w:fldChar w:fldCharType="begin"/>
      </w:r>
      <w:r>
        <w:instrText xml:space="preserve"> PAGEREF _Toc22903 \h </w:instrText>
      </w:r>
      <w:r>
        <w:fldChar w:fldCharType="separate"/>
      </w:r>
      <w:r>
        <w:t>- 4 -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_Toc30837 </w:instrText>
      </w:r>
      <w:r>
        <w:rPr>
          <w:rFonts w:hint="eastAsia" w:ascii="宋体" w:hAnsi="宋体" w:cs="宋体"/>
        </w:rPr>
        <w:fldChar w:fldCharType="separate"/>
      </w:r>
      <w:r>
        <w:rPr>
          <w:rFonts w:hint="eastAsia" w:ascii="宋体" w:hAnsi="宋体" w:cs="宋体"/>
          <w:szCs w:val="28"/>
          <w:lang w:val="zh-CN"/>
        </w:rPr>
        <w:t>6.招标文件的澄清或修改</w:t>
      </w:r>
      <w:r>
        <w:tab/>
      </w:r>
      <w:r>
        <w:fldChar w:fldCharType="begin"/>
      </w:r>
      <w:r>
        <w:instrText xml:space="preserve"> PAGEREF _Toc30837 \h </w:instrText>
      </w:r>
      <w:r>
        <w:fldChar w:fldCharType="separate"/>
      </w:r>
      <w:r>
        <w:t>- 5 -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_Toc26507 </w:instrText>
      </w:r>
      <w:r>
        <w:rPr>
          <w:rFonts w:hint="eastAsia" w:ascii="宋体" w:hAnsi="宋体" w:cs="宋体"/>
        </w:rPr>
        <w:fldChar w:fldCharType="separate"/>
      </w:r>
      <w:r>
        <w:rPr>
          <w:rFonts w:hint="eastAsia" w:ascii="宋体" w:hAnsi="宋体" w:cs="宋体"/>
          <w:lang w:val="zh-CN"/>
        </w:rPr>
        <w:t>三、投标文件的编制</w:t>
      </w:r>
      <w:r>
        <w:tab/>
      </w:r>
      <w:r>
        <w:fldChar w:fldCharType="begin"/>
      </w:r>
      <w:r>
        <w:instrText xml:space="preserve"> PAGEREF _Toc26507 \h </w:instrText>
      </w:r>
      <w:r>
        <w:fldChar w:fldCharType="separate"/>
      </w:r>
      <w:r>
        <w:t>- 5 -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_Toc24202 </w:instrText>
      </w:r>
      <w:r>
        <w:rPr>
          <w:rFonts w:hint="eastAsia" w:ascii="宋体" w:hAnsi="宋体" w:cs="宋体"/>
        </w:rPr>
        <w:fldChar w:fldCharType="separate"/>
      </w:r>
      <w:r>
        <w:rPr>
          <w:rFonts w:hint="eastAsia" w:ascii="宋体" w:hAnsi="宋体" w:cs="宋体"/>
          <w:szCs w:val="28"/>
          <w:lang w:val="zh-CN"/>
        </w:rPr>
        <w:t>7.投标文件的语言及度量衡单位</w:t>
      </w:r>
      <w:r>
        <w:tab/>
      </w:r>
      <w:r>
        <w:fldChar w:fldCharType="begin"/>
      </w:r>
      <w:r>
        <w:instrText xml:space="preserve"> PAGEREF _Toc24202 \h </w:instrText>
      </w:r>
      <w:r>
        <w:fldChar w:fldCharType="separate"/>
      </w:r>
      <w:r>
        <w:t>- 5 -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_Toc29560 </w:instrText>
      </w:r>
      <w:r>
        <w:rPr>
          <w:rFonts w:hint="eastAsia" w:ascii="宋体" w:hAnsi="宋体" w:cs="宋体"/>
        </w:rPr>
        <w:fldChar w:fldCharType="separate"/>
      </w:r>
      <w:r>
        <w:rPr>
          <w:rFonts w:hint="eastAsia" w:ascii="宋体" w:hAnsi="宋体" w:cs="宋体"/>
          <w:szCs w:val="28"/>
          <w:lang w:val="zh-CN"/>
        </w:rPr>
        <w:t>8.投标报价及币种</w:t>
      </w:r>
      <w:r>
        <w:tab/>
      </w:r>
      <w:r>
        <w:fldChar w:fldCharType="begin"/>
      </w:r>
      <w:r>
        <w:instrText xml:space="preserve"> PAGEREF _Toc29560 \h </w:instrText>
      </w:r>
      <w:r>
        <w:fldChar w:fldCharType="separate"/>
      </w:r>
      <w:r>
        <w:t>- 5 -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_Toc13022 </w:instrText>
      </w:r>
      <w:r>
        <w:rPr>
          <w:rFonts w:hint="eastAsia" w:ascii="宋体" w:hAnsi="宋体" w:cs="宋体"/>
        </w:rPr>
        <w:fldChar w:fldCharType="separate"/>
      </w:r>
      <w:r>
        <w:rPr>
          <w:rFonts w:hint="eastAsia" w:ascii="宋体" w:hAnsi="宋体" w:cs="宋体"/>
          <w:szCs w:val="28"/>
          <w:lang w:val="zh-CN"/>
        </w:rPr>
        <w:t>9.投标保证金</w:t>
      </w:r>
      <w:r>
        <w:tab/>
      </w:r>
      <w:r>
        <w:fldChar w:fldCharType="begin"/>
      </w:r>
      <w:r>
        <w:instrText xml:space="preserve"> PAGEREF _Toc13022 \h </w:instrText>
      </w:r>
      <w:r>
        <w:fldChar w:fldCharType="separate"/>
      </w:r>
      <w:r>
        <w:t>- 6 -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_Toc30280 </w:instrText>
      </w:r>
      <w:r>
        <w:rPr>
          <w:rFonts w:hint="eastAsia" w:ascii="宋体" w:hAnsi="宋体" w:cs="宋体"/>
        </w:rPr>
        <w:fldChar w:fldCharType="separate"/>
      </w:r>
      <w:r>
        <w:rPr>
          <w:rFonts w:hint="eastAsia" w:ascii="宋体" w:hAnsi="宋体" w:cs="宋体"/>
          <w:szCs w:val="28"/>
          <w:lang w:val="zh-CN"/>
        </w:rPr>
        <w:t>10.投标有效期</w:t>
      </w:r>
      <w:r>
        <w:tab/>
      </w:r>
      <w:r>
        <w:fldChar w:fldCharType="begin"/>
      </w:r>
      <w:r>
        <w:instrText xml:space="preserve"> PAGEREF _Toc30280 \h </w:instrText>
      </w:r>
      <w:r>
        <w:fldChar w:fldCharType="separate"/>
      </w:r>
      <w:r>
        <w:t>- 7 -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_Toc29351 </w:instrText>
      </w:r>
      <w:r>
        <w:rPr>
          <w:rFonts w:hint="eastAsia" w:ascii="宋体" w:hAnsi="宋体" w:cs="宋体"/>
        </w:rPr>
        <w:fldChar w:fldCharType="separate"/>
      </w:r>
      <w:r>
        <w:rPr>
          <w:rFonts w:hint="eastAsia" w:ascii="宋体" w:hAnsi="宋体" w:cs="宋体"/>
          <w:szCs w:val="28"/>
          <w:lang w:val="zh-CN"/>
        </w:rPr>
        <w:t>11.投标文件构成</w:t>
      </w:r>
      <w:r>
        <w:tab/>
      </w:r>
      <w:r>
        <w:fldChar w:fldCharType="begin"/>
      </w:r>
      <w:r>
        <w:instrText xml:space="preserve"> PAGEREF _Toc29351 \h </w:instrText>
      </w:r>
      <w:r>
        <w:fldChar w:fldCharType="separate"/>
      </w:r>
      <w:r>
        <w:t>- 7 -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_Toc1896 </w:instrText>
      </w:r>
      <w:r>
        <w:rPr>
          <w:rFonts w:hint="eastAsia" w:ascii="宋体" w:hAnsi="宋体" w:cs="宋体"/>
        </w:rPr>
        <w:fldChar w:fldCharType="separate"/>
      </w:r>
      <w:r>
        <w:rPr>
          <w:rFonts w:hint="eastAsia" w:ascii="宋体" w:hAnsi="宋体" w:cs="宋体"/>
          <w:szCs w:val="28"/>
          <w:lang w:val="zh-CN"/>
        </w:rPr>
        <w:t>12.投标文件的编制要求</w:t>
      </w:r>
      <w:r>
        <w:tab/>
      </w:r>
      <w:r>
        <w:fldChar w:fldCharType="begin"/>
      </w:r>
      <w:r>
        <w:instrText xml:space="preserve"> PAGEREF _Toc1896 \h </w:instrText>
      </w:r>
      <w:r>
        <w:fldChar w:fldCharType="separate"/>
      </w:r>
      <w:r>
        <w:t>- 8 -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_Toc21116 </w:instrText>
      </w:r>
      <w:r>
        <w:rPr>
          <w:rFonts w:hint="eastAsia" w:ascii="宋体" w:hAnsi="宋体" w:cs="宋体"/>
        </w:rPr>
        <w:fldChar w:fldCharType="separate"/>
      </w:r>
      <w:r>
        <w:rPr>
          <w:rFonts w:hint="eastAsia" w:ascii="宋体" w:hAnsi="宋体" w:cs="宋体"/>
          <w:lang w:val="zh-CN"/>
        </w:rPr>
        <w:t>四、投标文件的提交</w:t>
      </w:r>
      <w:r>
        <w:tab/>
      </w:r>
      <w:r>
        <w:fldChar w:fldCharType="begin"/>
      </w:r>
      <w:r>
        <w:instrText xml:space="preserve"> PAGEREF _Toc21116 \h </w:instrText>
      </w:r>
      <w:r>
        <w:fldChar w:fldCharType="separate"/>
      </w:r>
      <w:r>
        <w:t>- 8 -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_Toc8292 </w:instrText>
      </w:r>
      <w:r>
        <w:rPr>
          <w:rFonts w:hint="eastAsia" w:ascii="宋体" w:hAnsi="宋体" w:cs="宋体"/>
        </w:rPr>
        <w:fldChar w:fldCharType="separate"/>
      </w:r>
      <w:r>
        <w:rPr>
          <w:rFonts w:hint="eastAsia" w:ascii="宋体" w:hAnsi="宋体" w:cs="宋体"/>
          <w:szCs w:val="28"/>
          <w:lang w:val="zh-CN"/>
        </w:rPr>
        <w:t>13.投标文件的密封和标记</w:t>
      </w:r>
      <w:r>
        <w:tab/>
      </w:r>
      <w:r>
        <w:fldChar w:fldCharType="begin"/>
      </w:r>
      <w:r>
        <w:instrText xml:space="preserve"> PAGEREF _Toc8292 \h </w:instrText>
      </w:r>
      <w:r>
        <w:fldChar w:fldCharType="separate"/>
      </w:r>
      <w:r>
        <w:t>- 8 -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_Toc1967 </w:instrText>
      </w:r>
      <w:r>
        <w:rPr>
          <w:rFonts w:hint="eastAsia" w:ascii="宋体" w:hAnsi="宋体" w:cs="宋体"/>
        </w:rPr>
        <w:fldChar w:fldCharType="separate"/>
      </w:r>
      <w:r>
        <w:rPr>
          <w:rFonts w:hint="eastAsia" w:ascii="宋体" w:hAnsi="宋体" w:cs="宋体"/>
          <w:szCs w:val="28"/>
          <w:lang w:val="zh-CN"/>
        </w:rPr>
        <w:t>14.提交投标文件的时间、地点、方式</w:t>
      </w:r>
      <w:r>
        <w:tab/>
      </w:r>
      <w:r>
        <w:fldChar w:fldCharType="begin"/>
      </w:r>
      <w:r>
        <w:instrText xml:space="preserve"> PAGEREF _Toc1967 \h </w:instrText>
      </w:r>
      <w:r>
        <w:fldChar w:fldCharType="separate"/>
      </w:r>
      <w:r>
        <w:t>- 8 -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_Toc891 </w:instrText>
      </w:r>
      <w:r>
        <w:rPr>
          <w:rFonts w:hint="eastAsia" w:ascii="宋体" w:hAnsi="宋体" w:cs="宋体"/>
        </w:rPr>
        <w:fldChar w:fldCharType="separate"/>
      </w:r>
      <w:r>
        <w:rPr>
          <w:rFonts w:hint="eastAsia" w:ascii="宋体" w:hAnsi="宋体" w:cs="宋体"/>
          <w:szCs w:val="28"/>
          <w:lang w:val="zh-CN"/>
        </w:rPr>
        <w:t>15.投标文件的补充、修改或者撤回</w:t>
      </w:r>
      <w:r>
        <w:tab/>
      </w:r>
      <w:r>
        <w:fldChar w:fldCharType="begin"/>
      </w:r>
      <w:r>
        <w:instrText xml:space="preserve"> PAGEREF _Toc891 \h </w:instrText>
      </w:r>
      <w:r>
        <w:fldChar w:fldCharType="separate"/>
      </w:r>
      <w:r>
        <w:t>- 8 -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_Toc19716 </w:instrText>
      </w:r>
      <w:r>
        <w:rPr>
          <w:rFonts w:hint="eastAsia" w:ascii="宋体" w:hAnsi="宋体" w:cs="宋体"/>
        </w:rPr>
        <w:fldChar w:fldCharType="separate"/>
      </w:r>
      <w:r>
        <w:rPr>
          <w:rFonts w:hint="eastAsia" w:ascii="宋体" w:hAnsi="宋体" w:cs="宋体"/>
          <w:lang w:val="zh-CN"/>
        </w:rPr>
        <w:t>五、开标</w:t>
      </w:r>
      <w:r>
        <w:tab/>
      </w:r>
      <w:r>
        <w:fldChar w:fldCharType="begin"/>
      </w:r>
      <w:r>
        <w:instrText xml:space="preserve"> PAGEREF _Toc19716 \h </w:instrText>
      </w:r>
      <w:r>
        <w:fldChar w:fldCharType="separate"/>
      </w:r>
      <w:r>
        <w:t>- 8 -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_Toc978 </w:instrText>
      </w:r>
      <w:r>
        <w:rPr>
          <w:rFonts w:hint="eastAsia" w:ascii="宋体" w:hAnsi="宋体" w:cs="宋体"/>
        </w:rPr>
        <w:fldChar w:fldCharType="separate"/>
      </w:r>
      <w:r>
        <w:rPr>
          <w:rFonts w:hint="eastAsia" w:ascii="宋体" w:hAnsi="宋体" w:cs="宋体"/>
          <w:szCs w:val="28"/>
          <w:lang w:val="zh-CN"/>
        </w:rPr>
        <w:t>16.开标</w:t>
      </w:r>
      <w:r>
        <w:tab/>
      </w:r>
      <w:r>
        <w:fldChar w:fldCharType="begin"/>
      </w:r>
      <w:r>
        <w:instrText xml:space="preserve"> PAGEREF _Toc978 \h </w:instrText>
      </w:r>
      <w:r>
        <w:fldChar w:fldCharType="separate"/>
      </w:r>
      <w:r>
        <w:t>- 8 -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_Toc1691 </w:instrText>
      </w:r>
      <w:r>
        <w:rPr>
          <w:rFonts w:hint="eastAsia" w:ascii="宋体" w:hAnsi="宋体" w:cs="宋体"/>
        </w:rPr>
        <w:fldChar w:fldCharType="separate"/>
      </w:r>
      <w:r>
        <w:rPr>
          <w:rFonts w:hint="eastAsia" w:ascii="宋体" w:hAnsi="宋体" w:cs="宋体"/>
          <w:kern w:val="0"/>
          <w:szCs w:val="36"/>
        </w:rPr>
        <w:t>六、资格</w:t>
      </w:r>
      <w:r>
        <w:rPr>
          <w:rFonts w:hint="eastAsia" w:ascii="宋体" w:hAnsi="宋体" w:cs="宋体"/>
          <w:lang w:val="zh-CN"/>
        </w:rPr>
        <w:t>审查</w:t>
      </w:r>
      <w:r>
        <w:rPr>
          <w:rFonts w:hint="eastAsia" w:ascii="宋体" w:hAnsi="宋体" w:cs="宋体"/>
          <w:kern w:val="0"/>
          <w:szCs w:val="36"/>
        </w:rPr>
        <w:t>程序</w:t>
      </w:r>
      <w:r>
        <w:tab/>
      </w:r>
      <w:r>
        <w:fldChar w:fldCharType="begin"/>
      </w:r>
      <w:r>
        <w:instrText xml:space="preserve"> PAGEREF _Toc1691 \h </w:instrText>
      </w:r>
      <w:r>
        <w:fldChar w:fldCharType="separate"/>
      </w:r>
      <w:r>
        <w:t>- 9 -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_Toc9302 </w:instrText>
      </w:r>
      <w:r>
        <w:rPr>
          <w:rFonts w:hint="eastAsia" w:ascii="宋体" w:hAnsi="宋体" w:cs="宋体"/>
        </w:rPr>
        <w:fldChar w:fldCharType="separate"/>
      </w:r>
      <w:r>
        <w:rPr>
          <w:rFonts w:hint="eastAsia" w:ascii="宋体" w:hAnsi="宋体" w:cs="宋体"/>
          <w:szCs w:val="28"/>
        </w:rPr>
        <w:t>17.资格审查</w:t>
      </w:r>
      <w:r>
        <w:tab/>
      </w:r>
      <w:r>
        <w:fldChar w:fldCharType="begin"/>
      </w:r>
      <w:r>
        <w:instrText xml:space="preserve"> PAGEREF _Toc9302 \h </w:instrText>
      </w:r>
      <w:r>
        <w:fldChar w:fldCharType="separate"/>
      </w:r>
      <w:r>
        <w:t>- 9 -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_Toc17874 </w:instrText>
      </w:r>
      <w:r>
        <w:rPr>
          <w:rFonts w:hint="eastAsia" w:ascii="宋体" w:hAnsi="宋体" w:cs="宋体"/>
        </w:rPr>
        <w:fldChar w:fldCharType="separate"/>
      </w:r>
      <w:r>
        <w:rPr>
          <w:rFonts w:hint="eastAsia" w:ascii="宋体" w:hAnsi="宋体" w:cs="宋体"/>
          <w:lang w:val="zh-CN"/>
        </w:rPr>
        <w:t>七、评审程序及方法</w:t>
      </w:r>
      <w:r>
        <w:tab/>
      </w:r>
      <w:r>
        <w:fldChar w:fldCharType="begin"/>
      </w:r>
      <w:r>
        <w:instrText xml:space="preserve"> PAGEREF _Toc17874 \h </w:instrText>
      </w:r>
      <w:r>
        <w:fldChar w:fldCharType="separate"/>
      </w:r>
      <w:r>
        <w:t>- 10 -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_Toc27272 </w:instrText>
      </w:r>
      <w:r>
        <w:rPr>
          <w:rFonts w:hint="eastAsia" w:ascii="宋体" w:hAnsi="宋体" w:cs="宋体"/>
        </w:rPr>
        <w:fldChar w:fldCharType="separate"/>
      </w:r>
      <w:r>
        <w:rPr>
          <w:rFonts w:hint="eastAsia" w:ascii="宋体" w:hAnsi="宋体" w:cs="宋体"/>
          <w:szCs w:val="28"/>
          <w:lang w:val="zh-CN"/>
        </w:rPr>
        <w:t>1</w:t>
      </w:r>
      <w:r>
        <w:rPr>
          <w:rFonts w:hint="eastAsia" w:ascii="宋体" w:hAnsi="宋体" w:cs="宋体"/>
          <w:szCs w:val="28"/>
        </w:rPr>
        <w:t>8</w:t>
      </w:r>
      <w:r>
        <w:rPr>
          <w:rFonts w:hint="eastAsia" w:ascii="宋体" w:hAnsi="宋体" w:cs="宋体"/>
          <w:szCs w:val="28"/>
          <w:lang w:val="zh-CN"/>
        </w:rPr>
        <w:t>.评标委员会</w:t>
      </w:r>
      <w:r>
        <w:tab/>
      </w:r>
      <w:r>
        <w:fldChar w:fldCharType="begin"/>
      </w:r>
      <w:r>
        <w:instrText xml:space="preserve"> PAGEREF _Toc27272 \h </w:instrText>
      </w:r>
      <w:r>
        <w:fldChar w:fldCharType="separate"/>
      </w:r>
      <w:r>
        <w:t>- 10 -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_Toc13655 </w:instrText>
      </w:r>
      <w:r>
        <w:rPr>
          <w:rFonts w:hint="eastAsia" w:ascii="宋体" w:hAnsi="宋体" w:cs="宋体"/>
        </w:rPr>
        <w:fldChar w:fldCharType="separate"/>
      </w:r>
      <w:r>
        <w:rPr>
          <w:rFonts w:hint="eastAsia" w:ascii="宋体" w:hAnsi="宋体" w:cs="宋体"/>
          <w:szCs w:val="28"/>
        </w:rPr>
        <w:t>19</w:t>
      </w:r>
      <w:r>
        <w:rPr>
          <w:rFonts w:hint="eastAsia" w:ascii="宋体" w:hAnsi="宋体" w:cs="宋体"/>
          <w:szCs w:val="28"/>
          <w:lang w:val="zh-CN"/>
        </w:rPr>
        <w:t>.评审工作程序</w:t>
      </w:r>
      <w:r>
        <w:tab/>
      </w:r>
      <w:r>
        <w:fldChar w:fldCharType="begin"/>
      </w:r>
      <w:r>
        <w:instrText xml:space="preserve"> PAGEREF _Toc13655 \h </w:instrText>
      </w:r>
      <w:r>
        <w:fldChar w:fldCharType="separate"/>
      </w:r>
      <w:r>
        <w:t>- 11 -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_Toc27846 </w:instrText>
      </w:r>
      <w:r>
        <w:rPr>
          <w:rFonts w:hint="eastAsia" w:ascii="宋体" w:hAnsi="宋体" w:cs="宋体"/>
        </w:rPr>
        <w:fldChar w:fldCharType="separate"/>
      </w:r>
      <w:r>
        <w:rPr>
          <w:rFonts w:hint="eastAsia" w:ascii="宋体" w:hAnsi="宋体" w:cs="宋体"/>
          <w:szCs w:val="28"/>
        </w:rPr>
        <w:t>20</w:t>
      </w:r>
      <w:r>
        <w:rPr>
          <w:rFonts w:hint="eastAsia" w:ascii="宋体" w:hAnsi="宋体" w:cs="宋体"/>
          <w:szCs w:val="28"/>
          <w:lang w:val="zh-CN"/>
        </w:rPr>
        <w:t>.评审方法和标准</w:t>
      </w:r>
      <w:r>
        <w:tab/>
      </w:r>
      <w:r>
        <w:fldChar w:fldCharType="begin"/>
      </w:r>
      <w:r>
        <w:instrText xml:space="preserve"> PAGEREF _Toc27846 \h </w:instrText>
      </w:r>
      <w:r>
        <w:fldChar w:fldCharType="separate"/>
      </w:r>
      <w:r>
        <w:t>- 14 -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_Toc30418 </w:instrText>
      </w:r>
      <w:r>
        <w:rPr>
          <w:rFonts w:hint="eastAsia" w:ascii="宋体" w:hAnsi="宋体" w:cs="宋体"/>
        </w:rPr>
        <w:fldChar w:fldCharType="separate"/>
      </w:r>
      <w:r>
        <w:rPr>
          <w:rFonts w:hint="eastAsia" w:ascii="宋体" w:hAnsi="宋体" w:cs="宋体"/>
          <w:lang w:val="zh-CN"/>
        </w:rPr>
        <w:t>八、中标</w:t>
      </w:r>
      <w:r>
        <w:tab/>
      </w:r>
      <w:r>
        <w:fldChar w:fldCharType="begin"/>
      </w:r>
      <w:r>
        <w:instrText xml:space="preserve"> PAGEREF _Toc30418 \h </w:instrText>
      </w:r>
      <w:r>
        <w:fldChar w:fldCharType="separate"/>
      </w:r>
      <w:r>
        <w:t>- 16 -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_Toc8149 </w:instrText>
      </w:r>
      <w:r>
        <w:rPr>
          <w:rFonts w:hint="eastAsia" w:ascii="宋体" w:hAnsi="宋体" w:cs="宋体"/>
        </w:rPr>
        <w:fldChar w:fldCharType="separate"/>
      </w:r>
      <w:r>
        <w:rPr>
          <w:rFonts w:hint="eastAsia" w:ascii="宋体" w:hAnsi="宋体" w:cs="宋体"/>
          <w:szCs w:val="28"/>
          <w:lang w:val="zh-CN"/>
        </w:rPr>
        <w:t>2</w:t>
      </w:r>
      <w:r>
        <w:rPr>
          <w:rFonts w:hint="eastAsia" w:ascii="宋体" w:hAnsi="宋体" w:cs="宋体"/>
          <w:szCs w:val="28"/>
        </w:rPr>
        <w:t>1</w:t>
      </w:r>
      <w:r>
        <w:rPr>
          <w:rFonts w:hint="eastAsia" w:ascii="宋体" w:hAnsi="宋体" w:cs="宋体"/>
          <w:szCs w:val="28"/>
          <w:lang w:val="zh-CN"/>
        </w:rPr>
        <w:t>.推荐并确定中标人</w:t>
      </w:r>
      <w:r>
        <w:tab/>
      </w:r>
      <w:r>
        <w:fldChar w:fldCharType="begin"/>
      </w:r>
      <w:r>
        <w:instrText xml:space="preserve"> PAGEREF _Toc8149 \h </w:instrText>
      </w:r>
      <w:r>
        <w:fldChar w:fldCharType="separate"/>
      </w:r>
      <w:r>
        <w:t>- 16 -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_Toc1735 </w:instrText>
      </w:r>
      <w:r>
        <w:rPr>
          <w:rFonts w:hint="eastAsia" w:ascii="宋体" w:hAnsi="宋体" w:cs="宋体"/>
        </w:rPr>
        <w:fldChar w:fldCharType="separate"/>
      </w:r>
      <w:r>
        <w:rPr>
          <w:rFonts w:hint="eastAsia" w:ascii="宋体" w:hAnsi="宋体" w:cs="宋体"/>
          <w:szCs w:val="28"/>
          <w:lang w:val="zh-CN"/>
        </w:rPr>
        <w:t>2</w:t>
      </w:r>
      <w:r>
        <w:rPr>
          <w:rFonts w:hint="eastAsia" w:ascii="宋体" w:hAnsi="宋体" w:cs="宋体"/>
          <w:szCs w:val="28"/>
        </w:rPr>
        <w:t>2</w:t>
      </w:r>
      <w:r>
        <w:rPr>
          <w:rFonts w:hint="eastAsia" w:ascii="宋体" w:hAnsi="宋体" w:cs="宋体"/>
          <w:szCs w:val="28"/>
          <w:lang w:val="zh-CN"/>
        </w:rPr>
        <w:t>.中标通知</w:t>
      </w:r>
      <w:r>
        <w:tab/>
      </w:r>
      <w:r>
        <w:fldChar w:fldCharType="begin"/>
      </w:r>
      <w:r>
        <w:instrText xml:space="preserve"> PAGEREF _Toc1735 \h </w:instrText>
      </w:r>
      <w:r>
        <w:fldChar w:fldCharType="separate"/>
      </w:r>
      <w:r>
        <w:t>- 17 -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_Toc17842 </w:instrText>
      </w:r>
      <w:r>
        <w:rPr>
          <w:rFonts w:hint="eastAsia" w:ascii="宋体" w:hAnsi="宋体" w:cs="宋体"/>
        </w:rPr>
        <w:fldChar w:fldCharType="separate"/>
      </w:r>
      <w:r>
        <w:rPr>
          <w:rFonts w:hint="eastAsia" w:ascii="宋体" w:hAnsi="宋体" w:cs="宋体"/>
          <w:lang w:val="zh-CN"/>
        </w:rPr>
        <w:t>九、授予合同</w:t>
      </w:r>
      <w:r>
        <w:tab/>
      </w:r>
      <w:r>
        <w:fldChar w:fldCharType="begin"/>
      </w:r>
      <w:r>
        <w:instrText xml:space="preserve"> PAGEREF _Toc17842 \h </w:instrText>
      </w:r>
      <w:r>
        <w:fldChar w:fldCharType="separate"/>
      </w:r>
      <w:r>
        <w:t>- 17 -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_Toc8352 </w:instrText>
      </w:r>
      <w:r>
        <w:rPr>
          <w:rFonts w:hint="eastAsia" w:ascii="宋体" w:hAnsi="宋体" w:cs="宋体"/>
        </w:rPr>
        <w:fldChar w:fldCharType="separate"/>
      </w:r>
      <w:r>
        <w:rPr>
          <w:rFonts w:hint="eastAsia" w:ascii="宋体" w:hAnsi="宋体" w:cs="宋体"/>
          <w:szCs w:val="28"/>
          <w:lang w:val="zh-CN"/>
        </w:rPr>
        <w:t>2</w:t>
      </w:r>
      <w:r>
        <w:rPr>
          <w:rFonts w:hint="eastAsia" w:ascii="宋体" w:hAnsi="宋体" w:cs="宋体"/>
          <w:szCs w:val="28"/>
        </w:rPr>
        <w:t>3</w:t>
      </w:r>
      <w:r>
        <w:rPr>
          <w:rFonts w:hint="eastAsia" w:ascii="宋体" w:hAnsi="宋体" w:cs="宋体"/>
          <w:szCs w:val="28"/>
          <w:lang w:val="zh-CN"/>
        </w:rPr>
        <w:t>.签订合同</w:t>
      </w:r>
      <w:r>
        <w:tab/>
      </w:r>
      <w:r>
        <w:fldChar w:fldCharType="begin"/>
      </w:r>
      <w:r>
        <w:instrText xml:space="preserve"> PAGEREF _Toc8352 \h </w:instrText>
      </w:r>
      <w:r>
        <w:fldChar w:fldCharType="separate"/>
      </w:r>
      <w:r>
        <w:t>- 17 -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_Toc12277 </w:instrText>
      </w:r>
      <w:r>
        <w:rPr>
          <w:rFonts w:hint="eastAsia" w:ascii="宋体" w:hAnsi="宋体" w:cs="宋体"/>
        </w:rPr>
        <w:fldChar w:fldCharType="separate"/>
      </w:r>
      <w:r>
        <w:rPr>
          <w:rFonts w:hint="eastAsia" w:ascii="宋体" w:hAnsi="宋体" w:cs="宋体"/>
          <w:lang w:val="zh-CN"/>
        </w:rPr>
        <w:t>十、其他</w:t>
      </w:r>
      <w:r>
        <w:tab/>
      </w:r>
      <w:r>
        <w:fldChar w:fldCharType="begin"/>
      </w:r>
      <w:r>
        <w:instrText xml:space="preserve"> PAGEREF _Toc12277 \h </w:instrText>
      </w:r>
      <w:r>
        <w:fldChar w:fldCharType="separate"/>
      </w:r>
      <w:r>
        <w:t>- 18 -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_Toc11272 </w:instrText>
      </w:r>
      <w:r>
        <w:rPr>
          <w:rFonts w:hint="eastAsia" w:ascii="宋体" w:hAnsi="宋体" w:cs="宋体"/>
        </w:rPr>
        <w:fldChar w:fldCharType="separate"/>
      </w:r>
      <w:r>
        <w:rPr>
          <w:rFonts w:hint="eastAsia" w:ascii="宋体" w:hAnsi="宋体" w:cs="宋体"/>
          <w:szCs w:val="28"/>
        </w:rPr>
        <w:t>2</w:t>
      </w:r>
      <w:r>
        <w:rPr>
          <w:rFonts w:ascii="宋体" w:hAnsi="宋体" w:cs="宋体"/>
          <w:szCs w:val="28"/>
        </w:rPr>
        <w:t>4</w:t>
      </w:r>
      <w:r>
        <w:rPr>
          <w:rFonts w:hint="eastAsia" w:ascii="宋体" w:hAnsi="宋体" w:cs="宋体"/>
          <w:szCs w:val="28"/>
        </w:rPr>
        <w:t>. 串通投标的情形</w:t>
      </w:r>
      <w:r>
        <w:tab/>
      </w:r>
      <w:r>
        <w:fldChar w:fldCharType="begin"/>
      </w:r>
      <w:r>
        <w:instrText xml:space="preserve"> PAGEREF _Toc11272 \h </w:instrText>
      </w:r>
      <w:r>
        <w:fldChar w:fldCharType="separate"/>
      </w:r>
      <w:r>
        <w:t>- 18 -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_Toc23118 </w:instrText>
      </w:r>
      <w:r>
        <w:rPr>
          <w:rFonts w:hint="eastAsia" w:ascii="宋体" w:hAnsi="宋体" w:cs="宋体"/>
        </w:rPr>
        <w:fldChar w:fldCharType="separate"/>
      </w:r>
      <w:r>
        <w:rPr>
          <w:rFonts w:hint="eastAsia" w:ascii="宋体" w:hAnsi="宋体" w:cs="宋体"/>
          <w:szCs w:val="28"/>
        </w:rPr>
        <w:t>2</w:t>
      </w:r>
      <w:r>
        <w:rPr>
          <w:rFonts w:ascii="宋体" w:hAnsi="宋体" w:cs="宋体"/>
          <w:szCs w:val="28"/>
        </w:rPr>
        <w:t>5</w:t>
      </w:r>
      <w:r>
        <w:rPr>
          <w:rFonts w:hint="eastAsia" w:ascii="宋体" w:hAnsi="宋体" w:cs="宋体"/>
          <w:szCs w:val="28"/>
        </w:rPr>
        <w:t>. 废标</w:t>
      </w:r>
      <w:r>
        <w:tab/>
      </w:r>
      <w:r>
        <w:fldChar w:fldCharType="begin"/>
      </w:r>
      <w:r>
        <w:instrText xml:space="preserve"> PAGEREF _Toc23118 \h </w:instrText>
      </w:r>
      <w:r>
        <w:fldChar w:fldCharType="separate"/>
      </w:r>
      <w:r>
        <w:t>- 18 -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_Toc17902 </w:instrText>
      </w:r>
      <w:r>
        <w:rPr>
          <w:rFonts w:hint="eastAsia" w:ascii="宋体" w:hAnsi="宋体" w:cs="宋体"/>
        </w:rPr>
        <w:fldChar w:fldCharType="separate"/>
      </w:r>
      <w:r>
        <w:rPr>
          <w:rFonts w:hint="eastAsia" w:ascii="宋体" w:hAnsi="宋体" w:cs="宋体"/>
          <w:szCs w:val="28"/>
        </w:rPr>
        <w:t>2</w:t>
      </w:r>
      <w:r>
        <w:rPr>
          <w:rFonts w:ascii="宋体" w:hAnsi="宋体" w:cs="宋体"/>
          <w:szCs w:val="28"/>
        </w:rPr>
        <w:t>6</w:t>
      </w:r>
      <w:r>
        <w:rPr>
          <w:rFonts w:hint="eastAsia" w:ascii="宋体" w:hAnsi="宋体" w:cs="宋体"/>
          <w:szCs w:val="28"/>
        </w:rPr>
        <w:t>. 中标服务费</w:t>
      </w:r>
      <w:r>
        <w:tab/>
      </w:r>
      <w:r>
        <w:fldChar w:fldCharType="begin"/>
      </w:r>
      <w:r>
        <w:instrText xml:space="preserve"> PAGEREF _Toc17902 \h </w:instrText>
      </w:r>
      <w:r>
        <w:fldChar w:fldCharType="separate"/>
      </w:r>
      <w:r>
        <w:t>- 19 -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_Toc17891 </w:instrText>
      </w:r>
      <w:r>
        <w:rPr>
          <w:rFonts w:hint="eastAsia" w:ascii="宋体" w:hAnsi="宋体" w:cs="宋体"/>
        </w:rPr>
        <w:fldChar w:fldCharType="separate"/>
      </w:r>
      <w:r>
        <w:rPr>
          <w:rFonts w:hint="eastAsia" w:ascii="宋体" w:hAnsi="宋体" w:cs="宋体"/>
          <w:szCs w:val="36"/>
          <w:lang w:val="zh-CN"/>
        </w:rPr>
        <w:t xml:space="preserve">第三部分 </w:t>
      </w:r>
      <w:r>
        <w:rPr>
          <w:rFonts w:hint="eastAsia" w:ascii="宋体" w:hAnsi="宋体" w:cs="宋体"/>
          <w:szCs w:val="36"/>
        </w:rPr>
        <w:t xml:space="preserve"> </w:t>
      </w:r>
      <w:r>
        <w:rPr>
          <w:rFonts w:hint="eastAsia" w:ascii="宋体" w:hAnsi="宋体" w:cs="宋体"/>
          <w:szCs w:val="36"/>
          <w:lang w:val="zh-CN"/>
        </w:rPr>
        <w:t>青海省政府采购项目合同书范本</w:t>
      </w:r>
      <w:r>
        <w:tab/>
      </w:r>
      <w:r>
        <w:fldChar w:fldCharType="begin"/>
      </w:r>
      <w:r>
        <w:instrText xml:space="preserve"> PAGEREF _Toc17891 \h </w:instrText>
      </w:r>
      <w:r>
        <w:fldChar w:fldCharType="separate"/>
      </w:r>
      <w:r>
        <w:t>- 20 -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_Toc19192 </w:instrText>
      </w:r>
      <w:r>
        <w:rPr>
          <w:rFonts w:hint="eastAsia" w:ascii="宋体" w:hAnsi="宋体" w:cs="宋体"/>
        </w:rPr>
        <w:fldChar w:fldCharType="separate"/>
      </w:r>
      <w:r>
        <w:rPr>
          <w:rFonts w:hint="eastAsia" w:ascii="宋体" w:hAnsi="宋体" w:cs="宋体"/>
          <w:szCs w:val="36"/>
          <w:lang w:val="zh-CN"/>
        </w:rPr>
        <w:t>第四部分  投标文件格式</w:t>
      </w:r>
      <w:r>
        <w:tab/>
      </w:r>
      <w:r>
        <w:fldChar w:fldCharType="begin"/>
      </w:r>
      <w:r>
        <w:instrText xml:space="preserve"> PAGEREF _Toc19192 \h </w:instrText>
      </w:r>
      <w:r>
        <w:fldChar w:fldCharType="separate"/>
      </w:r>
      <w:r>
        <w:t>- 33 -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_Toc1170 </w:instrText>
      </w:r>
      <w:r>
        <w:rPr>
          <w:rFonts w:hint="eastAsia" w:ascii="宋体" w:hAnsi="宋体" w:cs="宋体"/>
        </w:rPr>
        <w:fldChar w:fldCharType="separate"/>
      </w:r>
      <w:r>
        <w:rPr>
          <w:rFonts w:hint="eastAsia" w:ascii="宋体" w:hAnsi="宋体" w:cs="宋体"/>
          <w:szCs w:val="30"/>
          <w:lang w:val="zh-CN"/>
        </w:rPr>
        <w:t>封面（上册）</w:t>
      </w:r>
      <w:r>
        <w:tab/>
      </w:r>
      <w:r>
        <w:fldChar w:fldCharType="begin"/>
      </w:r>
      <w:r>
        <w:instrText xml:space="preserve"> PAGEREF _Toc1170 \h </w:instrText>
      </w:r>
      <w:r>
        <w:fldChar w:fldCharType="separate"/>
      </w:r>
      <w:r>
        <w:t>- 33 -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_Toc13863 </w:instrText>
      </w:r>
      <w:r>
        <w:rPr>
          <w:rFonts w:hint="eastAsia" w:ascii="宋体" w:hAnsi="宋体" w:cs="宋体"/>
        </w:rPr>
        <w:fldChar w:fldCharType="separate"/>
      </w:r>
      <w:r>
        <w:rPr>
          <w:rFonts w:hint="eastAsia" w:ascii="宋体" w:hAnsi="宋体" w:cs="宋体"/>
          <w:szCs w:val="30"/>
          <w:lang w:val="zh-CN"/>
        </w:rPr>
        <w:t>目录（上册）</w:t>
      </w:r>
      <w:r>
        <w:tab/>
      </w:r>
      <w:r>
        <w:fldChar w:fldCharType="begin"/>
      </w:r>
      <w:r>
        <w:instrText xml:space="preserve"> PAGEREF _Toc13863 \h </w:instrText>
      </w:r>
      <w:r>
        <w:fldChar w:fldCharType="separate"/>
      </w:r>
      <w:r>
        <w:t>- 34 -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_Toc7022 </w:instrText>
      </w:r>
      <w:r>
        <w:rPr>
          <w:rFonts w:hint="eastAsia" w:ascii="宋体" w:hAnsi="宋体" w:cs="宋体"/>
        </w:rPr>
        <w:fldChar w:fldCharType="separate"/>
      </w:r>
      <w:r>
        <w:rPr>
          <w:rFonts w:hint="eastAsia" w:ascii="宋体" w:hAnsi="宋体" w:cs="宋体"/>
          <w:szCs w:val="30"/>
        </w:rPr>
        <w:t>（1）</w:t>
      </w:r>
      <w:r>
        <w:rPr>
          <w:rFonts w:hint="eastAsia" w:ascii="宋体" w:hAnsi="宋体" w:cs="宋体"/>
          <w:szCs w:val="30"/>
          <w:lang w:val="zh-CN"/>
        </w:rPr>
        <w:t>投标函</w:t>
      </w:r>
      <w:r>
        <w:tab/>
      </w:r>
      <w:r>
        <w:fldChar w:fldCharType="begin"/>
      </w:r>
      <w:r>
        <w:instrText xml:space="preserve"> PAGEREF _Toc7022 \h </w:instrText>
      </w:r>
      <w:r>
        <w:fldChar w:fldCharType="separate"/>
      </w:r>
      <w:r>
        <w:t>- 35 -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_Toc32248 </w:instrText>
      </w:r>
      <w:r>
        <w:rPr>
          <w:rFonts w:hint="eastAsia" w:ascii="宋体" w:hAnsi="宋体" w:cs="宋体"/>
        </w:rPr>
        <w:fldChar w:fldCharType="separate"/>
      </w:r>
      <w:r>
        <w:rPr>
          <w:rFonts w:hint="eastAsia" w:ascii="宋体" w:hAnsi="宋体" w:cs="宋体"/>
          <w:kern w:val="0"/>
          <w:szCs w:val="30"/>
          <w:lang w:val="zh-CN"/>
        </w:rPr>
        <w:t>（</w:t>
      </w:r>
      <w:r>
        <w:rPr>
          <w:rFonts w:hint="eastAsia" w:ascii="宋体" w:hAnsi="宋体" w:cs="宋体"/>
          <w:kern w:val="0"/>
          <w:szCs w:val="30"/>
        </w:rPr>
        <w:t>2</w:t>
      </w:r>
      <w:r>
        <w:rPr>
          <w:rFonts w:hint="eastAsia" w:ascii="宋体" w:hAnsi="宋体" w:cs="宋体"/>
          <w:kern w:val="0"/>
          <w:szCs w:val="30"/>
          <w:lang w:val="zh-CN"/>
        </w:rPr>
        <w:t>）</w:t>
      </w:r>
      <w:r>
        <w:rPr>
          <w:rFonts w:hint="eastAsia" w:ascii="宋体" w:hAnsi="宋体" w:cs="宋体"/>
          <w:szCs w:val="30"/>
        </w:rPr>
        <w:t>法定代表人证明书</w:t>
      </w:r>
      <w:r>
        <w:tab/>
      </w:r>
      <w:r>
        <w:fldChar w:fldCharType="begin"/>
      </w:r>
      <w:r>
        <w:instrText xml:space="preserve"> PAGEREF _Toc32248 \h </w:instrText>
      </w:r>
      <w:r>
        <w:fldChar w:fldCharType="separate"/>
      </w:r>
      <w:r>
        <w:t>- 36 -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_Toc24043 </w:instrText>
      </w:r>
      <w:r>
        <w:rPr>
          <w:rFonts w:hint="eastAsia" w:ascii="宋体" w:hAnsi="宋体" w:cs="宋体"/>
        </w:rPr>
        <w:fldChar w:fldCharType="separate"/>
      </w:r>
      <w:r>
        <w:rPr>
          <w:rFonts w:hint="eastAsia" w:ascii="宋体" w:hAnsi="宋体" w:cs="宋体"/>
          <w:szCs w:val="30"/>
        </w:rPr>
        <w:t>（3）</w:t>
      </w:r>
      <w:r>
        <w:rPr>
          <w:rFonts w:hint="eastAsia" w:ascii="宋体" w:hAnsi="宋体" w:cs="宋体"/>
          <w:szCs w:val="30"/>
          <w:lang w:val="zh-CN"/>
        </w:rPr>
        <w:t>法定代表人授权书</w:t>
      </w:r>
      <w:r>
        <w:tab/>
      </w:r>
      <w:r>
        <w:fldChar w:fldCharType="begin"/>
      </w:r>
      <w:r>
        <w:instrText xml:space="preserve"> PAGEREF _Toc24043 \h </w:instrText>
      </w:r>
      <w:r>
        <w:fldChar w:fldCharType="separate"/>
      </w:r>
      <w:r>
        <w:t>- 37 -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_Toc11089 </w:instrText>
      </w:r>
      <w:r>
        <w:rPr>
          <w:rFonts w:hint="eastAsia" w:ascii="宋体" w:hAnsi="宋体" w:cs="宋体"/>
        </w:rPr>
        <w:fldChar w:fldCharType="separate"/>
      </w:r>
      <w:r>
        <w:rPr>
          <w:rFonts w:hint="eastAsia" w:ascii="宋体" w:hAnsi="宋体" w:cs="宋体"/>
          <w:szCs w:val="30"/>
        </w:rPr>
        <w:t>（4）</w:t>
      </w:r>
      <w:r>
        <w:rPr>
          <w:rFonts w:hint="eastAsia" w:ascii="宋体" w:hAnsi="宋体" w:cs="宋体"/>
          <w:szCs w:val="30"/>
          <w:lang w:val="zh-CN"/>
        </w:rPr>
        <w:t>投标人承诺函</w:t>
      </w:r>
      <w:r>
        <w:tab/>
      </w:r>
      <w:r>
        <w:fldChar w:fldCharType="begin"/>
      </w:r>
      <w:r>
        <w:instrText xml:space="preserve"> PAGEREF _Toc11089 \h </w:instrText>
      </w:r>
      <w:r>
        <w:fldChar w:fldCharType="separate"/>
      </w:r>
      <w:r>
        <w:t>- 38 -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_Toc12175 </w:instrText>
      </w:r>
      <w:r>
        <w:rPr>
          <w:rFonts w:hint="eastAsia" w:ascii="宋体" w:hAnsi="宋体" w:cs="宋体"/>
        </w:rPr>
        <w:fldChar w:fldCharType="separate"/>
      </w:r>
      <w:r>
        <w:rPr>
          <w:rFonts w:hint="eastAsia" w:ascii="宋体" w:hAnsi="宋体" w:cs="宋体"/>
          <w:szCs w:val="30"/>
        </w:rPr>
        <w:t>（5）</w:t>
      </w:r>
      <w:r>
        <w:rPr>
          <w:rFonts w:hint="eastAsia" w:ascii="宋体" w:hAnsi="宋体" w:cs="宋体"/>
          <w:szCs w:val="30"/>
          <w:lang w:val="zh-CN"/>
        </w:rPr>
        <w:t>投标人诚信承诺书</w:t>
      </w:r>
      <w:r>
        <w:tab/>
      </w:r>
      <w:r>
        <w:fldChar w:fldCharType="begin"/>
      </w:r>
      <w:r>
        <w:instrText xml:space="preserve"> PAGEREF _Toc12175 \h </w:instrText>
      </w:r>
      <w:r>
        <w:fldChar w:fldCharType="separate"/>
      </w:r>
      <w:r>
        <w:t>- 39 -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_Toc240 </w:instrText>
      </w:r>
      <w:r>
        <w:rPr>
          <w:rFonts w:hint="eastAsia" w:ascii="宋体" w:hAnsi="宋体" w:cs="宋体"/>
        </w:rPr>
        <w:fldChar w:fldCharType="separate"/>
      </w:r>
      <w:r>
        <w:rPr>
          <w:rFonts w:hint="eastAsia" w:ascii="宋体" w:hAnsi="宋体" w:cs="宋体"/>
          <w:szCs w:val="30"/>
        </w:rPr>
        <w:t>（6）</w:t>
      </w:r>
      <w:r>
        <w:rPr>
          <w:rFonts w:hint="eastAsia" w:ascii="宋体" w:hAnsi="宋体" w:cs="宋体"/>
          <w:szCs w:val="30"/>
          <w:lang w:val="zh-CN"/>
        </w:rPr>
        <w:t>资格证明材料</w:t>
      </w:r>
      <w:r>
        <w:tab/>
      </w:r>
      <w:r>
        <w:fldChar w:fldCharType="begin"/>
      </w:r>
      <w:r>
        <w:instrText xml:space="preserve"> PAGEREF _Toc240 \h </w:instrText>
      </w:r>
      <w:r>
        <w:fldChar w:fldCharType="separate"/>
      </w:r>
      <w:r>
        <w:t>- 40 -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_Toc18480 </w:instrText>
      </w:r>
      <w:r>
        <w:rPr>
          <w:rFonts w:hint="eastAsia" w:ascii="宋体" w:hAnsi="宋体" w:cs="宋体"/>
        </w:rPr>
        <w:fldChar w:fldCharType="separate"/>
      </w:r>
      <w:r>
        <w:rPr>
          <w:rFonts w:hint="eastAsia" w:ascii="宋体" w:hAnsi="宋体" w:cs="宋体"/>
          <w:szCs w:val="30"/>
        </w:rPr>
        <w:t>（7）</w:t>
      </w:r>
      <w:r>
        <w:rPr>
          <w:rFonts w:hint="eastAsia" w:ascii="宋体" w:hAnsi="宋体" w:cs="宋体"/>
          <w:szCs w:val="30"/>
          <w:lang w:val="zh-CN"/>
        </w:rPr>
        <w:t>财务状况报告，依法缴纳税收和社会保障资金的相关材料</w:t>
      </w:r>
      <w:r>
        <w:tab/>
      </w:r>
      <w:r>
        <w:fldChar w:fldCharType="begin"/>
      </w:r>
      <w:r>
        <w:instrText xml:space="preserve"> PAGEREF _Toc18480 \h </w:instrText>
      </w:r>
      <w:r>
        <w:fldChar w:fldCharType="separate"/>
      </w:r>
      <w:r>
        <w:t>- 41 -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_Toc32568 </w:instrText>
      </w:r>
      <w:r>
        <w:rPr>
          <w:rFonts w:hint="eastAsia" w:ascii="宋体" w:hAnsi="宋体" w:cs="宋体"/>
        </w:rPr>
        <w:fldChar w:fldCharType="separate"/>
      </w:r>
      <w:r>
        <w:rPr>
          <w:rFonts w:hint="eastAsia" w:ascii="宋体" w:hAnsi="宋体" w:cs="宋体"/>
          <w:szCs w:val="30"/>
        </w:rPr>
        <w:t>（8）</w:t>
      </w:r>
      <w:r>
        <w:rPr>
          <w:rFonts w:hint="eastAsia" w:ascii="宋体" w:hAnsi="宋体" w:cs="宋体"/>
          <w:szCs w:val="30"/>
          <w:lang w:val="zh-CN"/>
        </w:rPr>
        <w:t>具备履行合同所必需的设备和专业技术能力的证明材料</w:t>
      </w:r>
      <w:r>
        <w:tab/>
      </w:r>
      <w:r>
        <w:fldChar w:fldCharType="begin"/>
      </w:r>
      <w:r>
        <w:instrText xml:space="preserve"> PAGEREF _Toc32568 \h </w:instrText>
      </w:r>
      <w:r>
        <w:fldChar w:fldCharType="separate"/>
      </w:r>
      <w:r>
        <w:t>- 42 -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_Toc14074 </w:instrText>
      </w:r>
      <w:r>
        <w:rPr>
          <w:rFonts w:hint="eastAsia" w:ascii="宋体" w:hAnsi="宋体" w:cs="宋体"/>
        </w:rPr>
        <w:fldChar w:fldCharType="separate"/>
      </w:r>
      <w:r>
        <w:rPr>
          <w:rFonts w:hint="eastAsia" w:ascii="宋体" w:hAnsi="宋体" w:cs="宋体"/>
          <w:szCs w:val="30"/>
        </w:rPr>
        <w:t>（9）</w:t>
      </w:r>
      <w:r>
        <w:rPr>
          <w:rFonts w:hint="eastAsia" w:ascii="宋体" w:hAnsi="宋体" w:cs="宋体"/>
          <w:szCs w:val="30"/>
          <w:lang w:val="zh-CN"/>
        </w:rPr>
        <w:t>无重大违法记录声明</w:t>
      </w:r>
      <w:r>
        <w:tab/>
      </w:r>
      <w:r>
        <w:fldChar w:fldCharType="begin"/>
      </w:r>
      <w:r>
        <w:instrText xml:space="preserve"> PAGEREF _Toc14074 \h </w:instrText>
      </w:r>
      <w:r>
        <w:fldChar w:fldCharType="separate"/>
      </w:r>
      <w:r>
        <w:t>- 43 -</w:t>
      </w:r>
      <w:r>
        <w:fldChar w:fldCharType="end"/>
      </w:r>
      <w:r>
        <w:rPr>
          <w:rFonts w:hint="eastAsia" w:ascii="宋体" w:hAnsi="宋体" w:cs="宋体"/>
        </w:rPr>
        <w:fldChar w:fldCharType="end"/>
      </w:r>
    </w:p>
    <w:p>
      <w:pPr>
        <w:pStyle w:val="9"/>
        <w:tabs>
          <w:tab w:val="right" w:leader="dot" w:pos="8243"/>
        </w:tabs>
        <w:ind w:firstLine="482"/>
        <w:rPr>
          <w:rFonts w:hint="eastAsia" w:ascii="宋体" w:hAnsi="宋体" w:cs="宋体"/>
        </w:rPr>
        <w:sectPr>
          <w:footerReference r:id="rId5" w:type="default"/>
          <w:pgSz w:w="11849" w:h="16781"/>
          <w:pgMar w:top="1440" w:right="1803" w:bottom="1440" w:left="1803" w:header="851" w:footer="992" w:gutter="0"/>
          <w:pgNumType w:start="1"/>
          <w:cols w:space="720" w:num="1"/>
          <w:docGrid w:linePitch="397" w:charSpace="0"/>
        </w:sectPr>
      </w:pP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_Toc12180 </w:instrText>
      </w:r>
      <w:r>
        <w:rPr>
          <w:rFonts w:hint="eastAsia" w:ascii="宋体" w:hAnsi="宋体" w:cs="宋体"/>
        </w:rPr>
        <w:fldChar w:fldCharType="separate"/>
      </w:r>
      <w:r>
        <w:rPr>
          <w:rFonts w:hint="eastAsia" w:ascii="宋体" w:hAnsi="宋体" w:cs="宋体"/>
          <w:szCs w:val="30"/>
        </w:rPr>
        <w:t>（10）</w:t>
      </w:r>
      <w:r>
        <w:rPr>
          <w:rFonts w:hint="eastAsia" w:ascii="宋体" w:hAnsi="宋体" w:cs="宋体"/>
          <w:szCs w:val="30"/>
          <w:lang w:val="zh-CN"/>
        </w:rPr>
        <w:t>投标保证金证明</w:t>
      </w:r>
      <w:r>
        <w:tab/>
      </w:r>
      <w:r>
        <w:fldChar w:fldCharType="begin"/>
      </w:r>
      <w:r>
        <w:instrText xml:space="preserve"> PAGEREF _Toc12180 \h </w:instrText>
      </w:r>
      <w:r>
        <w:fldChar w:fldCharType="separate"/>
      </w:r>
      <w:r>
        <w:t>- 44 -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_Toc727 </w:instrText>
      </w:r>
      <w:r>
        <w:rPr>
          <w:rFonts w:hint="eastAsia" w:ascii="宋体" w:hAnsi="宋体" w:cs="宋体"/>
        </w:rPr>
        <w:fldChar w:fldCharType="separate"/>
      </w:r>
      <w:r>
        <w:rPr>
          <w:rFonts w:hint="eastAsia" w:ascii="宋体" w:hAnsi="宋体" w:cs="宋体"/>
          <w:szCs w:val="30"/>
          <w:lang w:val="zh-CN"/>
        </w:rPr>
        <w:t>目录（下册）</w:t>
      </w:r>
      <w:r>
        <w:tab/>
      </w:r>
      <w:r>
        <w:fldChar w:fldCharType="begin"/>
      </w:r>
      <w:r>
        <w:instrText xml:space="preserve"> PAGEREF _Toc727 \h </w:instrText>
      </w:r>
      <w:r>
        <w:fldChar w:fldCharType="separate"/>
      </w:r>
      <w:r>
        <w:t>- 46 -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_Toc15305 </w:instrText>
      </w:r>
      <w:r>
        <w:rPr>
          <w:rFonts w:hint="eastAsia" w:ascii="宋体" w:hAnsi="宋体" w:cs="宋体"/>
        </w:rPr>
        <w:fldChar w:fldCharType="separate"/>
      </w:r>
      <w:r>
        <w:rPr>
          <w:rFonts w:hint="eastAsia" w:ascii="宋体" w:hAnsi="宋体" w:cs="宋体"/>
          <w:szCs w:val="30"/>
        </w:rPr>
        <w:t>（11）</w:t>
      </w:r>
      <w:r>
        <w:rPr>
          <w:rFonts w:hint="eastAsia" w:ascii="宋体" w:hAnsi="宋体" w:cs="宋体"/>
          <w:szCs w:val="30"/>
          <w:lang w:val="zh-CN"/>
        </w:rPr>
        <w:t>开标一览表（报价表）</w:t>
      </w:r>
      <w:r>
        <w:tab/>
      </w:r>
      <w:r>
        <w:fldChar w:fldCharType="begin"/>
      </w:r>
      <w:r>
        <w:instrText xml:space="preserve"> PAGEREF _Toc15305 \h </w:instrText>
      </w:r>
      <w:r>
        <w:fldChar w:fldCharType="separate"/>
      </w:r>
      <w:r>
        <w:t>- 47 -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_Toc31475 </w:instrText>
      </w:r>
      <w:r>
        <w:rPr>
          <w:rFonts w:hint="eastAsia" w:ascii="宋体" w:hAnsi="宋体" w:cs="宋体"/>
        </w:rPr>
        <w:fldChar w:fldCharType="separate"/>
      </w:r>
      <w:r>
        <w:rPr>
          <w:rFonts w:hint="eastAsia" w:ascii="宋体" w:hAnsi="宋体" w:cs="宋体"/>
          <w:szCs w:val="30"/>
        </w:rPr>
        <w:t>（12）</w:t>
      </w:r>
      <w:r>
        <w:rPr>
          <w:rFonts w:hint="eastAsia" w:ascii="宋体" w:hAnsi="宋体" w:cs="宋体"/>
          <w:szCs w:val="30"/>
          <w:lang w:val="zh-CN"/>
        </w:rPr>
        <w:t>分项报价表</w:t>
      </w:r>
      <w:r>
        <w:tab/>
      </w:r>
      <w:r>
        <w:fldChar w:fldCharType="begin"/>
      </w:r>
      <w:r>
        <w:instrText xml:space="preserve"> PAGEREF _Toc31475 \h </w:instrText>
      </w:r>
      <w:r>
        <w:fldChar w:fldCharType="separate"/>
      </w:r>
      <w:r>
        <w:t>- 48 -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_Toc14566 </w:instrText>
      </w:r>
      <w:r>
        <w:rPr>
          <w:rFonts w:hint="eastAsia" w:ascii="宋体" w:hAnsi="宋体" w:cs="宋体"/>
        </w:rPr>
        <w:fldChar w:fldCharType="separate"/>
      </w:r>
      <w:r>
        <w:rPr>
          <w:rFonts w:hint="eastAsia" w:ascii="宋体" w:hAnsi="宋体" w:cs="宋体"/>
          <w:szCs w:val="30"/>
        </w:rPr>
        <w:t>（13）</w:t>
      </w:r>
      <w:r>
        <w:rPr>
          <w:rFonts w:hint="eastAsia" w:ascii="宋体" w:hAnsi="宋体" w:cs="宋体"/>
          <w:szCs w:val="30"/>
          <w:lang w:val="zh-CN"/>
        </w:rPr>
        <w:t>技术规格响应表</w:t>
      </w:r>
      <w:r>
        <w:tab/>
      </w:r>
      <w:r>
        <w:fldChar w:fldCharType="begin"/>
      </w:r>
      <w:r>
        <w:instrText xml:space="preserve"> PAGEREF _Toc14566 \h </w:instrText>
      </w:r>
      <w:r>
        <w:fldChar w:fldCharType="separate"/>
      </w:r>
      <w:r>
        <w:t>- 49 -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_Toc8297 </w:instrText>
      </w:r>
      <w:r>
        <w:rPr>
          <w:rFonts w:hint="eastAsia" w:ascii="宋体" w:hAnsi="宋体" w:cs="宋体"/>
        </w:rPr>
        <w:fldChar w:fldCharType="separate"/>
      </w:r>
      <w:r>
        <w:rPr>
          <w:rFonts w:hint="eastAsia" w:ascii="宋体" w:hAnsi="宋体" w:cs="宋体"/>
          <w:szCs w:val="30"/>
        </w:rPr>
        <w:t>（14）</w:t>
      </w:r>
      <w:r>
        <w:rPr>
          <w:rFonts w:hint="eastAsia" w:ascii="宋体" w:hAnsi="宋体" w:cs="宋体"/>
          <w:szCs w:val="30"/>
          <w:lang w:val="zh-CN"/>
        </w:rPr>
        <w:t>投标产品相关资料</w:t>
      </w:r>
      <w:r>
        <w:tab/>
      </w:r>
      <w:r>
        <w:fldChar w:fldCharType="begin"/>
      </w:r>
      <w:r>
        <w:instrText xml:space="preserve"> PAGEREF _Toc8297 \h </w:instrText>
      </w:r>
      <w:r>
        <w:fldChar w:fldCharType="separate"/>
      </w:r>
      <w:r>
        <w:t>- 50 -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_Toc2748 </w:instrText>
      </w:r>
      <w:r>
        <w:rPr>
          <w:rFonts w:hint="eastAsia" w:ascii="宋体" w:hAnsi="宋体" w:cs="宋体"/>
        </w:rPr>
        <w:fldChar w:fldCharType="separate"/>
      </w:r>
      <w:r>
        <w:rPr>
          <w:rFonts w:hint="eastAsia" w:ascii="宋体" w:hAnsi="宋体" w:cs="宋体"/>
          <w:szCs w:val="30"/>
        </w:rPr>
        <w:t>（15）</w:t>
      </w:r>
      <w:r>
        <w:rPr>
          <w:rFonts w:hint="eastAsia" w:ascii="宋体" w:hAnsi="宋体" w:cs="宋体"/>
          <w:szCs w:val="30"/>
          <w:lang w:val="zh-CN"/>
        </w:rPr>
        <w:t>投标人的类似业绩证明材料</w:t>
      </w:r>
      <w:r>
        <w:tab/>
      </w:r>
      <w:r>
        <w:fldChar w:fldCharType="begin"/>
      </w:r>
      <w:r>
        <w:instrText xml:space="preserve"> PAGEREF _Toc2748 \h </w:instrText>
      </w:r>
      <w:r>
        <w:fldChar w:fldCharType="separate"/>
      </w:r>
      <w:r>
        <w:t>- 51 -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_Toc6755 </w:instrText>
      </w:r>
      <w:r>
        <w:rPr>
          <w:rFonts w:hint="eastAsia" w:ascii="宋体" w:hAnsi="宋体" w:cs="宋体"/>
        </w:rPr>
        <w:fldChar w:fldCharType="separate"/>
      </w:r>
      <w:r>
        <w:rPr>
          <w:rFonts w:hint="eastAsia" w:ascii="宋体" w:hAnsi="宋体" w:cs="宋体"/>
          <w:szCs w:val="30"/>
        </w:rPr>
        <w:t>（16.1）中小企业声明函</w:t>
      </w:r>
      <w:r>
        <w:tab/>
      </w:r>
      <w:r>
        <w:fldChar w:fldCharType="begin"/>
      </w:r>
      <w:r>
        <w:instrText xml:space="preserve"> PAGEREF _Toc6755 \h </w:instrText>
      </w:r>
      <w:r>
        <w:fldChar w:fldCharType="separate"/>
      </w:r>
      <w:r>
        <w:t>- 52 -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_Toc11260 </w:instrText>
      </w:r>
      <w:r>
        <w:rPr>
          <w:rFonts w:hint="eastAsia" w:ascii="宋体" w:hAnsi="宋体" w:cs="宋体"/>
        </w:rPr>
        <w:fldChar w:fldCharType="separate"/>
      </w:r>
      <w:r>
        <w:rPr>
          <w:rFonts w:hint="eastAsia" w:ascii="宋体" w:hAnsi="宋体" w:cs="宋体"/>
          <w:szCs w:val="30"/>
        </w:rPr>
        <w:t>（16.2）监狱企业证明资料</w:t>
      </w:r>
      <w:r>
        <w:tab/>
      </w:r>
      <w:r>
        <w:fldChar w:fldCharType="begin"/>
      </w:r>
      <w:r>
        <w:instrText xml:space="preserve"> PAGEREF _Toc11260 \h </w:instrText>
      </w:r>
      <w:r>
        <w:fldChar w:fldCharType="separate"/>
      </w:r>
      <w:r>
        <w:t>- 53 -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_Toc28723 </w:instrText>
      </w:r>
      <w:r>
        <w:rPr>
          <w:rFonts w:hint="eastAsia" w:ascii="宋体" w:hAnsi="宋体" w:cs="宋体"/>
        </w:rPr>
        <w:fldChar w:fldCharType="separate"/>
      </w:r>
      <w:r>
        <w:rPr>
          <w:rFonts w:hint="eastAsia" w:ascii="宋体" w:hAnsi="宋体" w:cs="宋体"/>
          <w:szCs w:val="28"/>
          <w:lang w:val="zh-CN"/>
        </w:rPr>
        <w:t>（</w:t>
      </w:r>
      <w:r>
        <w:rPr>
          <w:rFonts w:hint="eastAsia" w:ascii="宋体" w:hAnsi="宋体" w:cs="宋体"/>
          <w:szCs w:val="28"/>
        </w:rPr>
        <w:t>1</w:t>
      </w:r>
      <w:r>
        <w:rPr>
          <w:rFonts w:hint="eastAsia" w:ascii="宋体" w:hAnsi="宋体" w:cs="宋体"/>
          <w:bCs w:val="0"/>
          <w:szCs w:val="28"/>
        </w:rPr>
        <w:t>7</w:t>
      </w:r>
      <w:r>
        <w:rPr>
          <w:rFonts w:hint="eastAsia" w:ascii="宋体" w:hAnsi="宋体" w:cs="宋体"/>
          <w:szCs w:val="28"/>
          <w:lang w:val="zh-CN"/>
        </w:rPr>
        <w:t>）</w:t>
      </w:r>
      <w:r>
        <w:rPr>
          <w:rFonts w:hint="eastAsia" w:ascii="宋体" w:hAnsi="宋体" w:cs="宋体"/>
          <w:szCs w:val="30"/>
          <w:lang w:val="zh-CN"/>
        </w:rPr>
        <w:t>残疾人</w:t>
      </w:r>
      <w:r>
        <w:rPr>
          <w:rFonts w:hint="eastAsia" w:ascii="宋体" w:hAnsi="宋体" w:cs="宋体"/>
          <w:szCs w:val="28"/>
        </w:rPr>
        <w:t>福利性单位声明函</w:t>
      </w:r>
      <w:r>
        <w:tab/>
      </w:r>
      <w:r>
        <w:fldChar w:fldCharType="begin"/>
      </w:r>
      <w:r>
        <w:instrText xml:space="preserve"> PAGEREF _Toc28723 \h </w:instrText>
      </w:r>
      <w:r>
        <w:fldChar w:fldCharType="separate"/>
      </w:r>
      <w:r>
        <w:t>- 54 -</w:t>
      </w:r>
      <w:r>
        <w:fldChar w:fldCharType="end"/>
      </w:r>
      <w:r>
        <w:rPr>
          <w:rFonts w:hint="eastAsia" w:ascii="宋体" w:hAnsi="宋体" w:cs="宋体"/>
        </w:rPr>
        <w:fldChar w:fldCharType="end"/>
      </w:r>
    </w:p>
    <w:p>
      <w:pPr>
        <w:pStyle w:val="9"/>
        <w:tabs>
          <w:tab w:val="right" w:leader="dot" w:pos="8243"/>
        </w:tabs>
        <w:ind w:firstLine="482"/>
        <w:rPr>
          <w:rFonts w:hint="eastAsia" w:ascii="宋体" w:hAnsi="宋体" w:cs="宋体"/>
        </w:rPr>
      </w:pPr>
      <w:r>
        <w:rPr>
          <w:rFonts w:hint="eastAsia" w:ascii="宋体" w:hAnsi="宋体" w:cs="宋体"/>
        </w:rPr>
        <w:fldChar w:fldCharType="begin"/>
      </w:r>
      <w:r>
        <w:rPr>
          <w:rFonts w:hint="eastAsia" w:ascii="宋体" w:hAnsi="宋体" w:cs="宋体"/>
        </w:rPr>
        <w:instrText xml:space="preserve"> HYPERLINK \l _Toc18550 </w:instrText>
      </w:r>
      <w:r>
        <w:rPr>
          <w:rFonts w:hint="eastAsia" w:ascii="宋体" w:hAnsi="宋体" w:cs="宋体"/>
        </w:rPr>
        <w:fldChar w:fldCharType="separate"/>
      </w:r>
      <w:r>
        <w:rPr>
          <w:rFonts w:hint="eastAsia" w:ascii="宋体" w:hAnsi="宋体" w:cs="宋体"/>
          <w:szCs w:val="30"/>
        </w:rPr>
        <w:t>（18）</w:t>
      </w:r>
      <w:r>
        <w:rPr>
          <w:rFonts w:hint="eastAsia" w:ascii="宋体" w:hAnsi="宋体" w:cs="宋体"/>
          <w:szCs w:val="30"/>
          <w:lang w:val="zh-CN"/>
        </w:rPr>
        <w:t>投标人认为在其他方面有必要说明的事项</w:t>
      </w:r>
      <w:r>
        <w:tab/>
      </w:r>
      <w:r>
        <w:fldChar w:fldCharType="begin"/>
      </w:r>
      <w:r>
        <w:instrText xml:space="preserve"> PAGEREF _Toc18550 \h </w:instrText>
      </w:r>
      <w:r>
        <w:fldChar w:fldCharType="separate"/>
      </w:r>
      <w:r>
        <w:t>- 55 -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szCs w:val="30"/>
        </w:rPr>
        <w:t>（19）其他资质要求相关承诺</w:t>
      </w:r>
      <w:r>
        <w:tab/>
      </w:r>
      <w:r>
        <w:fldChar w:fldCharType="begin"/>
      </w:r>
      <w:r>
        <w:instrText xml:space="preserve"> PAGEREF _Toc18550 \h </w:instrText>
      </w:r>
      <w:r>
        <w:fldChar w:fldCharType="separate"/>
      </w:r>
      <w:r>
        <w:t>- 5</w:t>
      </w:r>
      <w:r>
        <w:rPr>
          <w:rFonts w:hint="eastAsia"/>
        </w:rPr>
        <w:t>6</w:t>
      </w:r>
      <w:r>
        <w:t xml:space="preserve"> -</w:t>
      </w:r>
      <w: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_Toc24875 </w:instrText>
      </w:r>
      <w:r>
        <w:rPr>
          <w:rFonts w:hint="eastAsia" w:ascii="宋体" w:hAnsi="宋体" w:cs="宋体"/>
        </w:rPr>
        <w:fldChar w:fldCharType="separate"/>
      </w:r>
      <w:r>
        <w:rPr>
          <w:rFonts w:hint="eastAsia" w:ascii="宋体" w:hAnsi="宋体" w:cs="宋体"/>
          <w:szCs w:val="36"/>
          <w:lang w:val="zh-CN"/>
        </w:rPr>
        <w:t>第五部分  采购项目要求及技术参数</w:t>
      </w:r>
      <w:r>
        <w:tab/>
      </w:r>
      <w:r>
        <w:fldChar w:fldCharType="begin"/>
      </w:r>
      <w:r>
        <w:instrText xml:space="preserve"> PAGEREF _Toc24875 \h </w:instrText>
      </w:r>
      <w:r>
        <w:fldChar w:fldCharType="separate"/>
      </w:r>
      <w:r>
        <w:t>- 5</w:t>
      </w:r>
      <w:r>
        <w:rPr>
          <w:rFonts w:hint="eastAsia"/>
        </w:rPr>
        <w:t>7</w:t>
      </w:r>
      <w:r>
        <w:t xml:space="preserve">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_Toc16900 </w:instrText>
      </w:r>
      <w:r>
        <w:rPr>
          <w:rFonts w:hint="eastAsia" w:ascii="宋体" w:hAnsi="宋体" w:cs="宋体"/>
        </w:rPr>
        <w:fldChar w:fldCharType="separate"/>
      </w:r>
      <w:r>
        <w:rPr>
          <w:rFonts w:hint="eastAsia" w:ascii="宋体" w:hAnsi="宋体" w:cs="宋体"/>
          <w:lang w:val="zh-CN"/>
        </w:rPr>
        <w:t>（一）投标要求</w:t>
      </w:r>
      <w:r>
        <w:tab/>
      </w:r>
      <w:r>
        <w:fldChar w:fldCharType="begin"/>
      </w:r>
      <w:r>
        <w:instrText xml:space="preserve"> PAGEREF _Toc16900 \h </w:instrText>
      </w:r>
      <w:r>
        <w:fldChar w:fldCharType="separate"/>
      </w:r>
      <w:r>
        <w:t>- 5</w:t>
      </w:r>
      <w:r>
        <w:rPr>
          <w:rFonts w:hint="eastAsia"/>
        </w:rPr>
        <w:t>7</w:t>
      </w:r>
      <w:r>
        <w:t xml:space="preserve">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_Toc12351 </w:instrText>
      </w:r>
      <w:r>
        <w:rPr>
          <w:rFonts w:hint="eastAsia" w:ascii="宋体" w:hAnsi="宋体" w:cs="宋体"/>
        </w:rPr>
        <w:fldChar w:fldCharType="separate"/>
      </w:r>
      <w:r>
        <w:rPr>
          <w:rFonts w:hint="eastAsia" w:ascii="宋体" w:hAnsi="宋体" w:cs="宋体"/>
          <w:szCs w:val="28"/>
          <w:lang w:val="zh-CN"/>
        </w:rPr>
        <w:t>1.投标说明</w:t>
      </w:r>
      <w:r>
        <w:tab/>
      </w:r>
      <w:r>
        <w:fldChar w:fldCharType="begin"/>
      </w:r>
      <w:r>
        <w:instrText xml:space="preserve"> PAGEREF _Toc12351 \h </w:instrText>
      </w:r>
      <w:r>
        <w:fldChar w:fldCharType="separate"/>
      </w:r>
      <w:r>
        <w:t>- 5</w:t>
      </w:r>
      <w:r>
        <w:rPr>
          <w:rFonts w:hint="eastAsia"/>
        </w:rPr>
        <w:t>7</w:t>
      </w:r>
      <w:r>
        <w:t xml:space="preserve">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_Toc15917 </w:instrText>
      </w:r>
      <w:r>
        <w:rPr>
          <w:rFonts w:hint="eastAsia" w:ascii="宋体" w:hAnsi="宋体" w:cs="宋体"/>
        </w:rPr>
        <w:fldChar w:fldCharType="separate"/>
      </w:r>
      <w:r>
        <w:rPr>
          <w:rFonts w:hint="eastAsia" w:ascii="宋体" w:hAnsi="宋体" w:cs="宋体"/>
          <w:szCs w:val="28"/>
        </w:rPr>
        <w:t>2.</w:t>
      </w:r>
      <w:r>
        <w:rPr>
          <w:rFonts w:hint="eastAsia" w:ascii="宋体" w:hAnsi="宋体" w:cs="宋体"/>
          <w:szCs w:val="28"/>
          <w:lang w:val="zh-CN"/>
        </w:rPr>
        <w:t>重要指标</w:t>
      </w:r>
      <w:r>
        <w:tab/>
      </w:r>
      <w:r>
        <w:fldChar w:fldCharType="begin"/>
      </w:r>
      <w:r>
        <w:instrText xml:space="preserve"> PAGEREF _Toc15917 \h </w:instrText>
      </w:r>
      <w:r>
        <w:fldChar w:fldCharType="separate"/>
      </w:r>
      <w:r>
        <w:t>- 5</w:t>
      </w:r>
      <w:r>
        <w:rPr>
          <w:rFonts w:hint="eastAsia"/>
        </w:rPr>
        <w:t>7</w:t>
      </w:r>
      <w:r>
        <w:t xml:space="preserve">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_Toc10680 </w:instrText>
      </w:r>
      <w:r>
        <w:rPr>
          <w:rFonts w:hint="eastAsia" w:ascii="宋体" w:hAnsi="宋体" w:cs="宋体"/>
        </w:rPr>
        <w:fldChar w:fldCharType="separate"/>
      </w:r>
      <w:r>
        <w:rPr>
          <w:rFonts w:hint="eastAsia" w:ascii="宋体" w:hAnsi="宋体" w:cs="宋体"/>
          <w:szCs w:val="28"/>
        </w:rPr>
        <w:t>3</w:t>
      </w:r>
      <w:r>
        <w:rPr>
          <w:rFonts w:hint="eastAsia" w:ascii="宋体" w:hAnsi="宋体" w:cs="宋体"/>
          <w:szCs w:val="28"/>
          <w:lang w:val="zh-CN"/>
        </w:rPr>
        <w:t>.商务要求</w:t>
      </w:r>
      <w:r>
        <w:tab/>
      </w:r>
      <w:r>
        <w:fldChar w:fldCharType="begin"/>
      </w:r>
      <w:r>
        <w:instrText xml:space="preserve"> PAGEREF _Toc10680 \h </w:instrText>
      </w:r>
      <w:r>
        <w:fldChar w:fldCharType="separate"/>
      </w:r>
      <w:r>
        <w:t>- 5</w:t>
      </w:r>
      <w:r>
        <w:rPr>
          <w:rFonts w:hint="eastAsia"/>
        </w:rPr>
        <w:t>7</w:t>
      </w:r>
      <w:r>
        <w:t xml:space="preserve"> -</w:t>
      </w:r>
      <w:r>
        <w:fldChar w:fldCharType="end"/>
      </w:r>
      <w:r>
        <w:rPr>
          <w:rFonts w:hint="eastAsia" w:ascii="宋体" w:hAnsi="宋体" w:cs="宋体"/>
        </w:rPr>
        <w:fldChar w:fldCharType="end"/>
      </w:r>
    </w:p>
    <w:p>
      <w:pPr>
        <w:pStyle w:val="9"/>
        <w:tabs>
          <w:tab w:val="right" w:leader="dot" w:pos="8243"/>
        </w:tabs>
        <w:ind w:firstLine="482"/>
      </w:pPr>
      <w:r>
        <w:rPr>
          <w:rFonts w:hint="eastAsia" w:ascii="宋体" w:hAnsi="宋体" w:cs="宋体"/>
        </w:rPr>
        <w:fldChar w:fldCharType="begin"/>
      </w:r>
      <w:r>
        <w:rPr>
          <w:rFonts w:hint="eastAsia" w:ascii="宋体" w:hAnsi="宋体" w:cs="宋体"/>
        </w:rPr>
        <w:instrText xml:space="preserve"> HYPERLINK \l _Toc2437 </w:instrText>
      </w:r>
      <w:r>
        <w:rPr>
          <w:rFonts w:hint="eastAsia" w:ascii="宋体" w:hAnsi="宋体" w:cs="宋体"/>
        </w:rPr>
        <w:fldChar w:fldCharType="separate"/>
      </w:r>
      <w:r>
        <w:rPr>
          <w:rFonts w:hint="eastAsia" w:ascii="宋体" w:hAnsi="宋体" w:cs="宋体"/>
          <w:lang w:val="zh-CN"/>
        </w:rPr>
        <w:t>（二）项目概况及技术参数</w:t>
      </w:r>
      <w:r>
        <w:tab/>
      </w:r>
      <w:r>
        <w:fldChar w:fldCharType="begin"/>
      </w:r>
      <w:r>
        <w:instrText xml:space="preserve"> PAGEREF _Toc2437 \h </w:instrText>
      </w:r>
      <w:r>
        <w:fldChar w:fldCharType="separate"/>
      </w:r>
      <w:r>
        <w:t>- 5</w:t>
      </w:r>
      <w:r>
        <w:rPr>
          <w:rFonts w:hint="eastAsia"/>
        </w:rPr>
        <w:t>8</w:t>
      </w:r>
      <w:r>
        <w:t xml:space="preserve"> -</w:t>
      </w:r>
      <w:r>
        <w:fldChar w:fldCharType="end"/>
      </w:r>
      <w:r>
        <w:rPr>
          <w:rFonts w:hint="eastAsia" w:ascii="宋体" w:hAnsi="宋体" w:cs="宋体"/>
        </w:rPr>
        <w:fldChar w:fldCharType="end"/>
      </w:r>
    </w:p>
    <w:p>
      <w:pPr>
        <w:spacing w:line="400" w:lineRule="exact"/>
        <w:rPr>
          <w:rFonts w:hint="eastAsia" w:ascii="宋体" w:hAnsi="宋体" w:cs="宋体"/>
        </w:rPr>
      </w:pPr>
      <w:r>
        <w:rPr>
          <w:rFonts w:hint="eastAsia" w:ascii="宋体" w:hAnsi="宋体" w:cs="宋体"/>
        </w:rPr>
        <w:fldChar w:fldCharType="end"/>
      </w:r>
    </w:p>
    <w:p>
      <w:pPr>
        <w:pStyle w:val="12"/>
        <w:spacing w:before="0" w:after="0" w:line="360" w:lineRule="auto"/>
        <w:jc w:val="both"/>
        <w:rPr>
          <w:rFonts w:hint="eastAsia" w:ascii="宋体" w:hAnsi="宋体" w:cs="宋体"/>
        </w:rPr>
        <w:sectPr>
          <w:footerReference r:id="rId6" w:type="default"/>
          <w:pgSz w:w="11849" w:h="16781"/>
          <w:pgMar w:top="1440" w:right="1803" w:bottom="1440" w:left="1803" w:header="851" w:footer="992" w:gutter="0"/>
          <w:pgNumType w:start="1"/>
          <w:cols w:space="720" w:num="1"/>
          <w:docGrid w:linePitch="397" w:charSpace="0"/>
        </w:sectPr>
      </w:pPr>
    </w:p>
    <w:p>
      <w:pPr>
        <w:pStyle w:val="12"/>
        <w:spacing w:before="0" w:after="0" w:line="360" w:lineRule="auto"/>
        <w:rPr>
          <w:rFonts w:hint="eastAsia" w:ascii="宋体" w:hAnsi="宋体" w:cs="宋体"/>
          <w:szCs w:val="36"/>
          <w:lang w:val="zh-CN"/>
        </w:rPr>
      </w:pPr>
      <w:bookmarkStart w:id="0" w:name="_Toc20021"/>
      <w:r>
        <w:rPr>
          <w:rFonts w:hint="eastAsia" w:ascii="宋体" w:hAnsi="宋体" w:cs="宋体"/>
          <w:szCs w:val="36"/>
          <w:lang w:val="zh-CN"/>
        </w:rPr>
        <w:t>第一部分  投标邀请</w:t>
      </w:r>
      <w:bookmarkEnd w:id="0"/>
    </w:p>
    <w:p>
      <w:pPr>
        <w:autoSpaceDE w:val="0"/>
        <w:autoSpaceDN w:val="0"/>
        <w:adjustRightInd w:val="0"/>
        <w:spacing w:line="360" w:lineRule="auto"/>
        <w:ind w:firstLine="480" w:firstLineChars="200"/>
        <w:jc w:val="left"/>
        <w:rPr>
          <w:rFonts w:hint="eastAsia" w:ascii="宋体" w:hAnsi="宋体" w:cs="宋体"/>
          <w:kern w:val="0"/>
          <w:lang w:val="zh-CN"/>
        </w:rPr>
      </w:pPr>
      <w:r>
        <w:rPr>
          <w:rFonts w:hint="eastAsia" w:ascii="宋体" w:hAnsi="宋体" w:cs="宋体"/>
          <w:kern w:val="0"/>
          <w:lang w:val="zh-CN"/>
        </w:rPr>
        <w:t>德令哈城乡建设综合开发有限公司（以下均简称“采购代理机构”）受德令哈市住房和城乡建设局（以下均简称“采购人”）委托,拟对德令哈市乡镇消防站场基础设施建设项目设备采购（第二次）进行国内公开招标，现予以公告，欢迎潜在的投标人参加本次政府采购活动。</w:t>
      </w:r>
    </w:p>
    <w:tbl>
      <w:tblPr>
        <w:tblStyle w:val="13"/>
        <w:tblW w:w="9128" w:type="dxa"/>
        <w:jc w:val="center"/>
        <w:tblLayout w:type="fixed"/>
        <w:tblCellMar>
          <w:top w:w="0" w:type="dxa"/>
          <w:left w:w="108" w:type="dxa"/>
          <w:bottom w:w="0" w:type="dxa"/>
          <w:right w:w="108" w:type="dxa"/>
        </w:tblCellMar>
      </w:tblPr>
      <w:tblGrid>
        <w:gridCol w:w="2400"/>
        <w:gridCol w:w="6728"/>
      </w:tblGrid>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采购项目编号</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城建招标公开（货物）2023-069（第二次）</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采购项目名称</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德令哈市乡镇消防站场基础设施建设项目设备采购（第二次）</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采购方式</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公开招标</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采购预算额度</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rPr>
            </w:pPr>
            <w:r>
              <w:rPr>
                <w:rFonts w:hint="eastAsia" w:ascii="宋体" w:hAnsi="宋体" w:cs="宋体"/>
                <w:kern w:val="0"/>
                <w:lang w:val="en-US" w:eastAsia="zh-CN"/>
              </w:rPr>
              <w:t>2866202.13</w:t>
            </w:r>
            <w:r>
              <w:rPr>
                <w:rFonts w:hint="eastAsia" w:ascii="宋体" w:hAnsi="宋体" w:cs="宋体"/>
                <w:kern w:val="0"/>
                <w:lang w:val="zh-CN"/>
              </w:rPr>
              <w:t>元</w:t>
            </w:r>
          </w:p>
        </w:tc>
      </w:tr>
      <w:tr>
        <w:tblPrEx>
          <w:tblCellMar>
            <w:top w:w="0" w:type="dxa"/>
            <w:left w:w="108" w:type="dxa"/>
            <w:bottom w:w="0" w:type="dxa"/>
            <w:right w:w="108" w:type="dxa"/>
          </w:tblCellMar>
        </w:tblPrEx>
        <w:trPr>
          <w:trHeight w:val="90"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rPr>
            </w:pPr>
            <w:r>
              <w:rPr>
                <w:rFonts w:hint="eastAsia" w:ascii="宋体" w:hAnsi="宋体" w:cs="宋体"/>
                <w:kern w:val="0"/>
              </w:rPr>
              <w:t>最高限价</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u w:val="dashDotHeavy"/>
              </w:rPr>
            </w:pPr>
            <w:r>
              <w:rPr>
                <w:rFonts w:hint="eastAsia" w:ascii="宋体" w:hAnsi="宋体" w:cs="宋体"/>
                <w:kern w:val="0"/>
                <w:lang w:val="en-US" w:eastAsia="zh-CN"/>
              </w:rPr>
              <w:t>2866202.13</w:t>
            </w:r>
            <w:r>
              <w:rPr>
                <w:rFonts w:hint="eastAsia" w:ascii="宋体" w:hAnsi="宋体" w:cs="宋体"/>
                <w:kern w:val="0"/>
                <w:lang w:val="zh-CN"/>
              </w:rPr>
              <w:t>元</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项目分包个数</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u w:val="dashDotHeavy"/>
                <w:lang w:val="zh-CN"/>
              </w:rPr>
            </w:pPr>
            <w:r>
              <w:rPr>
                <w:rFonts w:hint="eastAsia" w:ascii="宋体" w:hAnsi="宋体" w:cs="宋体"/>
                <w:kern w:val="0"/>
                <w:lang w:val="zh-CN"/>
              </w:rPr>
              <w:t>1</w:t>
            </w:r>
            <w:r>
              <w:rPr>
                <w:rFonts w:hint="eastAsia" w:ascii="宋体" w:hAnsi="宋体" w:cs="宋体"/>
                <w:kern w:val="0"/>
              </w:rPr>
              <w:t>个</w:t>
            </w:r>
            <w:r>
              <w:rPr>
                <w:rFonts w:hint="eastAsia" w:ascii="宋体" w:hAnsi="宋体" w:cs="宋体"/>
                <w:kern w:val="0"/>
                <w:lang w:val="zh-CN"/>
              </w:rPr>
              <w:t>包</w:t>
            </w:r>
          </w:p>
        </w:tc>
      </w:tr>
      <w:tr>
        <w:tblPrEx>
          <w:tblCellMar>
            <w:top w:w="0" w:type="dxa"/>
            <w:left w:w="108" w:type="dxa"/>
            <w:bottom w:w="0" w:type="dxa"/>
            <w:right w:w="108" w:type="dxa"/>
          </w:tblCellMar>
        </w:tblPrEx>
        <w:trPr>
          <w:trHeight w:val="90"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各包要求</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u w:val="dashDotHeavy"/>
                <w:lang w:val="zh-CN"/>
              </w:rPr>
            </w:pPr>
            <w:r>
              <w:rPr>
                <w:rFonts w:hint="eastAsia" w:ascii="宋体" w:hAnsi="宋体" w:cs="宋体"/>
                <w:kern w:val="0"/>
                <w:lang w:val="zh-CN"/>
              </w:rPr>
              <w:t>招标内容：具体内容详见《采购文件》</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各包投标人资格要求</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rPr>
                <w:rFonts w:hint="eastAsia"/>
                <w:lang w:val="zh-CN"/>
              </w:rPr>
            </w:pPr>
            <w:r>
              <w:rPr>
                <w:rFonts w:hint="eastAsia"/>
                <w:lang w:val="zh-CN"/>
              </w:rPr>
              <w:t>1、 符合《政府采购法》第22条条件，并提供下列材料：</w:t>
            </w:r>
          </w:p>
          <w:p>
            <w:pPr>
              <w:autoSpaceDE w:val="0"/>
              <w:autoSpaceDN w:val="0"/>
              <w:spacing w:line="360" w:lineRule="auto"/>
              <w:rPr>
                <w:rFonts w:hint="eastAsia"/>
                <w:lang w:val="zh-CN"/>
              </w:rPr>
            </w:pPr>
            <w:r>
              <w:rPr>
                <w:rFonts w:hint="eastAsia"/>
                <w:lang w:val="zh-CN"/>
              </w:rPr>
              <w:t>&lt;1&gt;投标人的营业执照等证明文件，自然人的身份证明。</w:t>
            </w:r>
          </w:p>
          <w:p>
            <w:pPr>
              <w:autoSpaceDE w:val="0"/>
              <w:autoSpaceDN w:val="0"/>
              <w:spacing w:line="360" w:lineRule="auto"/>
              <w:rPr>
                <w:rFonts w:hint="eastAsia"/>
                <w:lang w:val="zh-CN"/>
              </w:rPr>
            </w:pPr>
            <w:r>
              <w:rPr>
                <w:rFonts w:hint="eastAsia"/>
                <w:lang w:val="zh-CN"/>
              </w:rPr>
              <w:t>&lt;2&gt;财务状况报告，依法缴纳税收和社会保障资金的相关材料。</w:t>
            </w:r>
          </w:p>
          <w:p>
            <w:pPr>
              <w:autoSpaceDE w:val="0"/>
              <w:autoSpaceDN w:val="0"/>
              <w:spacing w:line="360" w:lineRule="auto"/>
              <w:rPr>
                <w:rFonts w:hint="eastAsia"/>
                <w:lang w:val="zh-CN"/>
              </w:rPr>
            </w:pPr>
            <w:r>
              <w:rPr>
                <w:rFonts w:hint="eastAsia"/>
                <w:lang w:val="zh-CN"/>
              </w:rPr>
              <w:t>&lt;3&gt;具备履行合同所必需的设备和专业技术能力的证明材料。</w:t>
            </w:r>
          </w:p>
          <w:p>
            <w:pPr>
              <w:autoSpaceDE w:val="0"/>
              <w:autoSpaceDN w:val="0"/>
              <w:spacing w:line="360" w:lineRule="auto"/>
              <w:rPr>
                <w:rFonts w:hint="eastAsia"/>
                <w:lang w:val="zh-CN"/>
              </w:rPr>
            </w:pPr>
            <w:r>
              <w:rPr>
                <w:rFonts w:hint="eastAsia"/>
                <w:lang w:val="zh-CN"/>
              </w:rPr>
              <w:t>&lt;4&gt;参加政府采购活动前3年内在经营活动中没有重大违法记录的书面声明。</w:t>
            </w:r>
          </w:p>
          <w:p>
            <w:pPr>
              <w:autoSpaceDE w:val="0"/>
              <w:autoSpaceDN w:val="0"/>
              <w:spacing w:line="360" w:lineRule="auto"/>
              <w:rPr>
                <w:rFonts w:hint="eastAsia"/>
                <w:lang w:val="zh-CN"/>
              </w:rPr>
            </w:pPr>
            <w:r>
              <w:rPr>
                <w:rFonts w:hint="eastAsia"/>
                <w:lang w:val="zh-CN"/>
              </w:rPr>
              <w:t>&lt;5&gt;具备法律、行政法规规定的其他条件的证明材料。</w:t>
            </w:r>
          </w:p>
          <w:p>
            <w:pPr>
              <w:autoSpaceDE w:val="0"/>
              <w:autoSpaceDN w:val="0"/>
              <w:spacing w:line="360" w:lineRule="auto"/>
              <w:rPr>
                <w:lang w:val="zh-CN"/>
              </w:rPr>
            </w:pPr>
            <w:r>
              <w:rPr>
                <w:lang w:val="zh-CN"/>
              </w:rPr>
              <w:t>2</w:t>
            </w:r>
            <w:r>
              <w:rPr>
                <w:rFonts w:hint="eastAsia"/>
                <w:lang w:val="zh-CN"/>
              </w:rPr>
              <w:t>、</w:t>
            </w:r>
            <w:r>
              <w:rPr>
                <w:rFonts w:hint="eastAsia"/>
              </w:rPr>
              <w:t xml:space="preserve"> 经信用中国（www.creditchina.gov.cn）、中国政府采购网（www.ccgp.gov.cn）等渠道查询后，列入失信被执行人、重大税收违法案件当事人名单、政府采购严重违法失信行为记录名单的，取消投标资格。（提供“信用中国”、“中国政府采购网”网站的查询截图，时间为投标截止时间前20天内）；</w:t>
            </w:r>
          </w:p>
          <w:p>
            <w:pPr>
              <w:autoSpaceDE w:val="0"/>
              <w:autoSpaceDN w:val="0"/>
              <w:spacing w:line="360" w:lineRule="auto"/>
              <w:rPr>
                <w:rFonts w:hint="eastAsia"/>
                <w:lang w:val="zh-CN"/>
              </w:rPr>
            </w:pPr>
            <w:r>
              <w:rPr>
                <w:lang w:val="zh-CN"/>
              </w:rPr>
              <w:t>3</w:t>
            </w:r>
            <w:r>
              <w:rPr>
                <w:rFonts w:hint="eastAsia"/>
                <w:lang w:val="zh-CN"/>
              </w:rPr>
              <w:t>、单位负责人为同一人或者存在直接控股、管理关系的不同投标人，不得参加同一合同项下的政府采购活动。否则，皆取消投标资格；</w:t>
            </w:r>
          </w:p>
          <w:p>
            <w:pPr>
              <w:autoSpaceDE w:val="0"/>
              <w:autoSpaceDN w:val="0"/>
              <w:spacing w:line="360" w:lineRule="auto"/>
              <w:rPr>
                <w:rFonts w:hint="eastAsia"/>
                <w:lang w:val="zh-CN"/>
              </w:rPr>
            </w:pPr>
            <w:r>
              <w:rPr>
                <w:lang w:val="zh-CN"/>
              </w:rPr>
              <w:t>4</w:t>
            </w:r>
            <w:r>
              <w:rPr>
                <w:rFonts w:hint="eastAsia"/>
                <w:lang w:val="zh-CN"/>
              </w:rPr>
              <w:t>、为本采购项目提供整体设计、规范编制或者项目管理、监理、检测等服务的投标人，不得再参加该采购项目的其他采购活动；</w:t>
            </w:r>
          </w:p>
          <w:p>
            <w:pPr>
              <w:autoSpaceDE w:val="0"/>
              <w:autoSpaceDN w:val="0"/>
              <w:spacing w:line="360" w:lineRule="auto"/>
              <w:rPr>
                <w:rFonts w:hint="eastAsia"/>
              </w:rPr>
            </w:pPr>
            <w:r>
              <w:rPr>
                <w:lang w:val="zh-CN"/>
              </w:rPr>
              <w:t>5</w:t>
            </w:r>
            <w:r>
              <w:rPr>
                <w:rFonts w:hint="eastAsia"/>
                <w:lang w:val="zh-CN"/>
              </w:rPr>
              <w:t>、本项目不接受投标人以联合体方式进行投标；</w:t>
            </w:r>
            <w:r>
              <w:rPr>
                <w:rFonts w:hint="eastAsia"/>
              </w:rPr>
              <w:t xml:space="preserve"> </w:t>
            </w:r>
          </w:p>
          <w:p>
            <w:pPr>
              <w:autoSpaceDE w:val="0"/>
              <w:autoSpaceDN w:val="0"/>
              <w:spacing w:line="360" w:lineRule="auto"/>
              <w:rPr>
                <w:rFonts w:hint="eastAsia" w:eastAsia="宋体"/>
                <w:lang w:val="en-US" w:eastAsia="zh-CN"/>
              </w:rPr>
            </w:pPr>
            <w:r>
              <w:rPr>
                <w:rFonts w:hint="eastAsia"/>
              </w:rPr>
              <w:t>6、其它资格要求：</w:t>
            </w:r>
            <w:r>
              <w:rPr>
                <w:rFonts w:hint="eastAsia"/>
                <w:lang w:val="en-US" w:eastAsia="zh-CN"/>
              </w:rPr>
              <w:t>无</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公告发布时间</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202</w:t>
            </w:r>
            <w:r>
              <w:rPr>
                <w:rFonts w:hint="eastAsia" w:ascii="宋体" w:hAnsi="宋体" w:cs="宋体"/>
                <w:kern w:val="0"/>
              </w:rPr>
              <w:t>3</w:t>
            </w:r>
            <w:r>
              <w:rPr>
                <w:rFonts w:hint="eastAsia" w:ascii="宋体" w:hAnsi="宋体" w:cs="宋体"/>
                <w:kern w:val="0"/>
                <w:lang w:val="zh-CN"/>
              </w:rPr>
              <w:t>年</w:t>
            </w:r>
            <w:r>
              <w:rPr>
                <w:rFonts w:hint="eastAsia" w:ascii="宋体" w:hAnsi="宋体" w:cs="宋体"/>
                <w:kern w:val="0"/>
                <w:lang w:val="en-US" w:eastAsia="zh-CN"/>
              </w:rPr>
              <w:t>11</w:t>
            </w:r>
            <w:r>
              <w:rPr>
                <w:rFonts w:hint="eastAsia" w:ascii="宋体" w:hAnsi="宋体" w:cs="宋体"/>
                <w:kern w:val="0"/>
                <w:lang w:val="zh-CN"/>
              </w:rPr>
              <w:t>月</w:t>
            </w:r>
            <w:r>
              <w:rPr>
                <w:rFonts w:hint="eastAsia" w:ascii="宋体" w:hAnsi="宋体" w:cs="宋体"/>
                <w:kern w:val="0"/>
                <w:lang w:val="en-US" w:eastAsia="zh-CN"/>
              </w:rPr>
              <w:t>24</w:t>
            </w:r>
            <w:r>
              <w:rPr>
                <w:rFonts w:hint="eastAsia" w:ascii="宋体" w:hAnsi="宋体" w:cs="宋体"/>
                <w:kern w:val="0"/>
                <w:lang w:val="zh-CN"/>
              </w:rPr>
              <w:t>日</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获取招标文件的时间期限</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u w:val="dashDotHeavy"/>
                <w:lang w:val="zh-CN"/>
              </w:rPr>
            </w:pPr>
            <w:r>
              <w:rPr>
                <w:rFonts w:hint="eastAsia" w:ascii="宋体" w:hAnsi="宋体" w:cs="宋体"/>
                <w:kern w:val="0"/>
                <w:lang w:val="zh-CN"/>
              </w:rPr>
              <w:t>202</w:t>
            </w:r>
            <w:r>
              <w:rPr>
                <w:rFonts w:hint="eastAsia" w:ascii="宋体" w:hAnsi="宋体" w:cs="宋体"/>
                <w:kern w:val="0"/>
              </w:rPr>
              <w:t>3</w:t>
            </w:r>
            <w:r>
              <w:rPr>
                <w:rFonts w:hint="eastAsia" w:ascii="宋体" w:hAnsi="宋体" w:cs="宋体"/>
                <w:kern w:val="0"/>
                <w:lang w:val="zh-CN"/>
              </w:rPr>
              <w:t>年</w:t>
            </w:r>
            <w:r>
              <w:rPr>
                <w:rFonts w:hint="eastAsia" w:ascii="宋体" w:hAnsi="宋体" w:cs="宋体"/>
                <w:kern w:val="0"/>
                <w:lang w:val="en-US" w:eastAsia="zh-CN"/>
              </w:rPr>
              <w:t>11</w:t>
            </w:r>
            <w:r>
              <w:rPr>
                <w:rFonts w:hint="eastAsia" w:ascii="宋体" w:hAnsi="宋体" w:cs="宋体"/>
                <w:kern w:val="0"/>
                <w:lang w:val="zh-CN"/>
              </w:rPr>
              <w:t>月</w:t>
            </w:r>
            <w:r>
              <w:rPr>
                <w:rFonts w:hint="eastAsia" w:ascii="宋体" w:hAnsi="宋体" w:cs="宋体"/>
                <w:kern w:val="0"/>
                <w:lang w:val="en-US" w:eastAsia="zh-CN"/>
              </w:rPr>
              <w:t>27</w:t>
            </w:r>
            <w:r>
              <w:rPr>
                <w:rFonts w:hint="eastAsia" w:ascii="宋体" w:hAnsi="宋体" w:cs="宋体"/>
                <w:kern w:val="0"/>
                <w:lang w:val="zh-CN"/>
              </w:rPr>
              <w:t>日至</w:t>
            </w:r>
            <w:r>
              <w:rPr>
                <w:rFonts w:hint="eastAsia" w:ascii="宋体" w:hAnsi="宋体" w:cs="宋体"/>
                <w:kern w:val="0"/>
                <w:lang w:val="en-US" w:eastAsia="zh-CN"/>
              </w:rPr>
              <w:t>12</w:t>
            </w:r>
            <w:r>
              <w:rPr>
                <w:rFonts w:hint="eastAsia" w:ascii="宋体" w:hAnsi="宋体" w:cs="宋体"/>
                <w:kern w:val="0"/>
                <w:lang w:val="zh-CN"/>
              </w:rPr>
              <w:t>月</w:t>
            </w:r>
            <w:r>
              <w:rPr>
                <w:rFonts w:hint="eastAsia" w:ascii="宋体" w:hAnsi="宋体" w:cs="宋体"/>
                <w:kern w:val="0"/>
                <w:lang w:val="en-US" w:eastAsia="zh-CN"/>
              </w:rPr>
              <w:t>01</w:t>
            </w:r>
            <w:r>
              <w:rPr>
                <w:rFonts w:hint="eastAsia" w:ascii="宋体" w:hAnsi="宋体" w:cs="宋体"/>
                <w:kern w:val="0"/>
                <w:lang w:val="zh-CN"/>
              </w:rPr>
              <w:t>日，每天</w:t>
            </w:r>
            <w:r>
              <w:rPr>
                <w:rFonts w:hint="eastAsia" w:ascii="宋体" w:hAnsi="宋体" w:cs="宋体"/>
                <w:kern w:val="0"/>
              </w:rPr>
              <w:t>0</w:t>
            </w:r>
            <w:r>
              <w:rPr>
                <w:rFonts w:hint="eastAsia" w:ascii="宋体" w:hAnsi="宋体" w:cs="宋体"/>
                <w:kern w:val="0"/>
                <w:lang w:val="zh-CN"/>
              </w:rPr>
              <w:t>:</w:t>
            </w:r>
            <w:r>
              <w:rPr>
                <w:rFonts w:hint="eastAsia" w:ascii="宋体" w:hAnsi="宋体" w:cs="宋体"/>
                <w:kern w:val="0"/>
              </w:rPr>
              <w:t>0</w:t>
            </w:r>
            <w:r>
              <w:rPr>
                <w:rFonts w:hint="eastAsia" w:ascii="宋体" w:hAnsi="宋体" w:cs="宋体"/>
                <w:kern w:val="0"/>
                <w:lang w:val="zh-CN"/>
              </w:rPr>
              <w:t>0-24:00（午休、节假日除外）</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eastAsia="宋体" w:cs="宋体"/>
                <w:kern w:val="0"/>
                <w:lang w:val="zh-CN"/>
              </w:rPr>
            </w:pPr>
            <w:r>
              <w:rPr>
                <w:rFonts w:hint="eastAsia" w:ascii="宋体" w:hAnsi="宋体" w:eastAsia="宋体" w:cs="宋体"/>
                <w:kern w:val="0"/>
                <w:lang w:val="zh-CN"/>
              </w:rPr>
              <w:t>获取招标文件方式</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eastAsia="宋体" w:cs="宋体"/>
                <w:kern w:val="0"/>
                <w:lang w:val="zh-CN"/>
              </w:rPr>
            </w:pPr>
            <w:r>
              <w:rPr>
                <w:rFonts w:hint="eastAsia" w:ascii="宋体" w:hAnsi="宋体" w:eastAsia="宋体" w:cs="宋体"/>
                <w:kern w:val="0"/>
                <w:lang w:val="en-US" w:eastAsia="zh-CN"/>
              </w:rPr>
              <w:t>政采云平台线上报名；供应商登录政采云平台https://www.zcygov.cn/在线申请获取采购文件（进入“项目采购”应用，在获取采购文件菜单中选择项目，申请获取采购文件） </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招标文件售价</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pStyle w:val="4"/>
              <w:spacing w:line="360" w:lineRule="auto"/>
              <w:jc w:val="both"/>
              <w:rPr>
                <w:rFonts w:hint="eastAsia" w:ascii="宋体" w:hAnsi="宋体" w:cs="宋体"/>
                <w:kern w:val="0"/>
                <w:lang w:val="zh-CN"/>
              </w:rPr>
            </w:pPr>
            <w:r>
              <w:rPr>
                <w:rFonts w:hint="eastAsia" w:ascii="宋体" w:hAnsi="宋体" w:cs="宋体"/>
                <w:kern w:val="0"/>
                <w:lang w:val="zh-CN"/>
              </w:rPr>
              <w:t>0元/包（招标文件售后不退,投标资格不能转让。）</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获取招标文件地点</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rPr>
                <w:rFonts w:hint="eastAsia" w:ascii="宋体" w:hAnsi="宋体" w:cs="宋体"/>
                <w:kern w:val="0"/>
                <w:lang w:val="zh-CN"/>
              </w:rPr>
            </w:pPr>
            <w:r>
              <w:rPr>
                <w:rFonts w:hint="eastAsia" w:ascii="宋体" w:hAnsi="Times New Roman" w:eastAsia="宋体" w:cs="宋体"/>
                <w:b/>
                <w:bCs/>
                <w:kern w:val="0"/>
                <w:lang w:val="zh-CN"/>
              </w:rPr>
              <w:t>政采云平台线上（</w:t>
            </w:r>
            <w:r>
              <w:rPr>
                <w:rFonts w:hint="eastAsia" w:ascii="宋体" w:hAnsi="Times New Roman" w:eastAsia="宋体" w:cs="宋体"/>
                <w:b/>
                <w:bCs/>
                <w:kern w:val="0"/>
                <w:lang w:val="zh-CN"/>
              </w:rPr>
              <w:drawing>
                <wp:inline distT="0" distB="0" distL="0" distR="0">
                  <wp:extent cx="191135" cy="138430"/>
                  <wp:effectExtent l="0" t="0" r="18415" b="13970"/>
                  <wp:docPr id="1" name="图片 1" descr="%W@GJ$ACOF(TYDYECOKVDY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GJ$ACOF(TYDYECOKVDYB"/>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191135" cy="138430"/>
                          </a:xfrm>
                          <a:prstGeom prst="rect">
                            <a:avLst/>
                          </a:prstGeom>
                          <a:noFill/>
                          <a:ln>
                            <a:noFill/>
                          </a:ln>
                        </pic:spPr>
                      </pic:pic>
                    </a:graphicData>
                  </a:graphic>
                </wp:inline>
              </w:drawing>
            </w:r>
            <w:r>
              <w:rPr>
                <w:rFonts w:hint="eastAsia" w:ascii="宋体" w:hAnsi="Times New Roman" w:eastAsia="宋体" w:cs="宋体"/>
                <w:b/>
                <w:bCs/>
                <w:kern w:val="0"/>
                <w:lang w:val="zh-CN"/>
              </w:rPr>
              <w:t xml:space="preserve">www.zcygov.cn）获取 </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投标截止</w:t>
            </w:r>
            <w:r>
              <w:rPr>
                <w:rFonts w:hint="eastAsia" w:ascii="宋体" w:hAnsi="宋体" w:cs="宋体"/>
                <w:kern w:val="0"/>
              </w:rPr>
              <w:t>及</w:t>
            </w:r>
            <w:r>
              <w:rPr>
                <w:rFonts w:hint="eastAsia" w:ascii="宋体" w:hAnsi="宋体" w:cs="宋体"/>
                <w:kern w:val="0"/>
                <w:lang w:val="zh-CN"/>
              </w:rPr>
              <w:t>开标时间</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pStyle w:val="6"/>
              <w:spacing w:line="360" w:lineRule="auto"/>
              <w:rPr>
                <w:rFonts w:hint="eastAsia"/>
                <w:lang w:val="zh-CN" w:eastAsia="zh-CN"/>
              </w:rPr>
            </w:pPr>
            <w:r>
              <w:rPr>
                <w:rFonts w:hint="eastAsia"/>
                <w:b/>
                <w:bCs/>
                <w:lang w:val="zh-CN"/>
              </w:rPr>
              <w:t>2023年12月15日09时00分（北京时间）</w:t>
            </w:r>
            <w:r>
              <w:rPr>
                <w:rFonts w:hint="eastAsia" w:ascii="Times New Roman" w:hAnsi="Times New Roman"/>
                <w:sz w:val="24"/>
                <w:szCs w:val="24"/>
                <w:lang w:val="zh-CN" w:eastAsia="zh-CN"/>
              </w:rPr>
              <w:t>注：投标人务必在开标当天</w:t>
            </w:r>
            <w:r>
              <w:rPr>
                <w:rFonts w:hint="eastAsia" w:ascii="Times New Roman" w:hAnsi="Times New Roman"/>
                <w:sz w:val="24"/>
                <w:szCs w:val="24"/>
                <w:lang w:val="en-US" w:eastAsia="zh-CN"/>
              </w:rPr>
              <w:t>09</w:t>
            </w:r>
            <w:r>
              <w:rPr>
                <w:rFonts w:hint="eastAsia" w:ascii="Times New Roman" w:hAnsi="Times New Roman"/>
                <w:sz w:val="24"/>
                <w:szCs w:val="24"/>
                <w:lang w:val="zh-CN" w:eastAsia="zh-CN"/>
              </w:rPr>
              <w:t>：</w:t>
            </w:r>
            <w:r>
              <w:rPr>
                <w:rFonts w:hint="eastAsia" w:ascii="Times New Roman" w:hAnsi="Times New Roman"/>
                <w:sz w:val="24"/>
                <w:szCs w:val="24"/>
                <w:lang w:val="en-US" w:eastAsia="zh-CN"/>
              </w:rPr>
              <w:t>0</w:t>
            </w:r>
            <w:r>
              <w:rPr>
                <w:rFonts w:hint="eastAsia" w:ascii="Times New Roman" w:hAnsi="Times New Roman"/>
                <w:sz w:val="24"/>
                <w:szCs w:val="24"/>
                <w:lang w:val="zh-CN" w:eastAsia="zh-CN"/>
              </w:rPr>
              <w:t>0分之前进入电子开标系统完成电子签到，并在开标后30分钟内远程解密投标文件，如未签到无法解密的投标文件拒不接收，视为自动放弃。</w:t>
            </w:r>
          </w:p>
        </w:tc>
      </w:tr>
      <w:tr>
        <w:tblPrEx>
          <w:tblCellMar>
            <w:top w:w="0" w:type="dxa"/>
            <w:left w:w="108" w:type="dxa"/>
            <w:bottom w:w="0" w:type="dxa"/>
            <w:right w:w="108" w:type="dxa"/>
          </w:tblCellMar>
        </w:tblPrEx>
        <w:trPr>
          <w:trHeight w:val="301"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投标及开标地点</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pStyle w:val="6"/>
              <w:spacing w:line="360" w:lineRule="auto"/>
              <w:rPr>
                <w:rFonts w:hint="eastAsia"/>
                <w:lang w:val="zh-CN" w:eastAsia="zh-CN"/>
              </w:rPr>
            </w:pPr>
            <w:r>
              <w:rPr>
                <w:rFonts w:hint="eastAsia" w:ascii="Times New Roman" w:hAnsi="Times New Roman"/>
                <w:b/>
                <w:bCs/>
                <w:sz w:val="24"/>
                <w:szCs w:val="24"/>
                <w:lang w:val="zh-CN" w:eastAsia="zh-CN"/>
              </w:rPr>
              <w:t xml:space="preserve">政采云平台线上开标 </w:t>
            </w:r>
            <w:r>
              <w:rPr>
                <w:rFonts w:hint="eastAsia" w:ascii="Times New Roman" w:hAnsi="Times New Roman"/>
                <w:sz w:val="24"/>
                <w:szCs w:val="24"/>
                <w:lang w:val="zh-CN" w:eastAsia="zh-CN"/>
              </w:rPr>
              <w:t>投标人务必在开标当天</w:t>
            </w:r>
            <w:r>
              <w:rPr>
                <w:rFonts w:hint="eastAsia" w:ascii="Times New Roman" w:hAnsi="Times New Roman"/>
                <w:sz w:val="24"/>
                <w:szCs w:val="24"/>
                <w:lang w:val="en-US" w:eastAsia="zh-CN"/>
              </w:rPr>
              <w:t>09</w:t>
            </w:r>
            <w:r>
              <w:rPr>
                <w:rFonts w:hint="eastAsia" w:ascii="Times New Roman" w:hAnsi="Times New Roman"/>
                <w:sz w:val="24"/>
                <w:szCs w:val="24"/>
                <w:lang w:val="zh-CN" w:eastAsia="zh-CN"/>
              </w:rPr>
              <w:t>：</w:t>
            </w:r>
            <w:r>
              <w:rPr>
                <w:rFonts w:hint="eastAsia" w:ascii="Times New Roman" w:hAnsi="Times New Roman"/>
                <w:sz w:val="24"/>
                <w:szCs w:val="24"/>
                <w:lang w:val="en-US" w:eastAsia="zh-CN"/>
              </w:rPr>
              <w:t>0</w:t>
            </w:r>
            <w:r>
              <w:rPr>
                <w:rFonts w:hint="eastAsia" w:ascii="Times New Roman" w:hAnsi="Times New Roman"/>
                <w:sz w:val="24"/>
                <w:szCs w:val="24"/>
                <w:lang w:val="zh-CN" w:eastAsia="zh-CN"/>
              </w:rPr>
              <w:t>0分之前进入电子开标系统完成电子签到，并在开标后30分钟内远程解密投标文件（如非系统原因造成无法解密的或非系统原因加密文件上传不成功的或没办理CA锁而造成加密文件无法解密、加密文件无法上传的视为无效投标）。</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采购人联系</w:t>
            </w:r>
            <w:r>
              <w:rPr>
                <w:rFonts w:hint="eastAsia" w:ascii="宋体" w:hAnsi="宋体" w:cs="宋体"/>
                <w:kern w:val="0"/>
              </w:rPr>
              <w:t>人</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联系人</w:t>
            </w:r>
            <w:r>
              <w:rPr>
                <w:rFonts w:hint="eastAsia" w:ascii="宋体" w:hAnsi="宋体" w:cs="宋体"/>
                <w:kern w:val="0"/>
              </w:rPr>
              <w:t>:</w:t>
            </w:r>
            <w:r>
              <w:rPr>
                <w:rFonts w:hint="eastAsia"/>
              </w:rPr>
              <w:t xml:space="preserve"> </w:t>
            </w:r>
            <w:r>
              <w:rPr>
                <w:rFonts w:hint="eastAsia" w:ascii="宋体" w:hAnsi="宋体" w:cs="宋体"/>
                <w:kern w:val="0"/>
                <w:lang w:val="zh-CN" w:eastAsia="zh-CN"/>
              </w:rPr>
              <w:t>马先生</w:t>
            </w:r>
            <w:r>
              <w:rPr>
                <w:rFonts w:hint="eastAsia" w:ascii="宋体" w:hAnsi="宋体" w:cs="宋体"/>
                <w:kern w:val="0"/>
                <w:lang w:val="zh-CN"/>
              </w:rPr>
              <w:t xml:space="preserve">          </w:t>
            </w:r>
          </w:p>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联系电话</w:t>
            </w:r>
            <w:r>
              <w:rPr>
                <w:rFonts w:hint="eastAsia" w:ascii="宋体" w:hAnsi="宋体" w:eastAsia="宋体" w:cs="宋体"/>
                <w:kern w:val="0"/>
                <w:lang w:val="zh-CN"/>
              </w:rPr>
              <w:t>：</w:t>
            </w:r>
            <w:r>
              <w:rPr>
                <w:rFonts w:hint="eastAsia" w:ascii="宋体" w:hAnsi="宋体" w:cs="宋体"/>
                <w:kern w:val="0"/>
                <w:lang w:val="zh-CN" w:eastAsia="zh-CN"/>
              </w:rPr>
              <w:t>0977-8217365</w:t>
            </w:r>
            <w:r>
              <w:rPr>
                <w:rFonts w:hint="eastAsia" w:ascii="宋体" w:hAnsi="宋体" w:eastAsia="宋体" w:cs="宋体"/>
                <w:kern w:val="0"/>
                <w:lang w:val="zh-CN" w:eastAsia="zh-CN"/>
              </w:rPr>
              <w:t xml:space="preserve"> </w:t>
            </w:r>
            <w:r>
              <w:rPr>
                <w:rFonts w:hint="eastAsia" w:ascii="Times New Roman" w:hAnsi="Times New Roman" w:eastAsia="宋体" w:cs="Times New Roman"/>
                <w:spacing w:val="6"/>
                <w:sz w:val="23"/>
                <w:szCs w:val="23"/>
                <w:lang w:eastAsia="zh-CN"/>
              </w:rPr>
              <w:t xml:space="preserve"> </w:t>
            </w:r>
          </w:p>
          <w:p>
            <w:pPr>
              <w:autoSpaceDE w:val="0"/>
              <w:autoSpaceDN w:val="0"/>
              <w:adjustRightInd w:val="0"/>
              <w:spacing w:line="360" w:lineRule="auto"/>
              <w:rPr>
                <w:rFonts w:hint="eastAsia" w:ascii="宋体" w:hAnsi="宋体" w:eastAsia="宋体" w:cs="宋体"/>
                <w:kern w:val="0"/>
                <w:lang w:eastAsia="zh-CN"/>
              </w:rPr>
            </w:pPr>
            <w:r>
              <w:rPr>
                <w:rFonts w:hint="eastAsia" w:ascii="宋体" w:hAnsi="宋体" w:cs="宋体"/>
                <w:kern w:val="0"/>
                <w:lang w:val="zh-CN"/>
              </w:rPr>
              <w:t>联系地址：</w:t>
            </w:r>
            <w:r>
              <w:rPr>
                <w:rFonts w:hint="eastAsia" w:ascii="宋体" w:hAnsi="宋体" w:cs="宋体"/>
                <w:kern w:val="0"/>
                <w:lang w:val="zh-CN" w:eastAsia="zh-CN"/>
              </w:rPr>
              <w:t>德令哈市新源路13号</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代理机构联系人</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pStyle w:val="4"/>
              <w:spacing w:line="360" w:lineRule="auto"/>
              <w:jc w:val="both"/>
              <w:rPr>
                <w:rFonts w:hint="eastAsia" w:ascii="宋体" w:hAnsi="宋体" w:cs="宋体"/>
                <w:kern w:val="0"/>
                <w:lang w:val="zh-CN"/>
              </w:rPr>
            </w:pPr>
            <w:r>
              <w:rPr>
                <w:rFonts w:hint="eastAsia" w:ascii="宋体" w:hAnsi="宋体" w:cs="宋体"/>
                <w:kern w:val="0"/>
                <w:lang w:val="zh-CN"/>
              </w:rPr>
              <w:t>联系人：赵</w:t>
            </w:r>
            <w:r>
              <w:rPr>
                <w:rFonts w:hint="eastAsia" w:ascii="宋体" w:hAnsi="宋体" w:cs="宋体"/>
                <w:kern w:val="0"/>
                <w:lang w:val="en-US" w:eastAsia="zh-CN"/>
              </w:rPr>
              <w:t>女士</w:t>
            </w:r>
            <w:r>
              <w:rPr>
                <w:rFonts w:hint="eastAsia" w:ascii="宋体" w:hAnsi="宋体" w:cs="宋体"/>
                <w:kern w:val="0"/>
                <w:lang w:val="zh-CN"/>
              </w:rPr>
              <w:t xml:space="preserve">     </w:t>
            </w:r>
          </w:p>
          <w:p>
            <w:pPr>
              <w:pStyle w:val="4"/>
              <w:spacing w:line="360" w:lineRule="auto"/>
              <w:jc w:val="both"/>
              <w:rPr>
                <w:rFonts w:hint="eastAsia" w:ascii="宋体" w:hAnsi="宋体" w:cs="宋体"/>
                <w:lang w:val="zh-CN"/>
              </w:rPr>
            </w:pPr>
            <w:r>
              <w:rPr>
                <w:rFonts w:hint="eastAsia" w:ascii="宋体" w:hAnsi="宋体" w:cs="宋体"/>
                <w:kern w:val="0"/>
                <w:lang w:val="zh-CN"/>
              </w:rPr>
              <w:t>联系电话：</w:t>
            </w:r>
            <w:r>
              <w:rPr>
                <w:rFonts w:hint="eastAsia" w:ascii="宋体" w:hAnsi="宋体" w:cs="宋体"/>
                <w:lang w:val="zh-CN"/>
              </w:rPr>
              <w:t>0977-8901182</w:t>
            </w:r>
          </w:p>
          <w:p>
            <w:pPr>
              <w:pStyle w:val="4"/>
              <w:spacing w:line="360" w:lineRule="auto"/>
              <w:jc w:val="both"/>
              <w:rPr>
                <w:rFonts w:hint="eastAsia" w:ascii="宋体" w:hAnsi="宋体" w:cs="宋体"/>
                <w:kern w:val="0"/>
                <w:lang w:val="zh-CN"/>
              </w:rPr>
            </w:pPr>
            <w:r>
              <w:rPr>
                <w:rFonts w:hint="eastAsia" w:ascii="宋体" w:hAnsi="宋体" w:cs="宋体"/>
                <w:kern w:val="0"/>
                <w:lang w:val="zh-CN"/>
              </w:rPr>
              <w:t>联系地址：</w:t>
            </w:r>
            <w:r>
              <w:rPr>
                <w:rFonts w:hint="eastAsia" w:ascii="宋体" w:hAnsi="宋体" w:cs="宋体"/>
                <w:kern w:val="0"/>
                <w:lang w:val="en-US" w:eastAsia="zh-CN"/>
              </w:rPr>
              <w:t>德令哈市长江路森元巴音河酒店往南100米</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代理机构开户行</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rPr>
                <w:rFonts w:hint="eastAsia" w:ascii="宋体" w:hAnsi="宋体" w:cs="宋体"/>
                <w:kern w:val="0"/>
                <w:lang w:val="zh-CN"/>
              </w:rPr>
            </w:pPr>
            <w:r>
              <w:rPr>
                <w:rFonts w:hint="eastAsia" w:ascii="宋体" w:cs="Times New Roman"/>
                <w:lang w:val="en-US" w:eastAsia="zh-CN"/>
              </w:rPr>
              <w:t>中国农业银行德令哈河东支行</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收款人</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lang w:val="zh-CN"/>
              </w:rPr>
              <w:t>德令哈城乡建设综合开发有限公司</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eastAsia="宋体" w:cs="宋体"/>
                <w:kern w:val="0"/>
                <w:lang w:val="zh-CN"/>
              </w:rPr>
            </w:pPr>
            <w:r>
              <w:rPr>
                <w:rFonts w:hint="eastAsia" w:ascii="宋体" w:hAnsi="宋体" w:eastAsia="宋体" w:cs="宋体"/>
                <w:kern w:val="0"/>
                <w:lang w:val="zh-CN"/>
              </w:rPr>
              <w:t>银行账号</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eastAsia="宋体" w:cs="宋体"/>
                <w:kern w:val="0"/>
                <w:lang w:val="zh-CN"/>
              </w:rPr>
            </w:pPr>
            <w:r>
              <w:rPr>
                <w:rFonts w:hint="eastAsia" w:ascii="宋体" w:hAnsi="宋体" w:cs="宋体"/>
                <w:kern w:val="0"/>
                <w:lang w:val="en-US" w:eastAsia="zh-CN"/>
              </w:rPr>
              <w:t>2850 2001 0400 0529 1</w:t>
            </w:r>
            <w:r>
              <w:rPr>
                <w:rFonts w:hint="eastAsia" w:ascii="宋体" w:hAnsi="宋体" w:eastAsia="宋体" w:cs="宋体"/>
                <w:kern w:val="0"/>
                <w:lang w:val="zh-CN"/>
              </w:rPr>
              <w:t>（基本账户）</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其他事项</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lang w:val="zh-CN"/>
              </w:rPr>
            </w:pPr>
            <w:r>
              <w:rPr>
                <w:rFonts w:hint="eastAsia"/>
                <w:lang w:val="zh-CN"/>
              </w:rPr>
              <w:t>公告期限：自青海政府采购网发布之日起</w:t>
            </w:r>
            <w:r>
              <w:rPr>
                <w:rFonts w:hint="eastAsia"/>
              </w:rPr>
              <w:t>5个工作日；公告内容以</w:t>
            </w:r>
            <w:r>
              <w:rPr>
                <w:rFonts w:hint="eastAsia"/>
                <w:lang w:val="zh-CN"/>
              </w:rPr>
              <w:t>青海政府采购网发布的为准。</w:t>
            </w:r>
          </w:p>
          <w:p>
            <w:pPr>
              <w:numPr>
                <w:ilvl w:val="0"/>
                <w:numId w:val="1"/>
              </w:numPr>
              <w:spacing w:line="360" w:lineRule="auto"/>
              <w:jc w:val="left"/>
              <w:rPr>
                <w:rFonts w:hint="eastAsia" w:ascii="宋体" w:hAnsi="宋体" w:cs="宋体"/>
                <w:kern w:val="0"/>
              </w:rPr>
            </w:pPr>
            <w:r>
              <w:rPr>
                <w:rFonts w:hint="eastAsia" w:ascii="宋体" w:hAnsi="宋体"/>
                <w:szCs w:val="21"/>
              </w:rPr>
              <w:t>本次项目招标采用线上进行，线上电子加密投标文件必须在投标文件递交截止时间前上传至电子开评标系统；</w:t>
            </w:r>
          </w:p>
          <w:p>
            <w:pPr>
              <w:numPr>
                <w:ilvl w:val="0"/>
                <w:numId w:val="0"/>
              </w:numPr>
              <w:spacing w:line="360" w:lineRule="auto"/>
              <w:jc w:val="left"/>
              <w:rPr>
                <w:rFonts w:hint="eastAsia" w:ascii="宋体" w:hAnsi="宋体" w:cs="宋体"/>
                <w:kern w:val="0"/>
              </w:rPr>
            </w:pPr>
            <w:r>
              <w:rPr>
                <w:rFonts w:hint="eastAsia" w:ascii="宋体" w:hAnsi="宋体"/>
                <w:szCs w:val="21"/>
                <w:lang w:val="en-US" w:eastAsia="zh-CN"/>
              </w:rPr>
              <w:t>2、</w:t>
            </w:r>
            <w:r>
              <w:rPr>
                <w:rFonts w:hint="eastAsia" w:ascii="宋体" w:hAnsi="宋体"/>
                <w:szCs w:val="21"/>
              </w:rPr>
              <w:t>公示网址：</w:t>
            </w:r>
          </w:p>
          <w:p>
            <w:pPr>
              <w:numPr>
                <w:ilvl w:val="0"/>
                <w:numId w:val="0"/>
              </w:numPr>
              <w:spacing w:line="360" w:lineRule="auto"/>
              <w:jc w:val="left"/>
              <w:rPr>
                <w:rFonts w:hint="eastAsia" w:ascii="宋体" w:hAnsi="宋体" w:cs="宋体"/>
                <w:kern w:val="0"/>
              </w:rPr>
            </w:pPr>
            <w:r>
              <w:rPr>
                <w:rFonts w:hint="eastAsia" w:ascii="宋体" w:hAnsi="宋体"/>
                <w:szCs w:val="21"/>
              </w:rPr>
              <w:t>青海政府采购网（http://www.ccgp-qinghai.gov.cn/home.html）</w:t>
            </w:r>
          </w:p>
          <w:p>
            <w:pPr>
              <w:numPr>
                <w:ilvl w:val="0"/>
                <w:numId w:val="0"/>
              </w:numPr>
              <w:spacing w:line="360" w:lineRule="auto"/>
              <w:jc w:val="left"/>
              <w:rPr>
                <w:rFonts w:hint="eastAsia" w:ascii="宋体" w:hAnsi="宋体" w:cs="宋体"/>
                <w:kern w:val="0"/>
              </w:rPr>
            </w:pPr>
            <w:r>
              <w:rPr>
                <w:rFonts w:hint="eastAsia" w:ascii="宋体" w:hAnsi="宋体"/>
                <w:szCs w:val="21"/>
                <w:lang w:val="en-US" w:eastAsia="zh-CN"/>
              </w:rPr>
              <w:t>采购与招标网</w:t>
            </w:r>
          </w:p>
          <w:p>
            <w:pPr>
              <w:pStyle w:val="6"/>
              <w:spacing w:line="360" w:lineRule="auto"/>
              <w:rPr>
                <w:rFonts w:hint="eastAsia" w:hAnsi="宋体"/>
                <w:sz w:val="24"/>
                <w:lang w:val="en-US" w:eastAsia="zh-CN"/>
              </w:rPr>
            </w:pPr>
            <w:r>
              <w:rPr>
                <w:rFonts w:hint="eastAsia" w:hAnsi="宋体"/>
                <w:sz w:val="24"/>
                <w:lang w:val="en-US" w:eastAsia="zh-CN"/>
              </w:rPr>
              <w:t>（https://www.chinabidding.cn/） </w:t>
            </w:r>
          </w:p>
          <w:p>
            <w:pPr>
              <w:pStyle w:val="6"/>
              <w:spacing w:line="360" w:lineRule="auto"/>
              <w:rPr>
                <w:rFonts w:hint="eastAsia" w:hAnsi="宋体"/>
                <w:sz w:val="24"/>
                <w:lang w:val="en-US" w:eastAsia="zh-CN"/>
              </w:rPr>
            </w:pPr>
            <w:r>
              <w:rPr>
                <w:rFonts w:hint="eastAsia" w:hAnsi="宋体"/>
                <w:sz w:val="24"/>
                <w:lang w:val="en-US" w:eastAsia="zh-CN"/>
              </w:rPr>
              <w:t>青海省公共资源交易网</w:t>
            </w:r>
          </w:p>
          <w:p>
            <w:pPr>
              <w:pStyle w:val="6"/>
              <w:spacing w:line="360" w:lineRule="auto"/>
              <w:rPr>
                <w:rFonts w:hint="default" w:hAnsi="宋体"/>
                <w:sz w:val="24"/>
                <w:lang w:val="en-US" w:eastAsia="zh-CN"/>
              </w:rPr>
            </w:pPr>
            <w:r>
              <w:rPr>
                <w:rFonts w:hint="eastAsia" w:hAnsi="宋体"/>
                <w:sz w:val="24"/>
                <w:lang w:val="en-US" w:eastAsia="zh-CN"/>
              </w:rPr>
              <w:t>（</w:t>
            </w:r>
            <w:r>
              <w:rPr>
                <w:rFonts w:hint="default" w:hAnsi="宋体"/>
                <w:sz w:val="24"/>
                <w:lang w:val="en-US" w:eastAsia="zh-CN"/>
              </w:rPr>
              <w:t>http://www.qhggzyjy.gov.cn</w:t>
            </w:r>
            <w:r>
              <w:rPr>
                <w:rFonts w:hint="eastAsia" w:hAnsi="宋体"/>
                <w:sz w:val="24"/>
                <w:lang w:val="en-US" w:eastAsia="zh-CN"/>
              </w:rPr>
              <w:t>）</w:t>
            </w:r>
          </w:p>
        </w:tc>
      </w:tr>
      <w:tr>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kern w:val="0"/>
                <w:lang w:val="zh-CN"/>
              </w:rPr>
            </w:pPr>
            <w:r>
              <w:rPr>
                <w:rFonts w:hint="eastAsia" w:ascii="宋体" w:hAnsi="宋体" w:cs="宋体"/>
                <w:kern w:val="0"/>
                <w:lang w:val="zh-CN"/>
              </w:rPr>
              <w:t>财政监督部门及电话</w:t>
            </w:r>
          </w:p>
        </w:tc>
        <w:tc>
          <w:tcPr>
            <w:tcW w:w="672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eastAsia="宋体" w:cs="宋体"/>
                <w:kern w:val="0"/>
                <w:lang w:val="zh-CN"/>
              </w:rPr>
            </w:pPr>
            <w:r>
              <w:rPr>
                <w:rFonts w:hint="eastAsia" w:ascii="宋体" w:hAnsi="宋体" w:eastAsia="宋体" w:cs="宋体"/>
                <w:kern w:val="0"/>
                <w:lang w:val="zh-CN"/>
              </w:rPr>
              <w:t>监督单位：</w:t>
            </w:r>
            <w:r>
              <w:rPr>
                <w:rFonts w:hint="eastAsia" w:ascii="宋体" w:hAnsi="宋体" w:cs="宋体"/>
                <w:kern w:val="0"/>
                <w:lang w:val="en-US" w:eastAsia="zh-CN"/>
              </w:rPr>
              <w:t>德令哈市财政局</w:t>
            </w:r>
            <w:r>
              <w:rPr>
                <w:rFonts w:hint="eastAsia" w:ascii="宋体" w:hAnsi="宋体" w:eastAsia="宋体" w:cs="宋体"/>
                <w:kern w:val="0"/>
                <w:lang w:val="zh-CN"/>
              </w:rPr>
              <w:t xml:space="preserve">    </w:t>
            </w:r>
          </w:p>
          <w:p>
            <w:pPr>
              <w:autoSpaceDE w:val="0"/>
              <w:autoSpaceDN w:val="0"/>
              <w:adjustRightInd w:val="0"/>
              <w:spacing w:line="360" w:lineRule="auto"/>
              <w:rPr>
                <w:rFonts w:hint="eastAsia" w:ascii="宋体" w:hAnsi="宋体" w:cs="宋体"/>
                <w:kern w:val="0"/>
                <w:lang w:val="zh-CN"/>
              </w:rPr>
            </w:pPr>
            <w:r>
              <w:rPr>
                <w:rFonts w:hint="eastAsia" w:ascii="宋体" w:hAnsi="宋体" w:eastAsia="宋体" w:cs="宋体"/>
                <w:kern w:val="0"/>
                <w:lang w:val="zh-CN"/>
              </w:rPr>
              <w:t>联系电话：</w:t>
            </w:r>
            <w:r>
              <w:rPr>
                <w:rFonts w:hint="eastAsia" w:ascii="宋体" w:hAnsi="宋体" w:cs="宋体"/>
                <w:kern w:val="0"/>
                <w:lang w:val="en-US" w:eastAsia="zh-CN"/>
              </w:rPr>
              <w:t>0977-8228484</w:t>
            </w:r>
            <w:r>
              <w:rPr>
                <w:rFonts w:hint="eastAsia" w:ascii="宋体" w:hAnsi="宋体" w:eastAsia="宋体" w:cs="宋体"/>
                <w:kern w:val="0"/>
                <w:lang w:val="en-US" w:eastAsia="zh-CN"/>
              </w:rPr>
              <w:t xml:space="preserve">  </w:t>
            </w:r>
          </w:p>
        </w:tc>
      </w:tr>
    </w:tbl>
    <w:p>
      <w:pPr>
        <w:pStyle w:val="12"/>
        <w:spacing w:before="0" w:after="0" w:line="360" w:lineRule="auto"/>
        <w:rPr>
          <w:rFonts w:hint="eastAsia" w:ascii="宋体" w:hAnsi="宋体" w:cs="宋体"/>
          <w:szCs w:val="36"/>
        </w:rPr>
      </w:pPr>
      <w:bookmarkStart w:id="1" w:name="_Toc428180535"/>
      <w:r>
        <w:rPr>
          <w:rFonts w:hint="eastAsia" w:ascii="宋体" w:hAnsi="宋体" w:cs="宋体"/>
          <w:lang w:val="zh-CN"/>
        </w:rPr>
        <w:br w:type="page"/>
      </w:r>
      <w:bookmarkEnd w:id="1"/>
      <w:bookmarkStart w:id="2" w:name="_Toc7716"/>
      <w:r>
        <w:rPr>
          <w:rFonts w:hint="eastAsia" w:ascii="宋体" w:hAnsi="宋体" w:cs="宋体"/>
          <w:szCs w:val="36"/>
          <w:lang w:val="zh-CN"/>
        </w:rPr>
        <w:t>第二部分  投标人须知</w:t>
      </w:r>
      <w:bookmarkEnd w:id="2"/>
    </w:p>
    <w:p>
      <w:pPr>
        <w:pStyle w:val="12"/>
        <w:spacing w:before="0" w:after="0" w:line="360" w:lineRule="auto"/>
        <w:rPr>
          <w:rFonts w:hint="eastAsia" w:ascii="宋体" w:hAnsi="宋体" w:cs="宋体"/>
        </w:rPr>
      </w:pPr>
      <w:bookmarkStart w:id="3" w:name="_Toc2114"/>
      <w:r>
        <w:rPr>
          <w:rFonts w:hint="eastAsia" w:ascii="宋体" w:hAnsi="宋体" w:cs="宋体"/>
          <w:lang w:val="zh-CN"/>
        </w:rPr>
        <w:t>一、说明</w:t>
      </w:r>
      <w:bookmarkEnd w:id="3"/>
    </w:p>
    <w:p>
      <w:pPr>
        <w:pStyle w:val="12"/>
        <w:spacing w:before="0" w:after="0" w:line="360" w:lineRule="auto"/>
        <w:jc w:val="left"/>
        <w:rPr>
          <w:rFonts w:hint="eastAsia" w:ascii="宋体" w:hAnsi="宋体" w:cs="宋体"/>
          <w:lang w:val="zh-CN"/>
        </w:rPr>
      </w:pPr>
      <w:bookmarkStart w:id="4" w:name="_Toc28312"/>
      <w:r>
        <w:rPr>
          <w:rFonts w:hint="eastAsia" w:ascii="宋体" w:hAnsi="宋体" w:cs="宋体"/>
          <w:sz w:val="28"/>
          <w:szCs w:val="28"/>
          <w:lang w:val="zh-CN"/>
        </w:rPr>
        <w:t>1.适用范围</w:t>
      </w:r>
      <w:bookmarkEnd w:id="4"/>
    </w:p>
    <w:p>
      <w:pPr>
        <w:autoSpaceDE w:val="0"/>
        <w:autoSpaceDN w:val="0"/>
        <w:spacing w:line="360" w:lineRule="auto"/>
        <w:ind w:firstLine="360" w:firstLineChars="150"/>
        <w:rPr>
          <w:rFonts w:hint="eastAsia" w:ascii="宋体" w:hAnsi="宋体" w:cs="宋体"/>
          <w:kern w:val="0"/>
          <w:lang w:val="zh-CN"/>
        </w:rPr>
      </w:pPr>
      <w:r>
        <w:rPr>
          <w:rFonts w:hint="eastAsia" w:ascii="宋体" w:hAnsi="宋体" w:cs="宋体"/>
          <w:kern w:val="0"/>
          <w:lang w:val="zh-CN"/>
        </w:rPr>
        <w:t>本次招标依据采购人的采购计划，仅适用于本招标文件中所叙述的项目。</w:t>
      </w:r>
    </w:p>
    <w:p>
      <w:pPr>
        <w:pStyle w:val="12"/>
        <w:spacing w:before="0" w:after="0" w:line="360" w:lineRule="auto"/>
        <w:jc w:val="left"/>
        <w:rPr>
          <w:rFonts w:hint="eastAsia" w:ascii="宋体" w:hAnsi="宋体" w:cs="宋体"/>
          <w:lang w:val="zh-CN"/>
        </w:rPr>
      </w:pPr>
      <w:bookmarkStart w:id="5" w:name="_Toc30255"/>
      <w:r>
        <w:rPr>
          <w:rFonts w:hint="eastAsia" w:ascii="宋体" w:hAnsi="宋体" w:cs="宋体"/>
          <w:sz w:val="28"/>
          <w:szCs w:val="28"/>
          <w:lang w:val="zh-CN"/>
        </w:rPr>
        <w:t>2.采购方式、合格的投标人</w:t>
      </w:r>
      <w:bookmarkEnd w:id="5"/>
    </w:p>
    <w:p>
      <w:pPr>
        <w:autoSpaceDE w:val="0"/>
        <w:autoSpaceDN w:val="0"/>
        <w:spacing w:line="360" w:lineRule="auto"/>
        <w:ind w:firstLine="360" w:firstLineChars="150"/>
        <w:rPr>
          <w:rFonts w:hint="eastAsia" w:ascii="宋体" w:hAnsi="宋体" w:cs="宋体"/>
          <w:b/>
          <w:bCs/>
          <w:kern w:val="0"/>
          <w:lang w:val="zh-CN"/>
        </w:rPr>
      </w:pPr>
      <w:r>
        <w:rPr>
          <w:rFonts w:hint="eastAsia" w:ascii="宋体" w:hAnsi="宋体" w:cs="宋体"/>
          <w:kern w:val="0"/>
          <w:lang w:val="zh-CN"/>
        </w:rPr>
        <w:t>2.1</w:t>
      </w:r>
      <w:r>
        <w:rPr>
          <w:rFonts w:hint="eastAsia" w:ascii="宋体" w:hAnsi="宋体" w:cs="宋体"/>
          <w:kern w:val="0"/>
        </w:rPr>
        <w:t xml:space="preserve"> </w:t>
      </w:r>
      <w:r>
        <w:rPr>
          <w:rFonts w:hint="eastAsia" w:ascii="宋体" w:hAnsi="宋体" w:cs="宋体"/>
          <w:kern w:val="0"/>
          <w:lang w:val="zh-CN"/>
        </w:rPr>
        <w:t>本次招标采取公开招标方式。</w:t>
      </w:r>
    </w:p>
    <w:p>
      <w:pPr>
        <w:autoSpaceDE w:val="0"/>
        <w:autoSpaceDN w:val="0"/>
        <w:spacing w:line="360" w:lineRule="auto"/>
        <w:ind w:firstLine="360" w:firstLineChars="150"/>
        <w:rPr>
          <w:rFonts w:hint="eastAsia" w:ascii="宋体" w:hAnsi="宋体" w:cs="宋体"/>
          <w:kern w:val="0"/>
          <w:lang w:val="zh-CN"/>
        </w:rPr>
      </w:pPr>
      <w:r>
        <w:rPr>
          <w:rFonts w:hint="eastAsia" w:ascii="宋体" w:hAnsi="宋体" w:cs="宋体"/>
          <w:kern w:val="0"/>
          <w:lang w:val="zh-CN"/>
        </w:rPr>
        <w:t>2.2</w:t>
      </w:r>
      <w:r>
        <w:rPr>
          <w:rFonts w:hint="eastAsia" w:ascii="宋体" w:hAnsi="宋体" w:cs="宋体"/>
          <w:kern w:val="0"/>
        </w:rPr>
        <w:t xml:space="preserve"> </w:t>
      </w:r>
      <w:r>
        <w:rPr>
          <w:rFonts w:hint="eastAsia" w:ascii="宋体" w:hAnsi="宋体" w:cs="宋体"/>
          <w:kern w:val="0"/>
          <w:lang w:val="zh-CN"/>
        </w:rPr>
        <w:t>合格的投标人：详见第一部分</w:t>
      </w:r>
      <w:r>
        <w:rPr>
          <w:rFonts w:hint="eastAsia" w:ascii="宋体" w:hAnsi="宋体" w:cs="宋体"/>
          <w:kern w:val="0"/>
        </w:rPr>
        <w:t>“</w:t>
      </w:r>
      <w:r>
        <w:rPr>
          <w:rFonts w:hint="eastAsia" w:ascii="宋体" w:hAnsi="宋体" w:cs="宋体"/>
          <w:kern w:val="0"/>
          <w:lang w:val="zh-CN"/>
        </w:rPr>
        <w:t>各包投标人资格要求</w:t>
      </w:r>
      <w:r>
        <w:rPr>
          <w:rFonts w:hint="eastAsia" w:ascii="宋体" w:hAnsi="宋体" w:cs="宋体"/>
          <w:kern w:val="0"/>
        </w:rPr>
        <w:t>”。</w:t>
      </w:r>
    </w:p>
    <w:p>
      <w:pPr>
        <w:pStyle w:val="12"/>
        <w:spacing w:before="0" w:after="0" w:line="360" w:lineRule="auto"/>
        <w:jc w:val="left"/>
        <w:rPr>
          <w:rFonts w:hint="eastAsia" w:ascii="宋体" w:hAnsi="宋体" w:cs="宋体"/>
          <w:lang w:val="zh-CN"/>
        </w:rPr>
      </w:pPr>
      <w:bookmarkStart w:id="6" w:name="_Toc30096"/>
      <w:r>
        <w:rPr>
          <w:rFonts w:hint="eastAsia" w:ascii="宋体" w:hAnsi="宋体" w:cs="宋体"/>
          <w:sz w:val="28"/>
          <w:szCs w:val="28"/>
          <w:lang w:val="zh-CN"/>
        </w:rPr>
        <w:t>3.投标费用</w:t>
      </w:r>
      <w:bookmarkEnd w:id="6"/>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投标人应自愿承担与参加本次投标有关的费用。采购代理机构对投标人发生的费用不承担任何责任。</w:t>
      </w:r>
    </w:p>
    <w:p>
      <w:pPr>
        <w:pStyle w:val="12"/>
        <w:spacing w:before="0" w:after="0" w:line="360" w:lineRule="auto"/>
        <w:rPr>
          <w:rFonts w:hint="eastAsia" w:ascii="宋体" w:hAnsi="宋体" w:cs="宋体"/>
        </w:rPr>
      </w:pPr>
      <w:bookmarkStart w:id="7" w:name="_Toc9003"/>
      <w:r>
        <w:rPr>
          <w:rFonts w:hint="eastAsia" w:ascii="宋体" w:hAnsi="宋体" w:cs="宋体"/>
          <w:lang w:val="zh-CN"/>
        </w:rPr>
        <w:t>二、招标文件说明</w:t>
      </w:r>
      <w:bookmarkEnd w:id="7"/>
    </w:p>
    <w:p>
      <w:pPr>
        <w:pStyle w:val="12"/>
        <w:spacing w:before="0" w:after="0" w:line="360" w:lineRule="auto"/>
        <w:jc w:val="left"/>
        <w:rPr>
          <w:rFonts w:hint="eastAsia" w:ascii="宋体" w:hAnsi="宋体" w:cs="宋体"/>
          <w:lang w:val="zh-CN"/>
        </w:rPr>
      </w:pPr>
      <w:bookmarkStart w:id="8" w:name="_Toc3215"/>
      <w:r>
        <w:rPr>
          <w:rFonts w:hint="eastAsia" w:ascii="宋体" w:hAnsi="宋体" w:cs="宋体"/>
          <w:sz w:val="28"/>
          <w:szCs w:val="28"/>
          <w:lang w:val="zh-CN"/>
        </w:rPr>
        <w:t>4.招标文件的构成</w:t>
      </w:r>
      <w:bookmarkEnd w:id="8"/>
    </w:p>
    <w:p>
      <w:pPr>
        <w:autoSpaceDE w:val="0"/>
        <w:autoSpaceDN w:val="0"/>
        <w:spacing w:line="360" w:lineRule="auto"/>
        <w:ind w:firstLine="360" w:firstLineChars="150"/>
        <w:rPr>
          <w:rFonts w:hint="eastAsia" w:ascii="宋体" w:hAnsi="宋体" w:cs="宋体"/>
          <w:kern w:val="0"/>
          <w:lang w:val="zh-CN"/>
        </w:rPr>
      </w:pPr>
      <w:r>
        <w:rPr>
          <w:rFonts w:hint="eastAsia" w:ascii="宋体" w:hAnsi="宋体" w:cs="宋体"/>
          <w:kern w:val="0"/>
          <w:lang w:val="zh-CN"/>
        </w:rPr>
        <w:t>4.1</w:t>
      </w:r>
      <w:r>
        <w:rPr>
          <w:rFonts w:hint="eastAsia" w:ascii="宋体" w:hAnsi="宋体" w:cs="宋体"/>
          <w:kern w:val="0"/>
        </w:rPr>
        <w:t xml:space="preserve"> </w:t>
      </w:r>
      <w:r>
        <w:rPr>
          <w:rFonts w:hint="eastAsia" w:ascii="宋体" w:hAnsi="宋体" w:cs="宋体"/>
          <w:kern w:val="0"/>
          <w:lang w:val="zh-CN"/>
        </w:rPr>
        <w:t>招标文件包括：</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（1）投标邀请</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2</w:t>
      </w:r>
      <w:r>
        <w:rPr>
          <w:rFonts w:hint="eastAsia" w:ascii="宋体" w:hAnsi="宋体" w:cs="宋体"/>
          <w:kern w:val="0"/>
          <w:lang w:val="zh-CN"/>
        </w:rPr>
        <w:t>）投标人须知</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3</w:t>
      </w:r>
      <w:r>
        <w:rPr>
          <w:rFonts w:hint="eastAsia" w:ascii="宋体" w:hAnsi="宋体" w:cs="宋体"/>
          <w:kern w:val="0"/>
          <w:lang w:val="zh-CN"/>
        </w:rPr>
        <w:t>）青海省政府采购项目合同书范本</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4</w:t>
      </w:r>
      <w:r>
        <w:rPr>
          <w:rFonts w:hint="eastAsia" w:ascii="宋体" w:hAnsi="宋体" w:cs="宋体"/>
          <w:kern w:val="0"/>
          <w:lang w:val="zh-CN"/>
        </w:rPr>
        <w:t>）投标文件格式</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5</w:t>
      </w:r>
      <w:r>
        <w:rPr>
          <w:rFonts w:hint="eastAsia" w:ascii="宋体" w:hAnsi="宋体" w:cs="宋体"/>
          <w:kern w:val="0"/>
          <w:lang w:val="zh-CN"/>
        </w:rPr>
        <w:t>）采购项目要求及技术参数</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6</w:t>
      </w:r>
      <w:r>
        <w:rPr>
          <w:rFonts w:hint="eastAsia" w:ascii="宋体" w:hAnsi="宋体" w:cs="宋体"/>
          <w:kern w:val="0"/>
          <w:lang w:val="zh-CN"/>
        </w:rPr>
        <w:t>）采购过程中发生的澄清、变更和补充文件</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 xml:space="preserve">4.2 </w:t>
      </w:r>
      <w:r>
        <w:rPr>
          <w:rFonts w:hint="eastAsia" w:ascii="宋体" w:hAnsi="宋体" w:cs="宋体"/>
          <w:kern w:val="0"/>
        </w:rPr>
        <w:t>投标人应当按照招标文件的要求编制投标文件。投标文件应当对招标文件提出的要求和条件作出明确响应。</w:t>
      </w:r>
    </w:p>
    <w:p>
      <w:pPr>
        <w:pStyle w:val="12"/>
        <w:spacing w:before="0" w:after="0" w:line="360" w:lineRule="auto"/>
        <w:jc w:val="left"/>
        <w:rPr>
          <w:rFonts w:hint="eastAsia" w:ascii="宋体" w:hAnsi="宋体" w:cs="宋体"/>
          <w:sz w:val="28"/>
          <w:szCs w:val="28"/>
          <w:lang w:val="zh-CN"/>
        </w:rPr>
      </w:pPr>
      <w:bookmarkStart w:id="9" w:name="_Toc22903"/>
      <w:r>
        <w:rPr>
          <w:rFonts w:hint="eastAsia" w:ascii="宋体" w:hAnsi="宋体" w:cs="宋体"/>
          <w:sz w:val="28"/>
          <w:szCs w:val="28"/>
          <w:lang w:val="zh-CN"/>
        </w:rPr>
        <w:t>5.招标文件、采购活动和中标结果的质疑</w:t>
      </w:r>
      <w:bookmarkEnd w:id="9"/>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投标人认为招标文件、采购过程和中标结果使自己的权益受到损害的，可以在知道或者应知其权益受到损害之日起7个工作日内以书面形式（如信件、传真等）向采购人或者采购代理机构提出质疑，不接受匿名质疑。</w:t>
      </w:r>
      <w:r>
        <w:rPr>
          <w:rFonts w:ascii="Arial" w:hAnsi="Arial" w:cs="Arial"/>
        </w:rPr>
        <w:t>潜在</w:t>
      </w:r>
      <w:r>
        <w:rPr>
          <w:rFonts w:hint="eastAsia" w:ascii="Arial" w:hAnsi="Arial" w:cs="Arial"/>
        </w:rPr>
        <w:t>投标人</w:t>
      </w:r>
      <w:r>
        <w:rPr>
          <w:rFonts w:ascii="Arial" w:hAnsi="Arial" w:cs="Arial"/>
        </w:rPr>
        <w:t>已依法获取其可质疑的采购文件的，可以对该文件提出质疑</w:t>
      </w:r>
      <w:r>
        <w:rPr>
          <w:rFonts w:hint="eastAsia" w:ascii="Arial" w:hAnsi="Arial" w:cs="Arial"/>
        </w:rPr>
        <w:t>，</w:t>
      </w:r>
      <w:r>
        <w:rPr>
          <w:rFonts w:ascii="Arial" w:hAnsi="Arial" w:cs="Arial"/>
        </w:rPr>
        <w:t>对采购文件提出质疑的，应当在获取采购文件或者采购文件公告期限届满之日起7个工作日内提出</w:t>
      </w:r>
      <w:r>
        <w:rPr>
          <w:rFonts w:hint="eastAsia" w:ascii="宋体" w:hAnsi="宋体" w:cs="宋体"/>
          <w:kern w:val="0"/>
          <w:lang w:bidi="ar"/>
        </w:rPr>
        <w:t>。</w:t>
      </w:r>
      <w:r>
        <w:rPr>
          <w:rFonts w:hint="eastAsia" w:ascii="Arial" w:hAnsi="Arial" w:cs="Arial"/>
        </w:rPr>
        <w:t>投标人须</w:t>
      </w:r>
      <w:r>
        <w:rPr>
          <w:rFonts w:ascii="Arial" w:hAnsi="Arial" w:cs="Arial"/>
        </w:rPr>
        <w:t>在法定质疑期内一次性提出针对同一采购程序环节的质疑。</w:t>
      </w:r>
      <w:r>
        <w:rPr>
          <w:rFonts w:hint="eastAsia" w:ascii="宋体" w:hAnsi="宋体" w:cs="宋体"/>
          <w:kern w:val="0"/>
          <w:lang w:val="zh-CN"/>
        </w:rPr>
        <w:t>采购人或采购代理机构在收到书面</w:t>
      </w:r>
      <w:r>
        <w:rPr>
          <w:rFonts w:ascii="Arial" w:hAnsi="Arial" w:cs="Arial"/>
        </w:rPr>
        <w:t>质疑函后7个工作日内作出答复</w:t>
      </w:r>
      <w:r>
        <w:rPr>
          <w:rFonts w:hint="eastAsia" w:ascii="宋体" w:hAnsi="宋体" w:cs="宋体"/>
          <w:kern w:val="0"/>
          <w:lang w:val="zh-CN"/>
        </w:rPr>
        <w:t>。</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参与采购活动的投标人对评审过程或者结果提出质疑的，采购人、采购代理机构可以组织原评审委员会协助答复质疑。质疑事项处理完成后，采购人或采购代理机构应按照规定填写《青海省政府采购投标人质疑处理情况表》，并在15日内报同级政府采购监督管理部门备案。</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投标人应知其权益受到损害之日，是指：</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（一）对可以质疑的招标文件提出质疑的，为收到招标文件之日或者招标文件公告期限届满之日；</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（二）对采购过程提出质疑的，为各采购程序环节结束之日；</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（三）对中标结果提出质疑的，为中标结果公告期限届满之日。</w:t>
      </w:r>
    </w:p>
    <w:p>
      <w:pPr>
        <w:pStyle w:val="12"/>
        <w:spacing w:before="0" w:after="0" w:line="360" w:lineRule="auto"/>
        <w:jc w:val="left"/>
        <w:rPr>
          <w:rFonts w:hint="eastAsia" w:ascii="宋体" w:hAnsi="宋体" w:cs="宋体"/>
          <w:lang w:val="zh-CN"/>
        </w:rPr>
      </w:pPr>
      <w:bookmarkStart w:id="10" w:name="_Toc30837"/>
      <w:r>
        <w:rPr>
          <w:rFonts w:hint="eastAsia" w:ascii="宋体" w:hAnsi="宋体" w:cs="宋体"/>
          <w:sz w:val="28"/>
          <w:szCs w:val="28"/>
          <w:lang w:val="zh-CN"/>
        </w:rPr>
        <w:t>6.招标文件的澄清或修改</w:t>
      </w:r>
      <w:bookmarkEnd w:id="10"/>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6.1 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pPr>
        <w:autoSpaceDE w:val="0"/>
        <w:autoSpaceDN w:val="0"/>
        <w:spacing w:line="360" w:lineRule="auto"/>
        <w:ind w:firstLine="480" w:firstLineChars="200"/>
        <w:rPr>
          <w:rFonts w:hint="eastAsia" w:ascii="宋体" w:hAnsi="宋体" w:cs="宋体"/>
          <w:kern w:val="0"/>
          <w:lang w:val="zh-CN"/>
        </w:rPr>
      </w:pPr>
      <w:r>
        <w:rPr>
          <w:rFonts w:ascii="宋体" w:hAnsi="宋体" w:cs="宋体"/>
          <w:kern w:val="0"/>
          <w:lang w:val="zh-CN"/>
        </w:rPr>
        <w:t xml:space="preserve">6.2 </w:t>
      </w:r>
      <w:r>
        <w:rPr>
          <w:rFonts w:hint="eastAsia" w:ascii="宋体" w:hAnsi="宋体" w:cs="宋体"/>
          <w:kern w:val="0"/>
          <w:lang w:val="zh-CN"/>
        </w:rPr>
        <w:t>澄清或者修改的内容可能影响投标文件编制的，采购人或者采购代理机构应当在投标截止时间至少15日前，以书面形式通知所有获取招标文件的潜在投标人，</w:t>
      </w:r>
      <w:r>
        <w:rPr>
          <w:rFonts w:ascii="宋体" w:hAnsi="宋体" w:cs="宋体"/>
          <w:kern w:val="0"/>
          <w:lang w:val="zh-CN"/>
        </w:rPr>
        <w:t>并在发布本次招标公告的网站上发布变更公告</w:t>
      </w:r>
      <w:r>
        <w:rPr>
          <w:rFonts w:hint="eastAsia" w:ascii="宋体" w:hAnsi="宋体" w:cs="宋体"/>
          <w:kern w:val="0"/>
          <w:lang w:val="zh-CN"/>
        </w:rPr>
        <w:t>；不足15日的，采购人或者采购代理机构应当顺延提交投标文件的截止时间。</w:t>
      </w:r>
    </w:p>
    <w:p>
      <w:pPr>
        <w:pStyle w:val="12"/>
        <w:spacing w:before="0" w:after="0" w:line="360" w:lineRule="auto"/>
        <w:rPr>
          <w:rFonts w:hint="eastAsia" w:ascii="宋体" w:hAnsi="宋体" w:cs="宋体"/>
        </w:rPr>
      </w:pPr>
      <w:bookmarkStart w:id="11" w:name="_Toc26507"/>
      <w:r>
        <w:rPr>
          <w:rFonts w:hint="eastAsia" w:ascii="宋体" w:hAnsi="宋体" w:cs="宋体"/>
          <w:lang w:val="zh-CN"/>
        </w:rPr>
        <w:t>三、投标文件的编制</w:t>
      </w:r>
      <w:bookmarkEnd w:id="11"/>
    </w:p>
    <w:p>
      <w:pPr>
        <w:pStyle w:val="12"/>
        <w:spacing w:before="0" w:after="0" w:line="360" w:lineRule="auto"/>
        <w:jc w:val="left"/>
        <w:rPr>
          <w:rFonts w:hint="eastAsia" w:ascii="宋体" w:hAnsi="宋体" w:cs="宋体"/>
          <w:lang w:val="zh-CN"/>
        </w:rPr>
      </w:pPr>
      <w:bookmarkStart w:id="12" w:name="_Toc24202"/>
      <w:r>
        <w:rPr>
          <w:rFonts w:hint="eastAsia" w:ascii="宋体" w:hAnsi="宋体" w:cs="宋体"/>
          <w:sz w:val="28"/>
          <w:szCs w:val="28"/>
          <w:lang w:val="zh-CN"/>
        </w:rPr>
        <w:t>7.投标文件的语言及度量衡单位</w:t>
      </w:r>
      <w:bookmarkEnd w:id="12"/>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7.1</w:t>
      </w:r>
      <w:r>
        <w:rPr>
          <w:rFonts w:hint="eastAsia" w:ascii="宋体" w:hAnsi="宋体" w:cs="宋体"/>
          <w:kern w:val="0"/>
        </w:rPr>
        <w:t xml:space="preserve"> </w:t>
      </w:r>
      <w:r>
        <w:rPr>
          <w:rFonts w:hint="eastAsia" w:ascii="宋体" w:hAnsi="宋体" w:cs="宋体"/>
          <w:kern w:val="0"/>
          <w:lang w:val="zh-CN"/>
        </w:rPr>
        <w:t>投标人提交的投标文件以及投标人与</w:t>
      </w:r>
      <w:r>
        <w:rPr>
          <w:rFonts w:hint="eastAsia" w:ascii="宋体" w:hAnsi="宋体" w:cs="宋体"/>
          <w:kern w:val="0"/>
          <w:u w:val="single"/>
          <w:lang w:val="zh-CN"/>
        </w:rPr>
        <w:t>采购代理机构</w:t>
      </w:r>
      <w:r>
        <w:rPr>
          <w:rFonts w:hint="eastAsia" w:ascii="宋体" w:hAnsi="宋体" w:cs="宋体"/>
          <w:kern w:val="0"/>
          <w:lang w:val="zh-CN"/>
        </w:rPr>
        <w:t>就此投标发生的所有来往函电均应使用简体中文。</w:t>
      </w:r>
      <w:r>
        <w:rPr>
          <w:rFonts w:hint="eastAsia" w:ascii="宋体" w:hAnsi="宋体" w:cs="宋体"/>
        </w:rPr>
        <w:t>除签名、盖章、专用名称等特殊情形外，以中文汉语以外的文字表述的投标文件视同未提供。</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7.2 除招标文件中另有规定外，投标文件所使用的度量衡单位，均须采用国家法定计量单位。</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7.3 附有外文资料的须翻译成中文，并加盖投标人公章，如果翻译的中文资料与外文资料出现差异与矛盾时，以中文为准，其准确性由投标人负责。</w:t>
      </w:r>
    </w:p>
    <w:p>
      <w:pPr>
        <w:pStyle w:val="12"/>
        <w:spacing w:before="0" w:after="0" w:line="360" w:lineRule="auto"/>
        <w:jc w:val="left"/>
        <w:rPr>
          <w:rFonts w:hint="eastAsia" w:ascii="宋体" w:hAnsi="宋体" w:cs="宋体"/>
          <w:lang w:val="zh-CN"/>
        </w:rPr>
      </w:pPr>
      <w:bookmarkStart w:id="13" w:name="_Toc29560"/>
      <w:r>
        <w:rPr>
          <w:rFonts w:hint="eastAsia" w:ascii="宋体" w:hAnsi="宋体" w:cs="宋体"/>
          <w:sz w:val="28"/>
          <w:szCs w:val="28"/>
          <w:lang w:val="zh-CN"/>
        </w:rPr>
        <w:t>8.投标报价及币种</w:t>
      </w:r>
      <w:bookmarkEnd w:id="13"/>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8.1</w:t>
      </w:r>
      <w:r>
        <w:rPr>
          <w:rFonts w:hint="eastAsia" w:ascii="宋体" w:hAnsi="宋体" w:cs="宋体"/>
          <w:kern w:val="0"/>
        </w:rPr>
        <w:t xml:space="preserve"> </w:t>
      </w:r>
      <w:r>
        <w:rPr>
          <w:rFonts w:hint="eastAsia" w:ascii="宋体" w:hAnsi="宋体" w:cs="宋体"/>
          <w:kern w:val="0"/>
          <w:lang w:val="zh-CN"/>
        </w:rPr>
        <w:t>投标报价为投标总价。投标报价必须包括：</w:t>
      </w:r>
      <w:r>
        <w:rPr>
          <w:rFonts w:hint="eastAsia" w:ascii="宋体" w:hAnsi="宋体" w:cs="宋体"/>
          <w:kern w:val="0"/>
          <w:u w:val="single"/>
          <w:lang w:val="zh-CN"/>
        </w:rPr>
        <w:t>产品费、验收费、手续费、包装费、运输费、保险费、安装费、调试费、培训费、售前、售中、售后服务费、税金及不可预见费等全部费用。</w:t>
      </w:r>
      <w:r>
        <w:rPr>
          <w:rFonts w:hint="eastAsia" w:ascii="宋体" w:hAnsi="宋体" w:cs="宋体"/>
          <w:kern w:val="0"/>
          <w:lang w:val="zh-CN"/>
        </w:rPr>
        <w:t>（说明：具体内容应根据项目特点实事求是的填写）</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8.2</w:t>
      </w:r>
      <w:r>
        <w:rPr>
          <w:rFonts w:hint="eastAsia" w:ascii="宋体" w:hAnsi="宋体" w:cs="宋体"/>
          <w:kern w:val="0"/>
        </w:rPr>
        <w:t xml:space="preserve"> </w:t>
      </w:r>
      <w:r>
        <w:rPr>
          <w:rFonts w:hint="eastAsia" w:ascii="宋体" w:hAnsi="宋体" w:cs="宋体"/>
          <w:kern w:val="0"/>
          <w:lang w:val="zh-CN"/>
        </w:rPr>
        <w:t>投标报价有效期与投标有效期一致。</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8.</w:t>
      </w:r>
      <w:r>
        <w:rPr>
          <w:rFonts w:hint="eastAsia" w:ascii="宋体" w:hAnsi="宋体" w:cs="宋体"/>
          <w:kern w:val="0"/>
        </w:rPr>
        <w:t xml:space="preserve">3 </w:t>
      </w:r>
      <w:r>
        <w:rPr>
          <w:rFonts w:hint="eastAsia" w:ascii="宋体" w:hAnsi="宋体" w:cs="宋体"/>
          <w:kern w:val="0"/>
          <w:lang w:val="zh-CN"/>
        </w:rPr>
        <w:t>投标报价为闭口价，即中标后在合同有效期内价格不变。</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8.</w:t>
      </w:r>
      <w:r>
        <w:rPr>
          <w:rFonts w:hint="eastAsia" w:ascii="宋体" w:hAnsi="宋体" w:cs="宋体"/>
          <w:kern w:val="0"/>
        </w:rPr>
        <w:t xml:space="preserve">4 </w:t>
      </w:r>
      <w:r>
        <w:rPr>
          <w:rFonts w:hint="eastAsia" w:ascii="宋体" w:hAnsi="宋体" w:cs="宋体"/>
          <w:kern w:val="0"/>
          <w:lang w:val="zh-CN"/>
        </w:rPr>
        <w:t>投标币种是人民币。</w:t>
      </w:r>
    </w:p>
    <w:p>
      <w:pPr>
        <w:pStyle w:val="12"/>
        <w:spacing w:before="0" w:after="0" w:line="360" w:lineRule="auto"/>
        <w:jc w:val="left"/>
        <w:rPr>
          <w:rFonts w:hint="eastAsia" w:ascii="宋体" w:hAnsi="宋体" w:cs="宋体"/>
          <w:lang w:val="zh-CN"/>
        </w:rPr>
      </w:pPr>
      <w:bookmarkStart w:id="14" w:name="_Toc13022"/>
      <w:r>
        <w:rPr>
          <w:rFonts w:hint="eastAsia" w:ascii="宋体" w:hAnsi="宋体" w:cs="宋体"/>
          <w:sz w:val="28"/>
          <w:szCs w:val="28"/>
          <w:lang w:val="zh-CN"/>
        </w:rPr>
        <w:t>9.投标保证金</w:t>
      </w:r>
      <w:bookmarkEnd w:id="14"/>
    </w:p>
    <w:p>
      <w:pPr>
        <w:autoSpaceDE w:val="0"/>
        <w:autoSpaceDN w:val="0"/>
        <w:spacing w:line="360" w:lineRule="auto"/>
        <w:ind w:firstLine="482" w:firstLineChars="200"/>
        <w:rPr>
          <w:rFonts w:hint="eastAsia" w:ascii="宋体" w:hAnsi="宋体" w:cs="宋体"/>
          <w:b/>
          <w:bCs/>
          <w:kern w:val="0"/>
          <w:lang w:val="zh-CN"/>
        </w:rPr>
      </w:pPr>
      <w:r>
        <w:rPr>
          <w:rFonts w:hint="eastAsia" w:ascii="宋体" w:hAnsi="宋体" w:cs="宋体"/>
          <w:b/>
          <w:bCs/>
          <w:kern w:val="0"/>
          <w:lang w:val="zh-CN"/>
        </w:rPr>
        <w:t>9.1</w:t>
      </w:r>
      <w:r>
        <w:rPr>
          <w:rFonts w:hint="eastAsia" w:ascii="宋体" w:hAnsi="宋体" w:cs="宋体"/>
          <w:b/>
          <w:bCs/>
          <w:kern w:val="0"/>
        </w:rPr>
        <w:t xml:space="preserve"> </w:t>
      </w:r>
      <w:r>
        <w:rPr>
          <w:rFonts w:hint="eastAsia" w:ascii="宋体" w:hAnsi="宋体" w:cs="宋体"/>
          <w:b/>
          <w:bCs/>
          <w:kern w:val="0"/>
          <w:lang w:val="zh-CN"/>
        </w:rPr>
        <w:t>投标人须在投标截止期前按以下要求交纳投标保证金（说明：收取的投标保证金不得超过采购项目预算金额的2%）：</w:t>
      </w:r>
    </w:p>
    <w:p>
      <w:pPr>
        <w:autoSpaceDE w:val="0"/>
        <w:autoSpaceDN w:val="0"/>
        <w:spacing w:line="360" w:lineRule="auto"/>
        <w:rPr>
          <w:rFonts w:hint="default" w:ascii="宋体" w:hAnsi="宋体" w:eastAsia="宋体" w:cs="宋体"/>
          <w:b/>
          <w:bCs/>
          <w:kern w:val="0"/>
          <w:lang w:val="en-US" w:eastAsia="zh-CN"/>
        </w:rPr>
      </w:pPr>
      <w:r>
        <w:rPr>
          <w:rFonts w:hint="eastAsia" w:ascii="宋体" w:hAnsi="宋体" w:cs="宋体"/>
          <w:b/>
          <w:bCs/>
          <w:kern w:val="0"/>
          <w:lang w:val="zh-CN"/>
        </w:rPr>
        <w:t>投标保证金：</w:t>
      </w:r>
      <w:r>
        <w:rPr>
          <w:rFonts w:hint="eastAsia" w:ascii="宋体" w:hAnsi="宋体" w:cs="宋体"/>
          <w:b/>
          <w:bCs/>
          <w:kern w:val="0"/>
          <w:lang w:val="en-US" w:eastAsia="zh-CN"/>
        </w:rPr>
        <w:t>50000.00元（伍万元整）</w:t>
      </w:r>
    </w:p>
    <w:p>
      <w:pPr>
        <w:autoSpaceDE w:val="0"/>
        <w:autoSpaceDN w:val="0"/>
        <w:spacing w:line="360" w:lineRule="auto"/>
        <w:ind w:firstLine="482" w:firstLineChars="200"/>
        <w:rPr>
          <w:rFonts w:hint="eastAsia" w:ascii="宋体" w:hAnsi="宋体" w:cs="宋体"/>
          <w:b/>
          <w:bCs/>
          <w:kern w:val="0"/>
          <w:lang w:val="zh-CN"/>
        </w:rPr>
      </w:pPr>
      <w:r>
        <w:rPr>
          <w:rFonts w:hint="eastAsia" w:ascii="宋体" w:hAnsi="宋体" w:cs="宋体"/>
          <w:b/>
          <w:bCs/>
          <w:kern w:val="0"/>
          <w:lang w:val="zh-CN"/>
        </w:rPr>
        <w:t>收款单位：</w:t>
      </w:r>
      <w:r>
        <w:rPr>
          <w:rFonts w:hint="eastAsia" w:ascii="宋体"/>
          <w:b/>
          <w:bCs/>
          <w:lang w:val="zh-CN"/>
        </w:rPr>
        <w:t>德令哈城乡建设综合开发有限公司</w:t>
      </w:r>
    </w:p>
    <w:p>
      <w:pPr>
        <w:autoSpaceDE w:val="0"/>
        <w:autoSpaceDN w:val="0"/>
        <w:spacing w:line="360" w:lineRule="auto"/>
        <w:ind w:firstLine="482" w:firstLineChars="200"/>
        <w:rPr>
          <w:rFonts w:hint="eastAsia" w:ascii="宋体" w:hAnsi="Times New Roman" w:eastAsia="宋体" w:cs="Times New Roman"/>
          <w:b/>
          <w:bCs/>
          <w:lang w:val="zh-CN"/>
        </w:rPr>
      </w:pPr>
      <w:r>
        <w:rPr>
          <w:rFonts w:hint="eastAsia" w:ascii="宋体" w:hAnsi="宋体" w:cs="宋体"/>
          <w:b/>
          <w:bCs/>
          <w:kern w:val="0"/>
          <w:lang w:val="zh-CN"/>
        </w:rPr>
        <w:t>开 户 行</w:t>
      </w:r>
      <w:r>
        <w:rPr>
          <w:rFonts w:hint="eastAsia" w:ascii="宋体" w:hAnsi="Times New Roman" w:eastAsia="宋体" w:cs="Times New Roman"/>
          <w:b/>
          <w:bCs/>
          <w:lang w:val="zh-CN"/>
        </w:rPr>
        <w:t>：</w:t>
      </w:r>
      <w:r>
        <w:rPr>
          <w:rFonts w:hint="eastAsia" w:ascii="宋体" w:hAnsi="Times New Roman" w:eastAsia="宋体" w:cs="Times New Roman"/>
          <w:b/>
          <w:bCs/>
          <w:lang w:val="zh-CN" w:eastAsia="zh-CN"/>
        </w:rPr>
        <w:t>工行海西支行营业室</w:t>
      </w:r>
    </w:p>
    <w:p>
      <w:pPr>
        <w:autoSpaceDE w:val="0"/>
        <w:autoSpaceDN w:val="0"/>
        <w:spacing w:line="360" w:lineRule="auto"/>
        <w:ind w:firstLine="482" w:firstLineChars="200"/>
        <w:rPr>
          <w:rFonts w:hint="eastAsia" w:ascii="宋体" w:hAnsi="Times New Roman" w:eastAsia="宋体" w:cs="Times New Roman"/>
          <w:b/>
          <w:bCs/>
          <w:lang w:val="zh-CN"/>
        </w:rPr>
      </w:pPr>
      <w:r>
        <w:rPr>
          <w:rFonts w:hint="eastAsia" w:ascii="宋体" w:hAnsi="Times New Roman" w:eastAsia="宋体" w:cs="Times New Roman"/>
          <w:b/>
          <w:bCs/>
          <w:lang w:val="zh-CN"/>
        </w:rPr>
        <w:t>银行账号：</w:t>
      </w:r>
      <w:r>
        <w:rPr>
          <w:rFonts w:hint="eastAsia" w:ascii="宋体" w:hAnsi="Times New Roman" w:eastAsia="宋体" w:cs="Times New Roman"/>
          <w:b/>
          <w:bCs/>
          <w:lang w:val="en-US" w:eastAsia="zh-CN"/>
        </w:rPr>
        <w:t>2806040419200110409</w:t>
      </w:r>
    </w:p>
    <w:p>
      <w:pPr>
        <w:pStyle w:val="6"/>
        <w:spacing w:line="360" w:lineRule="auto"/>
        <w:ind w:firstLine="482" w:firstLineChars="200"/>
        <w:rPr>
          <w:rFonts w:hint="eastAsia"/>
          <w:lang w:val="zh-CN"/>
        </w:rPr>
      </w:pPr>
      <w:r>
        <w:rPr>
          <w:rFonts w:hint="eastAsia" w:hAnsi="宋体" w:cs="宋体"/>
          <w:b/>
          <w:bCs/>
          <w:kern w:val="0"/>
          <w:sz w:val="24"/>
          <w:szCs w:val="24"/>
          <w:lang w:val="zh-CN"/>
        </w:rPr>
        <w:t>交纳时间：</w:t>
      </w:r>
      <w:r>
        <w:rPr>
          <w:rFonts w:hint="eastAsia" w:ascii="宋体" w:hAnsi="宋体" w:eastAsia="宋体" w:cs="宋体"/>
          <w:b/>
          <w:bCs/>
          <w:color w:val="auto"/>
          <w:sz w:val="24"/>
          <w:highlight w:val="none"/>
          <w:lang w:val="en-US" w:eastAsia="zh-CN"/>
        </w:rPr>
        <w:t>供应商在投标文件递交截止时间前，以银行到账时间为准。</w:t>
      </w:r>
    </w:p>
    <w:p>
      <w:pPr>
        <w:autoSpaceDE w:val="0"/>
        <w:autoSpaceDN w:val="0"/>
        <w:spacing w:line="360" w:lineRule="auto"/>
        <w:ind w:firstLine="482" w:firstLineChars="200"/>
        <w:rPr>
          <w:rFonts w:hint="eastAsia" w:ascii="宋体" w:hAnsi="宋体" w:cs="宋体"/>
          <w:kern w:val="0"/>
          <w:lang w:val="zh-CN"/>
        </w:rPr>
      </w:pPr>
      <w:r>
        <w:rPr>
          <w:rFonts w:hint="eastAsia" w:ascii="宋体" w:hAnsi="宋体" w:cs="宋体"/>
          <w:b/>
          <w:bCs/>
          <w:kern w:val="0"/>
          <w:lang w:val="zh-CN"/>
        </w:rPr>
        <w:t>如采购项目变更开标时间，则保证金交纳时间相应顺延。</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9.2</w:t>
      </w:r>
      <w:r>
        <w:rPr>
          <w:rFonts w:hint="eastAsia" w:ascii="宋体" w:hAnsi="宋体" w:cs="宋体"/>
          <w:kern w:val="0"/>
        </w:rPr>
        <w:t xml:space="preserve"> 缴费方式：投标保证金应当以支票、汇票、本票或者金融机构、担保机构出具的保函等非现金形式提交。</w:t>
      </w:r>
    </w:p>
    <w:p>
      <w:pPr>
        <w:autoSpaceDE w:val="0"/>
        <w:autoSpaceDN w:val="0"/>
        <w:spacing w:line="360" w:lineRule="auto"/>
        <w:ind w:firstLine="480" w:firstLineChars="200"/>
        <w:rPr>
          <w:rFonts w:hint="eastAsia" w:ascii="宋体" w:hAnsi="宋体" w:eastAsia="宋体" w:cs="宋体"/>
          <w:kern w:val="0"/>
          <w:lang w:val="zh-CN"/>
        </w:rPr>
      </w:pPr>
      <w:r>
        <w:rPr>
          <w:rFonts w:hint="eastAsia" w:ascii="宋体" w:hAnsi="宋体" w:cs="宋体"/>
          <w:kern w:val="0"/>
          <w:lang w:val="zh-CN"/>
        </w:rPr>
        <w:t>9.3</w:t>
      </w:r>
      <w:r>
        <w:rPr>
          <w:rFonts w:hint="eastAsia" w:ascii="宋体" w:hAnsi="宋体" w:cs="宋体"/>
          <w:kern w:val="0"/>
        </w:rPr>
        <w:t xml:space="preserve"> </w:t>
      </w:r>
      <w:r>
        <w:rPr>
          <w:rFonts w:hint="eastAsia" w:ascii="宋体" w:hAnsi="宋体" w:cs="宋体"/>
          <w:kern w:val="0"/>
          <w:lang w:val="zh-CN"/>
        </w:rPr>
        <w:t>投标保证金退还：</w:t>
      </w:r>
      <w:r>
        <w:rPr>
          <w:rFonts w:hint="eastAsia" w:ascii="宋体" w:hAnsi="宋体" w:eastAsia="宋体" w:cs="宋体"/>
          <w:kern w:val="0"/>
          <w:lang w:val="zh-CN"/>
        </w:rPr>
        <w:t>投标人在投标截止时间前撤回已提交的投标文件的，采购代理机构应当自收到投标人书面撤回通知之日起</w:t>
      </w:r>
      <w:r>
        <w:rPr>
          <w:rFonts w:hint="eastAsia" w:ascii="宋体" w:hAnsi="宋体" w:eastAsia="宋体" w:cs="宋体"/>
          <w:kern w:val="0"/>
          <w:lang w:val="en-US" w:eastAsia="zh-CN"/>
        </w:rPr>
        <w:t>5</w:t>
      </w:r>
      <w:r>
        <w:rPr>
          <w:rFonts w:hint="eastAsia" w:ascii="宋体" w:hAnsi="宋体" w:eastAsia="宋体" w:cs="宋体"/>
          <w:kern w:val="0"/>
          <w:lang w:val="zh-CN"/>
        </w:rPr>
        <w:t>个工作日内，退还已收取的投标保证金，但因投标人自身原因导致无法及时退还的除外。</w:t>
      </w:r>
    </w:p>
    <w:p>
      <w:pPr>
        <w:autoSpaceDE w:val="0"/>
        <w:autoSpaceDN w:val="0"/>
        <w:spacing w:line="360" w:lineRule="auto"/>
        <w:ind w:firstLine="480" w:firstLineChars="200"/>
        <w:rPr>
          <w:rFonts w:hint="eastAsia" w:ascii="宋体" w:hAnsi="宋体" w:eastAsia="宋体" w:cs="宋体"/>
          <w:kern w:val="0"/>
          <w:lang w:val="zh-CN"/>
        </w:rPr>
      </w:pPr>
      <w:r>
        <w:rPr>
          <w:rFonts w:hint="eastAsia" w:ascii="宋体" w:hAnsi="宋体" w:eastAsia="宋体" w:cs="宋体"/>
          <w:kern w:val="0"/>
          <w:lang w:val="zh-CN"/>
        </w:rPr>
        <w:t>采购代理机构应当自中标通知书发出之日起5个工作日内退还未中标人的投标保证金，自采购合同签订之日起5个工作日内退还中标人的投标保证金或者转为中标人的履约保证金。</w:t>
      </w:r>
    </w:p>
    <w:p>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采购代理机构逾期退还投标保证金的，除应当退还投标保证金本金外，还应当按中国人民银行同期贷款基准利率上浮20％后的利率支付超期资金占用费，但因投标人自身原因导致无法及时退还的除外。</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9.4</w:t>
      </w:r>
      <w:r>
        <w:rPr>
          <w:rFonts w:ascii="宋体" w:hAnsi="宋体" w:cs="宋体"/>
          <w:kern w:val="0"/>
          <w:lang w:val="zh-CN"/>
        </w:rPr>
        <w:t xml:space="preserve"> </w:t>
      </w:r>
      <w:r>
        <w:rPr>
          <w:rFonts w:hint="eastAsia" w:ascii="宋体" w:hAnsi="宋体" w:cs="宋体"/>
          <w:kern w:val="0"/>
          <w:lang w:val="zh-CN"/>
        </w:rPr>
        <w:t>投标有效期内投标人撤销投标文件的，采购人或者采购代理机构可以不退还投标保证金。</w:t>
      </w:r>
    </w:p>
    <w:p>
      <w:pPr>
        <w:pStyle w:val="12"/>
        <w:spacing w:before="0" w:after="0" w:line="360" w:lineRule="auto"/>
        <w:jc w:val="left"/>
        <w:rPr>
          <w:rFonts w:hint="eastAsia" w:ascii="宋体" w:hAnsi="宋体" w:cs="宋体"/>
          <w:lang w:val="zh-CN"/>
        </w:rPr>
      </w:pPr>
      <w:bookmarkStart w:id="15" w:name="_Toc30280"/>
      <w:r>
        <w:rPr>
          <w:rFonts w:hint="eastAsia" w:ascii="宋体" w:hAnsi="宋体" w:cs="宋体"/>
          <w:sz w:val="28"/>
          <w:szCs w:val="28"/>
          <w:lang w:val="zh-CN"/>
        </w:rPr>
        <w:t>10.投标有效期</w:t>
      </w:r>
      <w:bookmarkEnd w:id="15"/>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shd w:val="clear" w:color="auto" w:fill="FFFFFF"/>
        </w:rPr>
        <w:t>从提交投标文件的截止之日起</w:t>
      </w:r>
      <w:r>
        <w:rPr>
          <w:rFonts w:hint="eastAsia" w:ascii="宋体" w:hAnsi="宋体" w:cs="宋体"/>
          <w:kern w:val="0"/>
          <w:u w:val="single"/>
        </w:rPr>
        <w:t>90</w:t>
      </w:r>
      <w:r>
        <w:rPr>
          <w:rFonts w:hint="eastAsia" w:ascii="宋体" w:hAnsi="宋体" w:cs="宋体"/>
          <w:kern w:val="0"/>
          <w:lang w:val="zh-CN"/>
        </w:rPr>
        <w:t>日历日。投标文件中承诺的投标有效期应当不少于招标文件中载明的投标有效期。</w:t>
      </w:r>
    </w:p>
    <w:p>
      <w:pPr>
        <w:pStyle w:val="12"/>
        <w:spacing w:before="0" w:after="0" w:line="360" w:lineRule="auto"/>
        <w:jc w:val="left"/>
        <w:rPr>
          <w:rFonts w:hint="eastAsia" w:ascii="宋体" w:hAnsi="宋体" w:cs="宋体"/>
          <w:lang w:val="zh-CN"/>
        </w:rPr>
      </w:pPr>
      <w:bookmarkStart w:id="16" w:name="_Toc29351"/>
      <w:r>
        <w:rPr>
          <w:rFonts w:hint="eastAsia" w:ascii="宋体" w:hAnsi="宋体" w:cs="宋体"/>
          <w:sz w:val="28"/>
          <w:szCs w:val="28"/>
          <w:lang w:val="zh-CN"/>
        </w:rPr>
        <w:t>11.投标文件构成</w:t>
      </w:r>
      <w:bookmarkEnd w:id="16"/>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投标人应提交相关证明材料，作为其参加投标和中标后有能力履行合同的证明。编写的投标文件须包括以下内容（格式见招标文件第四部分）：</w:t>
      </w:r>
    </w:p>
    <w:p>
      <w:pPr>
        <w:autoSpaceDE w:val="0"/>
        <w:autoSpaceDN w:val="0"/>
        <w:spacing w:line="360" w:lineRule="auto"/>
        <w:ind w:firstLine="482" w:firstLineChars="200"/>
        <w:rPr>
          <w:rFonts w:hint="eastAsia" w:ascii="宋体" w:hAnsi="宋体" w:cs="宋体"/>
        </w:rPr>
      </w:pPr>
      <w:r>
        <w:rPr>
          <w:rFonts w:hint="eastAsia" w:ascii="宋体" w:hAnsi="宋体" w:cs="宋体"/>
          <w:b/>
          <w:bCs/>
          <w:kern w:val="0"/>
        </w:rPr>
        <w:t>11.1</w:t>
      </w:r>
      <w:r>
        <w:rPr>
          <w:rFonts w:hint="eastAsia" w:ascii="宋体" w:hAnsi="宋体" w:cs="宋体"/>
          <w:b/>
          <w:bCs/>
          <w:kern w:val="0"/>
          <w:lang w:val="zh-CN"/>
        </w:rPr>
        <w:t>、投标文件（上册）（资格审查）</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投标函</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法定代表人证明书</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法定代表人授权书</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投标人承诺函</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投标人诚信承诺书</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资格证明材料</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财务状况报告，依法缴纳税收和社会保障资金的相关材料</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具备履行合同所必需的设备和专业技术能力的证明材料</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无重大违法记录声明</w:t>
      </w:r>
    </w:p>
    <w:p>
      <w:pPr>
        <w:numPr>
          <w:ilvl w:val="0"/>
          <w:numId w:val="2"/>
        </w:numPr>
        <w:autoSpaceDE w:val="0"/>
        <w:autoSpaceDN w:val="0"/>
        <w:spacing w:line="360" w:lineRule="auto"/>
        <w:ind w:firstLine="480"/>
        <w:rPr>
          <w:rFonts w:hint="eastAsia"/>
          <w:lang w:val="zh-CN"/>
        </w:rPr>
      </w:pPr>
      <w:r>
        <w:rPr>
          <w:rFonts w:hint="eastAsia" w:ascii="宋体" w:hAnsi="宋体" w:cs="宋体"/>
          <w:kern w:val="0"/>
          <w:lang w:val="zh-CN"/>
        </w:rPr>
        <w:t>投标保证金证明</w:t>
      </w:r>
    </w:p>
    <w:p>
      <w:pPr>
        <w:autoSpaceDE w:val="0"/>
        <w:autoSpaceDN w:val="0"/>
        <w:spacing w:line="360" w:lineRule="auto"/>
        <w:ind w:firstLine="482" w:firstLineChars="200"/>
        <w:rPr>
          <w:rFonts w:hint="eastAsia" w:ascii="宋体" w:hAnsi="宋体" w:cs="宋体"/>
          <w:kern w:val="0"/>
          <w:lang w:val="zh-CN"/>
        </w:rPr>
      </w:pPr>
      <w:r>
        <w:rPr>
          <w:rFonts w:hint="eastAsia" w:ascii="宋体" w:hAnsi="宋体" w:cs="宋体"/>
          <w:b/>
          <w:bCs/>
          <w:kern w:val="0"/>
        </w:rPr>
        <w:t xml:space="preserve">11.2 </w:t>
      </w:r>
      <w:r>
        <w:rPr>
          <w:rFonts w:hint="eastAsia" w:ascii="宋体" w:hAnsi="宋体" w:cs="宋体"/>
          <w:b/>
          <w:bCs/>
          <w:kern w:val="0"/>
          <w:lang w:val="zh-CN"/>
        </w:rPr>
        <w:t>投标文件（下册）</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开标一览表（报价表）</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分项报价表</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技术规格响应表</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投标产品相关资料</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投标人的类似业绩证明材料</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中小企业声明函、监狱企业证明资料</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rPr>
        <w:t>残疾人福利性单位声明函</w:t>
      </w:r>
    </w:p>
    <w:p>
      <w:pPr>
        <w:numPr>
          <w:ilvl w:val="0"/>
          <w:numId w:val="2"/>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投标人认为在其他方面有必要说明的事项</w:t>
      </w:r>
    </w:p>
    <w:p>
      <w:pPr>
        <w:autoSpaceDE w:val="0"/>
        <w:autoSpaceDN w:val="0"/>
        <w:spacing w:line="360" w:lineRule="auto"/>
        <w:ind w:firstLine="600" w:firstLineChars="250"/>
        <w:rPr>
          <w:rFonts w:hint="eastAsia" w:ascii="宋体" w:hAnsi="宋体" w:cs="宋体"/>
          <w:kern w:val="0"/>
          <w:lang w:val="zh-CN"/>
        </w:rPr>
      </w:pPr>
      <w:r>
        <w:rPr>
          <w:rFonts w:hint="eastAsia" w:ascii="宋体" w:hAnsi="宋体" w:cs="宋体"/>
          <w:kern w:val="0"/>
          <w:lang w:val="zh-CN"/>
        </w:rPr>
        <w:t>注：投标人须按上述内容、顺序和格式编制投标文件，并按要求编制目录、页码，并保证所提供的全部资料真实可信，自愿承担相应责任。</w:t>
      </w:r>
    </w:p>
    <w:p>
      <w:pPr>
        <w:pStyle w:val="12"/>
        <w:spacing w:before="0" w:after="0" w:line="360" w:lineRule="auto"/>
        <w:jc w:val="left"/>
        <w:rPr>
          <w:rFonts w:hint="eastAsia" w:ascii="宋体" w:hAnsi="宋体" w:cs="宋体"/>
          <w:lang w:val="zh-CN"/>
        </w:rPr>
      </w:pPr>
      <w:bookmarkStart w:id="17" w:name="_Toc1896"/>
      <w:r>
        <w:rPr>
          <w:rFonts w:hint="eastAsia" w:ascii="宋体" w:hAnsi="宋体" w:cs="宋体"/>
          <w:sz w:val="28"/>
          <w:szCs w:val="28"/>
          <w:lang w:val="zh-CN"/>
        </w:rPr>
        <w:t>12.投标文件的编制要求</w:t>
      </w:r>
      <w:bookmarkEnd w:id="17"/>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12.1</w:t>
      </w:r>
      <w:r>
        <w:rPr>
          <w:rFonts w:hint="eastAsia" w:ascii="宋体" w:hAnsi="宋体" w:cs="宋体"/>
          <w:kern w:val="0"/>
        </w:rPr>
        <w:t xml:space="preserve"> </w:t>
      </w:r>
      <w:r>
        <w:rPr>
          <w:rFonts w:hint="eastAsia" w:ascii="宋体" w:hAnsi="宋体" w:cs="宋体"/>
          <w:kern w:val="0"/>
          <w:lang w:val="zh-CN"/>
        </w:rPr>
        <w:t>投标人应按照招标文件所提供的投标文件格式，分别填写招标文件第四部分的内容，应分别注明所提供货物的名称、技术配置及参数、数量和价格等内容；招标文件要求签字、盖章的地方必须由投标人的法定代表人或委托代理人按要求签字、盖章。</w:t>
      </w:r>
    </w:p>
    <w:p>
      <w:pPr>
        <w:widowControl/>
        <w:spacing w:line="360" w:lineRule="auto"/>
        <w:ind w:firstLine="480" w:firstLineChars="200"/>
        <w:rPr>
          <w:rFonts w:hint="eastAsia" w:ascii="宋体" w:hAnsi="宋体" w:cs="宋体"/>
          <w:kern w:val="0"/>
          <w:lang w:val="zh-CN"/>
        </w:rPr>
      </w:pPr>
      <w:r>
        <w:rPr>
          <w:rFonts w:hint="eastAsia" w:ascii="宋体" w:hAnsi="宋体" w:cs="宋体"/>
          <w:kern w:val="0"/>
          <w:lang w:val="zh-CN"/>
        </w:rPr>
        <w:t>12.2</w:t>
      </w:r>
      <w:r>
        <w:rPr>
          <w:rFonts w:hint="eastAsia" w:ascii="宋体" w:hAnsi="宋体" w:cs="宋体"/>
          <w:kern w:val="0"/>
        </w:rPr>
        <w:t xml:space="preserve"> </w:t>
      </w:r>
      <w:r>
        <w:rPr>
          <w:rFonts w:hint="eastAsia" w:ascii="宋体" w:hAnsi="宋体" w:cs="宋体"/>
          <w:kern w:val="0"/>
          <w:lang w:val="zh-CN"/>
        </w:rPr>
        <w:t>投标文件中不得行间插字、涂改或增删，如有修改错漏处，须由投标人法定代表人或其委托代理人签字、加盖公章。</w:t>
      </w:r>
    </w:p>
    <w:p>
      <w:pPr>
        <w:pStyle w:val="12"/>
        <w:spacing w:before="0" w:after="0" w:line="360" w:lineRule="auto"/>
        <w:rPr>
          <w:rFonts w:hint="eastAsia" w:ascii="宋体" w:hAnsi="宋体" w:cs="宋体"/>
        </w:rPr>
      </w:pPr>
      <w:bookmarkStart w:id="18" w:name="_Toc21116"/>
      <w:r>
        <w:rPr>
          <w:rFonts w:hint="eastAsia" w:ascii="宋体" w:hAnsi="宋体" w:cs="宋体"/>
          <w:lang w:val="zh-CN"/>
        </w:rPr>
        <w:t>四、投标文件的提交</w:t>
      </w:r>
      <w:bookmarkEnd w:id="18"/>
    </w:p>
    <w:p>
      <w:pPr>
        <w:pStyle w:val="12"/>
        <w:spacing w:before="0" w:after="0" w:line="360" w:lineRule="auto"/>
        <w:jc w:val="left"/>
        <w:rPr>
          <w:rFonts w:hint="eastAsia" w:ascii="宋体" w:hAnsi="宋体" w:cs="宋体"/>
          <w:lang w:val="zh-CN"/>
        </w:rPr>
      </w:pPr>
      <w:bookmarkStart w:id="19" w:name="_Toc8292"/>
      <w:r>
        <w:rPr>
          <w:rFonts w:hint="eastAsia" w:ascii="宋体" w:hAnsi="宋体" w:cs="宋体"/>
          <w:sz w:val="28"/>
          <w:szCs w:val="28"/>
          <w:lang w:val="zh-CN"/>
        </w:rPr>
        <w:t>13.投标文件的密封和标记</w:t>
      </w:r>
      <w:bookmarkEnd w:id="19"/>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供应商应在投标截止时间前按招标文件要求使用政采云电子投标客户端制作加密并上传电子投标文件，并在开标后30分钟内远程解密投标文件。</w:t>
      </w:r>
    </w:p>
    <w:p>
      <w:pPr>
        <w:pStyle w:val="12"/>
        <w:spacing w:before="0" w:after="0" w:line="360" w:lineRule="auto"/>
        <w:jc w:val="left"/>
        <w:rPr>
          <w:rFonts w:hint="eastAsia" w:ascii="宋体" w:hAnsi="宋体" w:cs="宋体"/>
          <w:lang w:val="zh-CN"/>
        </w:rPr>
      </w:pPr>
      <w:bookmarkStart w:id="20" w:name="_Toc1967"/>
      <w:r>
        <w:rPr>
          <w:rFonts w:hint="eastAsia" w:ascii="宋体" w:hAnsi="宋体" w:cs="宋体"/>
          <w:sz w:val="28"/>
          <w:szCs w:val="28"/>
          <w:lang w:val="zh-CN"/>
        </w:rPr>
        <w:t>14.提交投标文件的时间、地点、方式</w:t>
      </w:r>
      <w:bookmarkEnd w:id="20"/>
    </w:p>
    <w:p>
      <w:pPr>
        <w:autoSpaceDE w:val="0"/>
        <w:autoSpaceDN w:val="0"/>
        <w:spacing w:line="360" w:lineRule="auto"/>
        <w:ind w:firstLine="480" w:firstLineChars="200"/>
        <w:rPr>
          <w:rFonts w:hint="eastAsia" w:ascii="宋体" w:hAnsi="宋体" w:cs="宋体"/>
          <w:kern w:val="0"/>
          <w:lang w:val="en-US" w:eastAsia="zh-CN"/>
        </w:rPr>
      </w:pPr>
      <w:r>
        <w:rPr>
          <w:rFonts w:hint="eastAsia" w:ascii="宋体" w:hAnsi="宋体" w:cs="宋体"/>
          <w:kern w:val="0"/>
          <w:lang w:val="zh-CN"/>
        </w:rPr>
        <w:t>14.1</w:t>
      </w:r>
      <w:r>
        <w:rPr>
          <w:rFonts w:hint="eastAsia" w:ascii="宋体" w:hAnsi="宋体" w:cs="宋体"/>
          <w:kern w:val="0"/>
        </w:rPr>
        <w:t xml:space="preserve"> </w:t>
      </w:r>
      <w:r>
        <w:rPr>
          <w:rFonts w:hint="eastAsia" w:ascii="宋体" w:hAnsi="宋体" w:cs="宋体"/>
          <w:kern w:val="0"/>
          <w:lang w:val="en-US" w:eastAsia="zh-CN"/>
        </w:rPr>
        <w:t>投标人应当在响应文件递交截止时间前，将编制完成并且已加密的电子响应文件递交至政府采购云平台</w:t>
      </w:r>
    </w:p>
    <w:p>
      <w:pPr>
        <w:pStyle w:val="7"/>
        <w:rPr>
          <w:rFonts w:hint="default" w:ascii="宋体" w:hAnsi="宋体" w:eastAsia="宋体" w:cs="宋体"/>
          <w:kern w:val="0"/>
          <w:sz w:val="24"/>
          <w:szCs w:val="24"/>
          <w:lang w:val="en-US" w:eastAsia="zh-CN" w:bidi="ar-SA"/>
        </w:rPr>
      </w:pPr>
      <w:r>
        <w:rPr>
          <w:rFonts w:hint="eastAsia" w:ascii="宋体" w:hAnsi="宋体" w:cs="宋体"/>
          <w:kern w:val="0"/>
          <w:lang w:val="en-US" w:eastAsia="zh-CN"/>
        </w:rPr>
        <w:t xml:space="preserve">  </w:t>
      </w:r>
      <w:r>
        <w:rPr>
          <w:rFonts w:hint="eastAsia" w:ascii="宋体" w:hAnsi="宋体" w:eastAsia="宋体" w:cs="宋体"/>
          <w:kern w:val="0"/>
          <w:sz w:val="24"/>
          <w:szCs w:val="24"/>
          <w:lang w:val="en-US" w:eastAsia="zh-CN" w:bidi="ar-SA"/>
        </w:rPr>
        <w:t xml:space="preserve">  14.2 本项目为不见面开标项目</w:t>
      </w:r>
    </w:p>
    <w:p>
      <w:pPr>
        <w:pStyle w:val="12"/>
        <w:spacing w:before="0" w:after="0" w:line="360" w:lineRule="auto"/>
        <w:jc w:val="left"/>
        <w:rPr>
          <w:rFonts w:hint="eastAsia" w:ascii="宋体" w:hAnsi="宋体" w:cs="宋体"/>
          <w:lang w:val="zh-CN"/>
        </w:rPr>
      </w:pPr>
      <w:bookmarkStart w:id="21" w:name="_Toc891"/>
      <w:r>
        <w:rPr>
          <w:rFonts w:hint="eastAsia" w:ascii="宋体" w:hAnsi="宋体" w:cs="宋体"/>
          <w:sz w:val="28"/>
          <w:szCs w:val="28"/>
          <w:lang w:val="zh-CN"/>
        </w:rPr>
        <w:t>15.投标文件的补充、修改或者撤回</w:t>
      </w:r>
      <w:bookmarkEnd w:id="21"/>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15.1</w:t>
      </w:r>
      <w:r>
        <w:rPr>
          <w:rFonts w:hint="eastAsia" w:ascii="宋体" w:hAnsi="宋体" w:cs="宋体"/>
          <w:kern w:val="0"/>
        </w:rPr>
        <w:t xml:space="preserve"> 投标人在投标截止时间前，可以对所递交的投标文件进行补充、修改或者撤回，并书面通知采购人或者采购代理机构。补充、修改的内容应当按照招标文件要求签署、盖章、密封后，作为投标文件的组成部分。</w:t>
      </w:r>
    </w:p>
    <w:p>
      <w:pPr>
        <w:pStyle w:val="12"/>
        <w:spacing w:before="0" w:after="0" w:line="360" w:lineRule="auto"/>
        <w:rPr>
          <w:rFonts w:hint="eastAsia" w:ascii="宋体" w:hAnsi="宋体" w:cs="宋体"/>
        </w:rPr>
      </w:pPr>
      <w:bookmarkStart w:id="22" w:name="_Toc19716"/>
      <w:r>
        <w:rPr>
          <w:rFonts w:hint="eastAsia" w:ascii="宋体" w:hAnsi="宋体" w:cs="宋体"/>
          <w:lang w:val="zh-CN"/>
        </w:rPr>
        <w:t>五、开标</w:t>
      </w:r>
      <w:bookmarkEnd w:id="22"/>
    </w:p>
    <w:p>
      <w:pPr>
        <w:pStyle w:val="12"/>
        <w:spacing w:before="0" w:after="0" w:line="360" w:lineRule="auto"/>
        <w:jc w:val="left"/>
        <w:rPr>
          <w:rFonts w:hint="eastAsia" w:ascii="宋体" w:hAnsi="宋体" w:cs="宋体"/>
          <w:lang w:val="zh-CN"/>
        </w:rPr>
      </w:pPr>
      <w:bookmarkStart w:id="23" w:name="_Toc978"/>
      <w:r>
        <w:rPr>
          <w:rFonts w:hint="eastAsia" w:ascii="宋体" w:hAnsi="宋体" w:cs="宋体"/>
          <w:sz w:val="28"/>
          <w:szCs w:val="28"/>
          <w:lang w:val="zh-CN"/>
        </w:rPr>
        <w:t>16.开标</w:t>
      </w:r>
      <w:bookmarkEnd w:id="23"/>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16.1</w:t>
      </w:r>
      <w:r>
        <w:rPr>
          <w:rFonts w:hint="eastAsia" w:ascii="宋体" w:hAnsi="宋体" w:cs="宋体"/>
          <w:kern w:val="0"/>
        </w:rPr>
        <w:t xml:space="preserve"> </w:t>
      </w:r>
      <w:r>
        <w:rPr>
          <w:rFonts w:hint="eastAsia" w:ascii="宋体" w:hAnsi="宋体" w:cs="宋体"/>
          <w:kern w:val="0"/>
          <w:lang w:val="zh-CN"/>
        </w:rPr>
        <w:t>开标应当在招标文件确定的提交投标文件截止时间的同一时间进行。采购代理机构应当按本文件中确定的时间和地点组织开标活动。</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采购人或者采购代理机构应当对开标、评标现场活动进行全程录音录像。录音录像应当清晰可辨，音像资料作为采购文件一并存档。</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16.2</w:t>
      </w:r>
      <w:r>
        <w:rPr>
          <w:rFonts w:hint="eastAsia" w:ascii="宋体" w:hAnsi="宋体" w:cs="宋体"/>
          <w:kern w:val="0"/>
        </w:rPr>
        <w:t xml:space="preserve"> </w:t>
      </w:r>
      <w:r>
        <w:rPr>
          <w:rFonts w:hint="eastAsia" w:ascii="宋体" w:hAnsi="宋体" w:cs="宋体"/>
          <w:shd w:val="clear" w:color="auto" w:fill="FFFFFF"/>
        </w:rPr>
        <w:t>开标由</w:t>
      </w:r>
      <w:r>
        <w:rPr>
          <w:rFonts w:hint="eastAsia" w:ascii="宋体" w:hAnsi="宋体" w:cs="宋体"/>
          <w:kern w:val="0"/>
          <w:lang w:val="zh-CN"/>
        </w:rPr>
        <w:t>采购代理机构</w:t>
      </w:r>
      <w:r>
        <w:rPr>
          <w:rFonts w:hint="eastAsia" w:ascii="宋体" w:hAnsi="宋体" w:cs="宋体"/>
          <w:shd w:val="clear" w:color="auto" w:fill="FFFFFF"/>
        </w:rPr>
        <w:t>主持，邀请投标人参加。评标委员会成员不得参加开标活动。</w:t>
      </w:r>
    </w:p>
    <w:p>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kern w:val="0"/>
          <w:lang w:val="zh-CN"/>
        </w:rPr>
        <w:t xml:space="preserve">16.3 </w:t>
      </w:r>
      <w:r>
        <w:rPr>
          <w:rFonts w:hint="eastAsia" w:ascii="宋体" w:hAnsi="宋体" w:cs="宋体"/>
          <w:shd w:val="clear" w:color="auto" w:fill="FFFFFF"/>
        </w:rPr>
        <w:t>开标时，应当由投标人或者其推选的代表检查投标文件的密封情况；经确认无误后，由</w:t>
      </w:r>
      <w:r>
        <w:rPr>
          <w:rFonts w:hint="eastAsia" w:ascii="宋体" w:hAnsi="宋体" w:cs="宋体"/>
          <w:kern w:val="0"/>
          <w:lang w:val="zh-CN"/>
        </w:rPr>
        <w:t>采购代理机构</w:t>
      </w:r>
      <w:r>
        <w:rPr>
          <w:rFonts w:hint="eastAsia" w:ascii="宋体" w:hAnsi="宋体" w:cs="宋体"/>
          <w:shd w:val="clear" w:color="auto" w:fill="FFFFFF"/>
        </w:rPr>
        <w:t>工作人员当众拆封，宣布投标人名称、投标价格和其他主要内容。</w:t>
      </w:r>
    </w:p>
    <w:p>
      <w:pPr>
        <w:autoSpaceDE w:val="0"/>
        <w:autoSpaceDN w:val="0"/>
        <w:spacing w:line="360" w:lineRule="auto"/>
        <w:ind w:firstLine="480" w:firstLineChars="200"/>
        <w:rPr>
          <w:rFonts w:hint="eastAsia" w:ascii="宋体" w:hAnsi="宋体" w:cs="宋体"/>
          <w:shd w:val="clear" w:color="auto" w:fill="FFFFFF"/>
          <w:lang w:val="zh-CN"/>
        </w:rPr>
      </w:pPr>
      <w:r>
        <w:rPr>
          <w:rFonts w:hint="eastAsia" w:ascii="宋体" w:hAnsi="宋体" w:cs="宋体"/>
          <w:shd w:val="clear" w:color="auto" w:fill="FFFFFF"/>
          <w:lang w:val="zh-CN"/>
        </w:rPr>
        <w:t>投标人不足3家的，不得开标。</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16.4 开标过程应当由</w:t>
      </w:r>
      <w:r>
        <w:rPr>
          <w:rFonts w:hint="eastAsia" w:ascii="宋体" w:hAnsi="宋体" w:cs="宋体"/>
          <w:kern w:val="0"/>
          <w:lang w:val="zh-CN"/>
        </w:rPr>
        <w:t>采购代理机构</w:t>
      </w:r>
      <w:r>
        <w:rPr>
          <w:rFonts w:hint="eastAsia" w:ascii="宋体" w:hAnsi="宋体" w:cs="宋体"/>
          <w:kern w:val="0"/>
        </w:rPr>
        <w:t>负责记录，由参加开标的各投标人代表和相关工作人员签字确认后</w:t>
      </w:r>
      <w:r>
        <w:rPr>
          <w:rFonts w:ascii="宋体" w:hAnsi="宋体" w:cs="宋体"/>
          <w:kern w:val="0"/>
        </w:rPr>
        <w:t>随采购文件一并存档</w:t>
      </w:r>
      <w:r>
        <w:rPr>
          <w:rFonts w:hint="eastAsia" w:ascii="宋体" w:hAnsi="宋体" w:cs="宋体"/>
          <w:kern w:val="0"/>
        </w:rPr>
        <w:t>。</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投标人未参加开标的，视同认可开标结果。</w:t>
      </w:r>
    </w:p>
    <w:p>
      <w:pPr>
        <w:pStyle w:val="12"/>
        <w:spacing w:before="0" w:after="0" w:line="360" w:lineRule="auto"/>
        <w:rPr>
          <w:rFonts w:hint="eastAsia" w:ascii="宋体" w:hAnsi="宋体" w:cs="宋体"/>
          <w:kern w:val="0"/>
        </w:rPr>
      </w:pPr>
      <w:bookmarkStart w:id="24" w:name="_Toc496004006"/>
      <w:bookmarkStart w:id="25" w:name="_Toc1691"/>
      <w:r>
        <w:rPr>
          <w:rFonts w:hint="eastAsia" w:ascii="宋体" w:hAnsi="宋体" w:cs="宋体"/>
          <w:kern w:val="0"/>
          <w:szCs w:val="36"/>
        </w:rPr>
        <w:t>六、资格</w:t>
      </w:r>
      <w:r>
        <w:rPr>
          <w:rFonts w:hint="eastAsia" w:ascii="宋体" w:hAnsi="宋体" w:cs="宋体"/>
          <w:lang w:val="zh-CN"/>
        </w:rPr>
        <w:t>审查</w:t>
      </w:r>
      <w:r>
        <w:rPr>
          <w:rFonts w:hint="eastAsia" w:ascii="宋体" w:hAnsi="宋体" w:cs="宋体"/>
          <w:kern w:val="0"/>
          <w:szCs w:val="36"/>
        </w:rPr>
        <w:t>程序</w:t>
      </w:r>
      <w:bookmarkEnd w:id="24"/>
      <w:bookmarkEnd w:id="25"/>
    </w:p>
    <w:p>
      <w:pPr>
        <w:pStyle w:val="12"/>
        <w:spacing w:before="0" w:after="0" w:line="360" w:lineRule="auto"/>
        <w:jc w:val="left"/>
        <w:rPr>
          <w:rFonts w:hint="eastAsia" w:ascii="宋体" w:hAnsi="宋体" w:cs="宋体"/>
          <w:sz w:val="28"/>
          <w:szCs w:val="28"/>
        </w:rPr>
      </w:pPr>
      <w:bookmarkStart w:id="26" w:name="_Toc9302"/>
      <w:r>
        <w:rPr>
          <w:rFonts w:hint="eastAsia" w:ascii="宋体" w:hAnsi="宋体" w:cs="宋体"/>
          <w:sz w:val="28"/>
          <w:szCs w:val="28"/>
        </w:rPr>
        <w:t>17.资格审查</w:t>
      </w:r>
      <w:bookmarkEnd w:id="26"/>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17.1 开标结束后，采购人或者采购代理机构应当依法对投标人的资格性审查文件（上册）进行审查。</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17.2 合格投标人不足3家的，不得评标。</w:t>
      </w:r>
    </w:p>
    <w:p>
      <w:pPr>
        <w:autoSpaceDE w:val="0"/>
        <w:autoSpaceDN w:val="0"/>
        <w:spacing w:line="360" w:lineRule="auto"/>
        <w:ind w:firstLine="480" w:firstLineChars="200"/>
        <w:rPr>
          <w:rFonts w:hint="eastAsia" w:ascii="宋体" w:hAnsi="宋体" w:cs="宋体"/>
          <w:sz w:val="28"/>
          <w:szCs w:val="28"/>
        </w:rPr>
      </w:pPr>
      <w:bookmarkStart w:id="27" w:name="_Toc497503249"/>
      <w:bookmarkStart w:id="28" w:name="_Toc497503516"/>
      <w:bookmarkStart w:id="29" w:name="_Toc497503315"/>
      <w:bookmarkStart w:id="30" w:name="_Toc30809"/>
      <w:bookmarkStart w:id="31" w:name="_Toc497503449"/>
      <w:r>
        <w:rPr>
          <w:rFonts w:hint="eastAsia" w:ascii="宋体" w:hAnsi="宋体" w:cs="宋体"/>
          <w:kern w:val="0"/>
        </w:rPr>
        <w:t>17.3 资格审查时，投标人存在下列情况之一的，按无效投标处理：</w:t>
      </w:r>
      <w:bookmarkEnd w:id="27"/>
      <w:bookmarkEnd w:id="28"/>
      <w:bookmarkEnd w:id="29"/>
      <w:bookmarkEnd w:id="30"/>
      <w:bookmarkEnd w:id="31"/>
    </w:p>
    <w:p>
      <w:pPr>
        <w:numPr>
          <w:ilvl w:val="0"/>
          <w:numId w:val="3"/>
        </w:numPr>
        <w:tabs>
          <w:tab w:val="left" w:pos="960"/>
        </w:tabs>
        <w:autoSpaceDE w:val="0"/>
        <w:autoSpaceDN w:val="0"/>
        <w:spacing w:line="360" w:lineRule="auto"/>
        <w:ind w:firstLine="480" w:firstLineChars="200"/>
        <w:rPr>
          <w:rFonts w:hint="eastAsia" w:ascii="宋体" w:hAnsi="宋体" w:cs="宋体"/>
          <w:kern w:val="0"/>
        </w:rPr>
      </w:pPr>
      <w:r>
        <w:rPr>
          <w:rFonts w:hint="eastAsia" w:ascii="宋体" w:hAnsi="宋体" w:cs="宋体"/>
          <w:shd w:val="clear" w:color="auto" w:fill="FFFFFF"/>
        </w:rPr>
        <w:t>不具备</w:t>
      </w:r>
      <w:r>
        <w:rPr>
          <w:rFonts w:hint="eastAsia" w:ascii="宋体" w:hAnsi="宋体" w:cs="宋体"/>
          <w:kern w:val="0"/>
          <w:lang w:val="zh-CN"/>
        </w:rPr>
        <w:t>第一部分“投标邀请”中各包投标人资格要求</w:t>
      </w:r>
      <w:r>
        <w:rPr>
          <w:rFonts w:hint="eastAsia" w:ascii="宋体" w:hAnsi="宋体" w:cs="宋体"/>
          <w:shd w:val="clear" w:color="auto" w:fill="FFFFFF"/>
        </w:rPr>
        <w:t>的；</w:t>
      </w:r>
    </w:p>
    <w:p>
      <w:pPr>
        <w:numPr>
          <w:ilvl w:val="0"/>
          <w:numId w:val="3"/>
        </w:numPr>
        <w:tabs>
          <w:tab w:val="left" w:pos="960"/>
        </w:tabs>
        <w:autoSpaceDE w:val="0"/>
        <w:autoSpaceDN w:val="0"/>
        <w:spacing w:line="360" w:lineRule="auto"/>
        <w:ind w:firstLine="480" w:firstLineChars="200"/>
        <w:rPr>
          <w:rFonts w:hint="eastAsia" w:ascii="宋体" w:hAnsi="宋体" w:cs="宋体"/>
          <w:kern w:val="0"/>
        </w:rPr>
      </w:pPr>
      <w:r>
        <w:rPr>
          <w:rFonts w:hint="eastAsia" w:ascii="宋体" w:hAnsi="宋体" w:cs="宋体"/>
          <w:kern w:val="0"/>
        </w:rPr>
        <w:t>未按招标文件要求交纳或未足额交纳投标保证金的；</w:t>
      </w:r>
    </w:p>
    <w:p>
      <w:pPr>
        <w:numPr>
          <w:ilvl w:val="0"/>
          <w:numId w:val="3"/>
        </w:numPr>
        <w:tabs>
          <w:tab w:val="left" w:pos="960"/>
        </w:tabs>
        <w:autoSpaceDE w:val="0"/>
        <w:autoSpaceDN w:val="0"/>
        <w:spacing w:line="360" w:lineRule="auto"/>
        <w:ind w:firstLine="480" w:firstLineChars="200"/>
        <w:rPr>
          <w:rFonts w:hint="eastAsia" w:ascii="宋体" w:hAnsi="宋体" w:cs="宋体"/>
          <w:kern w:val="0"/>
        </w:rPr>
      </w:pPr>
      <w:r>
        <w:rPr>
          <w:rFonts w:hint="eastAsia" w:ascii="宋体" w:hAnsi="宋体" w:cs="宋体"/>
          <w:kern w:val="0"/>
        </w:rPr>
        <w:t>未按第11.1要求提供相关资料的；</w:t>
      </w:r>
    </w:p>
    <w:p>
      <w:pPr>
        <w:numPr>
          <w:ilvl w:val="0"/>
          <w:numId w:val="3"/>
        </w:numPr>
        <w:tabs>
          <w:tab w:val="left" w:pos="960"/>
        </w:tabs>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kern w:val="0"/>
        </w:rPr>
        <w:t>资格性审查文件未按招标文件规定和要求签字、盖章的；</w:t>
      </w:r>
    </w:p>
    <w:p>
      <w:pPr>
        <w:numPr>
          <w:ilvl w:val="0"/>
          <w:numId w:val="3"/>
        </w:numPr>
        <w:tabs>
          <w:tab w:val="left" w:pos="960"/>
        </w:tabs>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报价超过招标文件中规定的预算金额或者最高限价的；</w:t>
      </w:r>
    </w:p>
    <w:p>
      <w:pPr>
        <w:numPr>
          <w:ilvl w:val="0"/>
          <w:numId w:val="3"/>
        </w:numPr>
        <w:tabs>
          <w:tab w:val="left" w:pos="960"/>
        </w:tabs>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kern w:val="0"/>
          <w:lang w:val="zh-CN"/>
        </w:rPr>
        <w:t>投标有效期不能满足招标文件要求的；</w:t>
      </w:r>
    </w:p>
    <w:p>
      <w:pPr>
        <w:numPr>
          <w:ilvl w:val="0"/>
          <w:numId w:val="3"/>
        </w:numPr>
        <w:tabs>
          <w:tab w:val="left" w:pos="960"/>
        </w:tabs>
        <w:autoSpaceDE w:val="0"/>
        <w:autoSpaceDN w:val="0"/>
        <w:spacing w:line="360" w:lineRule="auto"/>
        <w:ind w:firstLine="480" w:firstLineChars="200"/>
        <w:rPr>
          <w:rFonts w:hint="eastAsia" w:ascii="宋体" w:hAnsi="宋体" w:cs="宋体"/>
          <w:kern w:val="0"/>
        </w:rPr>
      </w:pPr>
      <w:r>
        <w:rPr>
          <w:rFonts w:hint="eastAsia" w:ascii="宋体" w:hAnsi="宋体" w:cs="宋体"/>
          <w:kern w:val="0"/>
        </w:rPr>
        <w:t>未按照招标文件要求提供电子文档</w:t>
      </w:r>
      <w:r>
        <w:rPr>
          <w:rFonts w:hint="eastAsia" w:ascii="宋体" w:hAnsi="宋体" w:cs="宋体"/>
          <w:kern w:val="0"/>
          <w:lang w:val="zh-CN"/>
        </w:rPr>
        <w:t>的；</w:t>
      </w:r>
    </w:p>
    <w:p>
      <w:pPr>
        <w:pStyle w:val="12"/>
        <w:spacing w:before="0" w:after="0" w:line="360" w:lineRule="auto"/>
        <w:rPr>
          <w:rFonts w:hint="eastAsia" w:ascii="宋体" w:hAnsi="宋体" w:cs="宋体"/>
        </w:rPr>
      </w:pPr>
      <w:bookmarkStart w:id="32" w:name="_Toc17874"/>
      <w:r>
        <w:rPr>
          <w:rFonts w:hint="eastAsia" w:ascii="宋体" w:hAnsi="宋体" w:cs="宋体"/>
          <w:lang w:val="zh-CN"/>
        </w:rPr>
        <w:t>七、评审程序及方法</w:t>
      </w:r>
      <w:bookmarkEnd w:id="32"/>
    </w:p>
    <w:p>
      <w:pPr>
        <w:pStyle w:val="12"/>
        <w:spacing w:before="0" w:after="0" w:line="360" w:lineRule="auto"/>
        <w:jc w:val="left"/>
        <w:rPr>
          <w:rFonts w:hint="eastAsia" w:ascii="宋体" w:hAnsi="宋体" w:cs="宋体"/>
          <w:lang w:val="zh-CN"/>
        </w:rPr>
      </w:pPr>
      <w:bookmarkStart w:id="33" w:name="_Toc27272"/>
      <w:r>
        <w:rPr>
          <w:rFonts w:hint="eastAsia" w:ascii="宋体" w:hAnsi="宋体" w:cs="宋体"/>
          <w:sz w:val="28"/>
          <w:szCs w:val="28"/>
          <w:lang w:val="zh-CN"/>
        </w:rPr>
        <w:t>1</w:t>
      </w:r>
      <w:r>
        <w:rPr>
          <w:rFonts w:hint="eastAsia" w:ascii="宋体" w:hAnsi="宋体" w:cs="宋体"/>
          <w:sz w:val="28"/>
          <w:szCs w:val="28"/>
        </w:rPr>
        <w:t>8</w:t>
      </w:r>
      <w:r>
        <w:rPr>
          <w:rFonts w:hint="eastAsia" w:ascii="宋体" w:hAnsi="宋体" w:cs="宋体"/>
          <w:sz w:val="28"/>
          <w:szCs w:val="28"/>
          <w:lang w:val="zh-CN"/>
        </w:rPr>
        <w:t>.评标委员会</w:t>
      </w:r>
      <w:bookmarkEnd w:id="33"/>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rPr>
        <w:t>18.1</w:t>
      </w:r>
      <w:r>
        <w:rPr>
          <w:rFonts w:hint="eastAsia" w:ascii="宋体" w:hAnsi="宋体" w:cs="宋体"/>
          <w:kern w:val="0"/>
          <w:lang w:val="zh-CN"/>
        </w:rPr>
        <w:t>采购代理机构负责组织评标工作，并履行下列职责：</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1</w:t>
      </w:r>
      <w:r>
        <w:rPr>
          <w:rFonts w:hint="eastAsia" w:ascii="宋体" w:hAnsi="宋体" w:cs="宋体"/>
          <w:kern w:val="0"/>
          <w:lang w:val="zh-CN"/>
        </w:rPr>
        <w:t>）核对评审专家身份和采购人代表授权函，对评审专家在政府采购活动中的职责履行情况予以记录，并及时将有关违法违规行为向财政部门报告；</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2</w:t>
      </w:r>
      <w:r>
        <w:rPr>
          <w:rFonts w:hint="eastAsia" w:ascii="宋体" w:hAnsi="宋体" w:cs="宋体"/>
          <w:kern w:val="0"/>
          <w:lang w:val="zh-CN"/>
        </w:rPr>
        <w:t>）宣布评标纪律；</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3</w:t>
      </w:r>
      <w:r>
        <w:rPr>
          <w:rFonts w:hint="eastAsia" w:ascii="宋体" w:hAnsi="宋体" w:cs="宋体"/>
          <w:kern w:val="0"/>
          <w:lang w:val="zh-CN"/>
        </w:rPr>
        <w:t>）公布投标人名单，告知评审专家应当回避的情形；</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4</w:t>
      </w:r>
      <w:r>
        <w:rPr>
          <w:rFonts w:hint="eastAsia" w:ascii="宋体" w:hAnsi="宋体" w:cs="宋体"/>
          <w:kern w:val="0"/>
          <w:lang w:val="zh-CN"/>
        </w:rPr>
        <w:t>）组织评标委员会推选评标组长，采购人代表不得担任组长；</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5</w:t>
      </w:r>
      <w:r>
        <w:rPr>
          <w:rFonts w:hint="eastAsia" w:ascii="宋体" w:hAnsi="宋体" w:cs="宋体"/>
          <w:kern w:val="0"/>
          <w:lang w:val="zh-CN"/>
        </w:rPr>
        <w:t>）在评标期间采取必要的通讯管理措施，保证评标活动不受外界干扰；</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6</w:t>
      </w:r>
      <w:r>
        <w:rPr>
          <w:rFonts w:hint="eastAsia" w:ascii="宋体" w:hAnsi="宋体" w:cs="宋体"/>
          <w:kern w:val="0"/>
          <w:lang w:val="zh-CN"/>
        </w:rPr>
        <w:t>）根据评标委员会的要求介绍政府采购相关政策法规、招标文件；</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7</w:t>
      </w:r>
      <w:r>
        <w:rPr>
          <w:rFonts w:hint="eastAsia" w:ascii="宋体" w:hAnsi="宋体" w:cs="宋体"/>
          <w:kern w:val="0"/>
          <w:lang w:val="zh-CN"/>
        </w:rPr>
        <w:t>）维护评标秩序，监督评标委员会依照招标文件规定的评标程序、方法和标准进行独立评审，及时制止和纠正采购人代表、评审专家的倾向性言论或者违法违规行为；</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8</w:t>
      </w:r>
      <w:r>
        <w:rPr>
          <w:rFonts w:hint="eastAsia" w:ascii="宋体" w:hAnsi="宋体" w:cs="宋体"/>
          <w:kern w:val="0"/>
          <w:lang w:val="zh-CN"/>
        </w:rPr>
        <w:t>）核对评标结果，有</w:t>
      </w:r>
      <w:r>
        <w:rPr>
          <w:rFonts w:hint="eastAsia" w:ascii="宋体" w:hAnsi="宋体" w:cs="宋体"/>
          <w:kern w:val="0"/>
        </w:rPr>
        <w:t>20.4</w:t>
      </w:r>
      <w:r>
        <w:rPr>
          <w:rFonts w:hint="eastAsia" w:ascii="宋体" w:hAnsi="宋体" w:cs="宋体"/>
          <w:kern w:val="0"/>
          <w:lang w:val="zh-CN"/>
        </w:rPr>
        <w:t>规定情形的，要求评标委员会复核或者书面说明理由，评标委员会拒绝的，应予记录并向本级财政部门报告；</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9</w:t>
      </w:r>
      <w:r>
        <w:rPr>
          <w:rFonts w:hint="eastAsia" w:ascii="宋体" w:hAnsi="宋体" w:cs="宋体"/>
          <w:kern w:val="0"/>
          <w:lang w:val="zh-CN"/>
        </w:rPr>
        <w:t>）评审工作完成后，按照规定由采购人向评审专家支付劳务报酬和异地评审差旅费，不得向评审专家以外的其他人员支付评审劳务报酬；</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10</w:t>
      </w:r>
      <w:r>
        <w:rPr>
          <w:rFonts w:hint="eastAsia" w:ascii="宋体" w:hAnsi="宋体" w:cs="宋体"/>
          <w:kern w:val="0"/>
          <w:lang w:val="zh-CN"/>
        </w:rPr>
        <w:t>）处理与评标有关的其他事项。</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lang w:val="zh-CN"/>
        </w:rPr>
        <w:t>采购人可以在评标前说明项目背景和采购需求，说明内容不得含有歧视性、倾向性意见，不得超出招标文件所述范围。说明应当提交书面材料，并随采购文件一并存档。</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18.2 评标委员会负责具体评标事务，并独立履行下列职责：</w:t>
      </w:r>
    </w:p>
    <w:p>
      <w:pPr>
        <w:numPr>
          <w:ilvl w:val="0"/>
          <w:numId w:val="4"/>
        </w:num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严格遵守评审工作纪律,按照客观、公正、审慎的原则,根据采购文件规定的评审程序、评审方法和评审标准进行独立评审</w:t>
      </w:r>
      <w:r>
        <w:rPr>
          <w:rFonts w:hint="eastAsia" w:ascii="宋体" w:hAnsi="宋体" w:cs="宋体"/>
          <w:kern w:val="0"/>
          <w:lang w:val="zh-CN"/>
        </w:rPr>
        <w:t>；</w:t>
      </w:r>
    </w:p>
    <w:p>
      <w:pPr>
        <w:numPr>
          <w:ilvl w:val="0"/>
          <w:numId w:val="4"/>
        </w:num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现采购文件内容违反国家有关强制性规定或者采购文件存在歧义、重大缺陷导致评审工作无法进行时,应当停止评审并向采购人或者采购代理机构书面说明情况</w:t>
      </w:r>
      <w:r>
        <w:rPr>
          <w:rFonts w:hint="eastAsia" w:ascii="宋体" w:hAnsi="宋体" w:cs="宋体"/>
          <w:kern w:val="0"/>
          <w:lang w:val="zh-CN"/>
        </w:rPr>
        <w:t>；</w:t>
      </w:r>
    </w:p>
    <w:p>
      <w:pPr>
        <w:numPr>
          <w:ilvl w:val="0"/>
          <w:numId w:val="4"/>
        </w:num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审查、评价投标文件是否符合招标文件的商务、技术等实质性要求</w:t>
      </w:r>
      <w:r>
        <w:rPr>
          <w:rFonts w:hint="eastAsia" w:ascii="宋体" w:hAnsi="宋体" w:cs="宋体"/>
          <w:kern w:val="0"/>
          <w:lang w:val="zh-CN"/>
        </w:rPr>
        <w:t>；</w:t>
      </w:r>
    </w:p>
    <w:p>
      <w:pPr>
        <w:numPr>
          <w:ilvl w:val="0"/>
          <w:numId w:val="4"/>
        </w:num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要求投标人对投标文件有关事项作出澄清或者说明；</w:t>
      </w:r>
    </w:p>
    <w:p>
      <w:pPr>
        <w:numPr>
          <w:ilvl w:val="0"/>
          <w:numId w:val="4"/>
        </w:num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对投标文件进行比较和评价；</w:t>
      </w:r>
    </w:p>
    <w:p>
      <w:pPr>
        <w:numPr>
          <w:ilvl w:val="0"/>
          <w:numId w:val="4"/>
        </w:num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确定中标候选人名单，以及根据采购人委托直接确定中标人；</w:t>
      </w:r>
    </w:p>
    <w:p>
      <w:pPr>
        <w:numPr>
          <w:ilvl w:val="0"/>
          <w:numId w:val="4"/>
        </w:num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配合答复投标人的询问、质疑和投诉等事项,不得泄露评审文件、评审情况和在评审过程中获悉的商业秘密</w:t>
      </w:r>
      <w:r>
        <w:rPr>
          <w:rFonts w:hint="eastAsia" w:ascii="宋体" w:hAnsi="宋体" w:cs="宋体"/>
          <w:kern w:val="0"/>
          <w:lang w:val="zh-CN"/>
        </w:rPr>
        <w:t>；</w:t>
      </w:r>
    </w:p>
    <w:p>
      <w:pPr>
        <w:numPr>
          <w:ilvl w:val="0"/>
          <w:numId w:val="4"/>
        </w:num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向采购人、采购代理机构或者有关部门报告评标中发现的违法行为。</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18.3 评标委员会由采购人代表和评审专家组成，成员人数应当为5人以上单数，其中评审专家不得少于成员总数的三分之二。</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采购项目符合下列情形之一的，评标委员会成员人数应当为7人以上单数：</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（1）采购预算金额在1000万元以上；</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（2）技术复杂；</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（3）社会影响较大。</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评审专家对本单位的采购项目只能作为采购人代表参与评标。采购代理机构工作人员不得参加由本机构代理的政府采购项目的评标。</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评标委员会成员名单在评标结果公告前应当保密。</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18.4</w:t>
      </w:r>
      <w:r>
        <w:rPr>
          <w:rFonts w:hint="eastAsia" w:ascii="宋体" w:hAnsi="宋体" w:cs="宋体"/>
          <w:kern w:val="0"/>
          <w:lang w:val="zh-CN"/>
        </w:rPr>
        <w:t>采购代理机构</w:t>
      </w:r>
      <w:r>
        <w:rPr>
          <w:rFonts w:hint="eastAsia" w:ascii="宋体" w:hAnsi="宋体" w:cs="宋体"/>
          <w:kern w:val="0"/>
        </w:rPr>
        <w:t>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lang w:val="zh-CN"/>
        </w:rPr>
        <w:t>1</w:t>
      </w:r>
      <w:r>
        <w:rPr>
          <w:rFonts w:hint="eastAsia" w:ascii="宋体" w:hAnsi="宋体" w:cs="宋体"/>
          <w:kern w:val="0"/>
        </w:rPr>
        <w:t>8</w:t>
      </w:r>
      <w:r>
        <w:rPr>
          <w:rFonts w:hint="eastAsia" w:ascii="宋体" w:hAnsi="宋体" w:cs="宋体"/>
          <w:kern w:val="0"/>
          <w:lang w:val="zh-CN"/>
        </w:rPr>
        <w:t>.</w:t>
      </w:r>
      <w:r>
        <w:rPr>
          <w:rFonts w:hint="eastAsia" w:ascii="宋体" w:hAnsi="宋体" w:cs="宋体"/>
          <w:kern w:val="0"/>
        </w:rPr>
        <w:t>5 评标中因评标委员会成员缺席、回避或者健康等特殊原因导致评标委员会组成不符合规定的，采购人或者采购代理机构应当依法补足后继续评标。被更换的评标委员会成员所作出的评标意见无效。无法及时补足评标委员会成员的，采购代理机构应当停止评标活动，封存所有投标文件和开标、评标资料，依法重新组建评标委员会进行评标。原评标委员会所作出的评标意见无效。</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采购代理机构</w:t>
      </w:r>
      <w:r>
        <w:rPr>
          <w:rFonts w:hint="eastAsia" w:ascii="宋体" w:hAnsi="宋体" w:cs="宋体"/>
          <w:kern w:val="0"/>
        </w:rPr>
        <w:t>应当将变更、重新组建评标委员会的情况予以记录，并随采购文件一并存档。</w:t>
      </w:r>
    </w:p>
    <w:p>
      <w:pPr>
        <w:pStyle w:val="12"/>
        <w:spacing w:before="0" w:after="0" w:line="360" w:lineRule="auto"/>
        <w:jc w:val="left"/>
        <w:rPr>
          <w:rFonts w:hint="eastAsia" w:ascii="宋体" w:hAnsi="宋体" w:cs="宋体"/>
          <w:lang w:val="zh-CN"/>
        </w:rPr>
      </w:pPr>
      <w:bookmarkStart w:id="34" w:name="_Toc13655"/>
      <w:r>
        <w:rPr>
          <w:rFonts w:hint="eastAsia" w:ascii="宋体" w:hAnsi="宋体" w:cs="宋体"/>
          <w:sz w:val="28"/>
          <w:szCs w:val="28"/>
        </w:rPr>
        <w:t>19</w:t>
      </w:r>
      <w:r>
        <w:rPr>
          <w:rFonts w:hint="eastAsia" w:ascii="宋体" w:hAnsi="宋体" w:cs="宋体"/>
          <w:sz w:val="28"/>
          <w:szCs w:val="28"/>
          <w:lang w:val="zh-CN"/>
        </w:rPr>
        <w:t>.评审工作程序</w:t>
      </w:r>
      <w:bookmarkEnd w:id="34"/>
    </w:p>
    <w:p>
      <w:pPr>
        <w:autoSpaceDE w:val="0"/>
        <w:autoSpaceDN w:val="0"/>
        <w:spacing w:line="360" w:lineRule="auto"/>
        <w:ind w:firstLine="482" w:firstLineChars="200"/>
        <w:rPr>
          <w:rFonts w:hint="eastAsia" w:ascii="宋体" w:hAnsi="宋体" w:cs="宋体"/>
          <w:kern w:val="0"/>
          <w:lang w:val="zh-CN"/>
        </w:rPr>
      </w:pPr>
      <w:r>
        <w:rPr>
          <w:rFonts w:hint="eastAsia" w:ascii="宋体" w:hAnsi="宋体" w:cs="宋体"/>
          <w:b/>
          <w:bCs/>
          <w:kern w:val="0"/>
          <w:lang w:val="zh-CN"/>
        </w:rPr>
        <w:t>1</w:t>
      </w:r>
      <w:r>
        <w:rPr>
          <w:rFonts w:hint="eastAsia" w:ascii="宋体" w:hAnsi="宋体" w:cs="宋体"/>
          <w:b/>
          <w:bCs/>
          <w:kern w:val="0"/>
        </w:rPr>
        <w:t>9</w:t>
      </w:r>
      <w:r>
        <w:rPr>
          <w:rFonts w:hint="eastAsia" w:ascii="宋体" w:hAnsi="宋体" w:cs="宋体"/>
          <w:b/>
          <w:bCs/>
          <w:kern w:val="0"/>
          <w:lang w:val="zh-CN"/>
        </w:rPr>
        <w:t>.1</w:t>
      </w:r>
      <w:r>
        <w:rPr>
          <w:rFonts w:hint="eastAsia" w:ascii="宋体" w:hAnsi="宋体" w:cs="宋体"/>
          <w:kern w:val="0"/>
        </w:rPr>
        <w:t xml:space="preserve"> </w:t>
      </w:r>
      <w:r>
        <w:rPr>
          <w:rFonts w:hint="eastAsia" w:ascii="宋体" w:hAnsi="宋体" w:cs="宋体"/>
          <w:kern w:val="0"/>
          <w:lang w:val="zh-CN"/>
        </w:rPr>
        <w:t>评标委员会应当对符合资格的投标人的符合性文件进行审查，以确定其是否满足招标文件的实质性要求。</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rPr>
        <w:t>19.1.1</w:t>
      </w:r>
      <w:r>
        <w:rPr>
          <w:rFonts w:hint="eastAsia" w:ascii="宋体" w:hAnsi="宋体" w:cs="宋体"/>
          <w:b/>
          <w:bCs/>
          <w:kern w:val="0"/>
        </w:rPr>
        <w:t xml:space="preserve"> </w:t>
      </w:r>
      <w:r>
        <w:rPr>
          <w:rFonts w:hint="eastAsia" w:ascii="宋体" w:hAnsi="宋体" w:cs="宋体"/>
          <w:kern w:val="0"/>
          <w:lang w:val="zh-CN"/>
        </w:rPr>
        <w:t>投标文件中含义不明确、同类问题表述不一致或者有明显文字和计算错误的内容，评标委员会应当以书面形式要求投标人作出必要的澄清、说明或者补正。</w:t>
      </w:r>
    </w:p>
    <w:p>
      <w:pPr>
        <w:autoSpaceDE w:val="0"/>
        <w:autoSpaceDN w:val="0"/>
        <w:spacing w:line="360" w:lineRule="auto"/>
        <w:ind w:firstLine="480" w:firstLineChars="200"/>
        <w:rPr>
          <w:rFonts w:hint="eastAsia" w:ascii="宋体" w:hAnsi="宋体" w:cs="宋体"/>
          <w:b/>
          <w:bCs/>
          <w:kern w:val="0"/>
        </w:rPr>
      </w:pPr>
      <w:r>
        <w:rPr>
          <w:rFonts w:hint="eastAsia" w:ascii="宋体" w:hAnsi="宋体" w:cs="宋体"/>
          <w:kern w:val="0"/>
          <w:lang w:val="zh-CN"/>
        </w:rPr>
        <w:t>投标人的澄清、说明或者补正应当采用书面形式，并加盖公章，或者由法定代表人或其授权的代表签字。投标人的澄清、说明或者补正不得超出投标文件的范围或者改变投标文件的实质性内容。</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1</w:t>
      </w:r>
      <w:r>
        <w:rPr>
          <w:rFonts w:hint="eastAsia" w:ascii="宋体" w:hAnsi="宋体" w:cs="宋体"/>
          <w:kern w:val="0"/>
        </w:rPr>
        <w:t>9</w:t>
      </w:r>
      <w:r>
        <w:rPr>
          <w:rFonts w:hint="eastAsia" w:ascii="宋体" w:hAnsi="宋体" w:cs="宋体"/>
          <w:kern w:val="0"/>
          <w:lang w:val="zh-CN"/>
        </w:rPr>
        <w:t>.</w:t>
      </w:r>
      <w:r>
        <w:rPr>
          <w:rFonts w:hint="eastAsia" w:ascii="宋体" w:hAnsi="宋体" w:cs="宋体"/>
          <w:kern w:val="0"/>
        </w:rPr>
        <w:t>1</w:t>
      </w:r>
      <w:r>
        <w:rPr>
          <w:rFonts w:hint="eastAsia" w:ascii="宋体" w:hAnsi="宋体" w:cs="宋体"/>
          <w:kern w:val="0"/>
          <w:lang w:val="zh-CN"/>
        </w:rPr>
        <w:t>.2投标人存在下列情况之一的，投标无效:</w:t>
      </w:r>
    </w:p>
    <w:p>
      <w:pPr>
        <w:numPr>
          <w:ilvl w:val="0"/>
          <w:numId w:val="5"/>
        </w:num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符合性审查文件未按招标文件要求签署、盖章的；</w:t>
      </w:r>
    </w:p>
    <w:p>
      <w:pPr>
        <w:numPr>
          <w:ilvl w:val="0"/>
          <w:numId w:val="5"/>
        </w:numPr>
        <w:autoSpaceDE w:val="0"/>
        <w:autoSpaceDN w:val="0"/>
        <w:spacing w:line="360" w:lineRule="auto"/>
        <w:ind w:firstLine="480" w:firstLineChars="200"/>
        <w:rPr>
          <w:rFonts w:hint="eastAsia" w:ascii="宋体" w:hAnsi="宋体" w:cs="宋体"/>
          <w:kern w:val="0"/>
          <w:lang w:val="zh-CN"/>
        </w:rPr>
      </w:pPr>
      <w:r>
        <w:rPr>
          <w:rFonts w:hint="eastAsia" w:ascii="宋体" w:hAnsi="宋体" w:cs="宋体"/>
          <w:lang w:val="zh-CN"/>
        </w:rPr>
        <w:t>未按第11</w:t>
      </w:r>
      <w:r>
        <w:rPr>
          <w:rFonts w:hint="eastAsia" w:ascii="宋体" w:hAnsi="宋体" w:cs="宋体"/>
        </w:rPr>
        <w:t>.</w:t>
      </w:r>
      <w:r>
        <w:rPr>
          <w:rFonts w:hint="eastAsia" w:ascii="宋体" w:hAnsi="宋体" w:cs="宋体"/>
          <w:lang w:val="zh-CN"/>
        </w:rPr>
        <w:t>2（</w:t>
      </w:r>
      <w:r>
        <w:rPr>
          <w:rFonts w:hint="eastAsia" w:ascii="宋体" w:hAnsi="宋体" w:cs="宋体"/>
        </w:rPr>
        <w:t>11</w:t>
      </w:r>
      <w:r>
        <w:rPr>
          <w:rFonts w:hint="eastAsia" w:ascii="宋体" w:hAnsi="宋体" w:cs="宋体"/>
          <w:lang w:val="zh-CN"/>
        </w:rPr>
        <w:t>）</w:t>
      </w:r>
      <w:r>
        <w:rPr>
          <w:rFonts w:hint="eastAsia" w:ascii="宋体" w:hAnsi="宋体" w:cs="楷体_GB2312"/>
          <w:lang w:val="zh-CN"/>
        </w:rPr>
        <w:t>-</w:t>
      </w:r>
      <w:r>
        <w:rPr>
          <w:rFonts w:ascii="宋体" w:hAnsi="宋体" w:cs="宋体"/>
          <w:lang w:val="zh-CN"/>
        </w:rPr>
        <w:t>（</w:t>
      </w:r>
      <w:r>
        <w:rPr>
          <w:rFonts w:hint="eastAsia" w:ascii="宋体" w:hAnsi="宋体" w:cs="宋体"/>
          <w:lang w:val="zh-CN"/>
        </w:rPr>
        <w:t>1</w:t>
      </w:r>
      <w:r>
        <w:rPr>
          <w:rFonts w:hint="eastAsia" w:ascii="宋体" w:hAnsi="宋体" w:cs="宋体"/>
        </w:rPr>
        <w:t>4</w:t>
      </w:r>
      <w:r>
        <w:rPr>
          <w:rFonts w:ascii="宋体" w:hAnsi="宋体" w:cs="宋体"/>
          <w:lang w:val="zh-CN"/>
        </w:rPr>
        <w:t>）</w:t>
      </w:r>
      <w:r>
        <w:rPr>
          <w:rFonts w:hint="eastAsia" w:ascii="宋体" w:hAnsi="宋体" w:cs="宋体"/>
          <w:lang w:val="zh-CN"/>
        </w:rPr>
        <w:t>款要求提供相关资料的；</w:t>
      </w:r>
    </w:p>
    <w:p>
      <w:pPr>
        <w:numPr>
          <w:ilvl w:val="0"/>
          <w:numId w:val="5"/>
        </w:num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投标文件含有采购人不能接受的附加条件的；</w:t>
      </w:r>
    </w:p>
    <w:p>
      <w:pPr>
        <w:numPr>
          <w:ilvl w:val="0"/>
          <w:numId w:val="5"/>
        </w:num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产品交货时间不能满足招标文件要求的；</w:t>
      </w:r>
    </w:p>
    <w:p>
      <w:pPr>
        <w:numPr>
          <w:ilvl w:val="0"/>
          <w:numId w:val="5"/>
        </w:numPr>
        <w:autoSpaceDE w:val="0"/>
        <w:autoSpaceDN w:val="0"/>
        <w:spacing w:line="360" w:lineRule="auto"/>
        <w:ind w:firstLine="480" w:firstLineChars="200"/>
        <w:rPr>
          <w:rFonts w:ascii="宋体" w:hAnsi="宋体" w:cs="宋体"/>
          <w:kern w:val="0"/>
          <w:lang w:val="zh-CN"/>
        </w:rPr>
      </w:pPr>
      <w:r>
        <w:rPr>
          <w:rFonts w:hint="eastAsia" w:ascii="宋体" w:hAnsi="宋体"/>
        </w:rPr>
        <w:t>投标总报价超过招标文件规定的采购预算额度或者最高限价的；</w:t>
      </w:r>
    </w:p>
    <w:p>
      <w:pPr>
        <w:numPr>
          <w:ilvl w:val="0"/>
          <w:numId w:val="5"/>
        </w:numPr>
        <w:autoSpaceDE w:val="0"/>
        <w:autoSpaceDN w:val="0"/>
        <w:spacing w:line="360" w:lineRule="auto"/>
        <w:ind w:firstLine="480" w:firstLineChars="200"/>
        <w:rPr>
          <w:rFonts w:hint="eastAsia" w:ascii="宋体" w:hAnsi="宋体" w:cs="宋体"/>
          <w:kern w:val="0"/>
          <w:lang w:val="zh-CN"/>
        </w:rPr>
      </w:pPr>
      <w:r>
        <w:rPr>
          <w:rFonts w:hint="eastAsia" w:ascii="宋体" w:hAnsi="宋体"/>
        </w:rPr>
        <w:t>投标产品未完全满足招标文件确定的重要技术指标、参数的；</w:t>
      </w:r>
    </w:p>
    <w:p>
      <w:pPr>
        <w:numPr>
          <w:ilvl w:val="0"/>
          <w:numId w:val="5"/>
        </w:num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存在串通投标行为；</w:t>
      </w:r>
    </w:p>
    <w:p>
      <w:pPr>
        <w:numPr>
          <w:ilvl w:val="0"/>
          <w:numId w:val="5"/>
        </w:numPr>
        <w:autoSpaceDE w:val="0"/>
        <w:autoSpaceDN w:val="0"/>
        <w:spacing w:line="360" w:lineRule="auto"/>
        <w:ind w:firstLine="480" w:firstLineChars="200"/>
        <w:rPr>
          <w:rFonts w:ascii="宋体" w:hAnsi="宋体" w:cs="宋体"/>
          <w:kern w:val="0"/>
          <w:lang w:val="zh-CN"/>
        </w:rPr>
      </w:pPr>
      <w:r>
        <w:rPr>
          <w:rFonts w:hint="eastAsia" w:ascii="宋体" w:hAnsi="宋体"/>
        </w:rPr>
        <w:t>投标报价出现前后不一致</w:t>
      </w:r>
      <w:r>
        <w:rPr>
          <w:rFonts w:ascii="宋体" w:hAnsi="宋体"/>
        </w:rPr>
        <w:t>，</w:t>
      </w:r>
      <w:r>
        <w:rPr>
          <w:rFonts w:hint="eastAsia" w:ascii="宋体" w:hAnsi="宋体"/>
        </w:rPr>
        <w:t>又不按19.1.</w:t>
      </w:r>
      <w:r>
        <w:rPr>
          <w:rFonts w:ascii="宋体" w:hAnsi="宋体"/>
        </w:rPr>
        <w:t>3</w:t>
      </w:r>
      <w:r>
        <w:rPr>
          <w:rFonts w:hint="eastAsia" w:ascii="宋体" w:hAnsi="宋体"/>
        </w:rPr>
        <w:t>进行确认</w:t>
      </w:r>
      <w:r>
        <w:rPr>
          <w:rFonts w:ascii="宋体" w:hAnsi="宋体"/>
        </w:rPr>
        <w:t>的；</w:t>
      </w:r>
    </w:p>
    <w:p>
      <w:pPr>
        <w:numPr>
          <w:ilvl w:val="0"/>
          <w:numId w:val="5"/>
        </w:numPr>
        <w:autoSpaceDE w:val="0"/>
        <w:autoSpaceDN w:val="0"/>
        <w:spacing w:line="360" w:lineRule="auto"/>
        <w:ind w:firstLine="480" w:firstLineChars="200"/>
        <w:rPr>
          <w:rFonts w:hint="eastAsia" w:ascii="宋体" w:hAnsi="宋体" w:cs="宋体"/>
          <w:kern w:val="0"/>
          <w:lang w:val="zh-CN"/>
        </w:rPr>
      </w:pPr>
      <w:r>
        <w:rPr>
          <w:rFonts w:hint="eastAsia" w:ascii="宋体" w:hAnsi="宋体"/>
        </w:rPr>
        <w:t>评标委员会认为应按无效投标处理的其他情况；</w:t>
      </w:r>
    </w:p>
    <w:p>
      <w:pPr>
        <w:numPr>
          <w:ilvl w:val="0"/>
          <w:numId w:val="5"/>
        </w:num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法律、法规和招标文件规定的其他无效情形。</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19.1.3 投标文件报价出现前后不一致的，按照下列规定修正：</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（1）投标文件中开标一览表（报价表）内容与投标文件中相应内容不一致的，以开标一览表（报价表）为准；</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（2）大写金额和小写金额不一致的，以大写金额为准；</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（3）单价金额小数点或者百分比有明显错位的，以开标一览表的总价为准，并修改单价；</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（4）总价金额与按单价汇总金额不一致的，以单价金额计算结果为准。</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同时出现两种以上不一致的，按照前款规定的顺序修正。修正后的报价按19.1.1第二款的规定经投标人确认后产生约束力。</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rPr>
        <w:t xml:space="preserve">19.2 </w:t>
      </w:r>
      <w:r>
        <w:rPr>
          <w:rFonts w:hint="eastAsia" w:ascii="宋体" w:hAnsi="宋体" w:cs="宋体"/>
          <w:kern w:val="0"/>
          <w:lang w:val="zh-CN"/>
        </w:rPr>
        <w:t>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根据《政府采购促进中小企业发展暂行办法》，属小型、微型企业制造的货物（产品），投标人须提供该制造（生产）企业出具的《小型、微型企业声明函》、《监狱企业证明资料》，其划型标准严格按照国家工信部、国家统计局、国家发改委、财政部出台的《中小企业划型标准规定》（工信部联企业[2011]300号）执行。投标人提供的《小型、微型企业声明函》、《监狱企业证明资料》资料必须真实，否则，按照有关规定予以处理。</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根据财政部、民政部、中国残疾人联合会出台的《关于促进残疾人就业政府采购政策的通知》（财库[2017]141号），属残疾人福利性单位的，投标人须提供《残疾人福利性单位声明函》（详见附件</w:t>
      </w:r>
      <w:r>
        <w:rPr>
          <w:rFonts w:hint="eastAsia" w:ascii="宋体" w:hAnsi="宋体" w:cs="宋体"/>
          <w:kern w:val="0"/>
        </w:rPr>
        <w:t>18</w:t>
      </w:r>
      <w:r>
        <w:rPr>
          <w:rFonts w:hint="eastAsia" w:ascii="宋体" w:hAnsi="宋体" w:cs="宋体"/>
          <w:kern w:val="0"/>
          <w:lang w:val="zh-CN"/>
        </w:rPr>
        <w:t>），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rPr>
        <w:t xml:space="preserve">19.3 </w:t>
      </w:r>
      <w:r>
        <w:rPr>
          <w:rFonts w:hint="eastAsia" w:ascii="宋体" w:hAnsi="宋体" w:cs="宋体"/>
          <w:kern w:val="0"/>
          <w:lang w:val="zh-CN"/>
        </w:rPr>
        <w:t>在评审过程中，</w:t>
      </w:r>
      <w:r>
        <w:rPr>
          <w:rFonts w:hint="eastAsia" w:ascii="宋体" w:hAnsi="宋体" w:cs="宋体"/>
          <w:shd w:val="clear" w:color="auto" w:fill="FFFFFF"/>
        </w:rPr>
        <w:t>评标委员会成员对需要共同认定的事项存在争议的，应当按照少数服从多数的原则作出结论。持不同意见的评标委员会成员应当在评标报告上签署不同意见及理由，否则视为同意评标报告。</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1</w:t>
      </w:r>
      <w:r>
        <w:rPr>
          <w:rFonts w:hint="eastAsia" w:ascii="宋体" w:hAnsi="宋体" w:cs="宋体"/>
          <w:kern w:val="0"/>
        </w:rPr>
        <w:t>9</w:t>
      </w:r>
      <w:r>
        <w:rPr>
          <w:rFonts w:hint="eastAsia" w:ascii="宋体" w:hAnsi="宋体" w:cs="宋体"/>
          <w:kern w:val="0"/>
          <w:lang w:val="zh-CN"/>
        </w:rPr>
        <w:t>.</w:t>
      </w:r>
      <w:r>
        <w:rPr>
          <w:rFonts w:hint="eastAsia" w:ascii="宋体" w:hAnsi="宋体" w:cs="宋体"/>
          <w:kern w:val="0"/>
        </w:rPr>
        <w:t>4</w:t>
      </w:r>
      <w:r>
        <w:rPr>
          <w:rFonts w:hint="eastAsia" w:ascii="宋体" w:hAnsi="宋体" w:cs="宋体"/>
          <w:kern w:val="0"/>
          <w:lang w:val="zh-CN"/>
        </w:rPr>
        <w:t xml:space="preserve"> </w:t>
      </w:r>
      <w:r>
        <w:rPr>
          <w:rFonts w:hint="eastAsia" w:ascii="宋体" w:hAnsi="宋体" w:cs="宋体"/>
          <w:shd w:val="clear" w:color="auto" w:fill="FFFFFF"/>
        </w:rPr>
        <w:t>评标委员会应当按照招标文件中规定的评标方法和标准，对符合性审查合格的投标文件进行商务和技术评估，综合比较与评价。</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lang w:val="zh-CN"/>
        </w:rPr>
        <w:t>1</w:t>
      </w:r>
      <w:r>
        <w:rPr>
          <w:rFonts w:hint="eastAsia" w:ascii="宋体" w:hAnsi="宋体" w:cs="宋体"/>
          <w:kern w:val="0"/>
        </w:rPr>
        <w:t>9</w:t>
      </w:r>
      <w:r>
        <w:rPr>
          <w:rFonts w:hint="eastAsia" w:ascii="宋体" w:hAnsi="宋体" w:cs="宋体"/>
          <w:kern w:val="0"/>
          <w:lang w:val="zh-CN"/>
        </w:rPr>
        <w:t>.</w:t>
      </w:r>
      <w:r>
        <w:rPr>
          <w:rFonts w:hint="eastAsia" w:ascii="宋体" w:hAnsi="宋体" w:cs="宋体"/>
          <w:kern w:val="0"/>
        </w:rPr>
        <w:t xml:space="preserve">5 </w:t>
      </w:r>
      <w:r>
        <w:rPr>
          <w:rFonts w:hint="eastAsia" w:ascii="宋体" w:hAnsi="宋体" w:cs="宋体"/>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kern w:val="0"/>
        </w:rPr>
        <w:t xml:space="preserve">19.6 </w:t>
      </w:r>
      <w:r>
        <w:rPr>
          <w:rFonts w:hint="eastAsia" w:ascii="宋体" w:hAnsi="宋体" w:cs="宋体"/>
          <w:shd w:val="clear" w:color="auto" w:fill="FFFFFF"/>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非单一产品采购项目，采购人应当根据采购项目技术构成、产品价格比重等合理确定核心产品，并在招标文件中载明。多家投标人提供的核心产品品牌相同的，按前两款规定处理。</w:t>
      </w:r>
    </w:p>
    <w:p>
      <w:pPr>
        <w:pStyle w:val="12"/>
        <w:spacing w:before="0" w:after="0" w:line="360" w:lineRule="auto"/>
        <w:jc w:val="left"/>
        <w:rPr>
          <w:rFonts w:hint="eastAsia" w:ascii="宋体" w:hAnsi="宋体" w:cs="宋体"/>
          <w:sz w:val="28"/>
          <w:szCs w:val="28"/>
          <w:lang w:val="zh-CN"/>
        </w:rPr>
      </w:pPr>
      <w:bookmarkStart w:id="35" w:name="_Toc27846"/>
      <w:r>
        <w:rPr>
          <w:rFonts w:hint="eastAsia" w:ascii="宋体" w:hAnsi="宋体" w:cs="宋体"/>
          <w:sz w:val="28"/>
          <w:szCs w:val="28"/>
        </w:rPr>
        <w:t>20</w:t>
      </w:r>
      <w:r>
        <w:rPr>
          <w:rFonts w:hint="eastAsia" w:ascii="宋体" w:hAnsi="宋体" w:cs="宋体"/>
          <w:sz w:val="28"/>
          <w:szCs w:val="28"/>
          <w:lang w:val="zh-CN"/>
        </w:rPr>
        <w:t>.评审方法和标准</w:t>
      </w:r>
      <w:bookmarkEnd w:id="35"/>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rPr>
        <w:t>20</w:t>
      </w:r>
      <w:r>
        <w:rPr>
          <w:rFonts w:hint="eastAsia" w:ascii="宋体" w:hAnsi="宋体" w:cs="宋体"/>
          <w:kern w:val="0"/>
          <w:lang w:val="zh-CN"/>
        </w:rPr>
        <w:t>.1</w:t>
      </w:r>
      <w:r>
        <w:rPr>
          <w:rFonts w:hint="eastAsia" w:ascii="宋体" w:hAnsi="宋体" w:cs="宋体"/>
          <w:kern w:val="0"/>
        </w:rPr>
        <w:t xml:space="preserve"> </w:t>
      </w:r>
      <w:r>
        <w:rPr>
          <w:rFonts w:hint="eastAsia" w:ascii="宋体" w:hAnsi="宋体" w:cs="宋体"/>
          <w:kern w:val="0"/>
          <w:lang w:val="zh-CN"/>
        </w:rPr>
        <w:t>依照《中华人民共和国政府采购法》、《中华人民共和国政府采购法实施条例》、《政府采购货物和服务招投标管理办法》等法律法规的规定，结合该项目的特点制定本评审办法。</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20</w:t>
      </w:r>
      <w:r>
        <w:rPr>
          <w:rFonts w:hint="eastAsia" w:ascii="宋体" w:hAnsi="宋体" w:cs="宋体"/>
          <w:kern w:val="0"/>
          <w:lang w:val="zh-CN"/>
        </w:rPr>
        <w:t>.2</w:t>
      </w:r>
      <w:r>
        <w:rPr>
          <w:rFonts w:hint="eastAsia" w:ascii="宋体" w:hAnsi="宋体" w:cs="宋体"/>
          <w:kern w:val="0"/>
        </w:rPr>
        <w:t xml:space="preserve"> </w:t>
      </w:r>
      <w:r>
        <w:rPr>
          <w:rFonts w:hint="eastAsia" w:ascii="宋体" w:hAnsi="宋体" w:cs="宋体"/>
          <w:kern w:val="0"/>
          <w:lang w:val="zh-CN"/>
        </w:rPr>
        <w:t>本次评审方法采用</w:t>
      </w:r>
      <w:r>
        <w:rPr>
          <w:rFonts w:hint="eastAsia" w:ascii="宋体" w:hAnsi="宋体" w:cs="宋体"/>
          <w:b/>
          <w:bCs/>
          <w:kern w:val="0"/>
          <w:lang w:val="zh-CN"/>
        </w:rPr>
        <w:t>综合评分法</w:t>
      </w:r>
      <w:r>
        <w:rPr>
          <w:rFonts w:hint="eastAsia" w:ascii="宋体" w:hAnsi="宋体" w:cs="宋体"/>
          <w:kern w:val="0"/>
        </w:rPr>
        <w:t>。</w:t>
      </w:r>
    </w:p>
    <w:p>
      <w:pPr>
        <w:autoSpaceDE w:val="0"/>
        <w:autoSpaceDN w:val="0"/>
        <w:spacing w:line="360" w:lineRule="auto"/>
        <w:ind w:firstLine="482" w:firstLineChars="200"/>
        <w:rPr>
          <w:rFonts w:hint="eastAsia" w:ascii="宋体" w:hAnsi="宋体" w:cs="宋体"/>
          <w:b/>
          <w:bCs/>
          <w:kern w:val="0"/>
        </w:rPr>
      </w:pPr>
      <w:r>
        <w:rPr>
          <w:rFonts w:hint="eastAsia" w:ascii="宋体" w:hAnsi="宋体" w:cs="宋体"/>
          <w:b/>
          <w:bCs/>
          <w:kern w:val="0"/>
        </w:rPr>
        <w:t>评审方法一：最低评标</w:t>
      </w:r>
      <w:r>
        <w:rPr>
          <w:rFonts w:hint="eastAsia" w:ascii="宋体" w:hAnsi="宋体" w:cs="宋体"/>
          <w:b/>
          <w:bCs/>
          <w:kern w:val="0"/>
          <w:lang w:val="zh-CN"/>
        </w:rPr>
        <w:t>价法</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最低评标价法，是指投标文件满足招标文件全部实质性要求，且投标报价最低的投标人为中标候选人的评标方法。</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技术、服务等标准统一的货物服务项目，应当采用最低评标价法。</w:t>
      </w:r>
    </w:p>
    <w:p>
      <w:pPr>
        <w:pStyle w:val="11"/>
        <w:widowControl/>
        <w:spacing w:before="0" w:beforeAutospacing="0" w:after="0" w:afterAutospacing="0" w:line="360" w:lineRule="auto"/>
        <w:ind w:firstLine="360"/>
        <w:jc w:val="both"/>
        <w:rPr>
          <w:rFonts w:hint="eastAsia" w:ascii="宋体" w:hAnsi="宋体" w:cs="宋体"/>
          <w:lang w:val="zh-CN"/>
        </w:rPr>
      </w:pPr>
      <w:r>
        <w:rPr>
          <w:rFonts w:hint="eastAsia" w:ascii="宋体" w:hAnsi="宋体" w:cs="宋体"/>
          <w:lang w:val="zh-CN"/>
        </w:rPr>
        <w:t>采用最低评标价法评标时，除了算术修正和落实政府采购政策需进行的价格扣除外，不能对投标人的投标价格进行任何调整。</w:t>
      </w:r>
    </w:p>
    <w:p>
      <w:pPr>
        <w:autoSpaceDE w:val="0"/>
        <w:autoSpaceDN w:val="0"/>
        <w:spacing w:line="360" w:lineRule="auto"/>
        <w:ind w:firstLine="482" w:firstLineChars="200"/>
        <w:rPr>
          <w:rFonts w:hint="eastAsia" w:ascii="宋体" w:hAnsi="宋体" w:cs="宋体"/>
          <w:kern w:val="0"/>
          <w:lang w:val="zh-CN"/>
        </w:rPr>
      </w:pPr>
      <w:r>
        <w:rPr>
          <w:rFonts w:hint="eastAsia" w:ascii="宋体" w:hAnsi="宋体" w:cs="宋体"/>
          <w:b/>
          <w:bCs/>
          <w:kern w:val="0"/>
        </w:rPr>
        <w:t>评审方法二：采用</w:t>
      </w:r>
      <w:r>
        <w:rPr>
          <w:rFonts w:hint="eastAsia" w:ascii="宋体" w:hAnsi="宋体" w:cs="宋体"/>
          <w:b/>
          <w:bCs/>
          <w:kern w:val="0"/>
          <w:lang w:val="zh-CN"/>
        </w:rPr>
        <w:t>综合评分法</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综合评分法，</w:t>
      </w:r>
      <w:r>
        <w:rPr>
          <w:rFonts w:hint="eastAsia" w:ascii="宋体" w:hAnsi="宋体" w:cs="宋体"/>
          <w:shd w:val="clear" w:color="auto" w:fill="FFFFFF"/>
        </w:rPr>
        <w:t>是指投标文件满足招标文件全部实质性要求，且按照评审因素的量化指标评审得分最高的投标人为中标候选人的评标方法</w:t>
      </w:r>
      <w:r>
        <w:rPr>
          <w:rFonts w:hint="eastAsia" w:ascii="宋体" w:hAnsi="宋体" w:cs="宋体"/>
          <w:kern w:val="0"/>
          <w:lang w:val="zh-CN"/>
        </w:rPr>
        <w:t>。</w:t>
      </w:r>
    </w:p>
    <w:p>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评审因素的设定应当与投标人所提供货物服务的质量相关，包括</w:t>
      </w:r>
      <w:r>
        <w:rPr>
          <w:rFonts w:hint="eastAsia" w:ascii="宋体" w:hAnsi="宋体" w:cs="宋体"/>
          <w:b/>
          <w:bCs/>
          <w:shd w:val="clear" w:color="auto" w:fill="FFFFFF"/>
        </w:rPr>
        <w:t>投标报价、技术水平、履约能力、售后服务</w:t>
      </w:r>
      <w:r>
        <w:rPr>
          <w:rFonts w:hint="eastAsia" w:ascii="宋体" w:hAnsi="宋体" w:cs="宋体"/>
          <w:shd w:val="clear" w:color="auto" w:fill="FFFFFF"/>
        </w:rPr>
        <w:t>等。资格条件不得作为评审因素。</w:t>
      </w:r>
    </w:p>
    <w:p>
      <w:pPr>
        <w:autoSpaceDE w:val="0"/>
        <w:autoSpaceDN w:val="0"/>
        <w:spacing w:line="360" w:lineRule="auto"/>
        <w:ind w:firstLine="480" w:firstLineChars="200"/>
      </w:pPr>
      <w:r>
        <w:rPr>
          <w:rFonts w:hint="eastAsia" w:ascii="宋体" w:hAnsi="宋体" w:cs="宋体"/>
          <w:shd w:val="clear" w:color="auto" w:fill="FFFFFF"/>
        </w:rPr>
        <w:t>评审因素应当细化和量化，且与相应的商务条件和采购需求对应。商务条件和采购需求指标有区间规定的，评审因素应当量化到相应区间，并设置各区间对应的不同分值。</w:t>
      </w:r>
    </w:p>
    <w:tbl>
      <w:tblPr>
        <w:tblStyle w:val="19"/>
        <w:tblW w:w="92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1133"/>
        <w:gridCol w:w="1258"/>
        <w:gridCol w:w="637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6" w:hRule="atLeast"/>
        </w:trPr>
        <w:tc>
          <w:tcPr>
            <w:tcW w:w="538" w:type="dxa"/>
            <w:textDirection w:val="tbRlV"/>
            <w:vAlign w:val="top"/>
          </w:tcPr>
          <w:p>
            <w:pPr>
              <w:pStyle w:val="20"/>
              <w:spacing w:before="145" w:line="210" w:lineRule="auto"/>
              <w:ind w:left="41"/>
            </w:pPr>
            <w:r>
              <w:rPr>
                <w:spacing w:val="-1"/>
                <w14:textOutline w14:w="4358" w14:cap="sq" w14:cmpd="sng">
                  <w14:solidFill>
                    <w14:srgbClr w14:val="000000"/>
                  </w14:solidFill>
                  <w14:prstDash w14:val="solid"/>
                  <w14:bevel/>
                </w14:textOutline>
              </w:rPr>
              <w:t>序</w:t>
            </w:r>
            <w:r>
              <w:rPr>
                <w:spacing w:val="106"/>
              </w:rPr>
              <w:t xml:space="preserve"> </w:t>
            </w:r>
            <w:r>
              <w:rPr>
                <w:spacing w:val="-1"/>
                <w14:textOutline w14:w="4358" w14:cap="sq" w14:cmpd="sng">
                  <w14:solidFill>
                    <w14:srgbClr w14:val="000000"/>
                  </w14:solidFill>
                  <w14:prstDash w14:val="solid"/>
                  <w14:bevel/>
                </w14:textOutline>
              </w:rPr>
              <w:t>号</w:t>
            </w:r>
          </w:p>
        </w:tc>
        <w:tc>
          <w:tcPr>
            <w:tcW w:w="1133" w:type="dxa"/>
            <w:vAlign w:val="top"/>
          </w:tcPr>
          <w:p>
            <w:pPr>
              <w:pStyle w:val="20"/>
              <w:spacing w:before="41" w:line="465" w:lineRule="exact"/>
              <w:ind w:left="325"/>
            </w:pPr>
            <w:r>
              <w:rPr>
                <w:spacing w:val="-5"/>
                <w:position w:val="17"/>
                <w14:textOutline w14:w="4358" w14:cap="sq" w14:cmpd="sng">
                  <w14:solidFill>
                    <w14:srgbClr w14:val="000000"/>
                  </w14:solidFill>
                  <w14:prstDash w14:val="solid"/>
                  <w14:bevel/>
                </w14:textOutline>
              </w:rPr>
              <w:t>评审</w:t>
            </w:r>
          </w:p>
          <w:p>
            <w:pPr>
              <w:pStyle w:val="20"/>
              <w:spacing w:line="219" w:lineRule="auto"/>
              <w:ind w:left="326"/>
            </w:pPr>
            <w:r>
              <w:rPr>
                <w:spacing w:val="-5"/>
                <w14:textOutline w14:w="4358" w14:cap="sq" w14:cmpd="sng">
                  <w14:solidFill>
                    <w14:srgbClr w14:val="000000"/>
                  </w14:solidFill>
                  <w14:prstDash w14:val="solid"/>
                  <w14:bevel/>
                </w14:textOutline>
              </w:rPr>
              <w:t>类别</w:t>
            </w:r>
          </w:p>
        </w:tc>
        <w:tc>
          <w:tcPr>
            <w:tcW w:w="1258" w:type="dxa"/>
            <w:tcBorders>
              <w:right w:val="single" w:color="000000" w:sz="2" w:space="0"/>
            </w:tcBorders>
            <w:vAlign w:val="top"/>
          </w:tcPr>
          <w:p>
            <w:pPr>
              <w:pStyle w:val="20"/>
              <w:spacing w:before="274" w:line="219" w:lineRule="auto"/>
              <w:ind w:left="147"/>
            </w:pPr>
            <w:r>
              <w:rPr>
                <w:spacing w:val="-2"/>
                <w14:textOutline w14:w="4358" w14:cap="sq" w14:cmpd="sng">
                  <w14:solidFill>
                    <w14:srgbClr w14:val="000000"/>
                  </w14:solidFill>
                  <w14:prstDash w14:val="solid"/>
                  <w14:bevel/>
                </w14:textOutline>
              </w:rPr>
              <w:t>评审因素</w:t>
            </w:r>
          </w:p>
        </w:tc>
        <w:tc>
          <w:tcPr>
            <w:tcW w:w="6370" w:type="dxa"/>
            <w:tcBorders>
              <w:left w:val="single" w:color="000000" w:sz="2" w:space="0"/>
            </w:tcBorders>
            <w:vAlign w:val="top"/>
          </w:tcPr>
          <w:p>
            <w:pPr>
              <w:pStyle w:val="20"/>
              <w:spacing w:before="273" w:line="220" w:lineRule="auto"/>
              <w:ind w:left="2405"/>
            </w:pPr>
            <w:r>
              <w:rPr>
                <w:spacing w:val="-2"/>
                <w14:textOutline w14:w="4358" w14:cap="sq" w14:cmpd="sng">
                  <w14:solidFill>
                    <w14:srgbClr w14:val="000000"/>
                  </w14:solidFill>
                  <w14:prstDash w14:val="solid"/>
                  <w14:bevel/>
                </w14:textOutline>
              </w:rPr>
              <w:t>评审标准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0" w:hRule="atLeast"/>
        </w:trPr>
        <w:tc>
          <w:tcPr>
            <w:tcW w:w="538" w:type="dxa"/>
            <w:vMerge w:val="restart"/>
            <w:tcBorders>
              <w:bottom w:val="nil"/>
            </w:tcBorders>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pStyle w:val="20"/>
              <w:spacing w:before="78" w:line="184" w:lineRule="auto"/>
              <w:ind w:left="229"/>
            </w:pPr>
            <w:r>
              <w:rPr>
                <w14:textOutline w14:w="4358" w14:cap="sq" w14:cmpd="sng">
                  <w14:solidFill>
                    <w14:srgbClr w14:val="000000"/>
                  </w14:solidFill>
                  <w14:prstDash w14:val="solid"/>
                  <w14:bevel/>
                </w14:textOutline>
              </w:rPr>
              <w:t>1</w:t>
            </w:r>
          </w:p>
        </w:tc>
        <w:tc>
          <w:tcPr>
            <w:tcW w:w="1133" w:type="dxa"/>
            <w:vMerge w:val="restart"/>
            <w:tcBorders>
              <w:bottom w:val="nil"/>
            </w:tcBorders>
            <w:vAlign w:val="top"/>
          </w:tcPr>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20"/>
              <w:spacing w:before="78" w:line="359" w:lineRule="auto"/>
              <w:ind w:left="328" w:right="326" w:hanging="2"/>
            </w:pPr>
            <w:r>
              <w:rPr>
                <w:spacing w:val="-8"/>
                <w14:textOutline w14:w="4358" w14:cap="sq" w14:cmpd="sng">
                  <w14:solidFill>
                    <w14:srgbClr w14:val="000000"/>
                  </w14:solidFill>
                  <w14:prstDash w14:val="solid"/>
                  <w14:bevel/>
                </w14:textOutline>
              </w:rPr>
              <w:t>商务</w:t>
            </w:r>
            <w:r>
              <w:t xml:space="preserve"> </w:t>
            </w:r>
            <w:r>
              <w:rPr>
                <w:spacing w:val="-7"/>
                <w14:textOutline w14:w="4358" w14:cap="sq" w14:cmpd="sng">
                  <w14:solidFill>
                    <w14:srgbClr w14:val="000000"/>
                  </w14:solidFill>
                  <w14:prstDash w14:val="solid"/>
                  <w14:bevel/>
                </w14:textOutline>
              </w:rPr>
              <w:t>部分</w:t>
            </w:r>
          </w:p>
          <w:p>
            <w:pPr>
              <w:pStyle w:val="20"/>
              <w:spacing w:line="220" w:lineRule="auto"/>
              <w:ind w:right="4"/>
              <w:jc w:val="right"/>
            </w:pPr>
            <w:r>
              <w:rPr>
                <w:spacing w:val="-7"/>
                <w14:textOutline w14:w="4358" w14:cap="sq" w14:cmpd="sng">
                  <w14:solidFill>
                    <w14:srgbClr w14:val="000000"/>
                  </w14:solidFill>
                  <w14:prstDash w14:val="solid"/>
                  <w14:bevel/>
                </w14:textOutline>
              </w:rPr>
              <w:t>（</w:t>
            </w:r>
            <w:r>
              <w:rPr>
                <w:rFonts w:ascii="Times New Roman" w:hAnsi="Times New Roman" w:eastAsia="Times New Roman" w:cs="Times New Roman"/>
                <w:b/>
                <w:bCs/>
                <w:spacing w:val="-7"/>
              </w:rPr>
              <w:t>40</w:t>
            </w:r>
            <w:r>
              <w:rPr>
                <w:rFonts w:ascii="Times New Roman" w:hAnsi="Times New Roman" w:eastAsia="Times New Roman" w:cs="Times New Roman"/>
                <w:b/>
                <w:bCs/>
                <w:spacing w:val="13"/>
              </w:rPr>
              <w:t xml:space="preserve"> </w:t>
            </w:r>
            <w:r>
              <w:rPr>
                <w:spacing w:val="-7"/>
                <w14:textOutline w14:w="4358" w14:cap="sq" w14:cmpd="sng">
                  <w14:solidFill>
                    <w14:srgbClr w14:val="000000"/>
                  </w14:solidFill>
                  <w14:prstDash w14:val="solid"/>
                  <w14:bevel/>
                </w14:textOutline>
              </w:rPr>
              <w:t>分）</w:t>
            </w:r>
          </w:p>
        </w:tc>
        <w:tc>
          <w:tcPr>
            <w:tcW w:w="1258" w:type="dxa"/>
            <w:tcBorders>
              <w:right w:val="single" w:color="000000" w:sz="2" w:space="0"/>
            </w:tcBorders>
            <w:vAlign w:val="top"/>
          </w:tcPr>
          <w:p>
            <w:pPr>
              <w:spacing w:line="241" w:lineRule="auto"/>
              <w:rPr>
                <w:rFonts w:ascii="Arial"/>
                <w:sz w:val="20"/>
                <w:szCs w:val="22"/>
              </w:rPr>
            </w:pPr>
          </w:p>
          <w:p>
            <w:pPr>
              <w:spacing w:line="241" w:lineRule="auto"/>
              <w:rPr>
                <w:rFonts w:ascii="Arial"/>
                <w:sz w:val="20"/>
                <w:szCs w:val="22"/>
              </w:rPr>
            </w:pPr>
          </w:p>
          <w:p>
            <w:pPr>
              <w:spacing w:line="241" w:lineRule="auto"/>
              <w:rPr>
                <w:rFonts w:ascii="Arial"/>
                <w:sz w:val="20"/>
                <w:szCs w:val="22"/>
              </w:rPr>
            </w:pPr>
          </w:p>
          <w:p>
            <w:pPr>
              <w:spacing w:line="241" w:lineRule="auto"/>
              <w:rPr>
                <w:rFonts w:ascii="Arial"/>
                <w:sz w:val="20"/>
                <w:szCs w:val="22"/>
              </w:rPr>
            </w:pPr>
          </w:p>
          <w:p>
            <w:pPr>
              <w:pStyle w:val="20"/>
              <w:spacing w:before="78" w:line="468" w:lineRule="exact"/>
              <w:ind w:left="150"/>
              <w:rPr>
                <w:sz w:val="22"/>
                <w:szCs w:val="22"/>
              </w:rPr>
            </w:pPr>
            <w:r>
              <w:rPr>
                <w:rFonts w:hint="eastAsia"/>
                <w:spacing w:val="-3"/>
                <w:position w:val="17"/>
                <w:sz w:val="22"/>
                <w:szCs w:val="22"/>
                <w:lang w:val="en-US" w:eastAsia="zh-CN"/>
              </w:rPr>
              <w:t>投标</w:t>
            </w:r>
            <w:r>
              <w:rPr>
                <w:spacing w:val="-3"/>
                <w:position w:val="17"/>
                <w:sz w:val="22"/>
                <w:szCs w:val="22"/>
              </w:rPr>
              <w:t>报价</w:t>
            </w:r>
          </w:p>
          <w:p>
            <w:pPr>
              <w:pStyle w:val="20"/>
              <w:spacing w:line="220" w:lineRule="auto"/>
              <w:ind w:left="131"/>
              <w:rPr>
                <w:sz w:val="22"/>
                <w:szCs w:val="22"/>
              </w:rPr>
            </w:pPr>
            <w:r>
              <w:rPr>
                <w:spacing w:val="-7"/>
                <w:sz w:val="22"/>
                <w:szCs w:val="22"/>
              </w:rPr>
              <w:t>（</w:t>
            </w:r>
            <w:r>
              <w:rPr>
                <w:rFonts w:ascii="Times New Roman" w:hAnsi="Times New Roman" w:eastAsia="Times New Roman" w:cs="Times New Roman"/>
                <w:spacing w:val="-7"/>
                <w:sz w:val="22"/>
                <w:szCs w:val="22"/>
              </w:rPr>
              <w:t>30</w:t>
            </w:r>
            <w:r>
              <w:rPr>
                <w:rFonts w:ascii="Times New Roman" w:hAnsi="Times New Roman" w:eastAsia="Times New Roman" w:cs="Times New Roman"/>
                <w:spacing w:val="13"/>
                <w:sz w:val="22"/>
                <w:szCs w:val="22"/>
              </w:rPr>
              <w:t xml:space="preserve"> </w:t>
            </w:r>
            <w:r>
              <w:rPr>
                <w:spacing w:val="-7"/>
                <w:sz w:val="22"/>
                <w:szCs w:val="22"/>
              </w:rPr>
              <w:t>分）</w:t>
            </w:r>
          </w:p>
        </w:tc>
        <w:tc>
          <w:tcPr>
            <w:tcW w:w="6370" w:type="dxa"/>
            <w:tcBorders>
              <w:left w:val="single" w:color="000000" w:sz="2" w:space="0"/>
            </w:tcBorders>
            <w:vAlign w:val="top"/>
          </w:tcPr>
          <w:p>
            <w:pPr>
              <w:keepNext w:val="0"/>
              <w:keepLines w:val="0"/>
              <w:widowControl/>
              <w:suppressLineNumbers w:val="0"/>
              <w:jc w:val="left"/>
              <w:rPr>
                <w:rFonts w:ascii="宋体" w:hAnsi="宋体" w:eastAsia="宋体" w:cs="宋体"/>
                <w:spacing w:val="-6"/>
                <w:kern w:val="2"/>
                <w:sz w:val="22"/>
                <w:szCs w:val="22"/>
                <w:lang w:val="en-US" w:eastAsia="en-US" w:bidi="ar-SA"/>
              </w:rPr>
            </w:pPr>
            <w:r>
              <w:rPr>
                <w:rFonts w:hint="eastAsia" w:ascii="宋体" w:hAnsi="宋体" w:eastAsia="宋体" w:cs="宋体"/>
                <w:spacing w:val="-6"/>
                <w:kern w:val="2"/>
                <w:sz w:val="22"/>
                <w:szCs w:val="22"/>
                <w:lang w:val="en-US" w:eastAsia="zh-CN" w:bidi="ar-SA"/>
              </w:rPr>
              <w:t xml:space="preserve">在所有的有效投标报价中，以最低投标报价为基准价，其价格分为满分。其他供应商的报价分统一按下列公式计算：投标报价得分=(评标基准价／投标报价)×价格权值 （30%）×100（四舍五入后保留小数点后两位）。 </w:t>
            </w:r>
          </w:p>
          <w:p>
            <w:pPr>
              <w:keepNext w:val="0"/>
              <w:keepLines w:val="0"/>
              <w:widowControl/>
              <w:suppressLineNumbers w:val="0"/>
              <w:jc w:val="left"/>
              <w:rPr>
                <w:rFonts w:ascii="宋体" w:hAnsi="宋体" w:eastAsia="宋体" w:cs="宋体"/>
                <w:spacing w:val="-6"/>
                <w:kern w:val="2"/>
                <w:sz w:val="22"/>
                <w:szCs w:val="22"/>
                <w:lang w:val="en-US" w:eastAsia="en-US" w:bidi="ar-SA"/>
              </w:rPr>
            </w:pPr>
            <w:r>
              <w:rPr>
                <w:rFonts w:hint="eastAsia" w:ascii="宋体" w:hAnsi="宋体" w:eastAsia="宋体" w:cs="宋体"/>
                <w:spacing w:val="-6"/>
                <w:kern w:val="2"/>
                <w:sz w:val="22"/>
                <w:szCs w:val="22"/>
                <w:lang w:val="en-US" w:eastAsia="zh-CN" w:bidi="ar-SA"/>
              </w:rPr>
              <w:t>注：根据《政府采购促进中小企业发展暂行办法》、《关于促进残疾人就业政府采购政策的通知》的相关规定，对残疾人福利性单位、小型和微型企业制造（生产）产品的价格给予</w:t>
            </w:r>
            <w:r>
              <w:rPr>
                <w:rFonts w:hint="eastAsia" w:ascii="宋体" w:hAnsi="宋体" w:cs="宋体"/>
                <w:spacing w:val="-6"/>
                <w:kern w:val="2"/>
                <w:sz w:val="22"/>
                <w:szCs w:val="22"/>
                <w:lang w:val="en-US" w:eastAsia="zh-CN" w:bidi="ar-SA"/>
              </w:rPr>
              <w:t>10%</w:t>
            </w:r>
            <w:r>
              <w:rPr>
                <w:rFonts w:hint="eastAsia" w:ascii="宋体" w:hAnsi="宋体" w:eastAsia="宋体" w:cs="宋体"/>
                <w:spacing w:val="-6"/>
                <w:kern w:val="2"/>
                <w:sz w:val="22"/>
                <w:szCs w:val="22"/>
                <w:lang w:val="en-US" w:eastAsia="zh-CN" w:bidi="ar-SA"/>
              </w:rPr>
              <w:t xml:space="preserve">的扣除，用扣除后的价格参与评标。残疾人福利性单位属于小型、微型 </w:t>
            </w:r>
          </w:p>
          <w:p>
            <w:pPr>
              <w:keepNext w:val="0"/>
              <w:keepLines w:val="0"/>
              <w:widowControl/>
              <w:suppressLineNumbers w:val="0"/>
              <w:jc w:val="left"/>
              <w:rPr>
                <w:sz w:val="22"/>
                <w:szCs w:val="22"/>
              </w:rPr>
            </w:pPr>
            <w:r>
              <w:rPr>
                <w:rFonts w:hint="eastAsia" w:ascii="宋体" w:hAnsi="宋体" w:eastAsia="宋体" w:cs="宋体"/>
                <w:spacing w:val="-6"/>
                <w:kern w:val="2"/>
                <w:sz w:val="22"/>
                <w:szCs w:val="22"/>
                <w:lang w:val="en-US" w:eastAsia="zh-CN" w:bidi="ar-SA"/>
              </w:rPr>
              <w:t>企业的，不重复享受政策。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6" w:hRule="atLeast"/>
        </w:trPr>
        <w:tc>
          <w:tcPr>
            <w:tcW w:w="538" w:type="dxa"/>
            <w:vMerge w:val="continue"/>
            <w:tcBorders>
              <w:top w:val="nil"/>
            </w:tcBorders>
            <w:vAlign w:val="top"/>
          </w:tcPr>
          <w:p>
            <w:pPr>
              <w:rPr>
                <w:rFonts w:ascii="Arial"/>
                <w:sz w:val="21"/>
              </w:rPr>
            </w:pPr>
          </w:p>
        </w:tc>
        <w:tc>
          <w:tcPr>
            <w:tcW w:w="1133" w:type="dxa"/>
            <w:vMerge w:val="continue"/>
            <w:tcBorders>
              <w:top w:val="nil"/>
            </w:tcBorders>
            <w:vAlign w:val="top"/>
          </w:tcPr>
          <w:p>
            <w:pPr>
              <w:rPr>
                <w:rFonts w:ascii="Arial"/>
                <w:sz w:val="21"/>
              </w:rPr>
            </w:pPr>
          </w:p>
        </w:tc>
        <w:tc>
          <w:tcPr>
            <w:tcW w:w="1258" w:type="dxa"/>
            <w:tcBorders>
              <w:right w:val="single" w:color="000000" w:sz="2" w:space="0"/>
            </w:tcBorders>
            <w:vAlign w:val="top"/>
          </w:tcPr>
          <w:p>
            <w:pPr>
              <w:pStyle w:val="20"/>
              <w:spacing w:before="51" w:line="466" w:lineRule="exact"/>
              <w:ind w:left="184"/>
              <w:rPr>
                <w:sz w:val="22"/>
                <w:szCs w:val="22"/>
              </w:rPr>
            </w:pPr>
            <w:r>
              <w:rPr>
                <w:spacing w:val="-3"/>
                <w:position w:val="17"/>
                <w:sz w:val="22"/>
                <w:szCs w:val="22"/>
              </w:rPr>
              <w:t>类似项目</w:t>
            </w:r>
          </w:p>
          <w:p>
            <w:pPr>
              <w:pStyle w:val="20"/>
              <w:spacing w:line="220" w:lineRule="auto"/>
              <w:ind w:left="423"/>
              <w:rPr>
                <w:sz w:val="22"/>
                <w:szCs w:val="22"/>
              </w:rPr>
            </w:pPr>
            <w:r>
              <w:rPr>
                <w:spacing w:val="-5"/>
                <w:sz w:val="22"/>
                <w:szCs w:val="22"/>
              </w:rPr>
              <w:t>业绩</w:t>
            </w:r>
          </w:p>
          <w:p>
            <w:pPr>
              <w:pStyle w:val="20"/>
              <w:spacing w:before="182" w:line="220" w:lineRule="auto"/>
              <w:ind w:left="164"/>
              <w:rPr>
                <w:sz w:val="22"/>
                <w:szCs w:val="22"/>
              </w:rPr>
            </w:pPr>
            <w:r>
              <w:rPr>
                <w:spacing w:val="-7"/>
                <w:sz w:val="22"/>
                <w:szCs w:val="22"/>
              </w:rPr>
              <w:t>（</w:t>
            </w:r>
            <w:r>
              <w:rPr>
                <w:rFonts w:ascii="Times New Roman" w:hAnsi="Times New Roman" w:eastAsia="Times New Roman" w:cs="Times New Roman"/>
                <w:spacing w:val="-7"/>
                <w:sz w:val="22"/>
                <w:szCs w:val="22"/>
              </w:rPr>
              <w:t>10</w:t>
            </w:r>
            <w:r>
              <w:rPr>
                <w:rFonts w:ascii="Times New Roman" w:hAnsi="Times New Roman" w:eastAsia="Times New Roman" w:cs="Times New Roman"/>
                <w:spacing w:val="13"/>
                <w:sz w:val="22"/>
                <w:szCs w:val="22"/>
              </w:rPr>
              <w:t xml:space="preserve"> </w:t>
            </w:r>
            <w:r>
              <w:rPr>
                <w:spacing w:val="-7"/>
                <w:sz w:val="22"/>
                <w:szCs w:val="22"/>
              </w:rPr>
              <w:t>分）</w:t>
            </w:r>
          </w:p>
        </w:tc>
        <w:tc>
          <w:tcPr>
            <w:tcW w:w="6370" w:type="dxa"/>
            <w:tcBorders>
              <w:left w:val="single" w:color="000000" w:sz="2" w:space="0"/>
            </w:tcBorders>
            <w:vAlign w:val="top"/>
          </w:tcPr>
          <w:p>
            <w:pPr>
              <w:pStyle w:val="20"/>
              <w:spacing w:before="36" w:line="261" w:lineRule="auto"/>
              <w:ind w:left="111" w:right="105"/>
              <w:jc w:val="both"/>
              <w:rPr>
                <w:sz w:val="22"/>
                <w:szCs w:val="22"/>
              </w:rPr>
            </w:pPr>
            <w:r>
              <w:rPr>
                <w:spacing w:val="-6"/>
                <w:sz w:val="22"/>
                <w:szCs w:val="22"/>
              </w:rPr>
              <w:t>类似业绩情况：提供近三年（</w:t>
            </w:r>
            <w:r>
              <w:rPr>
                <w:rFonts w:ascii="Times New Roman" w:hAnsi="Times New Roman" w:eastAsia="Times New Roman" w:cs="Times New Roman"/>
                <w:spacing w:val="-6"/>
                <w:sz w:val="22"/>
                <w:szCs w:val="22"/>
              </w:rPr>
              <w:t>202</w:t>
            </w:r>
            <w:r>
              <w:rPr>
                <w:rFonts w:hint="eastAsia" w:ascii="Times New Roman" w:hAnsi="Times New Roman" w:cs="Times New Roman"/>
                <w:spacing w:val="-6"/>
                <w:sz w:val="22"/>
                <w:szCs w:val="22"/>
                <w:lang w:val="en-US" w:eastAsia="zh-CN"/>
              </w:rPr>
              <w:t>0</w:t>
            </w:r>
            <w:r>
              <w:rPr>
                <w:rFonts w:ascii="Times New Roman" w:hAnsi="Times New Roman" w:eastAsia="Times New Roman" w:cs="Times New Roman"/>
                <w:spacing w:val="-6"/>
                <w:sz w:val="22"/>
                <w:szCs w:val="22"/>
              </w:rPr>
              <w:t xml:space="preserve"> </w:t>
            </w:r>
            <w:r>
              <w:rPr>
                <w:spacing w:val="-6"/>
                <w:sz w:val="22"/>
                <w:szCs w:val="22"/>
              </w:rPr>
              <w:t>年</w:t>
            </w:r>
            <w:r>
              <w:rPr>
                <w:spacing w:val="-32"/>
                <w:sz w:val="22"/>
                <w:szCs w:val="22"/>
              </w:rPr>
              <w:t xml:space="preserve"> </w:t>
            </w:r>
            <w:r>
              <w:rPr>
                <w:rFonts w:hint="eastAsia" w:ascii="Times New Roman" w:hAnsi="Times New Roman" w:cs="Times New Roman"/>
                <w:spacing w:val="-6"/>
                <w:sz w:val="22"/>
                <w:szCs w:val="22"/>
                <w:lang w:val="en-US" w:eastAsia="zh-CN"/>
              </w:rPr>
              <w:t>09</w:t>
            </w:r>
            <w:r>
              <w:rPr>
                <w:spacing w:val="-6"/>
                <w:sz w:val="22"/>
                <w:szCs w:val="22"/>
              </w:rPr>
              <w:t>月</w:t>
            </w:r>
            <w:r>
              <w:rPr>
                <w:spacing w:val="-7"/>
                <w:sz w:val="22"/>
                <w:szCs w:val="22"/>
              </w:rPr>
              <w:t>至投标</w:t>
            </w:r>
            <w:r>
              <w:rPr>
                <w:spacing w:val="-2"/>
                <w:sz w:val="22"/>
                <w:szCs w:val="22"/>
              </w:rPr>
              <w:t>截止之日）的投标人类似业绩证明材料，每提供</w:t>
            </w:r>
            <w:r>
              <w:rPr>
                <w:spacing w:val="-22"/>
                <w:sz w:val="22"/>
                <w:szCs w:val="22"/>
              </w:rPr>
              <w:t xml:space="preserve"> </w:t>
            </w:r>
            <w:r>
              <w:rPr>
                <w:rFonts w:ascii="Times New Roman" w:hAnsi="Times New Roman" w:eastAsia="Times New Roman" w:cs="Times New Roman"/>
                <w:spacing w:val="-2"/>
                <w:sz w:val="22"/>
                <w:szCs w:val="22"/>
              </w:rPr>
              <w:t xml:space="preserve">1 </w:t>
            </w:r>
            <w:r>
              <w:rPr>
                <w:spacing w:val="-2"/>
                <w:sz w:val="22"/>
                <w:szCs w:val="22"/>
              </w:rPr>
              <w:t>项</w:t>
            </w:r>
            <w:r>
              <w:rPr>
                <w:sz w:val="22"/>
                <w:szCs w:val="22"/>
              </w:rPr>
              <w:t xml:space="preserve"> </w:t>
            </w:r>
            <w:r>
              <w:rPr>
                <w:spacing w:val="-2"/>
                <w:sz w:val="22"/>
                <w:szCs w:val="22"/>
              </w:rPr>
              <w:t>得</w:t>
            </w:r>
            <w:r>
              <w:rPr>
                <w:spacing w:val="-53"/>
                <w:sz w:val="22"/>
                <w:szCs w:val="22"/>
              </w:rPr>
              <w:t xml:space="preserve"> </w:t>
            </w:r>
            <w:r>
              <w:rPr>
                <w:rFonts w:ascii="Times New Roman" w:hAnsi="Times New Roman" w:eastAsia="Times New Roman" w:cs="Times New Roman"/>
                <w:spacing w:val="-2"/>
                <w:sz w:val="22"/>
                <w:szCs w:val="22"/>
              </w:rPr>
              <w:t xml:space="preserve">2 </w:t>
            </w:r>
            <w:r>
              <w:rPr>
                <w:spacing w:val="-2"/>
                <w:sz w:val="22"/>
                <w:szCs w:val="22"/>
              </w:rPr>
              <w:t>分</w:t>
            </w:r>
            <w:r>
              <w:rPr>
                <w:rFonts w:ascii="Times New Roman" w:hAnsi="Times New Roman" w:eastAsia="Times New Roman" w:cs="Times New Roman"/>
                <w:spacing w:val="-2"/>
                <w:sz w:val="22"/>
                <w:szCs w:val="22"/>
              </w:rPr>
              <w:t>,</w:t>
            </w:r>
            <w:r>
              <w:rPr>
                <w:spacing w:val="-2"/>
                <w:sz w:val="22"/>
                <w:szCs w:val="22"/>
              </w:rPr>
              <w:t>满分</w:t>
            </w:r>
            <w:r>
              <w:rPr>
                <w:spacing w:val="-32"/>
                <w:sz w:val="22"/>
                <w:szCs w:val="22"/>
              </w:rPr>
              <w:t xml:space="preserve"> </w:t>
            </w:r>
            <w:r>
              <w:rPr>
                <w:rFonts w:ascii="Times New Roman" w:hAnsi="Times New Roman" w:eastAsia="Times New Roman" w:cs="Times New Roman"/>
                <w:spacing w:val="-2"/>
                <w:sz w:val="22"/>
                <w:szCs w:val="22"/>
              </w:rPr>
              <w:t xml:space="preserve">10 </w:t>
            </w:r>
            <w:r>
              <w:rPr>
                <w:spacing w:val="-2"/>
                <w:sz w:val="22"/>
                <w:szCs w:val="22"/>
              </w:rPr>
              <w:t>分；不提供不得分。（以中标通知书</w:t>
            </w:r>
            <w:r>
              <w:rPr>
                <w:spacing w:val="-1"/>
                <w:sz w:val="22"/>
                <w:szCs w:val="22"/>
              </w:rPr>
              <w:t>复印件或合同复印件为准，须加盖供应商公章）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1" w:hRule="atLeast"/>
        </w:trPr>
        <w:tc>
          <w:tcPr>
            <w:tcW w:w="538" w:type="dxa"/>
            <w:tcBorders>
              <w:bottom w:val="nil"/>
            </w:tcBorders>
            <w:vAlign w:val="top"/>
          </w:tcPr>
          <w:p>
            <w:pPr>
              <w:rPr>
                <w:rFonts w:ascii="Arial"/>
                <w:sz w:val="21"/>
              </w:rPr>
            </w:pPr>
          </w:p>
        </w:tc>
        <w:tc>
          <w:tcPr>
            <w:tcW w:w="1133" w:type="dxa"/>
            <w:tcBorders>
              <w:bottom w:val="nil"/>
            </w:tcBorders>
            <w:vAlign w:val="top"/>
          </w:tcPr>
          <w:p>
            <w:pPr>
              <w:rPr>
                <w:rFonts w:ascii="Arial"/>
                <w:sz w:val="21"/>
              </w:rPr>
            </w:pPr>
          </w:p>
        </w:tc>
        <w:tc>
          <w:tcPr>
            <w:tcW w:w="1258" w:type="dxa"/>
            <w:vMerge w:val="restart"/>
            <w:tcBorders>
              <w:right w:val="single" w:color="000000" w:sz="2" w:space="0"/>
            </w:tcBorders>
            <w:vAlign w:val="top"/>
          </w:tcPr>
          <w:p>
            <w:pPr>
              <w:pStyle w:val="20"/>
              <w:spacing w:before="78" w:line="468" w:lineRule="exact"/>
              <w:ind w:left="150"/>
              <w:rPr>
                <w:spacing w:val="-3"/>
                <w:position w:val="17"/>
                <w:sz w:val="22"/>
                <w:szCs w:val="22"/>
              </w:rPr>
            </w:pPr>
            <w:r>
              <w:rPr>
                <w:spacing w:val="-3"/>
                <w:position w:val="17"/>
                <w:sz w:val="22"/>
                <w:szCs w:val="22"/>
              </w:rPr>
              <w:t>技术参数</w:t>
            </w:r>
          </w:p>
          <w:p>
            <w:pPr>
              <w:pStyle w:val="20"/>
              <w:spacing w:before="78" w:line="468" w:lineRule="exact"/>
              <w:ind w:left="150"/>
              <w:rPr>
                <w:spacing w:val="-3"/>
                <w:position w:val="17"/>
                <w:sz w:val="22"/>
                <w:szCs w:val="22"/>
              </w:rPr>
            </w:pPr>
            <w:r>
              <w:rPr>
                <w:spacing w:val="-3"/>
                <w:position w:val="17"/>
                <w:sz w:val="22"/>
                <w:szCs w:val="22"/>
              </w:rPr>
              <w:t>（20分）</w:t>
            </w:r>
          </w:p>
        </w:tc>
        <w:tc>
          <w:tcPr>
            <w:tcW w:w="6370" w:type="dxa"/>
            <w:vMerge w:val="restart"/>
            <w:tcBorders>
              <w:left w:val="single" w:color="000000" w:sz="2" w:space="0"/>
            </w:tcBorders>
            <w:vAlign w:val="top"/>
          </w:tcPr>
          <w:p>
            <w:pPr>
              <w:pStyle w:val="20"/>
              <w:spacing w:before="113" w:line="247" w:lineRule="auto"/>
              <w:ind w:left="111" w:right="75" w:firstLine="1"/>
              <w:rPr>
                <w:spacing w:val="1"/>
                <w:sz w:val="22"/>
                <w:szCs w:val="22"/>
              </w:rPr>
            </w:pPr>
            <w:r>
              <w:rPr>
                <w:spacing w:val="1"/>
                <w:sz w:val="22"/>
                <w:szCs w:val="22"/>
              </w:rPr>
              <w:t>技术参数：投标产品技术参数和配置完全满</w:t>
            </w:r>
            <w:r>
              <w:rPr>
                <w:sz w:val="22"/>
                <w:szCs w:val="22"/>
              </w:rPr>
              <w:t>足或高于</w:t>
            </w:r>
            <w:r>
              <w:rPr>
                <w:rFonts w:hint="eastAsia"/>
                <w:sz w:val="22"/>
                <w:szCs w:val="22"/>
                <w:lang w:eastAsia="zh-CN"/>
              </w:rPr>
              <w:t>招标</w:t>
            </w:r>
            <w:r>
              <w:rPr>
                <w:spacing w:val="-3"/>
                <w:sz w:val="22"/>
                <w:szCs w:val="22"/>
              </w:rPr>
              <w:t>文件要求的，得</w:t>
            </w:r>
            <w:r>
              <w:rPr>
                <w:spacing w:val="-54"/>
                <w:sz w:val="22"/>
                <w:szCs w:val="22"/>
              </w:rPr>
              <w:t xml:space="preserve"> </w:t>
            </w:r>
            <w:r>
              <w:rPr>
                <w:rFonts w:ascii="Times New Roman" w:hAnsi="Times New Roman" w:eastAsia="Times New Roman" w:cs="Times New Roman"/>
                <w:spacing w:val="-3"/>
                <w:sz w:val="22"/>
                <w:szCs w:val="22"/>
              </w:rPr>
              <w:t xml:space="preserve">20 </w:t>
            </w:r>
            <w:r>
              <w:rPr>
                <w:spacing w:val="-3"/>
                <w:sz w:val="22"/>
                <w:szCs w:val="22"/>
              </w:rPr>
              <w:t>分；每有一项负偏离扣</w:t>
            </w:r>
            <w:r>
              <w:rPr>
                <w:rFonts w:hint="eastAsia"/>
                <w:spacing w:val="-54"/>
                <w:sz w:val="22"/>
                <w:szCs w:val="22"/>
                <w:lang w:val="en-US" w:eastAsia="zh-CN"/>
              </w:rPr>
              <w:t>2 .5</w:t>
            </w:r>
            <w:r>
              <w:rPr>
                <w:spacing w:val="-54"/>
                <w:sz w:val="22"/>
                <w:szCs w:val="22"/>
              </w:rPr>
              <w:t xml:space="preserve"> </w:t>
            </w:r>
            <w:r>
              <w:rPr>
                <w:spacing w:val="-3"/>
                <w:sz w:val="22"/>
                <w:szCs w:val="22"/>
              </w:rPr>
              <w:t>分，</w:t>
            </w:r>
          </w:p>
          <w:p>
            <w:pPr>
              <w:pStyle w:val="20"/>
              <w:spacing w:before="47" w:line="219" w:lineRule="auto"/>
              <w:ind w:left="114"/>
              <w:rPr>
                <w:sz w:val="22"/>
                <w:szCs w:val="22"/>
              </w:rPr>
            </w:pPr>
            <w:r>
              <w:rPr>
                <w:spacing w:val="-2"/>
                <w:sz w:val="22"/>
                <w:szCs w:val="22"/>
              </w:rPr>
              <w:t>直至扣完该项得分为止；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2" w:hRule="atLeast"/>
        </w:trPr>
        <w:tc>
          <w:tcPr>
            <w:tcW w:w="538" w:type="dxa"/>
            <w:vMerge w:val="restart"/>
            <w:tcBorders>
              <w:top w:val="nil"/>
              <w:left w:val="single" w:color="000000" w:sz="4" w:space="0"/>
              <w:right w:val="single" w:color="000000" w:sz="4" w:space="0"/>
            </w:tcBorders>
            <w:vAlign w:val="top"/>
          </w:tcPr>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20"/>
              <w:spacing w:before="78" w:line="183" w:lineRule="auto"/>
              <w:ind w:left="214"/>
            </w:pPr>
            <w:r>
              <w:rPr>
                <w14:textOutline w14:w="4358" w14:cap="sq" w14:cmpd="sng">
                  <w14:solidFill>
                    <w14:srgbClr w14:val="000000"/>
                  </w14:solidFill>
                  <w14:prstDash w14:val="solid"/>
                  <w14:bevel/>
                </w14:textOutline>
              </w:rPr>
              <w:t>2</w:t>
            </w:r>
          </w:p>
        </w:tc>
        <w:tc>
          <w:tcPr>
            <w:tcW w:w="1133" w:type="dxa"/>
            <w:vMerge w:val="restart"/>
            <w:tcBorders>
              <w:top w:val="nil"/>
              <w:left w:val="single" w:color="000000" w:sz="4" w:space="0"/>
              <w:right w:val="single" w:color="000000" w:sz="4" w:space="0"/>
            </w:tcBorders>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20"/>
              <w:spacing w:before="78" w:line="359" w:lineRule="auto"/>
              <w:ind w:left="328" w:right="326" w:hanging="1"/>
            </w:pPr>
            <w:r>
              <w:rPr>
                <w:spacing w:val="-6"/>
                <w14:textOutline w14:w="4358" w14:cap="sq" w14:cmpd="sng">
                  <w14:solidFill>
                    <w14:srgbClr w14:val="000000"/>
                  </w14:solidFill>
                  <w14:prstDash w14:val="solid"/>
                  <w14:bevel/>
                </w14:textOutline>
              </w:rPr>
              <w:t>技术</w:t>
            </w:r>
            <w:r>
              <w:t xml:space="preserve"> </w:t>
            </w:r>
            <w:r>
              <w:rPr>
                <w:spacing w:val="-7"/>
                <w14:textOutline w14:w="4358" w14:cap="sq" w14:cmpd="sng">
                  <w14:solidFill>
                    <w14:srgbClr w14:val="000000"/>
                  </w14:solidFill>
                  <w14:prstDash w14:val="solid"/>
                  <w14:bevel/>
                </w14:textOutline>
              </w:rPr>
              <w:t>部分</w:t>
            </w:r>
          </w:p>
          <w:p>
            <w:pPr>
              <w:pStyle w:val="20"/>
              <w:spacing w:line="220" w:lineRule="auto"/>
              <w:ind w:right="4"/>
              <w:jc w:val="right"/>
            </w:pPr>
            <w:r>
              <w:rPr>
                <w:spacing w:val="-7"/>
                <w14:textOutline w14:w="4358" w14:cap="sq" w14:cmpd="sng">
                  <w14:solidFill>
                    <w14:srgbClr w14:val="000000"/>
                  </w14:solidFill>
                  <w14:prstDash w14:val="solid"/>
                  <w14:bevel/>
                </w14:textOutline>
              </w:rPr>
              <w:t>（</w:t>
            </w:r>
            <w:r>
              <w:rPr>
                <w:rFonts w:ascii="Times New Roman" w:hAnsi="Times New Roman" w:eastAsia="Times New Roman" w:cs="Times New Roman"/>
                <w:b/>
                <w:bCs/>
                <w:spacing w:val="-7"/>
              </w:rPr>
              <w:t>60</w:t>
            </w:r>
            <w:r>
              <w:rPr>
                <w:rFonts w:ascii="Times New Roman" w:hAnsi="Times New Roman" w:eastAsia="Times New Roman" w:cs="Times New Roman"/>
                <w:b/>
                <w:bCs/>
                <w:spacing w:val="13"/>
              </w:rPr>
              <w:t xml:space="preserve"> </w:t>
            </w:r>
            <w:r>
              <w:rPr>
                <w:spacing w:val="-7"/>
                <w14:textOutline w14:w="4358" w14:cap="sq" w14:cmpd="sng">
                  <w14:solidFill>
                    <w14:srgbClr w14:val="000000"/>
                  </w14:solidFill>
                  <w14:prstDash w14:val="solid"/>
                  <w14:bevel/>
                </w14:textOutline>
              </w:rPr>
              <w:t>分）</w:t>
            </w:r>
          </w:p>
        </w:tc>
        <w:tc>
          <w:tcPr>
            <w:tcW w:w="1258" w:type="dxa"/>
            <w:vMerge w:val="continue"/>
            <w:tcBorders>
              <w:right w:val="single" w:color="000000" w:sz="2" w:space="0"/>
            </w:tcBorders>
            <w:vAlign w:val="top"/>
          </w:tcPr>
          <w:p>
            <w:pPr>
              <w:rPr>
                <w:rFonts w:ascii="宋体" w:hAnsi="宋体" w:eastAsia="宋体" w:cs="宋体"/>
                <w:spacing w:val="-3"/>
                <w:kern w:val="2"/>
                <w:position w:val="17"/>
                <w:sz w:val="22"/>
                <w:szCs w:val="22"/>
                <w:lang w:val="en-US" w:eastAsia="en-US" w:bidi="ar-SA"/>
              </w:rPr>
            </w:pPr>
          </w:p>
        </w:tc>
        <w:tc>
          <w:tcPr>
            <w:tcW w:w="6370" w:type="dxa"/>
            <w:vMerge w:val="continue"/>
            <w:tcBorders>
              <w:left w:val="single" w:color="000000" w:sz="2" w:space="0"/>
            </w:tcBorders>
            <w:vAlign w:val="top"/>
          </w:tcPr>
          <w:p>
            <w:pPr>
              <w:pStyle w:val="20"/>
              <w:spacing w:before="47" w:line="219" w:lineRule="auto"/>
              <w:ind w:left="114"/>
              <w:rPr>
                <w:sz w:val="22"/>
                <w:szCs w:val="22"/>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4" w:hRule="atLeast"/>
        </w:trPr>
        <w:tc>
          <w:tcPr>
            <w:tcW w:w="538" w:type="dxa"/>
            <w:vMerge w:val="continue"/>
            <w:tcBorders>
              <w:left w:val="single" w:color="000000" w:sz="4" w:space="0"/>
              <w:right w:val="single" w:color="000000" w:sz="4" w:space="0"/>
            </w:tcBorders>
            <w:vAlign w:val="top"/>
          </w:tcPr>
          <w:p>
            <w:pPr>
              <w:rPr>
                <w:rFonts w:ascii="Arial"/>
                <w:sz w:val="21"/>
              </w:rPr>
            </w:pPr>
          </w:p>
        </w:tc>
        <w:tc>
          <w:tcPr>
            <w:tcW w:w="1133" w:type="dxa"/>
            <w:vMerge w:val="continue"/>
            <w:tcBorders>
              <w:left w:val="single" w:color="000000" w:sz="4" w:space="0"/>
              <w:right w:val="single" w:color="000000" w:sz="4" w:space="0"/>
            </w:tcBorders>
            <w:vAlign w:val="top"/>
          </w:tcPr>
          <w:p>
            <w:pPr>
              <w:rPr>
                <w:rFonts w:ascii="Arial"/>
                <w:sz w:val="21"/>
              </w:rPr>
            </w:pPr>
          </w:p>
        </w:tc>
        <w:tc>
          <w:tcPr>
            <w:tcW w:w="1258" w:type="dxa"/>
            <w:tcBorders>
              <w:left w:val="single" w:color="000000" w:sz="4" w:space="0"/>
            </w:tcBorders>
            <w:vAlign w:val="top"/>
          </w:tcPr>
          <w:p>
            <w:pPr>
              <w:spacing w:line="381" w:lineRule="auto"/>
              <w:rPr>
                <w:rFonts w:ascii="宋体" w:hAnsi="宋体" w:eastAsia="宋体" w:cs="宋体"/>
                <w:spacing w:val="-3"/>
                <w:kern w:val="2"/>
                <w:position w:val="17"/>
                <w:sz w:val="22"/>
                <w:szCs w:val="22"/>
                <w:lang w:val="en-US" w:eastAsia="en-US" w:bidi="ar-SA"/>
              </w:rPr>
            </w:pPr>
          </w:p>
          <w:p>
            <w:pPr>
              <w:pStyle w:val="20"/>
              <w:spacing w:before="78" w:line="468" w:lineRule="exact"/>
              <w:ind w:left="107"/>
              <w:rPr>
                <w:rFonts w:ascii="宋体" w:hAnsi="宋体" w:eastAsia="宋体" w:cs="宋体"/>
                <w:spacing w:val="-3"/>
                <w:kern w:val="2"/>
                <w:position w:val="17"/>
                <w:sz w:val="22"/>
                <w:szCs w:val="22"/>
                <w:lang w:val="en-US" w:eastAsia="en-US" w:bidi="ar-SA"/>
              </w:rPr>
            </w:pPr>
            <w:r>
              <w:rPr>
                <w:rFonts w:ascii="宋体" w:hAnsi="宋体" w:eastAsia="宋体" w:cs="宋体"/>
                <w:spacing w:val="-3"/>
                <w:kern w:val="2"/>
                <w:position w:val="17"/>
                <w:sz w:val="22"/>
                <w:szCs w:val="22"/>
                <w:lang w:val="en-US" w:eastAsia="en-US" w:bidi="ar-SA"/>
              </w:rPr>
              <w:t>节能和环</w:t>
            </w:r>
          </w:p>
          <w:p>
            <w:pPr>
              <w:pStyle w:val="20"/>
              <w:spacing w:line="220" w:lineRule="auto"/>
              <w:ind w:right="12"/>
              <w:jc w:val="right"/>
              <w:rPr>
                <w:rFonts w:ascii="宋体" w:hAnsi="宋体" w:eastAsia="宋体" w:cs="宋体"/>
                <w:spacing w:val="-3"/>
                <w:kern w:val="2"/>
                <w:position w:val="17"/>
                <w:sz w:val="22"/>
                <w:szCs w:val="22"/>
                <w:lang w:val="en-US" w:eastAsia="en-US" w:bidi="ar-SA"/>
              </w:rPr>
            </w:pPr>
            <w:r>
              <w:rPr>
                <w:rFonts w:ascii="宋体" w:hAnsi="宋体" w:eastAsia="宋体" w:cs="宋体"/>
                <w:spacing w:val="-3"/>
                <w:kern w:val="2"/>
                <w:position w:val="17"/>
                <w:sz w:val="22"/>
                <w:szCs w:val="22"/>
                <w:lang w:val="en-US" w:eastAsia="en-US" w:bidi="ar-SA"/>
              </w:rPr>
              <w:t>保（2分）</w:t>
            </w:r>
          </w:p>
        </w:tc>
        <w:tc>
          <w:tcPr>
            <w:tcW w:w="6370" w:type="dxa"/>
            <w:tcBorders>
              <w:right w:val="single" w:color="000000" w:sz="4" w:space="0"/>
            </w:tcBorders>
            <w:vAlign w:val="top"/>
          </w:tcPr>
          <w:p>
            <w:pPr>
              <w:pStyle w:val="20"/>
              <w:spacing w:before="35" w:line="256" w:lineRule="auto"/>
              <w:ind w:left="112" w:right="46"/>
              <w:jc w:val="both"/>
              <w:rPr>
                <w:sz w:val="22"/>
                <w:szCs w:val="22"/>
              </w:rPr>
            </w:pPr>
            <w:r>
              <w:rPr>
                <w:spacing w:val="-11"/>
                <w:sz w:val="22"/>
                <w:szCs w:val="22"/>
              </w:rPr>
              <w:t>所投产品为节能产品，每提供</w:t>
            </w:r>
            <w:r>
              <w:rPr>
                <w:spacing w:val="-26"/>
                <w:sz w:val="22"/>
                <w:szCs w:val="22"/>
              </w:rPr>
              <w:t xml:space="preserve"> </w:t>
            </w:r>
            <w:r>
              <w:rPr>
                <w:rFonts w:ascii="Times New Roman" w:hAnsi="Times New Roman" w:eastAsia="Times New Roman" w:cs="Times New Roman"/>
                <w:spacing w:val="-11"/>
                <w:sz w:val="22"/>
                <w:szCs w:val="22"/>
              </w:rPr>
              <w:t xml:space="preserve">1 </w:t>
            </w:r>
            <w:r>
              <w:rPr>
                <w:spacing w:val="-11"/>
                <w:sz w:val="22"/>
                <w:szCs w:val="22"/>
              </w:rPr>
              <w:t>份得</w:t>
            </w:r>
            <w:r>
              <w:rPr>
                <w:spacing w:val="-32"/>
                <w:sz w:val="22"/>
                <w:szCs w:val="22"/>
              </w:rPr>
              <w:t xml:space="preserve"> </w:t>
            </w:r>
            <w:r>
              <w:rPr>
                <w:rFonts w:ascii="Times New Roman" w:hAnsi="Times New Roman" w:eastAsia="Times New Roman" w:cs="Times New Roman"/>
                <w:spacing w:val="-11"/>
                <w:sz w:val="22"/>
                <w:szCs w:val="22"/>
              </w:rPr>
              <w:t>1</w:t>
            </w:r>
            <w:r>
              <w:rPr>
                <w:rFonts w:ascii="Times New Roman" w:hAnsi="Times New Roman" w:eastAsia="Times New Roman" w:cs="Times New Roman"/>
                <w:spacing w:val="12"/>
                <w:sz w:val="22"/>
                <w:szCs w:val="22"/>
              </w:rPr>
              <w:t xml:space="preserve"> </w:t>
            </w:r>
            <w:r>
              <w:rPr>
                <w:spacing w:val="-11"/>
                <w:sz w:val="22"/>
                <w:szCs w:val="22"/>
              </w:rPr>
              <w:t>分，满分</w:t>
            </w:r>
            <w:r>
              <w:rPr>
                <w:spacing w:val="-32"/>
                <w:sz w:val="22"/>
                <w:szCs w:val="22"/>
              </w:rPr>
              <w:t xml:space="preserve"> </w:t>
            </w:r>
            <w:r>
              <w:rPr>
                <w:rFonts w:ascii="Times New Roman" w:hAnsi="Times New Roman" w:eastAsia="Times New Roman" w:cs="Times New Roman"/>
                <w:spacing w:val="-11"/>
                <w:sz w:val="22"/>
                <w:szCs w:val="22"/>
              </w:rPr>
              <w:t>1</w:t>
            </w:r>
            <w:r>
              <w:rPr>
                <w:rFonts w:ascii="Times New Roman" w:hAnsi="Times New Roman" w:eastAsia="Times New Roman" w:cs="Times New Roman"/>
                <w:spacing w:val="12"/>
                <w:sz w:val="22"/>
                <w:szCs w:val="22"/>
              </w:rPr>
              <w:t xml:space="preserve"> </w:t>
            </w:r>
            <w:r>
              <w:rPr>
                <w:spacing w:val="-11"/>
                <w:sz w:val="22"/>
                <w:szCs w:val="22"/>
              </w:rPr>
              <w:t>分；</w:t>
            </w:r>
            <w:r>
              <w:rPr>
                <w:sz w:val="22"/>
                <w:szCs w:val="22"/>
              </w:rPr>
              <w:t xml:space="preserve"> </w:t>
            </w:r>
            <w:r>
              <w:rPr>
                <w:spacing w:val="-11"/>
                <w:sz w:val="22"/>
                <w:szCs w:val="22"/>
              </w:rPr>
              <w:t>所投产品为环保产品，每提供</w:t>
            </w:r>
            <w:r>
              <w:rPr>
                <w:spacing w:val="-26"/>
                <w:sz w:val="22"/>
                <w:szCs w:val="22"/>
              </w:rPr>
              <w:t xml:space="preserve"> </w:t>
            </w:r>
            <w:r>
              <w:rPr>
                <w:rFonts w:ascii="Times New Roman" w:hAnsi="Times New Roman" w:eastAsia="Times New Roman" w:cs="Times New Roman"/>
                <w:spacing w:val="-11"/>
                <w:sz w:val="22"/>
                <w:szCs w:val="22"/>
              </w:rPr>
              <w:t xml:space="preserve">1 </w:t>
            </w:r>
            <w:r>
              <w:rPr>
                <w:spacing w:val="-11"/>
                <w:sz w:val="22"/>
                <w:szCs w:val="22"/>
              </w:rPr>
              <w:t>份得</w:t>
            </w:r>
            <w:r>
              <w:rPr>
                <w:spacing w:val="-32"/>
                <w:sz w:val="22"/>
                <w:szCs w:val="22"/>
              </w:rPr>
              <w:t xml:space="preserve"> </w:t>
            </w:r>
            <w:r>
              <w:rPr>
                <w:rFonts w:ascii="Times New Roman" w:hAnsi="Times New Roman" w:eastAsia="Times New Roman" w:cs="Times New Roman"/>
                <w:spacing w:val="-11"/>
                <w:sz w:val="22"/>
                <w:szCs w:val="22"/>
              </w:rPr>
              <w:t>1</w:t>
            </w:r>
            <w:r>
              <w:rPr>
                <w:rFonts w:ascii="Times New Roman" w:hAnsi="Times New Roman" w:eastAsia="Times New Roman" w:cs="Times New Roman"/>
                <w:spacing w:val="12"/>
                <w:sz w:val="22"/>
                <w:szCs w:val="22"/>
              </w:rPr>
              <w:t xml:space="preserve"> </w:t>
            </w:r>
            <w:r>
              <w:rPr>
                <w:spacing w:val="-11"/>
                <w:sz w:val="22"/>
                <w:szCs w:val="22"/>
              </w:rPr>
              <w:t>分，满分</w:t>
            </w:r>
            <w:r>
              <w:rPr>
                <w:spacing w:val="-32"/>
                <w:sz w:val="22"/>
                <w:szCs w:val="22"/>
              </w:rPr>
              <w:t xml:space="preserve"> </w:t>
            </w:r>
            <w:r>
              <w:rPr>
                <w:rFonts w:ascii="Times New Roman" w:hAnsi="Times New Roman" w:eastAsia="Times New Roman" w:cs="Times New Roman"/>
                <w:spacing w:val="-11"/>
                <w:sz w:val="22"/>
                <w:szCs w:val="22"/>
              </w:rPr>
              <w:t>1</w:t>
            </w:r>
            <w:r>
              <w:rPr>
                <w:rFonts w:ascii="Times New Roman" w:hAnsi="Times New Roman" w:eastAsia="Times New Roman" w:cs="Times New Roman"/>
                <w:spacing w:val="12"/>
                <w:sz w:val="22"/>
                <w:szCs w:val="22"/>
              </w:rPr>
              <w:t xml:space="preserve"> </w:t>
            </w:r>
            <w:r>
              <w:rPr>
                <w:spacing w:val="-11"/>
                <w:sz w:val="22"/>
                <w:szCs w:val="22"/>
              </w:rPr>
              <w:t>分；</w:t>
            </w:r>
            <w:r>
              <w:rPr>
                <w:sz w:val="22"/>
                <w:szCs w:val="22"/>
              </w:rPr>
              <w:t xml:space="preserve"> </w:t>
            </w:r>
            <w:r>
              <w:rPr>
                <w:spacing w:val="-2"/>
                <w:sz w:val="22"/>
                <w:szCs w:val="22"/>
              </w:rPr>
              <w:t>不提供不得分。</w:t>
            </w:r>
          </w:p>
          <w:p>
            <w:pPr>
              <w:pStyle w:val="20"/>
              <w:spacing w:before="72" w:line="219" w:lineRule="auto"/>
              <w:ind w:left="135"/>
              <w:rPr>
                <w:sz w:val="22"/>
                <w:szCs w:val="22"/>
              </w:rPr>
            </w:pPr>
            <w:r>
              <w:rPr>
                <w:spacing w:val="-11"/>
                <w:sz w:val="22"/>
                <w:szCs w:val="22"/>
              </w:rPr>
              <w:t>该项得分的认定以《国家节能产品认证证书》、《中国环境标志产品认证证书》（原件备查）和政府部门公布的《节能产品政府采购清单》、《环境标志产品政府采购清单》网页截屏为准。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79" w:hRule="atLeast"/>
        </w:trPr>
        <w:tc>
          <w:tcPr>
            <w:tcW w:w="538" w:type="dxa"/>
            <w:vMerge w:val="continue"/>
            <w:tcBorders>
              <w:left w:val="single" w:color="000000" w:sz="4" w:space="0"/>
              <w:right w:val="single" w:color="000000" w:sz="4" w:space="0"/>
            </w:tcBorders>
            <w:vAlign w:val="top"/>
          </w:tcPr>
          <w:p>
            <w:pPr>
              <w:rPr>
                <w:rFonts w:ascii="Arial"/>
                <w:sz w:val="21"/>
              </w:rPr>
            </w:pPr>
          </w:p>
        </w:tc>
        <w:tc>
          <w:tcPr>
            <w:tcW w:w="1133" w:type="dxa"/>
            <w:vMerge w:val="continue"/>
            <w:tcBorders>
              <w:left w:val="single" w:color="000000" w:sz="4" w:space="0"/>
              <w:right w:val="single" w:color="000000" w:sz="4" w:space="0"/>
            </w:tcBorders>
            <w:vAlign w:val="top"/>
          </w:tcPr>
          <w:p>
            <w:pPr>
              <w:rPr>
                <w:rFonts w:ascii="Arial"/>
                <w:sz w:val="21"/>
              </w:rPr>
            </w:pPr>
          </w:p>
        </w:tc>
        <w:tc>
          <w:tcPr>
            <w:tcW w:w="1258" w:type="dxa"/>
            <w:tcBorders>
              <w:left w:val="single" w:color="000000" w:sz="4" w:space="0"/>
            </w:tcBorders>
            <w:vAlign w:val="top"/>
          </w:tcPr>
          <w:p>
            <w:pPr>
              <w:spacing w:line="260" w:lineRule="auto"/>
              <w:rPr>
                <w:rFonts w:ascii="Arial"/>
                <w:sz w:val="20"/>
                <w:szCs w:val="22"/>
              </w:rPr>
            </w:pPr>
          </w:p>
          <w:p>
            <w:pPr>
              <w:spacing w:line="260" w:lineRule="auto"/>
              <w:rPr>
                <w:rFonts w:ascii="Arial"/>
                <w:sz w:val="20"/>
                <w:szCs w:val="22"/>
              </w:rPr>
            </w:pPr>
          </w:p>
          <w:p>
            <w:pPr>
              <w:spacing w:line="260" w:lineRule="auto"/>
              <w:rPr>
                <w:rFonts w:ascii="Arial"/>
                <w:sz w:val="20"/>
                <w:szCs w:val="22"/>
              </w:rPr>
            </w:pPr>
          </w:p>
          <w:p>
            <w:pPr>
              <w:spacing w:line="260" w:lineRule="auto"/>
              <w:rPr>
                <w:rFonts w:ascii="Arial"/>
                <w:sz w:val="20"/>
                <w:szCs w:val="22"/>
              </w:rPr>
            </w:pPr>
          </w:p>
          <w:p>
            <w:pPr>
              <w:pStyle w:val="20"/>
              <w:spacing w:before="78" w:line="359" w:lineRule="auto"/>
              <w:ind w:left="155" w:right="148" w:hanging="1"/>
              <w:jc w:val="both"/>
              <w:rPr>
                <w:sz w:val="22"/>
                <w:szCs w:val="22"/>
              </w:rPr>
            </w:pPr>
            <w:r>
              <w:rPr>
                <w:spacing w:val="-4"/>
                <w:sz w:val="22"/>
                <w:szCs w:val="22"/>
              </w:rPr>
              <w:t>项目管理</w:t>
            </w:r>
            <w:r>
              <w:rPr>
                <w:spacing w:val="1"/>
                <w:sz w:val="22"/>
                <w:szCs w:val="22"/>
              </w:rPr>
              <w:t xml:space="preserve"> </w:t>
            </w:r>
            <w:r>
              <w:rPr>
                <w:spacing w:val="-4"/>
                <w:sz w:val="22"/>
                <w:szCs w:val="22"/>
              </w:rPr>
              <w:t>实施方案</w:t>
            </w:r>
          </w:p>
          <w:p>
            <w:pPr>
              <w:pStyle w:val="20"/>
              <w:spacing w:line="220" w:lineRule="auto"/>
              <w:ind w:left="119"/>
              <w:rPr>
                <w:sz w:val="22"/>
                <w:szCs w:val="22"/>
              </w:rPr>
            </w:pPr>
            <w:r>
              <w:rPr>
                <w:spacing w:val="-7"/>
                <w:sz w:val="22"/>
                <w:szCs w:val="22"/>
              </w:rPr>
              <w:t>（</w:t>
            </w:r>
            <w:r>
              <w:rPr>
                <w:rFonts w:ascii="Times New Roman" w:hAnsi="Times New Roman" w:eastAsia="Times New Roman" w:cs="Times New Roman"/>
                <w:spacing w:val="-7"/>
                <w:sz w:val="22"/>
                <w:szCs w:val="22"/>
              </w:rPr>
              <w:t>15</w:t>
            </w:r>
            <w:r>
              <w:rPr>
                <w:rFonts w:ascii="Times New Roman" w:hAnsi="Times New Roman" w:eastAsia="Times New Roman" w:cs="Times New Roman"/>
                <w:spacing w:val="13"/>
                <w:sz w:val="22"/>
                <w:szCs w:val="22"/>
              </w:rPr>
              <w:t xml:space="preserve"> </w:t>
            </w:r>
            <w:r>
              <w:rPr>
                <w:spacing w:val="-7"/>
                <w:sz w:val="22"/>
                <w:szCs w:val="22"/>
              </w:rPr>
              <w:t>分）</w:t>
            </w:r>
          </w:p>
        </w:tc>
        <w:tc>
          <w:tcPr>
            <w:tcW w:w="6370" w:type="dxa"/>
            <w:tcBorders>
              <w:right w:val="single" w:color="000000" w:sz="4" w:space="0"/>
            </w:tcBorders>
            <w:vAlign w:val="top"/>
          </w:tcPr>
          <w:p>
            <w:pPr>
              <w:pStyle w:val="20"/>
              <w:spacing w:before="36" w:line="261" w:lineRule="auto"/>
              <w:ind w:left="110" w:right="105" w:firstLine="1"/>
              <w:jc w:val="both"/>
              <w:rPr>
                <w:sz w:val="22"/>
                <w:szCs w:val="22"/>
              </w:rPr>
            </w:pPr>
            <w:r>
              <w:rPr>
                <w:spacing w:val="1"/>
                <w:sz w:val="22"/>
                <w:szCs w:val="22"/>
              </w:rPr>
              <w:t>针对该项目需求提供详尽的项目管理及实施方</w:t>
            </w:r>
            <w:r>
              <w:rPr>
                <w:sz w:val="22"/>
                <w:szCs w:val="22"/>
              </w:rPr>
              <w:t xml:space="preserve">案：设 </w:t>
            </w:r>
            <w:r>
              <w:rPr>
                <w:spacing w:val="1"/>
                <w:sz w:val="22"/>
                <w:szCs w:val="22"/>
              </w:rPr>
              <w:t>置了项目管理机构，有项目管理措施，能够结合项目</w:t>
            </w:r>
            <w:r>
              <w:rPr>
                <w:sz w:val="22"/>
                <w:szCs w:val="22"/>
              </w:rPr>
              <w:t xml:space="preserve"> </w:t>
            </w:r>
            <w:r>
              <w:rPr>
                <w:spacing w:val="1"/>
                <w:sz w:val="22"/>
                <w:szCs w:val="22"/>
              </w:rPr>
              <w:t>特点制定实施方案。根据项目管理及实施方案的完整</w:t>
            </w:r>
            <w:r>
              <w:rPr>
                <w:sz w:val="22"/>
                <w:szCs w:val="22"/>
              </w:rPr>
              <w:t xml:space="preserve"> </w:t>
            </w:r>
            <w:r>
              <w:rPr>
                <w:spacing w:val="-1"/>
                <w:sz w:val="22"/>
                <w:szCs w:val="22"/>
              </w:rPr>
              <w:t>性、可执行性等方面进行评价。不提供不得分。</w:t>
            </w:r>
          </w:p>
          <w:p>
            <w:pPr>
              <w:pStyle w:val="20"/>
              <w:spacing w:before="73" w:line="219" w:lineRule="auto"/>
              <w:ind w:left="130"/>
              <w:rPr>
                <w:sz w:val="22"/>
                <w:szCs w:val="22"/>
              </w:rPr>
            </w:pPr>
            <w:r>
              <w:rPr>
                <w:rFonts w:ascii="Times New Roman" w:hAnsi="Times New Roman" w:eastAsia="Times New Roman" w:cs="Times New Roman"/>
                <w:spacing w:val="-3"/>
                <w:sz w:val="22"/>
                <w:szCs w:val="22"/>
              </w:rPr>
              <w:t>1</w:t>
            </w:r>
            <w:r>
              <w:rPr>
                <w:rFonts w:ascii="Times New Roman" w:hAnsi="Times New Roman" w:eastAsia="Times New Roman" w:cs="Times New Roman"/>
                <w:spacing w:val="-24"/>
                <w:sz w:val="22"/>
                <w:szCs w:val="22"/>
              </w:rPr>
              <w:t xml:space="preserve"> </w:t>
            </w:r>
            <w:r>
              <w:rPr>
                <w:spacing w:val="-3"/>
                <w:sz w:val="22"/>
                <w:szCs w:val="22"/>
              </w:rPr>
              <w:t>、方案简单，基本满足招标文件要求的得</w:t>
            </w:r>
            <w:r>
              <w:rPr>
                <w:spacing w:val="-57"/>
                <w:sz w:val="22"/>
                <w:szCs w:val="22"/>
              </w:rPr>
              <w:t xml:space="preserve"> </w:t>
            </w:r>
            <w:r>
              <w:rPr>
                <w:rFonts w:ascii="Times New Roman" w:hAnsi="Times New Roman" w:eastAsia="Times New Roman" w:cs="Times New Roman"/>
                <w:spacing w:val="-3"/>
                <w:sz w:val="22"/>
                <w:szCs w:val="22"/>
              </w:rPr>
              <w:t xml:space="preserve">4 </w:t>
            </w:r>
            <w:r>
              <w:rPr>
                <w:spacing w:val="-3"/>
                <w:sz w:val="22"/>
                <w:szCs w:val="22"/>
              </w:rPr>
              <w:t>分。</w:t>
            </w:r>
          </w:p>
          <w:p>
            <w:pPr>
              <w:pStyle w:val="20"/>
              <w:spacing w:before="73" w:line="247" w:lineRule="auto"/>
              <w:ind w:left="130" w:right="105" w:hanging="23"/>
              <w:rPr>
                <w:sz w:val="22"/>
                <w:szCs w:val="22"/>
              </w:rPr>
            </w:pPr>
            <w:r>
              <w:rPr>
                <w:rFonts w:ascii="Times New Roman" w:hAnsi="Times New Roman" w:eastAsia="Times New Roman" w:cs="Times New Roman"/>
                <w:spacing w:val="-4"/>
                <w:sz w:val="22"/>
                <w:szCs w:val="22"/>
              </w:rPr>
              <w:t>2</w:t>
            </w:r>
            <w:r>
              <w:rPr>
                <w:spacing w:val="-4"/>
                <w:sz w:val="22"/>
                <w:szCs w:val="22"/>
              </w:rPr>
              <w:t>、方案较详细，具有可操作性的，人员安排合理优秀</w:t>
            </w:r>
            <w:r>
              <w:rPr>
                <w:spacing w:val="-12"/>
                <w:sz w:val="22"/>
                <w:szCs w:val="22"/>
              </w:rPr>
              <w:t>的得</w:t>
            </w:r>
            <w:r>
              <w:rPr>
                <w:spacing w:val="-43"/>
                <w:sz w:val="22"/>
                <w:szCs w:val="22"/>
              </w:rPr>
              <w:t xml:space="preserve"> </w:t>
            </w:r>
            <w:r>
              <w:rPr>
                <w:rFonts w:ascii="Times New Roman" w:hAnsi="Times New Roman" w:eastAsia="Times New Roman" w:cs="Times New Roman"/>
                <w:spacing w:val="-12"/>
                <w:sz w:val="22"/>
                <w:szCs w:val="22"/>
              </w:rPr>
              <w:t>8</w:t>
            </w:r>
            <w:r>
              <w:rPr>
                <w:rFonts w:ascii="Times New Roman" w:hAnsi="Times New Roman" w:eastAsia="Times New Roman" w:cs="Times New Roman"/>
                <w:spacing w:val="12"/>
                <w:sz w:val="22"/>
                <w:szCs w:val="22"/>
              </w:rPr>
              <w:t xml:space="preserve"> </w:t>
            </w:r>
            <w:r>
              <w:rPr>
                <w:spacing w:val="-12"/>
                <w:sz w:val="22"/>
                <w:szCs w:val="22"/>
              </w:rPr>
              <w:t>分。</w:t>
            </w:r>
          </w:p>
          <w:p>
            <w:pPr>
              <w:pStyle w:val="20"/>
              <w:spacing w:before="73" w:line="257" w:lineRule="auto"/>
              <w:ind w:left="111" w:right="105" w:firstLine="1"/>
              <w:jc w:val="both"/>
              <w:rPr>
                <w:sz w:val="22"/>
                <w:szCs w:val="22"/>
              </w:rPr>
            </w:pPr>
            <w:r>
              <w:rPr>
                <w:rFonts w:ascii="Times New Roman" w:hAnsi="Times New Roman" w:eastAsia="Times New Roman" w:cs="Times New Roman"/>
                <w:spacing w:val="-4"/>
                <w:sz w:val="22"/>
                <w:szCs w:val="22"/>
              </w:rPr>
              <w:t>3</w:t>
            </w:r>
            <w:r>
              <w:rPr>
                <w:spacing w:val="-4"/>
                <w:sz w:val="22"/>
                <w:szCs w:val="22"/>
              </w:rPr>
              <w:t>、方案完整、详细，项目管理及实施方案具</w:t>
            </w:r>
            <w:r>
              <w:rPr>
                <w:spacing w:val="-5"/>
                <w:sz w:val="22"/>
                <w:szCs w:val="22"/>
              </w:rPr>
              <w:t>有较强的</w:t>
            </w:r>
            <w:r>
              <w:rPr>
                <w:spacing w:val="1"/>
                <w:sz w:val="22"/>
                <w:szCs w:val="22"/>
              </w:rPr>
              <w:t>可执行性，能够结合项目特点清晰体现目标并制</w:t>
            </w:r>
            <w:r>
              <w:rPr>
                <w:sz w:val="22"/>
                <w:szCs w:val="22"/>
              </w:rPr>
              <w:t xml:space="preserve">定实 </w:t>
            </w:r>
            <w:r>
              <w:rPr>
                <w:spacing w:val="-6"/>
                <w:sz w:val="22"/>
                <w:szCs w:val="22"/>
              </w:rPr>
              <w:t>施方案得</w:t>
            </w:r>
            <w:r>
              <w:rPr>
                <w:spacing w:val="-33"/>
                <w:sz w:val="22"/>
                <w:szCs w:val="22"/>
              </w:rPr>
              <w:t xml:space="preserve"> </w:t>
            </w:r>
            <w:r>
              <w:rPr>
                <w:spacing w:val="-6"/>
                <w:sz w:val="22"/>
                <w:szCs w:val="22"/>
              </w:rPr>
              <w:t>15</w:t>
            </w:r>
            <w:r>
              <w:rPr>
                <w:spacing w:val="-48"/>
                <w:sz w:val="22"/>
                <w:szCs w:val="22"/>
              </w:rPr>
              <w:t xml:space="preserve"> </w:t>
            </w:r>
            <w:r>
              <w:rPr>
                <w:spacing w:val="-6"/>
                <w:sz w:val="22"/>
                <w:szCs w:val="22"/>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25" w:hRule="atLeast"/>
        </w:trPr>
        <w:tc>
          <w:tcPr>
            <w:tcW w:w="538" w:type="dxa"/>
            <w:vMerge w:val="continue"/>
            <w:tcBorders>
              <w:left w:val="single" w:color="000000" w:sz="4" w:space="0"/>
              <w:right w:val="single" w:color="000000" w:sz="4" w:space="0"/>
            </w:tcBorders>
            <w:vAlign w:val="top"/>
          </w:tcPr>
          <w:p>
            <w:pPr>
              <w:rPr>
                <w:rFonts w:ascii="Arial"/>
                <w:sz w:val="21"/>
              </w:rPr>
            </w:pPr>
          </w:p>
        </w:tc>
        <w:tc>
          <w:tcPr>
            <w:tcW w:w="1133" w:type="dxa"/>
            <w:vMerge w:val="continue"/>
            <w:tcBorders>
              <w:left w:val="single" w:color="000000" w:sz="4" w:space="0"/>
              <w:right w:val="single" w:color="000000" w:sz="4" w:space="0"/>
            </w:tcBorders>
            <w:vAlign w:val="top"/>
          </w:tcPr>
          <w:p>
            <w:pPr>
              <w:rPr>
                <w:rFonts w:ascii="Arial"/>
                <w:sz w:val="21"/>
              </w:rPr>
            </w:pPr>
          </w:p>
        </w:tc>
        <w:tc>
          <w:tcPr>
            <w:tcW w:w="1258" w:type="dxa"/>
            <w:tcBorders>
              <w:left w:val="single" w:color="000000" w:sz="4" w:space="0"/>
            </w:tcBorders>
            <w:vAlign w:val="top"/>
          </w:tcPr>
          <w:p>
            <w:pPr>
              <w:spacing w:line="401" w:lineRule="auto"/>
              <w:rPr>
                <w:rFonts w:ascii="Arial"/>
                <w:sz w:val="20"/>
                <w:szCs w:val="22"/>
              </w:rPr>
            </w:pPr>
          </w:p>
          <w:p>
            <w:pPr>
              <w:pStyle w:val="20"/>
              <w:spacing w:before="78" w:line="220" w:lineRule="auto"/>
              <w:ind w:left="155"/>
              <w:rPr>
                <w:sz w:val="22"/>
                <w:szCs w:val="22"/>
              </w:rPr>
            </w:pPr>
            <w:r>
              <w:rPr>
                <w:spacing w:val="-4"/>
                <w:sz w:val="22"/>
                <w:szCs w:val="22"/>
              </w:rPr>
              <w:t>安装调试</w:t>
            </w:r>
          </w:p>
          <w:p>
            <w:pPr>
              <w:pStyle w:val="20"/>
              <w:spacing w:before="179" w:line="220" w:lineRule="auto"/>
              <w:ind w:left="156"/>
              <w:rPr>
                <w:sz w:val="22"/>
                <w:szCs w:val="22"/>
              </w:rPr>
            </w:pPr>
            <w:r>
              <w:rPr>
                <w:spacing w:val="-4"/>
                <w:sz w:val="22"/>
                <w:szCs w:val="22"/>
              </w:rPr>
              <w:t>实施方案</w:t>
            </w:r>
          </w:p>
          <w:p>
            <w:pPr>
              <w:pStyle w:val="20"/>
              <w:spacing w:before="182" w:line="220" w:lineRule="auto"/>
              <w:ind w:left="150"/>
              <w:rPr>
                <w:sz w:val="22"/>
                <w:szCs w:val="22"/>
              </w:rPr>
            </w:pPr>
            <w:r>
              <w:rPr>
                <w:spacing w:val="-3"/>
                <w:sz w:val="22"/>
                <w:szCs w:val="22"/>
              </w:rPr>
              <w:t>及保证措</w:t>
            </w:r>
          </w:p>
          <w:p>
            <w:pPr>
              <w:pStyle w:val="20"/>
              <w:spacing w:before="179" w:line="222" w:lineRule="auto"/>
              <w:ind w:left="510"/>
              <w:rPr>
                <w:sz w:val="22"/>
                <w:szCs w:val="22"/>
              </w:rPr>
            </w:pPr>
            <w:r>
              <w:rPr>
                <w:sz w:val="22"/>
                <w:szCs w:val="22"/>
              </w:rPr>
              <w:t>施</w:t>
            </w:r>
          </w:p>
          <w:p>
            <w:pPr>
              <w:pStyle w:val="20"/>
              <w:spacing w:before="179" w:line="220" w:lineRule="auto"/>
              <w:ind w:left="119"/>
              <w:rPr>
                <w:sz w:val="22"/>
                <w:szCs w:val="22"/>
              </w:rPr>
            </w:pPr>
            <w:r>
              <w:rPr>
                <w:spacing w:val="9"/>
                <w:sz w:val="22"/>
                <w:szCs w:val="22"/>
              </w:rPr>
              <w:t>（</w:t>
            </w:r>
            <w:r>
              <w:rPr>
                <w:rFonts w:ascii="Times New Roman" w:hAnsi="Times New Roman" w:eastAsia="Times New Roman" w:cs="Times New Roman"/>
                <w:spacing w:val="9"/>
                <w:sz w:val="22"/>
                <w:szCs w:val="22"/>
              </w:rPr>
              <w:t>8</w:t>
            </w:r>
            <w:r>
              <w:rPr>
                <w:spacing w:val="9"/>
                <w:sz w:val="22"/>
                <w:szCs w:val="22"/>
              </w:rPr>
              <w:t>分）</w:t>
            </w:r>
          </w:p>
        </w:tc>
        <w:tc>
          <w:tcPr>
            <w:tcW w:w="6370" w:type="dxa"/>
            <w:tcBorders>
              <w:right w:val="single" w:color="000000" w:sz="4" w:space="0"/>
            </w:tcBorders>
            <w:vAlign w:val="top"/>
          </w:tcPr>
          <w:p>
            <w:pPr>
              <w:pStyle w:val="20"/>
              <w:spacing w:before="37" w:line="256" w:lineRule="auto"/>
              <w:ind w:left="112" w:right="25" w:firstLine="4"/>
              <w:jc w:val="both"/>
              <w:rPr>
                <w:sz w:val="22"/>
                <w:szCs w:val="22"/>
              </w:rPr>
            </w:pPr>
            <w:r>
              <w:rPr>
                <w:spacing w:val="-6"/>
                <w:sz w:val="22"/>
                <w:szCs w:val="22"/>
              </w:rPr>
              <w:t>安装调试实施方案及保证措施：提供设备安装、调试、</w:t>
            </w:r>
            <w:r>
              <w:rPr>
                <w:sz w:val="22"/>
                <w:szCs w:val="22"/>
              </w:rPr>
              <w:t xml:space="preserve"> 运输保证等方案，根据实施方案的完善性、合理性等 </w:t>
            </w:r>
            <w:r>
              <w:rPr>
                <w:spacing w:val="-1"/>
                <w:sz w:val="22"/>
                <w:szCs w:val="22"/>
              </w:rPr>
              <w:t>方面进行评价，不提供不得分。</w:t>
            </w:r>
          </w:p>
          <w:p>
            <w:pPr>
              <w:pStyle w:val="20"/>
              <w:spacing w:before="75" w:line="248" w:lineRule="auto"/>
              <w:ind w:left="115" w:right="105" w:firstLine="14"/>
              <w:rPr>
                <w:sz w:val="22"/>
                <w:szCs w:val="22"/>
              </w:rPr>
            </w:pPr>
            <w:r>
              <w:rPr>
                <w:spacing w:val="-5"/>
                <w:sz w:val="22"/>
                <w:szCs w:val="22"/>
              </w:rPr>
              <w:t>1、提供了简单设备安装、调试、运输保证等方案的得</w:t>
            </w:r>
            <w:r>
              <w:rPr>
                <w:spacing w:val="3"/>
                <w:sz w:val="22"/>
                <w:szCs w:val="22"/>
              </w:rPr>
              <w:t xml:space="preserve"> </w:t>
            </w:r>
            <w:r>
              <w:rPr>
                <w:spacing w:val="-9"/>
                <w:sz w:val="22"/>
                <w:szCs w:val="22"/>
              </w:rPr>
              <w:t>2</w:t>
            </w:r>
            <w:r>
              <w:rPr>
                <w:spacing w:val="-47"/>
                <w:sz w:val="22"/>
                <w:szCs w:val="22"/>
              </w:rPr>
              <w:t xml:space="preserve"> </w:t>
            </w:r>
            <w:r>
              <w:rPr>
                <w:spacing w:val="-9"/>
                <w:sz w:val="22"/>
                <w:szCs w:val="22"/>
              </w:rPr>
              <w:t>分；</w:t>
            </w:r>
          </w:p>
          <w:p>
            <w:pPr>
              <w:pStyle w:val="20"/>
              <w:spacing w:before="72" w:line="247" w:lineRule="auto"/>
              <w:ind w:left="115" w:right="105"/>
              <w:rPr>
                <w:sz w:val="22"/>
                <w:szCs w:val="22"/>
              </w:rPr>
            </w:pPr>
            <w:r>
              <w:rPr>
                <w:spacing w:val="-5"/>
                <w:sz w:val="22"/>
                <w:szCs w:val="22"/>
              </w:rPr>
              <w:t>2、提供设备安装、调试、运输保证等方案，易用、易</w:t>
            </w:r>
            <w:r>
              <w:rPr>
                <w:spacing w:val="17"/>
                <w:sz w:val="22"/>
                <w:szCs w:val="22"/>
              </w:rPr>
              <w:t xml:space="preserve"> </w:t>
            </w:r>
            <w:r>
              <w:rPr>
                <w:spacing w:val="-3"/>
                <w:sz w:val="22"/>
                <w:szCs w:val="22"/>
              </w:rPr>
              <w:t>维护性原则，合理的得</w:t>
            </w:r>
            <w:r>
              <w:rPr>
                <w:spacing w:val="-48"/>
                <w:sz w:val="22"/>
                <w:szCs w:val="22"/>
              </w:rPr>
              <w:t xml:space="preserve"> </w:t>
            </w:r>
            <w:r>
              <w:rPr>
                <w:spacing w:val="-3"/>
                <w:sz w:val="22"/>
                <w:szCs w:val="22"/>
              </w:rPr>
              <w:t>4</w:t>
            </w:r>
            <w:r>
              <w:rPr>
                <w:spacing w:val="-48"/>
                <w:sz w:val="22"/>
                <w:szCs w:val="22"/>
              </w:rPr>
              <w:t xml:space="preserve"> </w:t>
            </w:r>
            <w:r>
              <w:rPr>
                <w:spacing w:val="-3"/>
                <w:sz w:val="22"/>
                <w:szCs w:val="22"/>
              </w:rPr>
              <w:t>分；</w:t>
            </w:r>
          </w:p>
          <w:p>
            <w:pPr>
              <w:pStyle w:val="20"/>
              <w:spacing w:before="72" w:line="247" w:lineRule="auto"/>
              <w:ind w:left="115" w:right="105" w:firstLine="1"/>
              <w:rPr>
                <w:sz w:val="22"/>
                <w:szCs w:val="22"/>
              </w:rPr>
            </w:pPr>
            <w:r>
              <w:rPr>
                <w:spacing w:val="-5"/>
                <w:sz w:val="22"/>
                <w:szCs w:val="22"/>
              </w:rPr>
              <w:t>3、方案符合先进性、安全性、稳定性、易用、易维护</w:t>
            </w:r>
            <w:r>
              <w:rPr>
                <w:spacing w:val="-3"/>
                <w:sz w:val="22"/>
                <w:szCs w:val="22"/>
              </w:rPr>
              <w:t>性原则科学、具体、完整的得</w:t>
            </w:r>
            <w:r>
              <w:rPr>
                <w:spacing w:val="-38"/>
                <w:sz w:val="22"/>
                <w:szCs w:val="22"/>
              </w:rPr>
              <w:t xml:space="preserve"> </w:t>
            </w:r>
            <w:r>
              <w:rPr>
                <w:spacing w:val="-3"/>
                <w:sz w:val="22"/>
                <w:szCs w:val="22"/>
              </w:rPr>
              <w:t>8</w:t>
            </w:r>
            <w:r>
              <w:rPr>
                <w:spacing w:val="-48"/>
                <w:sz w:val="22"/>
                <w:szCs w:val="22"/>
              </w:rPr>
              <w:t xml:space="preserve"> </w:t>
            </w:r>
            <w:r>
              <w:rPr>
                <w:spacing w:val="-3"/>
                <w:sz w:val="22"/>
                <w:szCs w:val="22"/>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8" w:hRule="atLeast"/>
        </w:trPr>
        <w:tc>
          <w:tcPr>
            <w:tcW w:w="538" w:type="dxa"/>
            <w:vMerge w:val="continue"/>
            <w:tcBorders>
              <w:left w:val="single" w:color="000000" w:sz="4" w:space="0"/>
              <w:right w:val="single" w:color="000000" w:sz="4" w:space="0"/>
            </w:tcBorders>
            <w:vAlign w:val="top"/>
          </w:tcPr>
          <w:p>
            <w:pPr>
              <w:rPr>
                <w:rFonts w:ascii="Arial"/>
                <w:sz w:val="21"/>
              </w:rPr>
            </w:pPr>
          </w:p>
        </w:tc>
        <w:tc>
          <w:tcPr>
            <w:tcW w:w="1133" w:type="dxa"/>
            <w:vMerge w:val="continue"/>
            <w:tcBorders>
              <w:left w:val="single" w:color="000000" w:sz="4" w:space="0"/>
              <w:right w:val="single" w:color="000000" w:sz="4" w:space="0"/>
            </w:tcBorders>
            <w:vAlign w:val="top"/>
          </w:tcPr>
          <w:p>
            <w:pPr>
              <w:rPr>
                <w:rFonts w:ascii="Arial"/>
                <w:sz w:val="21"/>
              </w:rPr>
            </w:pPr>
          </w:p>
        </w:tc>
        <w:tc>
          <w:tcPr>
            <w:tcW w:w="1258" w:type="dxa"/>
            <w:tcBorders>
              <w:left w:val="single" w:color="000000" w:sz="4" w:space="0"/>
            </w:tcBorders>
            <w:vAlign w:val="top"/>
          </w:tcPr>
          <w:p>
            <w:pPr>
              <w:spacing w:line="278" w:lineRule="auto"/>
              <w:rPr>
                <w:rFonts w:ascii="Arial"/>
                <w:sz w:val="20"/>
                <w:szCs w:val="22"/>
              </w:rPr>
            </w:pPr>
          </w:p>
          <w:p>
            <w:pPr>
              <w:spacing w:line="279" w:lineRule="auto"/>
              <w:rPr>
                <w:rFonts w:ascii="Arial"/>
                <w:sz w:val="20"/>
                <w:szCs w:val="22"/>
              </w:rPr>
            </w:pPr>
          </w:p>
          <w:p>
            <w:pPr>
              <w:spacing w:line="279" w:lineRule="auto"/>
              <w:rPr>
                <w:rFonts w:ascii="Arial"/>
                <w:sz w:val="20"/>
                <w:szCs w:val="22"/>
              </w:rPr>
            </w:pPr>
          </w:p>
          <w:p>
            <w:pPr>
              <w:spacing w:line="279" w:lineRule="auto"/>
              <w:rPr>
                <w:rFonts w:ascii="Arial"/>
                <w:sz w:val="20"/>
                <w:szCs w:val="22"/>
              </w:rPr>
            </w:pPr>
          </w:p>
          <w:p>
            <w:pPr>
              <w:pStyle w:val="20"/>
              <w:spacing w:before="78" w:line="219" w:lineRule="auto"/>
              <w:ind w:left="150"/>
              <w:rPr>
                <w:sz w:val="22"/>
                <w:szCs w:val="22"/>
              </w:rPr>
            </w:pPr>
            <w:r>
              <w:rPr>
                <w:spacing w:val="-3"/>
                <w:sz w:val="22"/>
                <w:szCs w:val="22"/>
              </w:rPr>
              <w:t>售后服务</w:t>
            </w:r>
          </w:p>
          <w:p>
            <w:pPr>
              <w:pStyle w:val="20"/>
              <w:spacing w:before="180" w:line="220" w:lineRule="auto"/>
              <w:ind w:left="150"/>
              <w:rPr>
                <w:sz w:val="22"/>
                <w:szCs w:val="22"/>
              </w:rPr>
            </w:pPr>
            <w:r>
              <w:rPr>
                <w:sz w:val="22"/>
                <w:szCs w:val="22"/>
              </w:rPr>
              <w:t>计划、措</w:t>
            </w:r>
          </w:p>
          <w:p>
            <w:pPr>
              <w:pStyle w:val="20"/>
              <w:spacing w:before="179" w:line="219" w:lineRule="auto"/>
              <w:ind w:left="150"/>
              <w:rPr>
                <w:sz w:val="22"/>
                <w:szCs w:val="22"/>
              </w:rPr>
            </w:pPr>
            <w:r>
              <w:rPr>
                <w:spacing w:val="-3"/>
                <w:sz w:val="22"/>
                <w:szCs w:val="22"/>
              </w:rPr>
              <w:t>施及服务</w:t>
            </w:r>
          </w:p>
          <w:p>
            <w:pPr>
              <w:pStyle w:val="20"/>
              <w:spacing w:before="183" w:line="219" w:lineRule="auto"/>
              <w:ind w:left="390"/>
              <w:rPr>
                <w:sz w:val="22"/>
                <w:szCs w:val="22"/>
              </w:rPr>
            </w:pPr>
            <w:r>
              <w:rPr>
                <w:spacing w:val="-5"/>
                <w:sz w:val="22"/>
                <w:szCs w:val="22"/>
              </w:rPr>
              <w:t>承诺</w:t>
            </w:r>
          </w:p>
          <w:p>
            <w:pPr>
              <w:pStyle w:val="20"/>
              <w:spacing w:before="180" w:line="220" w:lineRule="auto"/>
              <w:ind w:left="119"/>
              <w:rPr>
                <w:sz w:val="22"/>
                <w:szCs w:val="22"/>
              </w:rPr>
            </w:pPr>
            <w:r>
              <w:rPr>
                <w:spacing w:val="-7"/>
                <w:sz w:val="22"/>
                <w:szCs w:val="22"/>
              </w:rPr>
              <w:t>（</w:t>
            </w:r>
            <w:r>
              <w:rPr>
                <w:rFonts w:ascii="Times New Roman" w:hAnsi="Times New Roman" w:eastAsia="Times New Roman" w:cs="Times New Roman"/>
                <w:spacing w:val="-7"/>
                <w:sz w:val="22"/>
                <w:szCs w:val="22"/>
              </w:rPr>
              <w:t>15</w:t>
            </w:r>
            <w:r>
              <w:rPr>
                <w:rFonts w:ascii="Times New Roman" w:hAnsi="Times New Roman" w:eastAsia="Times New Roman" w:cs="Times New Roman"/>
                <w:spacing w:val="13"/>
                <w:sz w:val="22"/>
                <w:szCs w:val="22"/>
              </w:rPr>
              <w:t xml:space="preserve"> </w:t>
            </w:r>
            <w:r>
              <w:rPr>
                <w:spacing w:val="-7"/>
                <w:sz w:val="22"/>
                <w:szCs w:val="22"/>
              </w:rPr>
              <w:t>分）</w:t>
            </w:r>
          </w:p>
        </w:tc>
        <w:tc>
          <w:tcPr>
            <w:tcW w:w="6370" w:type="dxa"/>
            <w:tcBorders>
              <w:right w:val="single" w:color="000000" w:sz="4" w:space="0"/>
            </w:tcBorders>
            <w:vAlign w:val="top"/>
          </w:tcPr>
          <w:p>
            <w:pPr>
              <w:pStyle w:val="20"/>
              <w:spacing w:before="39" w:line="261" w:lineRule="auto"/>
              <w:ind w:left="111" w:right="25"/>
              <w:jc w:val="both"/>
              <w:rPr>
                <w:sz w:val="22"/>
                <w:szCs w:val="22"/>
              </w:rPr>
            </w:pPr>
            <w:r>
              <w:rPr>
                <w:spacing w:val="-6"/>
                <w:sz w:val="22"/>
                <w:szCs w:val="22"/>
              </w:rPr>
              <w:t>售后服务计划、措施及服务承诺：针对本项目有配送、</w:t>
            </w:r>
            <w:r>
              <w:rPr>
                <w:spacing w:val="5"/>
                <w:sz w:val="22"/>
                <w:szCs w:val="22"/>
              </w:rPr>
              <w:t xml:space="preserve"> </w:t>
            </w:r>
            <w:r>
              <w:rPr>
                <w:sz w:val="22"/>
                <w:szCs w:val="22"/>
              </w:rPr>
              <w:t xml:space="preserve">安装、调试、验收等方面的售后服务能力计划、措施 及服务承诺。根据服务承诺的完善性、合理性、及时 </w:t>
            </w:r>
            <w:r>
              <w:rPr>
                <w:spacing w:val="-1"/>
                <w:sz w:val="22"/>
                <w:szCs w:val="22"/>
              </w:rPr>
              <w:t>性等方面进行评价，不提供不得分。</w:t>
            </w:r>
          </w:p>
          <w:p>
            <w:pPr>
              <w:pStyle w:val="20"/>
              <w:spacing w:before="73" w:line="257" w:lineRule="auto"/>
              <w:ind w:left="111" w:right="105" w:firstLine="18"/>
              <w:jc w:val="both"/>
              <w:rPr>
                <w:sz w:val="22"/>
                <w:szCs w:val="22"/>
              </w:rPr>
            </w:pPr>
            <w:r>
              <w:rPr>
                <w:spacing w:val="-5"/>
                <w:sz w:val="22"/>
                <w:szCs w:val="22"/>
              </w:rPr>
              <w:t>1、提供有服务方案，售后服务方案一般，方案包含有</w:t>
            </w:r>
            <w:r>
              <w:rPr>
                <w:spacing w:val="3"/>
                <w:sz w:val="22"/>
                <w:szCs w:val="22"/>
              </w:rPr>
              <w:t xml:space="preserve"> </w:t>
            </w:r>
            <w:r>
              <w:rPr>
                <w:spacing w:val="-1"/>
                <w:sz w:val="22"/>
                <w:szCs w:val="22"/>
              </w:rPr>
              <w:t>项目售后维护和应急保障方案，且方案基本可行的得</w:t>
            </w:r>
            <w:r>
              <w:rPr>
                <w:spacing w:val="13"/>
                <w:sz w:val="22"/>
                <w:szCs w:val="22"/>
              </w:rPr>
              <w:t xml:space="preserve"> </w:t>
            </w:r>
            <w:r>
              <w:rPr>
                <w:spacing w:val="-7"/>
                <w:sz w:val="22"/>
                <w:szCs w:val="22"/>
              </w:rPr>
              <w:t>4</w:t>
            </w:r>
            <w:r>
              <w:rPr>
                <w:spacing w:val="-48"/>
                <w:sz w:val="22"/>
                <w:szCs w:val="22"/>
              </w:rPr>
              <w:t xml:space="preserve"> </w:t>
            </w:r>
            <w:r>
              <w:rPr>
                <w:spacing w:val="-7"/>
                <w:sz w:val="22"/>
                <w:szCs w:val="22"/>
              </w:rPr>
              <w:t>分；</w:t>
            </w:r>
          </w:p>
          <w:p>
            <w:pPr>
              <w:pStyle w:val="20"/>
              <w:spacing w:before="71" w:line="257" w:lineRule="auto"/>
              <w:ind w:left="115" w:right="105"/>
              <w:jc w:val="both"/>
              <w:rPr>
                <w:sz w:val="22"/>
                <w:szCs w:val="22"/>
              </w:rPr>
            </w:pPr>
            <w:r>
              <w:rPr>
                <w:spacing w:val="-5"/>
                <w:sz w:val="22"/>
                <w:szCs w:val="22"/>
              </w:rPr>
              <w:t>2、提供有服务方案，售后服务方案良好，方案包含有</w:t>
            </w:r>
            <w:r>
              <w:rPr>
                <w:spacing w:val="17"/>
                <w:sz w:val="22"/>
                <w:szCs w:val="22"/>
              </w:rPr>
              <w:t xml:space="preserve"> </w:t>
            </w:r>
            <w:r>
              <w:rPr>
                <w:sz w:val="22"/>
                <w:szCs w:val="22"/>
              </w:rPr>
              <w:t>项目售后维护、应急保障方案、描述了项目维护和应</w:t>
            </w:r>
            <w:r>
              <w:rPr>
                <w:spacing w:val="16"/>
                <w:sz w:val="22"/>
                <w:szCs w:val="22"/>
              </w:rPr>
              <w:t xml:space="preserve"> </w:t>
            </w:r>
            <w:r>
              <w:rPr>
                <w:spacing w:val="-2"/>
                <w:sz w:val="22"/>
                <w:szCs w:val="22"/>
              </w:rPr>
              <w:t>急保障方案的方法以及实现方式的得</w:t>
            </w:r>
            <w:r>
              <w:rPr>
                <w:spacing w:val="-49"/>
                <w:sz w:val="22"/>
                <w:szCs w:val="22"/>
              </w:rPr>
              <w:t xml:space="preserve"> </w:t>
            </w:r>
            <w:r>
              <w:rPr>
                <w:spacing w:val="-2"/>
                <w:sz w:val="22"/>
                <w:szCs w:val="22"/>
              </w:rPr>
              <w:t>8</w:t>
            </w:r>
            <w:r>
              <w:rPr>
                <w:spacing w:val="-48"/>
                <w:sz w:val="22"/>
                <w:szCs w:val="22"/>
              </w:rPr>
              <w:t xml:space="preserve"> </w:t>
            </w:r>
            <w:r>
              <w:rPr>
                <w:spacing w:val="-2"/>
                <w:sz w:val="22"/>
                <w:szCs w:val="22"/>
              </w:rPr>
              <w:t>分。</w:t>
            </w:r>
          </w:p>
          <w:p>
            <w:pPr>
              <w:pStyle w:val="20"/>
              <w:spacing w:before="74" w:line="256" w:lineRule="auto"/>
              <w:ind w:left="113" w:right="105" w:firstLine="3"/>
              <w:jc w:val="both"/>
              <w:rPr>
                <w:sz w:val="22"/>
                <w:szCs w:val="22"/>
              </w:rPr>
            </w:pPr>
            <w:r>
              <w:rPr>
                <w:spacing w:val="-5"/>
                <w:sz w:val="22"/>
                <w:szCs w:val="22"/>
              </w:rPr>
              <w:t>3、提供有服务方案，售后服务方案优秀，方案包含有</w:t>
            </w:r>
            <w:r>
              <w:rPr>
                <w:spacing w:val="1"/>
                <w:sz w:val="22"/>
                <w:szCs w:val="22"/>
              </w:rPr>
              <w:t>项目售后维护、应急保障方案等，提供项目</w:t>
            </w:r>
            <w:r>
              <w:rPr>
                <w:sz w:val="22"/>
                <w:szCs w:val="22"/>
              </w:rPr>
              <w:t xml:space="preserve">售后维护 </w:t>
            </w:r>
            <w:r>
              <w:rPr>
                <w:spacing w:val="1"/>
                <w:sz w:val="22"/>
                <w:szCs w:val="22"/>
              </w:rPr>
              <w:t>和应急保障方案的措施以及服务承诺，服务</w:t>
            </w:r>
            <w:r>
              <w:rPr>
                <w:sz w:val="22"/>
                <w:szCs w:val="22"/>
              </w:rPr>
              <w:t>承诺和保障措施考虑周全完整，售后服务机构及联系人、技术</w:t>
            </w:r>
            <w:r>
              <w:rPr>
                <w:spacing w:val="-4"/>
                <w:sz w:val="22"/>
                <w:szCs w:val="22"/>
              </w:rPr>
              <w:t>人员名单等详细资料的得</w:t>
            </w:r>
            <w:r>
              <w:rPr>
                <w:spacing w:val="-25"/>
                <w:sz w:val="22"/>
                <w:szCs w:val="22"/>
              </w:rPr>
              <w:t xml:space="preserve"> </w:t>
            </w:r>
            <w:r>
              <w:rPr>
                <w:spacing w:val="-4"/>
                <w:sz w:val="22"/>
                <w:szCs w:val="22"/>
              </w:rPr>
              <w:t>15</w:t>
            </w:r>
            <w:r>
              <w:rPr>
                <w:spacing w:val="-48"/>
                <w:sz w:val="22"/>
                <w:szCs w:val="22"/>
              </w:rPr>
              <w:t xml:space="preserve"> </w:t>
            </w:r>
            <w:r>
              <w:rPr>
                <w:spacing w:val="-4"/>
                <w:sz w:val="22"/>
                <w:szCs w:val="22"/>
              </w:rPr>
              <w:t>分。</w:t>
            </w:r>
          </w:p>
        </w:tc>
      </w:tr>
    </w:tbl>
    <w:p>
      <w:pPr>
        <w:autoSpaceDE w:val="0"/>
        <w:autoSpaceDN w:val="0"/>
        <w:spacing w:line="240" w:lineRule="auto"/>
        <w:rPr>
          <w:rFonts w:hint="eastAsia" w:ascii="宋体" w:hAnsi="宋体" w:cs="宋体"/>
          <w:shd w:val="clear" w:color="auto" w:fill="FFFFFF"/>
        </w:rPr>
      </w:pPr>
    </w:p>
    <w:p>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 xml:space="preserve">20.3 </w:t>
      </w:r>
      <w:r>
        <w:rPr>
          <w:rFonts w:hint="eastAsia" w:ascii="宋体" w:hAnsi="宋体" w:cs="宋体"/>
          <w:b/>
          <w:bCs/>
          <w:kern w:val="0"/>
          <w:u w:val="single"/>
        </w:rPr>
        <w:t>采用最低评标价法的</w:t>
      </w:r>
      <w:r>
        <w:rPr>
          <w:rFonts w:hint="eastAsia" w:ascii="宋体" w:hAnsi="宋体" w:cs="宋体"/>
          <w:b/>
          <w:bCs/>
          <w:kern w:val="0"/>
        </w:rPr>
        <w:t>，</w:t>
      </w:r>
      <w:r>
        <w:rPr>
          <w:rFonts w:hint="eastAsia" w:ascii="宋体" w:hAnsi="宋体" w:cs="宋体"/>
          <w:shd w:val="clear" w:color="auto" w:fill="FFFFFF"/>
        </w:rPr>
        <w:t>评标结果按投标报价由低到高顺序排列。投标报价相同的并列。投标文件满足招标文件全部实质性要求且投标报价最低的投标人为排名第一的中标候选人。</w:t>
      </w:r>
    </w:p>
    <w:p>
      <w:pPr>
        <w:autoSpaceDE w:val="0"/>
        <w:autoSpaceDN w:val="0"/>
        <w:spacing w:line="360" w:lineRule="auto"/>
        <w:ind w:firstLine="482" w:firstLineChars="200"/>
        <w:rPr>
          <w:rFonts w:hint="eastAsia" w:ascii="宋体" w:hAnsi="宋体" w:cs="宋体"/>
          <w:shd w:val="clear" w:color="auto" w:fill="FFFFFF"/>
        </w:rPr>
      </w:pPr>
      <w:r>
        <w:rPr>
          <w:rFonts w:hint="eastAsia" w:ascii="宋体" w:hAnsi="宋体" w:cs="宋体"/>
          <w:b/>
          <w:bCs/>
          <w:kern w:val="0"/>
          <w:u w:val="single"/>
        </w:rPr>
        <w:t>采用综合评分法的</w:t>
      </w:r>
      <w:r>
        <w:rPr>
          <w:rFonts w:hint="eastAsia" w:ascii="宋体" w:hAnsi="宋体" w:cs="宋体"/>
          <w:b/>
          <w:bCs/>
          <w:kern w:val="0"/>
        </w:rPr>
        <w:t>，</w:t>
      </w:r>
      <w:r>
        <w:rPr>
          <w:rFonts w:hint="eastAsia" w:ascii="宋体" w:hAnsi="宋体" w:cs="宋体"/>
          <w:shd w:val="clear" w:color="auto" w:fill="FFFFFF"/>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20.4 评标结果汇总完成后，除下列情形外，任何人不得修改评标结果：</w:t>
      </w:r>
    </w:p>
    <w:p>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（1）分值汇总计算错误的；</w:t>
      </w:r>
    </w:p>
    <w:p>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（2）分项评分超出评分标准范围的；</w:t>
      </w:r>
    </w:p>
    <w:p>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（3）评标委员会成员对客观评审因素评分不一致的；</w:t>
      </w:r>
    </w:p>
    <w:p>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（4）经评标委员会认定评分畸高、畸低的。</w:t>
      </w:r>
    </w:p>
    <w:p>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投标人对以上情形提出质疑的，采购人或者采购代理机构可以组织原评标委员会进行重新评审，重新评审改变评标结果的，应当书面报告本级财政部门。</w:t>
      </w:r>
    </w:p>
    <w:p>
      <w:pPr>
        <w:pStyle w:val="12"/>
        <w:spacing w:before="0" w:after="0" w:line="360" w:lineRule="auto"/>
        <w:rPr>
          <w:rFonts w:hint="eastAsia" w:ascii="宋体" w:hAnsi="宋体" w:cs="宋体"/>
          <w:lang w:val="zh-CN"/>
        </w:rPr>
      </w:pPr>
      <w:bookmarkStart w:id="36" w:name="_Toc30418"/>
      <w:r>
        <w:rPr>
          <w:rFonts w:hint="eastAsia" w:ascii="宋体" w:hAnsi="宋体" w:cs="宋体"/>
          <w:lang w:val="zh-CN"/>
        </w:rPr>
        <w:t>八、中标</w:t>
      </w:r>
      <w:bookmarkEnd w:id="36"/>
    </w:p>
    <w:p>
      <w:pPr>
        <w:pStyle w:val="12"/>
        <w:spacing w:before="0" w:after="0" w:line="360" w:lineRule="auto"/>
        <w:jc w:val="left"/>
        <w:rPr>
          <w:rFonts w:hint="eastAsia" w:ascii="宋体" w:hAnsi="宋体" w:cs="宋体"/>
          <w:lang w:val="zh-CN"/>
        </w:rPr>
      </w:pPr>
      <w:bookmarkStart w:id="37" w:name="_Toc8149"/>
      <w:r>
        <w:rPr>
          <w:rFonts w:hint="eastAsia" w:ascii="宋体" w:hAnsi="宋体" w:cs="宋体"/>
          <w:sz w:val="28"/>
          <w:szCs w:val="28"/>
          <w:lang w:val="zh-CN"/>
        </w:rPr>
        <w:t>2</w:t>
      </w:r>
      <w:r>
        <w:rPr>
          <w:rFonts w:hint="eastAsia" w:ascii="宋体" w:hAnsi="宋体" w:cs="宋体"/>
          <w:sz w:val="28"/>
          <w:szCs w:val="28"/>
        </w:rPr>
        <w:t>1</w:t>
      </w:r>
      <w:r>
        <w:rPr>
          <w:rFonts w:hint="eastAsia" w:ascii="宋体" w:hAnsi="宋体" w:cs="宋体"/>
          <w:sz w:val="28"/>
          <w:szCs w:val="28"/>
          <w:lang w:val="zh-CN"/>
        </w:rPr>
        <w:t>.推荐并确定中标人</w:t>
      </w:r>
      <w:bookmarkEnd w:id="37"/>
    </w:p>
    <w:p>
      <w:pPr>
        <w:autoSpaceDE w:val="0"/>
        <w:autoSpaceDN w:val="0"/>
        <w:spacing w:line="360" w:lineRule="auto"/>
        <w:ind w:firstLine="480" w:firstLineChars="200"/>
        <w:rPr>
          <w:rFonts w:hint="eastAsia" w:ascii="宋体" w:hAnsi="宋体" w:cs="宋体"/>
        </w:rPr>
      </w:pPr>
      <w:r>
        <w:rPr>
          <w:rFonts w:hint="eastAsia" w:ascii="宋体" w:hAnsi="宋体" w:cs="宋体"/>
        </w:rPr>
        <w:t>21.1 采购代理机构应当在评标结束后2个工作日内将评标报告送采购人。采购人应当自收到评标报告之日起5个工作日内，在评标报告确定的中标候选人名单中按顺序确定中标人。中标候选人并列的，由采购人或者采购人委托评标委员会按照招标文件规定的方式确定中标人；招标文件未规定的，采取随机抽取的方式确定。</w:t>
      </w:r>
    </w:p>
    <w:p>
      <w:pPr>
        <w:autoSpaceDE w:val="0"/>
        <w:autoSpaceDN w:val="0"/>
        <w:spacing w:line="360" w:lineRule="auto"/>
        <w:ind w:firstLine="480" w:firstLineChars="200"/>
        <w:rPr>
          <w:rFonts w:hint="eastAsia" w:ascii="宋体" w:hAnsi="宋体" w:cs="宋体"/>
        </w:rPr>
      </w:pPr>
      <w:r>
        <w:rPr>
          <w:rFonts w:hint="eastAsia" w:ascii="宋体" w:hAnsi="宋体" w:cs="宋体"/>
        </w:rPr>
        <w:t>21.2 采购人自行组织招标的，应当在评标结束后5个工作日内确定中标人。</w:t>
      </w:r>
    </w:p>
    <w:p>
      <w:pPr>
        <w:autoSpaceDE w:val="0"/>
        <w:autoSpaceDN w:val="0"/>
        <w:spacing w:line="360" w:lineRule="auto"/>
        <w:ind w:firstLine="480" w:firstLineChars="200"/>
        <w:rPr>
          <w:rFonts w:hint="eastAsia" w:ascii="宋体" w:hAnsi="宋体" w:cs="宋体"/>
        </w:rPr>
      </w:pPr>
      <w:r>
        <w:rPr>
          <w:rFonts w:hint="eastAsia" w:ascii="宋体" w:hAnsi="宋体" w:cs="宋体"/>
        </w:rPr>
        <w:t>21.3 采购人在收到评标报告5个工作日内未按评标报告推荐的中标候选人顺序确定中标人，又不能说明合法理由的，视同按评标报告推荐的顺序确定排名第一的中标候选人为中标人。</w:t>
      </w:r>
    </w:p>
    <w:p>
      <w:pPr>
        <w:pStyle w:val="12"/>
        <w:spacing w:before="0" w:after="0" w:line="360" w:lineRule="auto"/>
        <w:jc w:val="left"/>
        <w:rPr>
          <w:rFonts w:hint="eastAsia" w:ascii="宋体" w:hAnsi="宋体" w:cs="宋体"/>
          <w:lang w:val="zh-CN"/>
        </w:rPr>
      </w:pPr>
      <w:bookmarkStart w:id="38" w:name="_Toc1735"/>
      <w:r>
        <w:rPr>
          <w:rFonts w:hint="eastAsia" w:ascii="宋体" w:hAnsi="宋体" w:cs="宋体"/>
          <w:sz w:val="28"/>
          <w:szCs w:val="28"/>
          <w:lang w:val="zh-CN"/>
        </w:rPr>
        <w:t>2</w:t>
      </w:r>
      <w:r>
        <w:rPr>
          <w:rFonts w:hint="eastAsia" w:ascii="宋体" w:hAnsi="宋体" w:cs="宋体"/>
          <w:sz w:val="28"/>
          <w:szCs w:val="28"/>
        </w:rPr>
        <w:t>2</w:t>
      </w:r>
      <w:r>
        <w:rPr>
          <w:rFonts w:hint="eastAsia" w:ascii="宋体" w:hAnsi="宋体" w:cs="宋体"/>
          <w:sz w:val="28"/>
          <w:szCs w:val="28"/>
          <w:lang w:val="zh-CN"/>
        </w:rPr>
        <w:t>.中标通知</w:t>
      </w:r>
      <w:bookmarkEnd w:id="38"/>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22.1 采购人或者采购代理机构应当自中标人确定之日起2个工作日内，在省级以上财政部门指定的媒体上公告中标结果。</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22.2 中标结果公告内容应当包括采购人及其委托的采购代理机构的名称、地址、联系方式，项目名称和项目编号，中标人名称、地址和中标金额，主要中标标的的名称、规格型号、数量、单价、服务要求，中标公告期限以及评审专家名单。</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22.3 中标公告期限为1个工作日。</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22.4 在公告中标结果的同时，</w:t>
      </w:r>
      <w:r>
        <w:rPr>
          <w:rFonts w:hint="eastAsia" w:ascii="宋体" w:hAnsi="宋体" w:cs="宋体"/>
          <w:shd w:val="clear" w:color="auto" w:fill="FFFFFF"/>
        </w:rPr>
        <w:t>采购代理机构</w:t>
      </w:r>
      <w:r>
        <w:rPr>
          <w:rFonts w:hint="eastAsia" w:ascii="宋体" w:hAnsi="宋体" w:cs="宋体"/>
          <w:kern w:val="0"/>
        </w:rPr>
        <w:t>应当向中标人发出中标通知书；对投标无效的投标人，采购人或采购代理机构应当告知其投标无效的原因；采用综合评分法评审的，还应当告知未中标人本人的评审得分与排序。</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22.5 中标通知书发出后，采购人不得违法改变中标结果，中标人无正当理由不得放弃中标。</w:t>
      </w:r>
    </w:p>
    <w:p>
      <w:pPr>
        <w:pStyle w:val="12"/>
        <w:spacing w:before="0" w:after="0" w:line="360" w:lineRule="auto"/>
        <w:rPr>
          <w:rFonts w:hint="eastAsia" w:ascii="宋体" w:hAnsi="宋体" w:cs="宋体"/>
          <w:lang w:val="zh-CN"/>
        </w:rPr>
      </w:pPr>
      <w:bookmarkStart w:id="39" w:name="_Toc17842"/>
      <w:r>
        <w:rPr>
          <w:rFonts w:hint="eastAsia" w:ascii="宋体" w:hAnsi="宋体" w:cs="宋体"/>
          <w:lang w:val="zh-CN"/>
        </w:rPr>
        <w:t>九、授予合同</w:t>
      </w:r>
      <w:bookmarkEnd w:id="39"/>
    </w:p>
    <w:p>
      <w:pPr>
        <w:pStyle w:val="12"/>
        <w:spacing w:before="0" w:after="0" w:line="360" w:lineRule="auto"/>
        <w:jc w:val="left"/>
        <w:rPr>
          <w:rFonts w:hint="eastAsia" w:ascii="宋体" w:hAnsi="宋体" w:cs="宋体"/>
          <w:kern w:val="0"/>
          <w:sz w:val="24"/>
        </w:rPr>
      </w:pPr>
      <w:bookmarkStart w:id="40" w:name="_Toc8352"/>
      <w:r>
        <w:rPr>
          <w:rFonts w:hint="eastAsia" w:ascii="宋体" w:hAnsi="宋体" w:cs="宋体"/>
          <w:sz w:val="28"/>
          <w:szCs w:val="28"/>
          <w:lang w:val="zh-CN"/>
        </w:rPr>
        <w:t>2</w:t>
      </w:r>
      <w:r>
        <w:rPr>
          <w:rFonts w:hint="eastAsia" w:ascii="宋体" w:hAnsi="宋体" w:cs="宋体"/>
          <w:sz w:val="28"/>
          <w:szCs w:val="28"/>
        </w:rPr>
        <w:t>3</w:t>
      </w:r>
      <w:r>
        <w:rPr>
          <w:rFonts w:hint="eastAsia" w:ascii="宋体" w:hAnsi="宋体" w:cs="宋体"/>
          <w:sz w:val="28"/>
          <w:szCs w:val="28"/>
          <w:lang w:val="zh-CN"/>
        </w:rPr>
        <w:t>.签订合同</w:t>
      </w:r>
      <w:bookmarkEnd w:id="40"/>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lang w:val="zh-CN"/>
        </w:rPr>
        <w:t>2</w:t>
      </w:r>
      <w:r>
        <w:rPr>
          <w:rFonts w:hint="eastAsia" w:ascii="宋体" w:hAnsi="宋体" w:cs="宋体"/>
          <w:kern w:val="0"/>
        </w:rPr>
        <w:t>3</w:t>
      </w:r>
      <w:r>
        <w:rPr>
          <w:rFonts w:hint="eastAsia" w:ascii="宋体" w:hAnsi="宋体" w:cs="宋体"/>
          <w:kern w:val="0"/>
          <w:lang w:val="zh-CN"/>
        </w:rPr>
        <w:t>.1</w:t>
      </w:r>
      <w:r>
        <w:rPr>
          <w:rFonts w:hint="eastAsia" w:ascii="宋体" w:hAnsi="宋体" w:cs="宋体"/>
          <w:kern w:val="0"/>
        </w:rPr>
        <w:t xml:space="preserve"> 采购人应当自中标通知书发出之日起30日内，按照招标文件和中标人投标文件的规定，与中标人签订书面合同。所签订的合同不得对招标文件确定的事项和中标人投标文件作实质性修改。</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采购人不得向中标人提出任何不合理的要求作为签订合同的条件。</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2</w:t>
      </w:r>
      <w:r>
        <w:rPr>
          <w:rFonts w:hint="eastAsia" w:ascii="宋体" w:hAnsi="宋体" w:cs="宋体"/>
          <w:kern w:val="0"/>
        </w:rPr>
        <w:t>3</w:t>
      </w:r>
      <w:r>
        <w:rPr>
          <w:rFonts w:hint="eastAsia" w:ascii="宋体" w:hAnsi="宋体" w:cs="宋体"/>
          <w:kern w:val="0"/>
          <w:lang w:val="zh-CN"/>
        </w:rPr>
        <w:t>.2 签订合同时，可将中标人的投标保证金转为中标人的履约保证金或中标人应当以支票、汇票、本票等非现金形式向采购人指定的账户交纳履约保证金。履约保证金的数额由采购人确定，但不得超出采购合同总金额的10%。</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2</w:t>
      </w:r>
      <w:r>
        <w:rPr>
          <w:rFonts w:hint="eastAsia" w:ascii="宋体" w:hAnsi="宋体" w:cs="宋体"/>
          <w:kern w:val="0"/>
        </w:rPr>
        <w:t>3</w:t>
      </w:r>
      <w:r>
        <w:rPr>
          <w:rFonts w:hint="eastAsia" w:ascii="宋体" w:hAnsi="宋体" w:cs="宋体"/>
          <w:kern w:val="0"/>
          <w:lang w:val="zh-CN"/>
        </w:rPr>
        <w:t>.3</w:t>
      </w:r>
      <w:r>
        <w:rPr>
          <w:rFonts w:hint="eastAsia" w:ascii="宋体" w:hAnsi="宋体" w:cs="宋体"/>
          <w:kern w:val="0"/>
        </w:rPr>
        <w:t xml:space="preserve"> 中标人拒绝与采购人签订合同的</w:t>
      </w:r>
      <w:r>
        <w:rPr>
          <w:rFonts w:hint="eastAsia" w:ascii="宋体" w:hAnsi="宋体" w:cs="宋体"/>
          <w:kern w:val="0"/>
          <w:lang w:val="zh-CN"/>
        </w:rPr>
        <w:t>，采购人可以按照评标报告推荐的中标候选人名单排序，确定下一候选人为中标人，也可重新开展政府采购活动。</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2</w:t>
      </w:r>
      <w:r>
        <w:rPr>
          <w:rFonts w:hint="eastAsia" w:ascii="宋体" w:hAnsi="宋体" w:cs="宋体"/>
          <w:kern w:val="0"/>
        </w:rPr>
        <w:t>3</w:t>
      </w:r>
      <w:r>
        <w:rPr>
          <w:rFonts w:hint="eastAsia" w:ascii="宋体" w:hAnsi="宋体" w:cs="宋体"/>
          <w:kern w:val="0"/>
          <w:lang w:val="zh-CN"/>
        </w:rPr>
        <w:t>.4</w:t>
      </w:r>
      <w:r>
        <w:rPr>
          <w:rFonts w:hint="eastAsia" w:ascii="宋体" w:hAnsi="宋体" w:cs="宋体"/>
          <w:kern w:val="0"/>
          <w:lang w:bidi="ar"/>
        </w:rPr>
        <w:t xml:space="preserve"> </w:t>
      </w:r>
      <w:r>
        <w:rPr>
          <w:rFonts w:hint="eastAsia" w:ascii="宋体" w:hAnsi="宋体" w:cs="宋体"/>
          <w:kern w:val="0"/>
          <w:lang w:val="zh-CN"/>
        </w:rPr>
        <w:t>招标文件、中标人的投标文件、《中标通知书》及其澄清、说明文件、承诺等，均为签订采购合同的依据，作为采购合同的组成部分。</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 xml:space="preserve">22.5 </w:t>
      </w:r>
      <w:r>
        <w:rPr>
          <w:rFonts w:hint="eastAsia" w:ascii="宋体" w:hAnsi="宋体" w:cs="宋体"/>
          <w:kern w:val="0"/>
          <w:lang w:val="zh-CN"/>
        </w:rPr>
        <w:t>采购合同签订之日起</w:t>
      </w:r>
      <w:r>
        <w:rPr>
          <w:rFonts w:hint="eastAsia" w:ascii="宋体" w:hAnsi="宋体" w:cs="宋体"/>
          <w:kern w:val="0"/>
        </w:rPr>
        <w:t>2</w:t>
      </w:r>
      <w:r>
        <w:rPr>
          <w:rFonts w:hint="eastAsia" w:ascii="宋体" w:hAnsi="宋体" w:cs="宋体"/>
          <w:kern w:val="0"/>
          <w:lang w:val="zh-CN"/>
        </w:rPr>
        <w:t>个工作日内，由采购人将采购合同在青海政府采购网上公告，但采购合同中涉及国家秘密、商业秘密的内容除外。</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23.6 采购人与中标人应当根据合同的约定依法履行合同义务。政府采购合同的履行、违约责任和解决争议的方法等适用《中华人民共和国合同法》。</w:t>
      </w:r>
    </w:p>
    <w:p>
      <w:pPr>
        <w:autoSpaceDE w:val="0"/>
        <w:autoSpaceDN w:val="0"/>
        <w:spacing w:line="360" w:lineRule="auto"/>
        <w:ind w:firstLine="480" w:firstLineChars="200"/>
        <w:rPr>
          <w:rFonts w:ascii="宋体" w:hAnsi="宋体" w:cs="宋体"/>
          <w:kern w:val="0"/>
        </w:rPr>
      </w:pPr>
      <w:r>
        <w:rPr>
          <w:rFonts w:hint="eastAsia" w:ascii="宋体" w:hAnsi="宋体" w:cs="宋体"/>
          <w:kern w:val="0"/>
        </w:rPr>
        <w:t>23.7</w:t>
      </w:r>
      <w:r>
        <w:rPr>
          <w:rFonts w:ascii="宋体" w:hAnsi="宋体" w:cs="宋体"/>
          <w:kern w:val="0"/>
        </w:rPr>
        <w:t xml:space="preserve"> </w:t>
      </w:r>
      <w:r>
        <w:rPr>
          <w:rFonts w:hint="eastAsia"/>
        </w:rPr>
        <w:t>采购人或者采购代理机构应当按照政府采购合同规定的技术、服务、安全标准组织对投标人履约情况进行验收，并出具验收书。验收书应当包括每一项技术、服务、安全标准的履约情况。</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23.8</w:t>
      </w:r>
      <w:r>
        <w:rPr>
          <w:rFonts w:ascii="宋体" w:hAnsi="宋体" w:cs="宋体"/>
          <w:kern w:val="0"/>
        </w:rPr>
        <w:t xml:space="preserve"> </w:t>
      </w:r>
      <w:r>
        <w:rPr>
          <w:rFonts w:hint="eastAsia" w:ascii="宋体" w:hAnsi="宋体" w:cs="宋体"/>
          <w:kern w:val="0"/>
        </w:rPr>
        <w:t>采购人可以邀请参加本项目的其他投标人或者第三方机构参与验收。参与验收的投标人或者第三方机构的意见作为验收书的参考资料一并存档。</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23.9</w:t>
      </w:r>
      <w:r>
        <w:rPr>
          <w:rFonts w:ascii="宋体" w:hAnsi="宋体" w:cs="宋体"/>
          <w:kern w:val="0"/>
        </w:rPr>
        <w:t xml:space="preserve"> </w:t>
      </w:r>
      <w:r>
        <w:rPr>
          <w:rFonts w:hint="eastAsia" w:ascii="宋体" w:hAnsi="宋体" w:cs="宋体"/>
          <w:kern w:val="0"/>
        </w:rPr>
        <w:t>采购人应当加强对中标人的履约管理，并按照采购合同约定，及时向中标人支付采购资金。对于中标人违反采购合同约定的行为，采购人应当及时处理，依法追究其违约责任。</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23.10 采购人、采购代理机构应当建立真实完整的招标采购档案，妥善保存每项采购活动的采购文件。</w:t>
      </w:r>
    </w:p>
    <w:p>
      <w:pPr>
        <w:pStyle w:val="12"/>
        <w:spacing w:before="0" w:after="0" w:line="360" w:lineRule="auto"/>
        <w:rPr>
          <w:rFonts w:hint="eastAsia" w:ascii="宋体" w:hAnsi="宋体" w:cs="宋体"/>
          <w:lang w:val="zh-CN"/>
        </w:rPr>
      </w:pPr>
      <w:bookmarkStart w:id="41" w:name="_Toc12277"/>
      <w:r>
        <w:rPr>
          <w:rFonts w:hint="eastAsia" w:ascii="宋体" w:hAnsi="宋体" w:cs="宋体"/>
          <w:lang w:val="zh-CN"/>
        </w:rPr>
        <w:t>十、其他</w:t>
      </w:r>
      <w:bookmarkEnd w:id="41"/>
    </w:p>
    <w:p>
      <w:pPr>
        <w:pStyle w:val="12"/>
        <w:spacing w:before="0" w:after="0" w:line="360" w:lineRule="auto"/>
        <w:jc w:val="left"/>
        <w:rPr>
          <w:rFonts w:ascii="宋体" w:hAnsi="宋体" w:cs="宋体"/>
          <w:sz w:val="28"/>
          <w:szCs w:val="28"/>
        </w:rPr>
      </w:pPr>
      <w:bookmarkStart w:id="42" w:name="_Toc11272"/>
      <w:r>
        <w:rPr>
          <w:rFonts w:hint="eastAsia" w:ascii="宋体" w:hAnsi="宋体" w:cs="宋体"/>
          <w:sz w:val="28"/>
          <w:szCs w:val="28"/>
        </w:rPr>
        <w:t>2</w:t>
      </w:r>
      <w:r>
        <w:rPr>
          <w:rFonts w:ascii="宋体" w:hAnsi="宋体" w:cs="宋体"/>
          <w:sz w:val="28"/>
          <w:szCs w:val="28"/>
        </w:rPr>
        <w:t>4</w:t>
      </w:r>
      <w:r>
        <w:rPr>
          <w:rFonts w:hint="eastAsia" w:ascii="宋体" w:hAnsi="宋体" w:cs="宋体"/>
          <w:sz w:val="28"/>
          <w:szCs w:val="28"/>
        </w:rPr>
        <w:t>. 串通投标的情形</w:t>
      </w:r>
      <w:bookmarkEnd w:id="42"/>
    </w:p>
    <w:p>
      <w:pPr>
        <w:autoSpaceDE w:val="0"/>
        <w:autoSpaceDN w:val="0"/>
        <w:spacing w:line="360" w:lineRule="auto"/>
        <w:ind w:firstLine="480" w:firstLineChars="200"/>
        <w:rPr>
          <w:rFonts w:ascii="宋体" w:hAnsi="宋体" w:cs="宋体"/>
          <w:kern w:val="0"/>
        </w:rPr>
      </w:pPr>
      <w:r>
        <w:rPr>
          <w:rFonts w:hint="eastAsia" w:ascii="宋体" w:hAnsi="宋体" w:cs="宋体"/>
          <w:kern w:val="0"/>
        </w:rPr>
        <w:t>24.1投标人应当遵循公平竞争的原则，不得恶意串通，不得妨碍其他投标人的竞争行为，不得损害采购人或者其他投标人的合法权益。在评标过程中发现投标人有上述情形的，评标委员会应当认定其投标无效，并书面报告本级财政部门。</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24.2</w:t>
      </w:r>
      <w:r>
        <w:rPr>
          <w:rFonts w:ascii="宋体" w:hAnsi="宋体" w:cs="宋体"/>
          <w:kern w:val="0"/>
        </w:rPr>
        <w:t xml:space="preserve"> </w:t>
      </w:r>
      <w:r>
        <w:rPr>
          <w:rFonts w:hint="eastAsia" w:ascii="宋体" w:hAnsi="宋体" w:cs="宋体"/>
          <w:kern w:val="0"/>
        </w:rPr>
        <w:t>有下列情形之一的，视为投标人串通投标，其投标无效：</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（1）不同投标人的投标文件由同一单位或者个人编制；</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（2）不同投标人委托同一单位或者个人办理投标事宜；</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（3）不同投标人的投标文件载明的项目管理成员或者联系人员为同一人；</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（4）不同投标人的投标文件异常一致或者投标报价呈规律性差异；</w:t>
      </w:r>
    </w:p>
    <w:p>
      <w:pPr>
        <w:autoSpaceDE w:val="0"/>
        <w:autoSpaceDN w:val="0"/>
        <w:spacing w:line="360" w:lineRule="auto"/>
        <w:ind w:firstLine="480" w:firstLineChars="200"/>
        <w:rPr>
          <w:rFonts w:ascii="宋体" w:hAnsi="宋体" w:cs="宋体"/>
          <w:kern w:val="0"/>
        </w:rPr>
      </w:pPr>
      <w:r>
        <w:rPr>
          <w:rFonts w:hint="eastAsia" w:ascii="宋体" w:hAnsi="宋体" w:cs="宋体"/>
          <w:kern w:val="0"/>
        </w:rPr>
        <w:t>（5）不同投标人的投标文件相互混装；</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（6）不同投标人的投标保证金从同一单位或者个人的账户转出。</w:t>
      </w:r>
    </w:p>
    <w:p>
      <w:pPr>
        <w:pStyle w:val="12"/>
        <w:spacing w:before="0" w:after="0" w:line="360" w:lineRule="auto"/>
        <w:jc w:val="left"/>
        <w:rPr>
          <w:rFonts w:ascii="宋体" w:hAnsi="宋体" w:cs="宋体"/>
          <w:sz w:val="28"/>
          <w:szCs w:val="28"/>
        </w:rPr>
      </w:pPr>
      <w:bookmarkStart w:id="43" w:name="_Toc23118"/>
      <w:r>
        <w:rPr>
          <w:rFonts w:hint="eastAsia" w:ascii="宋体" w:hAnsi="宋体" w:cs="宋体"/>
          <w:sz w:val="28"/>
          <w:szCs w:val="28"/>
        </w:rPr>
        <w:t>2</w:t>
      </w:r>
      <w:r>
        <w:rPr>
          <w:rFonts w:ascii="宋体" w:hAnsi="宋体" w:cs="宋体"/>
          <w:sz w:val="28"/>
          <w:szCs w:val="28"/>
        </w:rPr>
        <w:t>5</w:t>
      </w:r>
      <w:r>
        <w:rPr>
          <w:rFonts w:hint="eastAsia" w:ascii="宋体" w:hAnsi="宋体" w:cs="宋体"/>
          <w:sz w:val="28"/>
          <w:szCs w:val="28"/>
        </w:rPr>
        <w:t>. 废标</w:t>
      </w:r>
      <w:bookmarkEnd w:id="43"/>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25.1</w:t>
      </w:r>
      <w:r>
        <w:rPr>
          <w:rFonts w:ascii="宋体" w:hAnsi="宋体" w:cs="宋体"/>
          <w:kern w:val="0"/>
        </w:rPr>
        <w:t xml:space="preserve"> </w:t>
      </w:r>
      <w:r>
        <w:rPr>
          <w:rFonts w:hint="eastAsia" w:ascii="宋体" w:hAnsi="宋体" w:cs="宋体"/>
          <w:kern w:val="0"/>
        </w:rPr>
        <w:t>在招标采购中，出现下列情形之一的，应予废标：</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（1）符合专业条件的投标人或者对招标文件作实质性响应的投标人不足三家的。</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（2）出现影响采购公正的违法、违规行为的。</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（3）投标人的报价均超出采购预算，采购人不能支付的。</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（4）因重大变故，采购任务取消的。</w:t>
      </w:r>
    </w:p>
    <w:p>
      <w:pPr>
        <w:autoSpaceDE w:val="0"/>
        <w:autoSpaceDN w:val="0"/>
        <w:spacing w:line="360" w:lineRule="auto"/>
        <w:ind w:firstLine="480" w:firstLineChars="200"/>
        <w:rPr>
          <w:rFonts w:ascii="宋体" w:hAnsi="宋体" w:cs="宋体"/>
          <w:kern w:val="0"/>
        </w:rPr>
      </w:pPr>
      <w:r>
        <w:rPr>
          <w:rFonts w:hint="eastAsia" w:ascii="宋体" w:hAnsi="宋体" w:cs="宋体"/>
          <w:kern w:val="0"/>
        </w:rPr>
        <w:t>废标后，由采购人或者采购代理机构发布废标公告。</w:t>
      </w:r>
    </w:p>
    <w:p>
      <w:pPr>
        <w:autoSpaceDE w:val="0"/>
        <w:autoSpaceDN w:val="0"/>
        <w:spacing w:line="360" w:lineRule="auto"/>
        <w:ind w:firstLine="480" w:firstLineChars="200"/>
        <w:rPr>
          <w:rFonts w:hint="eastAsia" w:ascii="宋体" w:hAnsi="宋体" w:cs="宋体"/>
          <w:kern w:val="0"/>
        </w:rPr>
      </w:pPr>
      <w:r>
        <w:rPr>
          <w:rFonts w:ascii="宋体" w:hAnsi="宋体" w:cs="宋体"/>
          <w:kern w:val="0"/>
        </w:rPr>
        <w:t xml:space="preserve">25.2 </w:t>
      </w:r>
      <w:r>
        <w:rPr>
          <w:rFonts w:hint="eastAsia" w:ascii="宋体" w:hAnsi="宋体" w:cs="宋体"/>
          <w:kern w:val="0"/>
        </w:rPr>
        <w:t>公开招标数额标准以上的采购项目，投标截止后投标人不足3家或者通过资格审查或符合性审查的投标人不足3家的，除采购任务取消情形外，按照以下方式处理：</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（1）招标文件存在不合理条款或者招标程序不符合规定的，采购人、采购代理机构改正后依法重新招标；</w:t>
      </w:r>
    </w:p>
    <w:p>
      <w:pPr>
        <w:autoSpaceDE w:val="0"/>
        <w:autoSpaceDN w:val="0"/>
        <w:spacing w:line="360" w:lineRule="auto"/>
        <w:ind w:firstLine="480" w:firstLineChars="200"/>
        <w:rPr>
          <w:rFonts w:ascii="宋体" w:hAnsi="宋体" w:cs="宋体"/>
          <w:kern w:val="0"/>
        </w:rPr>
      </w:pPr>
      <w:r>
        <w:rPr>
          <w:rFonts w:hint="eastAsia" w:ascii="宋体" w:hAnsi="宋体" w:cs="宋体"/>
          <w:kern w:val="0"/>
        </w:rPr>
        <w:t>（2）招标文件没有不合理条款、招标程序符合规定，需要采用其他采购方式采购的，采购人应当依法报财政部门批准。</w:t>
      </w:r>
    </w:p>
    <w:p>
      <w:pPr>
        <w:pStyle w:val="12"/>
        <w:spacing w:before="0" w:after="0" w:line="360" w:lineRule="auto"/>
        <w:jc w:val="left"/>
        <w:rPr>
          <w:rFonts w:ascii="宋体" w:hAnsi="宋体" w:cs="宋体"/>
          <w:sz w:val="28"/>
          <w:szCs w:val="28"/>
        </w:rPr>
      </w:pPr>
      <w:bookmarkStart w:id="44" w:name="_Toc17902"/>
      <w:r>
        <w:rPr>
          <w:rFonts w:hint="eastAsia" w:ascii="宋体" w:hAnsi="宋体" w:cs="宋体"/>
          <w:sz w:val="28"/>
          <w:szCs w:val="28"/>
        </w:rPr>
        <w:t>2</w:t>
      </w:r>
      <w:r>
        <w:rPr>
          <w:rFonts w:ascii="宋体" w:hAnsi="宋体" w:cs="宋体"/>
          <w:sz w:val="28"/>
          <w:szCs w:val="28"/>
        </w:rPr>
        <w:t>6</w:t>
      </w:r>
      <w:r>
        <w:rPr>
          <w:rFonts w:hint="eastAsia" w:ascii="宋体" w:hAnsi="宋体" w:cs="宋体"/>
          <w:sz w:val="28"/>
          <w:szCs w:val="28"/>
        </w:rPr>
        <w:t>. 中标服务费</w:t>
      </w:r>
      <w:bookmarkEnd w:id="44"/>
    </w:p>
    <w:p>
      <w:pPr>
        <w:autoSpaceDE w:val="0"/>
        <w:autoSpaceDN w:val="0"/>
        <w:spacing w:line="360" w:lineRule="auto"/>
        <w:ind w:firstLine="480" w:firstLineChars="200"/>
        <w:jc w:val="left"/>
        <w:rPr>
          <w:rFonts w:hint="eastAsia" w:ascii="宋体" w:hAnsi="宋体" w:cs="宋体"/>
          <w:kern w:val="0"/>
          <w:lang w:val="zh-CN"/>
        </w:rPr>
      </w:pPr>
      <w:r>
        <w:rPr>
          <w:rFonts w:hint="eastAsia" w:ascii="宋体" w:hAnsi="宋体" w:cs="宋体"/>
          <w:kern w:val="0"/>
          <w:lang w:val="zh-CN"/>
        </w:rPr>
        <w:t>26.1 收取对象：</w:t>
      </w:r>
      <w:r>
        <w:rPr>
          <w:rFonts w:hint="eastAsia" w:ascii="宋体" w:hAnsi="宋体" w:cs="宋体"/>
          <w:kern w:val="0"/>
          <w:u w:val="single"/>
          <w:lang w:val="zh-CN"/>
        </w:rPr>
        <w:t>采购人</w:t>
      </w:r>
      <w:r>
        <w:rPr>
          <w:rFonts w:hint="eastAsia" w:ascii="宋体" w:hAnsi="宋体" w:cs="宋体"/>
          <w:kern w:val="0"/>
          <w:lang w:val="zh-CN"/>
        </w:rPr>
        <w:t>。</w:t>
      </w:r>
    </w:p>
    <w:p>
      <w:pPr>
        <w:autoSpaceDE w:val="0"/>
        <w:autoSpaceDN w:val="0"/>
        <w:spacing w:line="360" w:lineRule="auto"/>
        <w:ind w:firstLine="480" w:firstLineChars="200"/>
        <w:jc w:val="left"/>
        <w:rPr>
          <w:rFonts w:hint="eastAsia" w:ascii="宋体" w:hAnsi="宋体" w:cs="宋体"/>
          <w:kern w:val="0"/>
          <w:u w:val="dashDotDotHeavy"/>
          <w:lang w:val="zh-CN"/>
        </w:rPr>
      </w:pPr>
      <w:r>
        <w:rPr>
          <w:rFonts w:ascii="宋体" w:hAnsi="宋体" w:cs="宋体"/>
          <w:kern w:val="0"/>
        </w:rPr>
        <w:t xml:space="preserve">26.2 </w:t>
      </w:r>
      <w:r>
        <w:rPr>
          <w:rFonts w:hint="eastAsia" w:ascii="宋体" w:hAnsi="宋体" w:cs="宋体"/>
          <w:kern w:val="0"/>
          <w:lang w:val="zh-CN"/>
        </w:rPr>
        <w:t>收费金额：按采购代理机构与采购人签订的合同执行。</w:t>
      </w:r>
    </w:p>
    <w:p>
      <w:pPr>
        <w:autoSpaceDE w:val="0"/>
        <w:autoSpaceDN w:val="0"/>
        <w:spacing w:line="400" w:lineRule="exact"/>
        <w:ind w:firstLine="480" w:firstLineChars="200"/>
        <w:jc w:val="left"/>
        <w:rPr>
          <w:lang w:val="zh-CN"/>
        </w:rPr>
      </w:pPr>
      <w:r>
        <w:rPr>
          <w:rFonts w:hint="eastAsia" w:ascii="宋体" w:hAnsi="宋体" w:cs="宋体"/>
          <w:kern w:val="0"/>
        </w:rPr>
        <w:t>说明：根据</w:t>
      </w:r>
      <w:r>
        <w:rPr>
          <w:rFonts w:hint="eastAsia" w:ascii="宋体" w:hAnsi="宋体" w:cs="宋体"/>
          <w:kern w:val="0"/>
          <w:lang w:val="zh-CN"/>
        </w:rPr>
        <w:t>《关于进一步放开建设项目专项业务服务价格的通知》（发改价格[2015]299号）规定，实行市场调节价，应严格遵守《价格法》、《关于商品和服务实行明码标价的规定》等法律法规的规定，</w:t>
      </w:r>
      <w:r>
        <w:rPr>
          <w:rFonts w:hint="eastAsia" w:ascii="宋体" w:cs="宋体"/>
          <w:kern w:val="0"/>
          <w:lang w:val="zh-CN"/>
        </w:rPr>
        <w:t>由采购人和采购代理机构共同确定合理的收费金额</w:t>
      </w:r>
      <w:r>
        <w:rPr>
          <w:rFonts w:hint="eastAsia" w:ascii="宋体" w:cs="宋体"/>
          <w:kern w:val="0"/>
        </w:rPr>
        <w:t>。</w:t>
      </w:r>
    </w:p>
    <w:p>
      <w:pPr>
        <w:autoSpaceDE w:val="0"/>
        <w:autoSpaceDN w:val="0"/>
        <w:spacing w:line="360" w:lineRule="auto"/>
        <w:ind w:firstLine="480" w:firstLineChars="200"/>
        <w:jc w:val="left"/>
        <w:rPr>
          <w:rFonts w:hint="eastAsia" w:ascii="宋体" w:hAnsi="宋体" w:cs="宋体"/>
          <w:kern w:val="0"/>
          <w:lang w:val="zh-CN"/>
        </w:rPr>
      </w:pPr>
      <w:r>
        <w:rPr>
          <w:rFonts w:hint="eastAsia" w:ascii="宋体" w:hAnsi="宋体" w:cs="宋体"/>
          <w:kern w:val="0"/>
          <w:lang w:val="zh-CN"/>
        </w:rPr>
        <w:t>其他未尽事宜，按照《中华人民共和国政府采购法》、《中华人民共和国政府采购法实施条例》、《民法典》等法律法规的有关条款执行。</w:t>
      </w:r>
    </w:p>
    <w:p>
      <w:pPr>
        <w:pStyle w:val="5"/>
      </w:pPr>
    </w:p>
    <w:p>
      <w:pPr>
        <w:pStyle w:val="12"/>
        <w:spacing w:before="0" w:after="0" w:line="360" w:lineRule="auto"/>
        <w:rPr>
          <w:rFonts w:hint="eastAsia" w:ascii="宋体" w:hAnsi="宋体" w:cs="宋体"/>
          <w:sz w:val="24"/>
        </w:rPr>
      </w:pPr>
      <w:r>
        <w:rPr>
          <w:rFonts w:hint="eastAsia" w:ascii="宋体" w:hAnsi="宋体" w:cs="宋体"/>
          <w:szCs w:val="36"/>
          <w:lang w:val="zh-CN"/>
        </w:rPr>
        <w:br w:type="page"/>
      </w:r>
      <w:bookmarkStart w:id="45" w:name="_Toc17891"/>
      <w:r>
        <w:rPr>
          <w:rFonts w:hint="eastAsia" w:ascii="宋体" w:hAnsi="宋体" w:cs="宋体"/>
          <w:szCs w:val="36"/>
          <w:lang w:val="zh-CN"/>
        </w:rPr>
        <w:t xml:space="preserve">第三部分 </w:t>
      </w:r>
      <w:r>
        <w:rPr>
          <w:rFonts w:hint="eastAsia" w:ascii="宋体" w:hAnsi="宋体" w:cs="宋体"/>
          <w:szCs w:val="36"/>
        </w:rPr>
        <w:t xml:space="preserve"> </w:t>
      </w:r>
      <w:r>
        <w:rPr>
          <w:rFonts w:hint="eastAsia" w:ascii="宋体" w:hAnsi="宋体" w:cs="宋体"/>
          <w:szCs w:val="36"/>
          <w:lang w:val="zh-CN"/>
        </w:rPr>
        <w:t>青海省政府采购项目合同书范本</w:t>
      </w:r>
      <w:bookmarkEnd w:id="45"/>
    </w:p>
    <w:p>
      <w:pPr>
        <w:autoSpaceDE w:val="0"/>
        <w:autoSpaceDN w:val="0"/>
        <w:adjustRightInd w:val="0"/>
        <w:spacing w:line="360" w:lineRule="auto"/>
        <w:jc w:val="center"/>
        <w:rPr>
          <w:rFonts w:hint="eastAsia" w:ascii="宋体" w:hAnsi="宋体" w:cs="宋体"/>
          <w:b/>
          <w:bCs/>
          <w:kern w:val="0"/>
          <w:sz w:val="36"/>
          <w:szCs w:val="36"/>
        </w:rPr>
      </w:pPr>
      <w:r>
        <w:rPr>
          <w:rFonts w:hint="eastAsia" w:ascii="宋体" w:hAnsi="宋体" w:cs="宋体"/>
          <w:b/>
          <w:bCs/>
          <w:kern w:val="0"/>
          <w:sz w:val="36"/>
          <w:szCs w:val="36"/>
          <w:lang w:val="zh-CN"/>
        </w:rPr>
        <w:t>（货物类）</w:t>
      </w:r>
    </w:p>
    <w:p>
      <w:pPr>
        <w:autoSpaceDE w:val="0"/>
        <w:autoSpaceDN w:val="0"/>
        <w:adjustRightInd w:val="0"/>
        <w:spacing w:line="360" w:lineRule="auto"/>
        <w:rPr>
          <w:rFonts w:hint="eastAsia" w:ascii="宋体" w:hAnsi="宋体" w:cs="宋体"/>
          <w:kern w:val="0"/>
          <w:sz w:val="28"/>
          <w:szCs w:val="28"/>
        </w:rPr>
      </w:pPr>
    </w:p>
    <w:p>
      <w:pPr>
        <w:autoSpaceDE w:val="0"/>
        <w:autoSpaceDN w:val="0"/>
        <w:adjustRightInd w:val="0"/>
        <w:spacing w:line="360" w:lineRule="auto"/>
        <w:rPr>
          <w:rFonts w:hint="eastAsia" w:ascii="宋体" w:hAnsi="宋体" w:cs="宋体"/>
          <w:kern w:val="0"/>
          <w:sz w:val="28"/>
          <w:szCs w:val="28"/>
        </w:rPr>
      </w:pPr>
    </w:p>
    <w:p>
      <w:pPr>
        <w:autoSpaceDE w:val="0"/>
        <w:autoSpaceDN w:val="0"/>
        <w:adjustRightInd w:val="0"/>
        <w:spacing w:line="360" w:lineRule="auto"/>
        <w:rPr>
          <w:rFonts w:hint="eastAsia" w:ascii="宋体" w:hAnsi="宋体" w:cs="宋体"/>
          <w:kern w:val="0"/>
          <w:sz w:val="28"/>
          <w:szCs w:val="28"/>
        </w:rPr>
      </w:pPr>
    </w:p>
    <w:p>
      <w:pPr>
        <w:autoSpaceDE w:val="0"/>
        <w:autoSpaceDN w:val="0"/>
        <w:adjustRightInd w:val="0"/>
        <w:spacing w:line="360" w:lineRule="auto"/>
        <w:rPr>
          <w:rFonts w:hint="eastAsia" w:ascii="宋体" w:hAnsi="宋体" w:cs="宋体"/>
          <w:kern w:val="0"/>
          <w:sz w:val="28"/>
          <w:szCs w:val="28"/>
        </w:rPr>
      </w:pPr>
    </w:p>
    <w:p>
      <w:pPr>
        <w:autoSpaceDE w:val="0"/>
        <w:autoSpaceDN w:val="0"/>
        <w:adjustRightInd w:val="0"/>
        <w:spacing w:line="360" w:lineRule="auto"/>
        <w:jc w:val="center"/>
        <w:rPr>
          <w:rFonts w:hint="eastAsia" w:ascii="宋体" w:hAnsi="宋体" w:cs="宋体"/>
          <w:b/>
          <w:bCs/>
          <w:kern w:val="0"/>
          <w:sz w:val="48"/>
          <w:szCs w:val="48"/>
        </w:rPr>
      </w:pPr>
      <w:r>
        <w:rPr>
          <w:rFonts w:hint="eastAsia" w:ascii="宋体" w:hAnsi="宋体" w:cs="宋体"/>
          <w:b/>
          <w:bCs/>
          <w:kern w:val="0"/>
          <w:sz w:val="48"/>
          <w:szCs w:val="48"/>
          <w:lang w:val="zh-CN"/>
        </w:rPr>
        <w:t>青海省政府采购项目合同书</w:t>
      </w:r>
    </w:p>
    <w:p>
      <w:pPr>
        <w:autoSpaceDE w:val="0"/>
        <w:autoSpaceDN w:val="0"/>
        <w:adjustRightInd w:val="0"/>
        <w:spacing w:line="360" w:lineRule="auto"/>
        <w:rPr>
          <w:rFonts w:hint="eastAsia" w:ascii="宋体" w:hAnsi="宋体" w:cs="宋体"/>
          <w:kern w:val="0"/>
          <w:sz w:val="28"/>
          <w:szCs w:val="28"/>
        </w:rPr>
      </w:pPr>
    </w:p>
    <w:p>
      <w:pPr>
        <w:autoSpaceDE w:val="0"/>
        <w:autoSpaceDN w:val="0"/>
        <w:adjustRightInd w:val="0"/>
        <w:spacing w:line="360" w:lineRule="auto"/>
        <w:rPr>
          <w:rFonts w:hint="eastAsia" w:ascii="宋体" w:hAnsi="宋体" w:cs="宋体"/>
          <w:kern w:val="0"/>
          <w:sz w:val="28"/>
          <w:szCs w:val="28"/>
        </w:rPr>
      </w:pPr>
    </w:p>
    <w:p>
      <w:pPr>
        <w:autoSpaceDE w:val="0"/>
        <w:autoSpaceDN w:val="0"/>
        <w:adjustRightInd w:val="0"/>
        <w:spacing w:line="360" w:lineRule="auto"/>
        <w:rPr>
          <w:rFonts w:hint="eastAsia" w:ascii="宋体" w:hAnsi="宋体" w:cs="宋体"/>
          <w:kern w:val="0"/>
          <w:sz w:val="28"/>
          <w:szCs w:val="28"/>
        </w:rPr>
      </w:pPr>
    </w:p>
    <w:p>
      <w:pPr>
        <w:autoSpaceDE w:val="0"/>
        <w:autoSpaceDN w:val="0"/>
        <w:adjustRightInd w:val="0"/>
        <w:spacing w:line="360" w:lineRule="auto"/>
        <w:rPr>
          <w:rFonts w:hint="eastAsia" w:ascii="宋体" w:hAnsi="宋体" w:cs="宋体"/>
          <w:kern w:val="0"/>
          <w:sz w:val="28"/>
          <w:szCs w:val="28"/>
        </w:rPr>
      </w:pPr>
    </w:p>
    <w:p>
      <w:pPr>
        <w:spacing w:line="360" w:lineRule="auto"/>
        <w:rPr>
          <w:rFonts w:hint="eastAsia" w:ascii="宋体" w:hAnsi="宋体" w:cs="宋体"/>
          <w:b/>
          <w:bCs/>
          <w:kern w:val="0"/>
          <w:sz w:val="30"/>
          <w:szCs w:val="30"/>
          <w:lang w:val="zh-CN"/>
        </w:rPr>
      </w:pPr>
      <w:r>
        <w:rPr>
          <w:rFonts w:hint="eastAsia" w:ascii="宋体" w:hAnsi="宋体" w:cs="宋体"/>
          <w:b/>
          <w:bCs/>
          <w:kern w:val="0"/>
          <w:sz w:val="30"/>
          <w:szCs w:val="30"/>
          <w:lang w:val="zh-CN"/>
        </w:rPr>
        <w:t>采购项目编号：</w:t>
      </w:r>
      <w:r>
        <w:rPr>
          <w:rFonts w:hint="eastAsia" w:ascii="宋体" w:hAnsi="宋体" w:cs="宋体"/>
          <w:b/>
          <w:bCs/>
          <w:kern w:val="0"/>
          <w:sz w:val="30"/>
          <w:szCs w:val="30"/>
          <w:u w:val="single"/>
          <w:lang w:val="en-US" w:eastAsia="zh-CN"/>
        </w:rPr>
        <w:t>城建招标公开（货物）2023-069（第二次）</w:t>
      </w:r>
      <w:r>
        <w:rPr>
          <w:rFonts w:hint="eastAsia" w:ascii="宋体" w:hAnsi="宋体" w:eastAsia="宋体" w:cs="宋体"/>
          <w:b/>
          <w:bCs/>
          <w:kern w:val="0"/>
          <w:sz w:val="30"/>
          <w:szCs w:val="30"/>
          <w:u w:val="single"/>
          <w:lang w:val="zh-CN"/>
        </w:rPr>
        <w:t xml:space="preserve">  </w:t>
      </w:r>
      <w:r>
        <w:rPr>
          <w:rFonts w:hint="eastAsia" w:ascii="宋体" w:hAnsi="宋体" w:cs="宋体"/>
          <w:kern w:val="0"/>
          <w:sz w:val="30"/>
          <w:szCs w:val="30"/>
          <w:u w:val="single"/>
        </w:rPr>
        <w:t xml:space="preserve">                              </w:t>
      </w:r>
    </w:p>
    <w:p>
      <w:pPr>
        <w:autoSpaceDE w:val="0"/>
        <w:autoSpaceDN w:val="0"/>
        <w:adjustRightInd w:val="0"/>
        <w:spacing w:line="360" w:lineRule="auto"/>
        <w:ind w:left="2108" w:hanging="2108" w:hangingChars="700"/>
        <w:rPr>
          <w:rFonts w:hint="eastAsia" w:ascii="宋体" w:hAnsi="宋体" w:cs="宋体"/>
          <w:b/>
          <w:bCs/>
          <w:kern w:val="0"/>
          <w:sz w:val="30"/>
          <w:szCs w:val="30"/>
        </w:rPr>
      </w:pPr>
      <w:r>
        <w:rPr>
          <w:rFonts w:hint="eastAsia" w:ascii="宋体" w:hAnsi="宋体" w:cs="宋体"/>
          <w:b/>
          <w:bCs/>
          <w:kern w:val="0"/>
          <w:sz w:val="30"/>
          <w:szCs w:val="30"/>
          <w:lang w:val="zh-CN"/>
        </w:rPr>
        <w:t>采购项目名称：</w:t>
      </w:r>
      <w:r>
        <w:rPr>
          <w:rFonts w:hint="eastAsia" w:ascii="宋体" w:hAnsi="宋体" w:cs="宋体"/>
          <w:b/>
          <w:bCs/>
          <w:kern w:val="0"/>
          <w:sz w:val="30"/>
          <w:szCs w:val="30"/>
          <w:u w:val="single"/>
          <w:lang w:val="zh-CN"/>
        </w:rPr>
        <w:t>德令哈市乡镇消防站场基础设施建设项目设备采购（第二次）</w:t>
      </w:r>
      <w:r>
        <w:rPr>
          <w:rFonts w:hint="eastAsia" w:ascii="宋体" w:hAnsi="宋体" w:cs="宋体"/>
          <w:b/>
          <w:bCs/>
          <w:kern w:val="0"/>
          <w:sz w:val="30"/>
          <w:szCs w:val="30"/>
          <w:u w:val="single"/>
        </w:rPr>
        <w:t xml:space="preserve">    </w:t>
      </w:r>
      <w:r>
        <w:rPr>
          <w:rFonts w:hint="eastAsia" w:ascii="宋体" w:hAnsi="宋体" w:cs="宋体"/>
          <w:b/>
          <w:bCs/>
          <w:kern w:val="0"/>
          <w:sz w:val="30"/>
          <w:szCs w:val="30"/>
          <w:u w:val="single"/>
          <w:lang w:val="en-US" w:eastAsia="zh-CN"/>
        </w:rPr>
        <w:t xml:space="preserve">                 </w:t>
      </w:r>
      <w:r>
        <w:rPr>
          <w:rFonts w:hint="eastAsia" w:ascii="宋体" w:hAnsi="宋体" w:cs="宋体"/>
          <w:b/>
          <w:bCs/>
          <w:kern w:val="0"/>
          <w:sz w:val="30"/>
          <w:szCs w:val="30"/>
          <w:u w:val="single"/>
        </w:rPr>
        <w:t xml:space="preserve">                </w:t>
      </w:r>
    </w:p>
    <w:p>
      <w:pPr>
        <w:autoSpaceDE w:val="0"/>
        <w:autoSpaceDN w:val="0"/>
        <w:adjustRightInd w:val="0"/>
        <w:spacing w:line="360" w:lineRule="auto"/>
        <w:rPr>
          <w:rFonts w:ascii="宋体" w:hAnsi="宋体" w:cs="宋体"/>
          <w:b/>
          <w:bCs/>
          <w:kern w:val="0"/>
          <w:sz w:val="30"/>
          <w:szCs w:val="30"/>
        </w:rPr>
      </w:pPr>
      <w:r>
        <w:rPr>
          <w:rFonts w:hint="eastAsia" w:ascii="宋体" w:hAnsi="宋体" w:cs="宋体"/>
          <w:b/>
          <w:bCs/>
          <w:kern w:val="0"/>
          <w:sz w:val="30"/>
          <w:szCs w:val="30"/>
          <w:lang w:val="zh-CN"/>
        </w:rPr>
        <w:t>采购合同编号：</w:t>
      </w:r>
      <w:r>
        <w:rPr>
          <w:rFonts w:hint="eastAsia" w:ascii="宋体" w:hAnsi="宋体" w:cs="宋体"/>
          <w:b/>
          <w:bCs/>
          <w:kern w:val="0"/>
          <w:sz w:val="30"/>
          <w:szCs w:val="30"/>
          <w:u w:val="single"/>
        </w:rPr>
        <w:t xml:space="preserve">  </w:t>
      </w:r>
      <w:r>
        <w:rPr>
          <w:rFonts w:hint="eastAsia" w:ascii="宋体" w:hAnsi="宋体" w:cs="宋体"/>
          <w:b/>
          <w:bCs/>
          <w:kern w:val="0"/>
          <w:sz w:val="30"/>
          <w:szCs w:val="30"/>
          <w:u w:val="single"/>
          <w:lang w:val="en-US" w:eastAsia="zh-CN"/>
        </w:rPr>
        <w:t xml:space="preserve">                                 </w:t>
      </w:r>
      <w:r>
        <w:rPr>
          <w:rFonts w:hint="eastAsia" w:ascii="宋体" w:hAnsi="宋体" w:cs="宋体"/>
          <w:b/>
          <w:bCs/>
          <w:kern w:val="0"/>
          <w:sz w:val="30"/>
          <w:szCs w:val="30"/>
          <w:u w:val="single"/>
        </w:rPr>
        <w:t xml:space="preserve">      </w:t>
      </w:r>
    </w:p>
    <w:p>
      <w:pPr>
        <w:autoSpaceDE w:val="0"/>
        <w:autoSpaceDN w:val="0"/>
        <w:adjustRightInd w:val="0"/>
        <w:spacing w:line="360" w:lineRule="auto"/>
        <w:rPr>
          <w:rFonts w:hint="eastAsia" w:ascii="宋体" w:hAnsi="宋体" w:cs="宋体"/>
          <w:b/>
          <w:bCs/>
          <w:kern w:val="0"/>
          <w:sz w:val="30"/>
          <w:szCs w:val="30"/>
        </w:rPr>
      </w:pPr>
      <w:r>
        <w:rPr>
          <w:rFonts w:hint="eastAsia" w:ascii="宋体" w:hAnsi="宋体" w:cs="宋体"/>
          <w:b/>
          <w:bCs/>
          <w:kern w:val="0"/>
          <w:sz w:val="30"/>
          <w:szCs w:val="30"/>
          <w:lang w:val="zh-CN"/>
        </w:rPr>
        <w:t>合同金额（人民币）：</w:t>
      </w:r>
      <w:r>
        <w:rPr>
          <w:rFonts w:hint="eastAsia" w:ascii="宋体" w:hAnsi="宋体" w:cs="宋体"/>
          <w:b/>
          <w:bCs/>
          <w:kern w:val="0"/>
          <w:sz w:val="30"/>
          <w:szCs w:val="30"/>
          <w:u w:val="single"/>
        </w:rPr>
        <w:t xml:space="preserve">          </w:t>
      </w:r>
      <w:r>
        <w:rPr>
          <w:rFonts w:hint="eastAsia" w:ascii="宋体" w:hAnsi="宋体" w:cs="宋体"/>
          <w:b/>
          <w:bCs/>
          <w:kern w:val="0"/>
          <w:sz w:val="30"/>
          <w:szCs w:val="30"/>
          <w:u w:val="single"/>
          <w:lang w:val="en-US" w:eastAsia="zh-CN"/>
        </w:rPr>
        <w:t xml:space="preserve">        </w:t>
      </w:r>
      <w:r>
        <w:rPr>
          <w:rFonts w:hint="eastAsia" w:ascii="宋体" w:hAnsi="宋体" w:cs="宋体"/>
          <w:b/>
          <w:bCs/>
          <w:kern w:val="0"/>
          <w:sz w:val="30"/>
          <w:szCs w:val="30"/>
          <w:u w:val="single"/>
        </w:rPr>
        <w:t xml:space="preserve">                 </w:t>
      </w:r>
    </w:p>
    <w:p>
      <w:pPr>
        <w:autoSpaceDE w:val="0"/>
        <w:autoSpaceDN w:val="0"/>
        <w:adjustRightInd w:val="0"/>
        <w:spacing w:line="360" w:lineRule="auto"/>
        <w:rPr>
          <w:rFonts w:hint="eastAsia" w:ascii="宋体" w:hAnsi="宋体" w:cs="宋体"/>
          <w:b/>
          <w:bCs/>
          <w:kern w:val="0"/>
          <w:sz w:val="30"/>
          <w:szCs w:val="30"/>
        </w:rPr>
      </w:pPr>
      <w:r>
        <w:rPr>
          <w:rFonts w:hint="eastAsia" w:ascii="宋体" w:hAnsi="宋体" w:cs="宋体"/>
          <w:b/>
          <w:bCs/>
          <w:kern w:val="0"/>
          <w:sz w:val="30"/>
          <w:szCs w:val="30"/>
          <w:lang w:val="zh-CN"/>
        </w:rPr>
        <w:t>采购人（甲方）：</w:t>
      </w:r>
      <w:r>
        <w:rPr>
          <w:rFonts w:hint="eastAsia" w:ascii="宋体" w:hAnsi="宋体" w:cs="宋体"/>
          <w:b/>
          <w:bCs/>
          <w:kern w:val="0"/>
          <w:sz w:val="30"/>
          <w:szCs w:val="30"/>
          <w:u w:val="single"/>
        </w:rPr>
        <w:t xml:space="preserve">              </w:t>
      </w:r>
      <w:r>
        <w:rPr>
          <w:rFonts w:hint="eastAsia" w:ascii="宋体" w:hAnsi="宋体" w:cs="宋体"/>
          <w:b/>
          <w:bCs/>
          <w:kern w:val="0"/>
          <w:sz w:val="30"/>
          <w:szCs w:val="30"/>
          <w:u w:val="single"/>
          <w:lang w:val="en-US" w:eastAsia="zh-CN"/>
        </w:rPr>
        <w:t xml:space="preserve">        </w:t>
      </w:r>
      <w:r>
        <w:rPr>
          <w:rFonts w:hint="eastAsia" w:ascii="宋体" w:hAnsi="宋体" w:cs="宋体"/>
          <w:b/>
          <w:bCs/>
          <w:kern w:val="0"/>
          <w:sz w:val="30"/>
          <w:szCs w:val="30"/>
          <w:u w:val="single"/>
        </w:rPr>
        <w:t xml:space="preserve">         </w:t>
      </w:r>
      <w:r>
        <w:rPr>
          <w:rFonts w:hint="eastAsia" w:ascii="宋体" w:hAnsi="宋体" w:cs="宋体"/>
          <w:b/>
          <w:bCs/>
          <w:kern w:val="0"/>
          <w:sz w:val="30"/>
          <w:szCs w:val="30"/>
          <w:u w:val="single"/>
          <w:lang w:val="zh-CN"/>
        </w:rPr>
        <w:t>（盖章）</w:t>
      </w:r>
    </w:p>
    <w:p>
      <w:pPr>
        <w:autoSpaceDE w:val="0"/>
        <w:autoSpaceDN w:val="0"/>
        <w:adjustRightInd w:val="0"/>
        <w:spacing w:line="360" w:lineRule="auto"/>
        <w:rPr>
          <w:rFonts w:hint="eastAsia" w:ascii="宋体" w:hAnsi="宋体" w:cs="宋体"/>
          <w:b/>
          <w:bCs/>
          <w:kern w:val="0"/>
          <w:sz w:val="30"/>
          <w:szCs w:val="30"/>
        </w:rPr>
      </w:pPr>
      <w:r>
        <w:rPr>
          <w:rFonts w:hint="eastAsia" w:ascii="宋体" w:hAnsi="宋体" w:cs="宋体"/>
          <w:b/>
          <w:bCs/>
          <w:kern w:val="0"/>
          <w:sz w:val="30"/>
          <w:szCs w:val="30"/>
          <w:lang w:val="zh-CN"/>
        </w:rPr>
        <w:t>中标人（乙方）：</w:t>
      </w:r>
      <w:r>
        <w:rPr>
          <w:rFonts w:hint="eastAsia" w:ascii="宋体" w:hAnsi="宋体" w:cs="宋体"/>
          <w:b/>
          <w:bCs/>
          <w:kern w:val="0"/>
          <w:sz w:val="30"/>
          <w:szCs w:val="30"/>
          <w:u w:val="single"/>
        </w:rPr>
        <w:t xml:space="preserve">              </w:t>
      </w:r>
      <w:r>
        <w:rPr>
          <w:rFonts w:hint="eastAsia" w:ascii="宋体" w:hAnsi="宋体" w:cs="宋体"/>
          <w:b/>
          <w:bCs/>
          <w:kern w:val="0"/>
          <w:sz w:val="30"/>
          <w:szCs w:val="30"/>
          <w:u w:val="single"/>
          <w:lang w:val="en-US" w:eastAsia="zh-CN"/>
        </w:rPr>
        <w:t xml:space="preserve">        </w:t>
      </w:r>
      <w:r>
        <w:rPr>
          <w:rFonts w:hint="eastAsia" w:ascii="宋体" w:hAnsi="宋体" w:cs="宋体"/>
          <w:b/>
          <w:bCs/>
          <w:kern w:val="0"/>
          <w:sz w:val="30"/>
          <w:szCs w:val="30"/>
          <w:u w:val="single"/>
        </w:rPr>
        <w:t xml:space="preserve">         </w:t>
      </w:r>
      <w:r>
        <w:rPr>
          <w:rFonts w:hint="eastAsia" w:ascii="宋体" w:hAnsi="宋体" w:cs="宋体"/>
          <w:b/>
          <w:bCs/>
          <w:kern w:val="0"/>
          <w:sz w:val="30"/>
          <w:szCs w:val="30"/>
          <w:u w:val="single"/>
          <w:lang w:val="zh-CN"/>
        </w:rPr>
        <w:t>（盖章）</w:t>
      </w:r>
    </w:p>
    <w:p>
      <w:pPr>
        <w:autoSpaceDE w:val="0"/>
        <w:autoSpaceDN w:val="0"/>
        <w:adjustRightInd w:val="0"/>
        <w:spacing w:line="360" w:lineRule="auto"/>
        <w:rPr>
          <w:rFonts w:hint="eastAsia" w:ascii="宋体" w:hAnsi="宋体" w:cs="宋体"/>
          <w:b/>
          <w:bCs/>
          <w:kern w:val="0"/>
          <w:sz w:val="30"/>
          <w:szCs w:val="30"/>
        </w:rPr>
      </w:pPr>
      <w:r>
        <w:rPr>
          <w:rFonts w:hint="eastAsia" w:ascii="宋体" w:hAnsi="宋体" w:cs="宋体"/>
          <w:b/>
          <w:bCs/>
          <w:kern w:val="0"/>
          <w:sz w:val="30"/>
          <w:szCs w:val="30"/>
          <w:lang w:val="zh-CN"/>
        </w:rPr>
        <w:t>采购日期：</w:t>
      </w:r>
      <w:r>
        <w:rPr>
          <w:rFonts w:hint="eastAsia" w:ascii="宋体" w:hAnsi="宋体" w:cs="宋体"/>
          <w:b/>
          <w:bCs/>
          <w:kern w:val="0"/>
          <w:sz w:val="30"/>
          <w:szCs w:val="30"/>
          <w:u w:val="single"/>
        </w:rPr>
        <w:t xml:space="preserve">                   </w:t>
      </w:r>
      <w:r>
        <w:rPr>
          <w:rFonts w:hint="eastAsia" w:ascii="宋体" w:hAnsi="宋体" w:cs="宋体"/>
          <w:b/>
          <w:bCs/>
          <w:kern w:val="0"/>
          <w:sz w:val="30"/>
          <w:szCs w:val="30"/>
          <w:u w:val="single"/>
          <w:lang w:val="en-US" w:eastAsia="zh-CN"/>
        </w:rPr>
        <w:t xml:space="preserve">          </w:t>
      </w:r>
      <w:r>
        <w:rPr>
          <w:rFonts w:hint="eastAsia" w:ascii="宋体" w:hAnsi="宋体" w:cs="宋体"/>
          <w:b/>
          <w:bCs/>
          <w:kern w:val="0"/>
          <w:sz w:val="30"/>
          <w:szCs w:val="30"/>
          <w:u w:val="single"/>
        </w:rPr>
        <w:t xml:space="preserve">                  </w:t>
      </w:r>
    </w:p>
    <w:p>
      <w:pPr>
        <w:autoSpaceDE w:val="0"/>
        <w:autoSpaceDN w:val="0"/>
        <w:adjustRightInd w:val="0"/>
        <w:spacing w:line="360" w:lineRule="auto"/>
        <w:rPr>
          <w:rFonts w:hint="eastAsia" w:ascii="宋体" w:hAnsi="宋体" w:cs="宋体"/>
          <w:kern w:val="0"/>
          <w:sz w:val="28"/>
          <w:szCs w:val="28"/>
        </w:rPr>
      </w:pPr>
    </w:p>
    <w:p>
      <w:pPr>
        <w:autoSpaceDE w:val="0"/>
        <w:autoSpaceDN w:val="0"/>
        <w:adjustRightInd w:val="0"/>
        <w:spacing w:line="360" w:lineRule="auto"/>
        <w:jc w:val="left"/>
        <w:rPr>
          <w:rFonts w:hint="eastAsia" w:ascii="宋体" w:hAnsi="宋体" w:cs="宋体"/>
          <w:b/>
          <w:bCs/>
          <w:kern w:val="0"/>
          <w:sz w:val="28"/>
          <w:szCs w:val="28"/>
        </w:rPr>
      </w:pPr>
      <w:r>
        <w:rPr>
          <w:rFonts w:hint="eastAsia" w:ascii="宋体" w:hAnsi="宋体" w:cs="宋体"/>
          <w:kern w:val="0"/>
          <w:sz w:val="28"/>
          <w:szCs w:val="28"/>
        </w:rPr>
        <w:br w:type="page"/>
      </w:r>
      <w:r>
        <w:rPr>
          <w:rFonts w:hint="eastAsia" w:ascii="宋体" w:hAnsi="宋体" w:cs="宋体"/>
          <w:b/>
          <w:bCs/>
          <w:kern w:val="0"/>
          <w:sz w:val="28"/>
          <w:szCs w:val="28"/>
          <w:lang w:val="zh-CN"/>
        </w:rPr>
        <w:t>采</w:t>
      </w:r>
      <w:r>
        <w:rPr>
          <w:rFonts w:hint="eastAsia" w:ascii="宋体" w:hAnsi="宋体" w:cs="宋体"/>
          <w:b/>
          <w:bCs/>
          <w:kern w:val="0"/>
          <w:sz w:val="28"/>
          <w:szCs w:val="28"/>
        </w:rPr>
        <w:t xml:space="preserve"> </w:t>
      </w:r>
      <w:r>
        <w:rPr>
          <w:rFonts w:hint="eastAsia" w:ascii="宋体" w:hAnsi="宋体" w:cs="宋体"/>
          <w:b/>
          <w:bCs/>
          <w:kern w:val="0"/>
          <w:sz w:val="28"/>
          <w:szCs w:val="28"/>
          <w:lang w:val="zh-CN"/>
        </w:rPr>
        <w:t>购</w:t>
      </w:r>
      <w:r>
        <w:rPr>
          <w:rFonts w:hint="eastAsia" w:ascii="宋体" w:hAnsi="宋体" w:cs="宋体"/>
          <w:b/>
          <w:bCs/>
          <w:kern w:val="0"/>
          <w:sz w:val="28"/>
          <w:szCs w:val="28"/>
        </w:rPr>
        <w:t xml:space="preserve"> </w:t>
      </w:r>
      <w:r>
        <w:rPr>
          <w:rFonts w:hint="eastAsia" w:ascii="宋体" w:hAnsi="宋体" w:cs="宋体"/>
          <w:b/>
          <w:bCs/>
          <w:kern w:val="0"/>
          <w:sz w:val="28"/>
          <w:szCs w:val="28"/>
          <w:lang w:val="zh-CN"/>
        </w:rPr>
        <w:t>人（以下简称甲方）：</w:t>
      </w:r>
    </w:p>
    <w:p>
      <w:pPr>
        <w:autoSpaceDE w:val="0"/>
        <w:autoSpaceDN w:val="0"/>
        <w:adjustRightInd w:val="0"/>
        <w:spacing w:line="360" w:lineRule="auto"/>
        <w:rPr>
          <w:rFonts w:hint="eastAsia" w:ascii="宋体" w:hAnsi="宋体" w:cs="宋体"/>
          <w:kern w:val="0"/>
          <w:sz w:val="28"/>
          <w:szCs w:val="28"/>
        </w:rPr>
      </w:pPr>
      <w:r>
        <w:rPr>
          <w:rFonts w:hint="eastAsia" w:ascii="宋体" w:hAnsi="宋体" w:cs="宋体"/>
          <w:b/>
          <w:bCs/>
          <w:kern w:val="0"/>
          <w:sz w:val="30"/>
          <w:szCs w:val="30"/>
          <w:lang w:val="zh-CN"/>
        </w:rPr>
        <w:t>中</w:t>
      </w:r>
      <w:r>
        <w:rPr>
          <w:rFonts w:hint="eastAsia" w:ascii="宋体" w:hAnsi="宋体" w:cs="宋体"/>
          <w:b/>
          <w:bCs/>
          <w:kern w:val="0"/>
          <w:sz w:val="30"/>
          <w:szCs w:val="30"/>
        </w:rPr>
        <w:t xml:space="preserve"> </w:t>
      </w:r>
      <w:r>
        <w:rPr>
          <w:rFonts w:hint="eastAsia" w:ascii="宋体" w:hAnsi="宋体" w:cs="宋体"/>
          <w:b/>
          <w:bCs/>
          <w:kern w:val="0"/>
          <w:sz w:val="30"/>
          <w:szCs w:val="30"/>
          <w:lang w:val="zh-CN"/>
        </w:rPr>
        <w:t>标</w:t>
      </w:r>
      <w:r>
        <w:rPr>
          <w:rFonts w:hint="eastAsia" w:ascii="宋体" w:hAnsi="宋体" w:cs="宋体"/>
          <w:b/>
          <w:bCs/>
          <w:kern w:val="0"/>
          <w:sz w:val="30"/>
          <w:szCs w:val="30"/>
        </w:rPr>
        <w:t xml:space="preserve"> </w:t>
      </w:r>
      <w:r>
        <w:rPr>
          <w:rFonts w:hint="eastAsia" w:ascii="宋体" w:hAnsi="宋体" w:cs="宋体"/>
          <w:b/>
          <w:bCs/>
          <w:kern w:val="0"/>
          <w:sz w:val="30"/>
          <w:szCs w:val="30"/>
          <w:lang w:val="zh-CN"/>
        </w:rPr>
        <w:t>人</w:t>
      </w:r>
      <w:r>
        <w:rPr>
          <w:rFonts w:hint="eastAsia" w:ascii="宋体" w:hAnsi="宋体" w:cs="宋体"/>
          <w:b/>
          <w:bCs/>
          <w:kern w:val="0"/>
          <w:sz w:val="28"/>
          <w:szCs w:val="28"/>
          <w:lang w:val="zh-CN"/>
        </w:rPr>
        <w:t>（以下简称乙方）：</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甲、乙双方根据</w:t>
      </w:r>
      <w:r>
        <w:rPr>
          <w:rFonts w:hint="eastAsia" w:ascii="宋体" w:hAnsi="宋体" w:cs="宋体"/>
          <w:kern w:val="0"/>
        </w:rPr>
        <w:t>20</w:t>
      </w:r>
      <w:r>
        <w:rPr>
          <w:rFonts w:hint="eastAsia" w:ascii="宋体" w:hAnsi="宋体" w:cs="宋体"/>
          <w:kern w:val="0"/>
          <w:lang w:val="zh-CN"/>
        </w:rPr>
        <w:t>23年XX月XX日（采购项目名称</w:t>
      </w:r>
      <w:r>
        <w:rPr>
          <w:rFonts w:hint="eastAsia" w:ascii="宋体" w:hAnsi="宋体" w:cs="宋体"/>
          <w:kern w:val="0"/>
        </w:rPr>
        <w:t>·包号</w:t>
      </w:r>
      <w:r>
        <w:rPr>
          <w:rFonts w:hint="eastAsia" w:ascii="宋体" w:hAnsi="宋体" w:cs="宋体"/>
          <w:kern w:val="0"/>
          <w:lang w:val="zh-CN"/>
        </w:rPr>
        <w:t>）采购项目（采购项目编号）的招标文件要求和采购代理机构出具的《中标通知书》，并经双方协商一致，签订本合同协议书。</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一、签订本政府采购合同的依据</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本政府采购合同所附下列文件是构成本政府采购合同不可分割的部分：</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1.招标文件；</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2.招标文件的澄清、变更公告；</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3.中标人提交的投标文件；</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4.招标文件中规定的政府采购合同通用条款；</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5.中标通知书；</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6.履约保证金缴费证明。</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二、合同标的及金额                                       单位：元</w:t>
      </w:r>
    </w:p>
    <w:tbl>
      <w:tblPr>
        <w:tblStyle w:val="13"/>
        <w:tblW w:w="0" w:type="auto"/>
        <w:jc w:val="center"/>
        <w:tblLayout w:type="fixed"/>
        <w:tblCellMar>
          <w:top w:w="0" w:type="dxa"/>
          <w:left w:w="108" w:type="dxa"/>
          <w:bottom w:w="0" w:type="dxa"/>
          <w:right w:w="108" w:type="dxa"/>
        </w:tblCellMar>
      </w:tblPr>
      <w:tblGrid>
        <w:gridCol w:w="731"/>
        <w:gridCol w:w="2271"/>
        <w:gridCol w:w="1899"/>
        <w:gridCol w:w="990"/>
        <w:gridCol w:w="945"/>
        <w:gridCol w:w="1020"/>
        <w:gridCol w:w="761"/>
      </w:tblGrid>
      <w:tr>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包号</w:t>
            </w:r>
          </w:p>
        </w:tc>
        <w:tc>
          <w:tcPr>
            <w:tcW w:w="227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标的名称</w:t>
            </w:r>
          </w:p>
        </w:tc>
        <w:tc>
          <w:tcPr>
            <w:tcW w:w="18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规格型号</w:t>
            </w:r>
          </w:p>
        </w:tc>
        <w:tc>
          <w:tcPr>
            <w:tcW w:w="99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数量</w:t>
            </w:r>
          </w:p>
        </w:tc>
        <w:tc>
          <w:tcPr>
            <w:tcW w:w="94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单价</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总价</w:t>
            </w:r>
          </w:p>
        </w:tc>
        <w:tc>
          <w:tcPr>
            <w:tcW w:w="76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备注</w:t>
            </w:r>
          </w:p>
        </w:tc>
      </w:tr>
      <w:tr>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r>
      <w:tr>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cs="宋体"/>
                <w:kern w:val="0"/>
                <w:lang w:val="zh-CN"/>
              </w:rPr>
            </w:pPr>
          </w:p>
        </w:tc>
      </w:tr>
    </w:tbl>
    <w:p>
      <w:pPr>
        <w:autoSpaceDE w:val="0"/>
        <w:autoSpaceDN w:val="0"/>
        <w:spacing w:line="360" w:lineRule="auto"/>
        <w:jc w:val="left"/>
        <w:rPr>
          <w:rFonts w:hint="eastAsia" w:ascii="宋体" w:hAnsi="宋体" w:cs="宋体"/>
          <w:kern w:val="0"/>
          <w:u w:val="single"/>
        </w:rPr>
      </w:pPr>
      <w:r>
        <w:rPr>
          <w:rFonts w:hint="eastAsia" w:ascii="宋体" w:hAnsi="宋体" w:cs="宋体"/>
          <w:kern w:val="0"/>
          <w:lang w:val="zh-CN"/>
        </w:rPr>
        <w:t>根据上述政府采购合同文件要求，本政府采购合同的总金额为人民币</w:t>
      </w:r>
      <w:r>
        <w:rPr>
          <w:rFonts w:hint="eastAsia" w:ascii="宋体" w:hAnsi="宋体" w:cs="宋体"/>
          <w:kern w:val="0"/>
          <w:u w:val="single"/>
        </w:rPr>
        <w:t xml:space="preserve">           </w:t>
      </w:r>
    </w:p>
    <w:p>
      <w:pPr>
        <w:autoSpaceDE w:val="0"/>
        <w:autoSpaceDN w:val="0"/>
        <w:spacing w:line="360" w:lineRule="auto"/>
        <w:jc w:val="left"/>
        <w:rPr>
          <w:rFonts w:hint="eastAsia" w:ascii="宋体" w:hAnsi="宋体" w:cs="宋体"/>
          <w:kern w:val="0"/>
          <w:lang w:val="zh-CN"/>
        </w:rPr>
      </w:pPr>
      <w:r>
        <w:rPr>
          <w:rFonts w:hint="eastAsia" w:ascii="宋体" w:hAnsi="宋体" w:cs="宋体"/>
          <w:kern w:val="0"/>
          <w:lang w:val="zh-CN"/>
        </w:rPr>
        <w:t>（大写）</w:t>
      </w:r>
      <w:r>
        <w:rPr>
          <w:rFonts w:hint="eastAsia" w:ascii="宋体" w:hAnsi="宋体" w:cs="宋体"/>
          <w:kern w:val="0"/>
          <w:u w:val="single"/>
          <w:lang w:val="zh-CN"/>
        </w:rPr>
        <w:t xml:space="preserve">                 </w:t>
      </w:r>
      <w:r>
        <w:rPr>
          <w:rFonts w:hint="eastAsia" w:ascii="宋体" w:hAnsi="宋体" w:cs="宋体"/>
          <w:kern w:val="0"/>
          <w:lang w:val="zh-CN"/>
        </w:rPr>
        <w:t>元。</w:t>
      </w:r>
    </w:p>
    <w:p>
      <w:pPr>
        <w:autoSpaceDE w:val="0"/>
        <w:autoSpaceDN w:val="0"/>
        <w:spacing w:line="360" w:lineRule="auto"/>
        <w:ind w:firstLine="360"/>
        <w:rPr>
          <w:rFonts w:hint="eastAsia" w:ascii="宋体" w:hAnsi="宋体" w:cs="宋体"/>
          <w:kern w:val="0"/>
        </w:rPr>
      </w:pPr>
      <w:r>
        <w:rPr>
          <w:rFonts w:hint="eastAsia" w:ascii="宋体" w:hAnsi="宋体" w:cs="宋体"/>
          <w:kern w:val="0"/>
          <w:lang w:val="zh-CN"/>
        </w:rPr>
        <w:t>本合同以人民币进行结算，合同总价包括：产品费、验收费、手续费、包装费、运输费、保险费、安装费、调试费、培训费、售前、售中、售后服务费、税金及不可预见费等全部费用。</w:t>
      </w:r>
    </w:p>
    <w:p>
      <w:pPr>
        <w:autoSpaceDE w:val="0"/>
        <w:autoSpaceDN w:val="0"/>
        <w:spacing w:line="360" w:lineRule="auto"/>
        <w:rPr>
          <w:rFonts w:hint="eastAsia" w:ascii="宋体" w:hAnsi="宋体" w:cs="宋体"/>
          <w:kern w:val="0"/>
        </w:rPr>
      </w:pPr>
      <w:r>
        <w:rPr>
          <w:rFonts w:hint="eastAsia" w:ascii="宋体" w:hAnsi="宋体" w:cs="宋体"/>
          <w:kern w:val="0"/>
          <w:lang w:val="zh-CN"/>
        </w:rPr>
        <w:t>三、交付时间、地点和要求</w:t>
      </w:r>
    </w:p>
    <w:p>
      <w:pPr>
        <w:autoSpaceDE w:val="0"/>
        <w:autoSpaceDN w:val="0"/>
        <w:spacing w:line="360" w:lineRule="auto"/>
        <w:rPr>
          <w:rFonts w:hint="eastAsia" w:ascii="宋体" w:hAnsi="宋体" w:eastAsia="宋体" w:cs="宋体"/>
          <w:kern w:val="0"/>
          <w:lang w:eastAsia="zh-CN"/>
        </w:rPr>
      </w:pPr>
      <w:r>
        <w:rPr>
          <w:rFonts w:hint="eastAsia" w:ascii="宋体" w:hAnsi="宋体" w:cs="宋体"/>
          <w:kern w:val="0"/>
        </w:rPr>
        <w:t>交付时间、地点和要求：</w:t>
      </w:r>
      <w:r>
        <w:rPr>
          <w:rFonts w:hint="eastAsia" w:ascii="宋体" w:hAnsi="宋体" w:cs="宋体"/>
          <w:color w:val="0000FF"/>
          <w:kern w:val="0"/>
          <w:lang w:val="zh-CN"/>
        </w:rPr>
        <w:t>合同签订后</w:t>
      </w:r>
      <w:r>
        <w:rPr>
          <w:rFonts w:hint="eastAsia" w:ascii="宋体" w:hAnsi="宋体" w:cs="宋体"/>
          <w:color w:val="0000FF"/>
          <w:kern w:val="0"/>
          <w:lang w:val="en-US" w:eastAsia="zh-CN"/>
        </w:rPr>
        <w:t>45日历</w:t>
      </w:r>
      <w:r>
        <w:rPr>
          <w:rFonts w:hint="eastAsia" w:ascii="宋体" w:hAnsi="宋体" w:cs="宋体"/>
          <w:color w:val="0000FF"/>
          <w:kern w:val="0"/>
          <w:lang w:val="zh-CN"/>
        </w:rPr>
        <w:t>日</w:t>
      </w:r>
      <w:r>
        <w:rPr>
          <w:rFonts w:hint="eastAsia" w:ascii="宋体" w:hAnsi="宋体" w:cs="宋体"/>
          <w:color w:val="0000FF"/>
          <w:kern w:val="0"/>
          <w:lang w:val="en-US" w:eastAsia="zh-CN"/>
        </w:rPr>
        <w:t>内</w:t>
      </w:r>
      <w:r>
        <w:rPr>
          <w:rFonts w:hint="eastAsia" w:ascii="宋体" w:hAnsi="宋体" w:cs="宋体"/>
          <w:color w:val="0000FF"/>
          <w:kern w:val="0"/>
          <w:lang w:val="zh-CN"/>
        </w:rPr>
        <w:t>交付</w:t>
      </w:r>
      <w:r>
        <w:rPr>
          <w:rFonts w:hint="eastAsia" w:ascii="宋体" w:hAnsi="宋体" w:cs="宋体"/>
          <w:color w:val="0000FF"/>
          <w:kern w:val="0"/>
          <w:lang w:val="en-US" w:eastAsia="zh-CN"/>
        </w:rPr>
        <w:t>并达到</w:t>
      </w:r>
      <w:r>
        <w:rPr>
          <w:rFonts w:hint="eastAsia" w:ascii="宋体" w:hAnsi="宋体" w:cs="宋体"/>
          <w:color w:val="0000FF"/>
          <w:kern w:val="0"/>
          <w:lang w:val="zh-CN"/>
        </w:rPr>
        <w:t>使用</w:t>
      </w:r>
      <w:r>
        <w:rPr>
          <w:rFonts w:hint="eastAsia" w:ascii="宋体" w:hAnsi="宋体" w:cs="宋体"/>
          <w:color w:val="0000FF"/>
          <w:kern w:val="0"/>
          <w:lang w:val="en-US" w:eastAsia="zh-CN"/>
        </w:rPr>
        <w:t>条件</w:t>
      </w:r>
      <w:r>
        <w:rPr>
          <w:rFonts w:hint="eastAsia" w:ascii="宋体" w:hAnsi="宋体" w:cs="宋体"/>
          <w:kern w:val="0"/>
        </w:rPr>
        <w:t>。地点为</w:t>
      </w:r>
      <w:r>
        <w:rPr>
          <w:rFonts w:hint="eastAsia" w:ascii="宋体" w:hAnsi="宋体" w:cs="宋体"/>
          <w:kern w:val="0"/>
          <w:lang w:eastAsia="zh-CN"/>
        </w:rPr>
        <w:t>德令哈市住房和城乡建设局</w:t>
      </w:r>
      <w:r>
        <w:rPr>
          <w:rFonts w:hint="eastAsia" w:ascii="宋体" w:hAnsi="宋体" w:cs="宋体"/>
          <w:kern w:val="0"/>
        </w:rPr>
        <w:t>指定</w:t>
      </w:r>
      <w:r>
        <w:rPr>
          <w:rFonts w:hint="eastAsia" w:ascii="宋体" w:hAnsi="宋体" w:cs="宋体"/>
          <w:kern w:val="0"/>
          <w:lang w:val="en-US" w:eastAsia="zh-CN"/>
        </w:rPr>
        <w:t>地点</w:t>
      </w:r>
      <w:r>
        <w:rPr>
          <w:rFonts w:hint="eastAsia" w:ascii="宋体" w:hAnsi="宋体" w:cs="宋体"/>
          <w:kern w:val="0"/>
        </w:rPr>
        <w:t>，</w:t>
      </w:r>
      <w:r>
        <w:rPr>
          <w:rFonts w:hint="eastAsia" w:ascii="宋体" w:hAnsi="宋体" w:eastAsia="宋体" w:cs="宋体"/>
          <w:kern w:val="0"/>
          <w:lang w:eastAsia="zh-CN"/>
        </w:rPr>
        <w:t>并负责搬运、卸货、安装、调试等，发生费用由乙方承担。</w:t>
      </w:r>
    </w:p>
    <w:p>
      <w:pPr>
        <w:autoSpaceDE w:val="0"/>
        <w:autoSpaceDN w:val="0"/>
        <w:spacing w:line="360" w:lineRule="auto"/>
        <w:rPr>
          <w:rFonts w:hint="default" w:ascii="宋体" w:hAnsi="宋体" w:eastAsia="宋体" w:cs="宋体"/>
          <w:kern w:val="0"/>
          <w:lang w:val="en-US" w:eastAsia="zh-CN"/>
        </w:rPr>
      </w:pPr>
      <w:r>
        <w:rPr>
          <w:rFonts w:hint="eastAsia" w:ascii="宋体" w:hAnsi="宋体" w:cs="宋体"/>
          <w:kern w:val="0"/>
          <w:lang w:val="zh-CN"/>
        </w:rPr>
        <w:t>四、付款方式</w:t>
      </w:r>
      <w:r>
        <w:rPr>
          <w:rFonts w:hint="eastAsia" w:ascii="宋体" w:hAnsi="宋体" w:cs="宋体"/>
          <w:kern w:val="0"/>
          <w:lang w:val="en-US" w:eastAsia="zh-CN"/>
        </w:rPr>
        <w:t>:详细付款方式由甲乙双方共同商议签订</w:t>
      </w:r>
    </w:p>
    <w:p>
      <w:pPr>
        <w:pStyle w:val="5"/>
        <w:rPr>
          <w:rFonts w:hint="eastAsia"/>
          <w:lang w:val="zh-CN"/>
        </w:rPr>
      </w:pPr>
      <w:r>
        <w:rPr>
          <w:rFonts w:hint="eastAsia"/>
          <w:lang w:val="zh-CN"/>
        </w:rPr>
        <w:t>五、质量保修范围和保修期</w:t>
      </w:r>
    </w:p>
    <w:p>
      <w:pPr>
        <w:pStyle w:val="5"/>
        <w:rPr>
          <w:rFonts w:hint="eastAsia"/>
          <w:lang w:val="zh-CN"/>
        </w:rPr>
      </w:pPr>
      <w:r>
        <w:rPr>
          <w:rFonts w:hint="eastAsia"/>
          <w:lang w:val="zh-CN"/>
        </w:rPr>
        <w:t>消防车辆免费保修期5年。免费保修期的计算自中标内容验收合格交付招标人使用之日起计算。保修期内出现的因产品设计、生产、加工、运输、安装、验收而产生的全部质量问题， 中标人必须及时免费提供维修服务。对于缺陷产品，必须实行终身召回制，免费负责维修和更换零部件。如有重大质量问题</w:t>
      </w:r>
      <w:r>
        <w:rPr>
          <w:rFonts w:hint="eastAsia"/>
          <w:lang w:val="zh-CN" w:eastAsia="zh-CN"/>
        </w:rPr>
        <w:t>，</w:t>
      </w:r>
      <w:r>
        <w:rPr>
          <w:rFonts w:hint="eastAsia"/>
          <w:lang w:val="zh-CN"/>
        </w:rPr>
        <w:t>必须按照国内相关法律、商务合同规定的程序进行退换货。</w:t>
      </w:r>
    </w:p>
    <w:p>
      <w:pPr>
        <w:pStyle w:val="5"/>
        <w:rPr>
          <w:rFonts w:hint="eastAsia" w:ascii="宋体" w:hAnsi="宋体" w:cs="宋体"/>
          <w:color w:val="0000FF"/>
        </w:rPr>
      </w:pPr>
      <w:r>
        <w:rPr>
          <w:rFonts w:hint="eastAsia"/>
          <w:lang w:val="zh-CN"/>
        </w:rPr>
        <w:t>消防车辆等大型装备需提供全寿命周期的主要耗损件、易损件及更换总成的目录和价格清单，投标文件中需就保证价格合理的按需及时供应作出书面承诺。</w:t>
      </w:r>
    </w:p>
    <w:p>
      <w:pPr>
        <w:pStyle w:val="5"/>
        <w:spacing w:line="360" w:lineRule="auto"/>
        <w:rPr>
          <w:rFonts w:hint="default" w:ascii="宋体" w:hAnsi="宋体" w:eastAsia="宋体" w:cs="宋体"/>
          <w:kern w:val="0"/>
          <w:sz w:val="24"/>
          <w:szCs w:val="24"/>
          <w:lang w:val="en-US" w:eastAsia="zh-CN" w:bidi="ar-SA"/>
        </w:rPr>
      </w:pPr>
      <w:r>
        <w:rPr>
          <w:rFonts w:hint="eastAsia" w:ascii="宋体" w:hAnsi="宋体" w:cs="宋体"/>
          <w:kern w:val="0"/>
          <w:sz w:val="24"/>
          <w:szCs w:val="24"/>
          <w:lang w:val="en-US" w:eastAsia="zh-CN" w:bidi="ar-SA"/>
        </w:rPr>
        <w:t>具体以签订合同为准。</w:t>
      </w:r>
    </w:p>
    <w:p>
      <w:pPr>
        <w:autoSpaceDE w:val="0"/>
        <w:autoSpaceDN w:val="0"/>
        <w:spacing w:line="360" w:lineRule="auto"/>
        <w:rPr>
          <w:rFonts w:hint="eastAsia" w:ascii="宋体" w:hAnsi="宋体" w:cs="宋体"/>
          <w:kern w:val="0"/>
        </w:rPr>
      </w:pPr>
      <w:r>
        <w:rPr>
          <w:rFonts w:hint="eastAsia" w:ascii="宋体" w:hAnsi="宋体" w:cs="宋体"/>
          <w:kern w:val="0"/>
          <w:lang w:val="zh-CN"/>
        </w:rPr>
        <w:t>六、合同的变更、终止与转让</w:t>
      </w:r>
    </w:p>
    <w:p>
      <w:pPr>
        <w:autoSpaceDE w:val="0"/>
        <w:autoSpaceDN w:val="0"/>
        <w:spacing w:line="360" w:lineRule="auto"/>
        <w:ind w:firstLine="360"/>
        <w:rPr>
          <w:rFonts w:hint="eastAsia" w:ascii="宋体" w:hAnsi="宋体" w:cs="宋体"/>
          <w:kern w:val="0"/>
        </w:rPr>
      </w:pPr>
      <w:r>
        <w:rPr>
          <w:rFonts w:hint="eastAsia" w:ascii="宋体" w:hAnsi="宋体" w:cs="宋体"/>
          <w:kern w:val="0"/>
        </w:rPr>
        <w:t>1.</w:t>
      </w:r>
      <w:r>
        <w:rPr>
          <w:rFonts w:hint="eastAsia" w:ascii="宋体" w:hAnsi="宋体" w:cs="宋体"/>
          <w:kern w:val="0"/>
          <w:lang w:val="zh-CN"/>
        </w:rPr>
        <w:t>除《中华人民共和国政府采购法》第</w:t>
      </w:r>
      <w:r>
        <w:rPr>
          <w:rFonts w:hint="eastAsia" w:ascii="宋体" w:hAnsi="宋体" w:cs="宋体"/>
          <w:kern w:val="0"/>
        </w:rPr>
        <w:t>50</w:t>
      </w:r>
      <w:r>
        <w:rPr>
          <w:rFonts w:hint="eastAsia" w:ascii="宋体" w:hAnsi="宋体" w:cs="宋体"/>
          <w:kern w:val="0"/>
          <w:lang w:val="zh-CN"/>
        </w:rPr>
        <w:t>条规定的情形外，本合同一经签订，甲乙双方不得擅自变更、中止或终止。</w:t>
      </w:r>
    </w:p>
    <w:p>
      <w:pPr>
        <w:autoSpaceDE w:val="0"/>
        <w:autoSpaceDN w:val="0"/>
        <w:spacing w:line="360" w:lineRule="auto"/>
        <w:ind w:firstLine="360"/>
        <w:rPr>
          <w:rFonts w:hint="eastAsia" w:ascii="宋体" w:hAnsi="宋体" w:cs="宋体"/>
          <w:kern w:val="0"/>
        </w:rPr>
      </w:pPr>
      <w:r>
        <w:rPr>
          <w:rFonts w:hint="eastAsia" w:ascii="宋体" w:hAnsi="宋体" w:cs="宋体"/>
          <w:kern w:val="0"/>
        </w:rPr>
        <w:t>2.</w:t>
      </w:r>
      <w:r>
        <w:rPr>
          <w:rFonts w:hint="eastAsia" w:ascii="宋体" w:hAnsi="宋体" w:cs="宋体"/>
          <w:kern w:val="0"/>
          <w:lang w:val="zh-CN"/>
        </w:rPr>
        <w:t>乙方不得擅自转让其应履行的合同义务。</w:t>
      </w:r>
    </w:p>
    <w:p>
      <w:pPr>
        <w:autoSpaceDE w:val="0"/>
        <w:autoSpaceDN w:val="0"/>
        <w:spacing w:line="360" w:lineRule="auto"/>
        <w:rPr>
          <w:rFonts w:hint="eastAsia" w:ascii="宋体" w:hAnsi="宋体" w:cs="宋体"/>
          <w:kern w:val="0"/>
        </w:rPr>
      </w:pPr>
      <w:r>
        <w:rPr>
          <w:rFonts w:hint="eastAsia" w:ascii="宋体" w:hAnsi="宋体" w:cs="宋体"/>
          <w:kern w:val="0"/>
          <w:lang w:val="zh-CN"/>
        </w:rPr>
        <w:t>七、违约责任</w:t>
      </w:r>
    </w:p>
    <w:p>
      <w:pPr>
        <w:autoSpaceDE w:val="0"/>
        <w:autoSpaceDN w:val="0"/>
        <w:spacing w:line="360" w:lineRule="auto"/>
        <w:rPr>
          <w:rFonts w:hint="eastAsia" w:ascii="宋体" w:hAnsi="宋体" w:cs="宋体"/>
          <w:kern w:val="0"/>
        </w:rPr>
      </w:pPr>
      <w:r>
        <w:rPr>
          <w:rFonts w:hint="eastAsia" w:ascii="宋体" w:hAnsi="宋体" w:cs="宋体"/>
          <w:kern w:val="0"/>
        </w:rPr>
        <w:t>①乙方所提供的产品规格、技术标准、材料等质量不合格的，应及时更换；更换不及时的，按逾期交货处罚；因质量问题甲方不同意接收的，质保金全额扣除，并由乙方赔偿由此引起的甲方的一切经济损失。</w:t>
      </w:r>
    </w:p>
    <w:p>
      <w:pPr>
        <w:autoSpaceDE w:val="0"/>
        <w:autoSpaceDN w:val="0"/>
        <w:spacing w:line="360" w:lineRule="auto"/>
        <w:rPr>
          <w:rFonts w:hint="eastAsia" w:ascii="宋体" w:hAnsi="宋体" w:cs="宋体"/>
          <w:kern w:val="0"/>
        </w:rPr>
      </w:pPr>
      <w:r>
        <w:rPr>
          <w:rFonts w:hint="eastAsia" w:ascii="宋体" w:hAnsi="宋体" w:cs="宋体"/>
          <w:kern w:val="0"/>
        </w:rPr>
        <w:t>②乙方提供的货物如侵犯了第三方权益而引发纠纷或诉讼的，均由乙方负责交涉并承担全部责任。</w:t>
      </w:r>
    </w:p>
    <w:p>
      <w:pPr>
        <w:autoSpaceDE w:val="0"/>
        <w:autoSpaceDN w:val="0"/>
        <w:spacing w:line="360" w:lineRule="auto"/>
        <w:rPr>
          <w:rFonts w:hint="eastAsia" w:ascii="宋体" w:hAnsi="宋体" w:cs="宋体"/>
          <w:kern w:val="0"/>
        </w:rPr>
      </w:pPr>
      <w:r>
        <w:rPr>
          <w:rFonts w:hint="eastAsia" w:ascii="宋体" w:hAnsi="宋体" w:cs="宋体"/>
          <w:kern w:val="0"/>
        </w:rPr>
        <w:t>③因包装、运输引起的货物损坏，按质量不合格处罚。</w:t>
      </w:r>
    </w:p>
    <w:p>
      <w:pPr>
        <w:autoSpaceDE w:val="0"/>
        <w:autoSpaceDN w:val="0"/>
        <w:spacing w:line="360" w:lineRule="auto"/>
        <w:rPr>
          <w:rFonts w:hint="eastAsia" w:ascii="宋体" w:hAnsi="宋体" w:cs="宋体"/>
          <w:kern w:val="0"/>
        </w:rPr>
      </w:pPr>
      <w:r>
        <w:rPr>
          <w:rFonts w:hint="eastAsia" w:ascii="宋体" w:hAnsi="宋体" w:cs="宋体"/>
          <w:kern w:val="0"/>
        </w:rPr>
        <w:t>④甲方无故延期接受货物和乙方逾期交货的，每天应向对方偿付未交货物的货款3‰的违约金，但违约金累计不得超过违约货款的5%，超过30天对方有权解除合同，违约方承担因此给对方造成的经济损失。</w:t>
      </w:r>
    </w:p>
    <w:p>
      <w:pPr>
        <w:autoSpaceDE w:val="0"/>
        <w:autoSpaceDN w:val="0"/>
        <w:spacing w:line="360" w:lineRule="auto"/>
        <w:rPr>
          <w:rFonts w:hint="eastAsia" w:ascii="宋体" w:hAnsi="宋体" w:cs="宋体"/>
          <w:kern w:val="0"/>
        </w:rPr>
      </w:pPr>
      <w:r>
        <w:rPr>
          <w:rFonts w:hint="eastAsia" w:ascii="宋体" w:hAnsi="宋体" w:cs="宋体"/>
          <w:kern w:val="0"/>
        </w:rPr>
        <w:t>⑤乙方未按本合同和响应文件中规定的服务承诺提供售后服务的，乙方应按本合同合计金额的5%向甲方支付违约金。</w:t>
      </w:r>
    </w:p>
    <w:p>
      <w:pPr>
        <w:autoSpaceDE w:val="0"/>
        <w:autoSpaceDN w:val="0"/>
        <w:spacing w:line="360" w:lineRule="auto"/>
        <w:rPr>
          <w:rFonts w:hint="eastAsia" w:ascii="宋体" w:hAnsi="宋体" w:cs="宋体"/>
          <w:kern w:val="0"/>
        </w:rPr>
      </w:pPr>
      <w:r>
        <w:rPr>
          <w:rFonts w:hint="eastAsia" w:ascii="宋体" w:hAnsi="宋体" w:cs="宋体"/>
          <w:kern w:val="0"/>
        </w:rPr>
        <w:t>⑥乙方提供的货物在质量保证期内，因设计、工艺或材料的缺陷和其它质量原因造成的问题，由乙方负责，费用从合同款中扣除，不足另补。</w:t>
      </w:r>
    </w:p>
    <w:p>
      <w:pPr>
        <w:autoSpaceDE w:val="0"/>
        <w:autoSpaceDN w:val="0"/>
        <w:spacing w:line="360" w:lineRule="auto"/>
        <w:rPr>
          <w:rFonts w:hint="eastAsia" w:ascii="宋体" w:hAnsi="宋体" w:cs="宋体"/>
          <w:kern w:val="0"/>
        </w:rPr>
      </w:pPr>
      <w:r>
        <w:rPr>
          <w:rFonts w:hint="eastAsia" w:ascii="宋体" w:hAnsi="宋体" w:cs="宋体"/>
          <w:kern w:val="0"/>
        </w:rPr>
        <w:t>⑦其它违约行为按违约货款额5%收取违约金并赔偿经济损失。</w:t>
      </w:r>
    </w:p>
    <w:p>
      <w:pPr>
        <w:autoSpaceDE w:val="0"/>
        <w:autoSpaceDN w:val="0"/>
        <w:spacing w:line="360" w:lineRule="auto"/>
        <w:rPr>
          <w:rFonts w:hint="eastAsia" w:ascii="宋体" w:hAnsi="宋体" w:cs="宋体"/>
          <w:kern w:val="0"/>
        </w:rPr>
      </w:pPr>
      <w:r>
        <w:rPr>
          <w:rFonts w:hint="eastAsia" w:ascii="宋体" w:hAnsi="宋体" w:cs="宋体"/>
          <w:kern w:val="0"/>
          <w:lang w:val="zh-CN"/>
        </w:rPr>
        <w:t>八、不可抗力</w:t>
      </w:r>
    </w:p>
    <w:p>
      <w:pPr>
        <w:autoSpaceDE w:val="0"/>
        <w:autoSpaceDN w:val="0"/>
        <w:spacing w:line="360" w:lineRule="auto"/>
        <w:ind w:firstLine="360"/>
        <w:rPr>
          <w:rFonts w:hint="eastAsia" w:ascii="宋体" w:hAnsi="宋体" w:cs="宋体"/>
          <w:kern w:val="0"/>
        </w:rPr>
      </w:pPr>
      <w:r>
        <w:rPr>
          <w:rFonts w:hint="eastAsia" w:ascii="宋体" w:hAnsi="宋体" w:cs="宋体"/>
          <w:kern w:val="0"/>
          <w:lang w:val="zh-CN"/>
        </w:rPr>
        <w:t>不可抗力使合同的某些内容有变更必要的，双方应通过协商在15天内达成进一步履行合同的协议，因不可抗力致使合同不能履行的，合同终止。除法律、法规规定的不可抗力情形外，双方约定出现无情况亦视为不可抗力。</w:t>
      </w:r>
    </w:p>
    <w:p>
      <w:pPr>
        <w:autoSpaceDE w:val="0"/>
        <w:autoSpaceDN w:val="0"/>
        <w:spacing w:line="360" w:lineRule="auto"/>
        <w:rPr>
          <w:rFonts w:hint="eastAsia" w:ascii="宋体" w:hAnsi="宋体" w:cs="宋体"/>
          <w:kern w:val="0"/>
        </w:rPr>
      </w:pPr>
      <w:r>
        <w:rPr>
          <w:rFonts w:hint="eastAsia" w:ascii="宋体" w:hAnsi="宋体" w:cs="宋体"/>
          <w:kern w:val="0"/>
          <w:lang w:val="zh-CN"/>
        </w:rPr>
        <w:t>九、知识产权：乙方承诺所提供产品在中国境内不受任何第三方对甲方的知识产权追索。其他详见合同通用条款</w:t>
      </w:r>
    </w:p>
    <w:p>
      <w:pPr>
        <w:autoSpaceDE w:val="0"/>
        <w:autoSpaceDN w:val="0"/>
        <w:spacing w:line="360" w:lineRule="auto"/>
        <w:rPr>
          <w:rFonts w:hint="eastAsia" w:ascii="宋体" w:hAnsi="宋体" w:cs="宋体"/>
          <w:kern w:val="0"/>
        </w:rPr>
      </w:pPr>
      <w:r>
        <w:rPr>
          <w:rFonts w:hint="eastAsia" w:ascii="宋体" w:hAnsi="宋体" w:cs="宋体"/>
          <w:kern w:val="0"/>
          <w:lang w:val="zh-CN"/>
        </w:rPr>
        <w:t>十、其他约定：</w:t>
      </w:r>
    </w:p>
    <w:p>
      <w:pPr>
        <w:autoSpaceDE w:val="0"/>
        <w:autoSpaceDN w:val="0"/>
        <w:spacing w:line="360" w:lineRule="auto"/>
        <w:rPr>
          <w:rFonts w:hint="eastAsia" w:ascii="宋体" w:hAnsi="宋体" w:cs="宋体"/>
          <w:kern w:val="0"/>
        </w:rPr>
      </w:pPr>
      <w:r>
        <w:rPr>
          <w:rFonts w:hint="eastAsia" w:ascii="宋体" w:hAnsi="宋体" w:cs="宋体"/>
          <w:kern w:val="0"/>
          <w:lang w:val="zh-CN"/>
        </w:rPr>
        <w:t>十、合同争议解决</w:t>
      </w:r>
    </w:p>
    <w:p>
      <w:pPr>
        <w:autoSpaceDE w:val="0"/>
        <w:autoSpaceDN w:val="0"/>
        <w:spacing w:line="360" w:lineRule="auto"/>
        <w:ind w:firstLine="360"/>
        <w:rPr>
          <w:rFonts w:hint="eastAsia" w:ascii="宋体" w:hAnsi="宋体" w:cs="宋体"/>
          <w:kern w:val="0"/>
        </w:rPr>
      </w:pPr>
      <w:r>
        <w:rPr>
          <w:rFonts w:hint="eastAsia" w:ascii="宋体" w:hAnsi="宋体" w:cs="宋体"/>
          <w:kern w:val="0"/>
        </w:rPr>
        <w:t>1.</w:t>
      </w:r>
      <w:r>
        <w:rPr>
          <w:rFonts w:hint="eastAsia" w:ascii="宋体" w:hAnsi="宋体" w:cs="宋体"/>
          <w:kern w:val="0"/>
          <w:lang w:val="zh-CN"/>
        </w:rPr>
        <w:t>因产品质量问题发生争议的，应邀请国家认可的质量检测机构进行鉴定。产品符合标准的，鉴定费由甲方承担；产品不符合标准的，鉴定费由乙方承担。</w:t>
      </w:r>
    </w:p>
    <w:p>
      <w:pPr>
        <w:autoSpaceDE w:val="0"/>
        <w:autoSpaceDN w:val="0"/>
        <w:spacing w:line="360" w:lineRule="auto"/>
        <w:ind w:firstLine="360"/>
        <w:rPr>
          <w:rFonts w:hint="eastAsia" w:ascii="宋体" w:hAnsi="宋体" w:cs="宋体"/>
          <w:kern w:val="0"/>
        </w:rPr>
      </w:pPr>
      <w:r>
        <w:rPr>
          <w:rFonts w:hint="eastAsia" w:ascii="宋体" w:hAnsi="宋体" w:cs="宋体"/>
          <w:kern w:val="0"/>
        </w:rPr>
        <w:t>2.</w:t>
      </w:r>
      <w:r>
        <w:rPr>
          <w:rFonts w:hint="eastAsia" w:ascii="宋体" w:hAnsi="宋体" w:cs="宋体"/>
          <w:kern w:val="0"/>
          <w:lang w:val="zh-CN"/>
        </w:rPr>
        <w:t>因履行本合同引起的或与本合同有关的争议，甲乙双方应首先通过友好协商解决，如果协商不能解决，可向</w:t>
      </w:r>
      <w:r>
        <w:rPr>
          <w:rFonts w:hint="eastAsia" w:ascii="宋体" w:hAnsi="宋体" w:cs="宋体"/>
          <w:kern w:val="0"/>
          <w:u w:val="single"/>
          <w:lang w:val="zh-CN"/>
        </w:rPr>
        <w:t>甲方</w:t>
      </w:r>
      <w:r>
        <w:rPr>
          <w:rFonts w:hint="eastAsia" w:ascii="宋体" w:hAnsi="宋体" w:cs="宋体"/>
          <w:kern w:val="0"/>
          <w:lang w:val="zh-CN"/>
        </w:rPr>
        <w:t>所在地人民法院提起诉讼。</w:t>
      </w:r>
    </w:p>
    <w:p>
      <w:pPr>
        <w:autoSpaceDE w:val="0"/>
        <w:autoSpaceDN w:val="0"/>
        <w:spacing w:line="360" w:lineRule="auto"/>
        <w:ind w:firstLine="360"/>
        <w:rPr>
          <w:rFonts w:hint="eastAsia" w:ascii="宋体" w:hAnsi="宋体" w:cs="宋体"/>
          <w:kern w:val="0"/>
        </w:rPr>
      </w:pPr>
      <w:r>
        <w:rPr>
          <w:rFonts w:hint="eastAsia" w:ascii="宋体" w:hAnsi="宋体" w:cs="宋体"/>
          <w:kern w:val="0"/>
        </w:rPr>
        <w:t>3.</w:t>
      </w:r>
      <w:r>
        <w:rPr>
          <w:rFonts w:hint="eastAsia" w:ascii="宋体" w:hAnsi="宋体" w:cs="宋体"/>
          <w:kern w:val="0"/>
          <w:lang w:val="zh-CN"/>
        </w:rPr>
        <w:t>诉讼期间，本合同继续履行。</w:t>
      </w:r>
    </w:p>
    <w:p>
      <w:pPr>
        <w:autoSpaceDE w:val="0"/>
        <w:autoSpaceDN w:val="0"/>
        <w:spacing w:line="360" w:lineRule="auto"/>
        <w:rPr>
          <w:rFonts w:hint="eastAsia" w:ascii="宋体" w:hAnsi="宋体" w:cs="宋体"/>
          <w:kern w:val="0"/>
        </w:rPr>
      </w:pPr>
      <w:r>
        <w:rPr>
          <w:rFonts w:hint="eastAsia" w:ascii="宋体" w:hAnsi="宋体" w:cs="宋体"/>
          <w:kern w:val="0"/>
          <w:lang w:val="zh-CN"/>
        </w:rPr>
        <w:t>十一、合同生效及其它</w:t>
      </w:r>
      <w:r>
        <w:rPr>
          <w:rFonts w:hint="eastAsia" w:ascii="宋体" w:hAnsi="宋体" w:cs="宋体"/>
          <w:kern w:val="0"/>
        </w:rPr>
        <w:t>：</w:t>
      </w:r>
    </w:p>
    <w:p>
      <w:pPr>
        <w:autoSpaceDE w:val="0"/>
        <w:autoSpaceDN w:val="0"/>
        <w:spacing w:line="360" w:lineRule="auto"/>
        <w:ind w:firstLine="360"/>
        <w:rPr>
          <w:rFonts w:hint="eastAsia" w:ascii="宋体" w:hAnsi="宋体" w:cs="宋体"/>
          <w:kern w:val="0"/>
        </w:rPr>
      </w:pPr>
      <w:r>
        <w:rPr>
          <w:rFonts w:hint="eastAsia" w:ascii="宋体" w:hAnsi="宋体" w:cs="宋体"/>
          <w:kern w:val="0"/>
        </w:rPr>
        <w:t>1.</w:t>
      </w:r>
      <w:r>
        <w:rPr>
          <w:rFonts w:hint="eastAsia" w:ascii="宋体" w:hAnsi="宋体" w:cs="宋体"/>
          <w:kern w:val="0"/>
          <w:lang w:val="zh-CN"/>
        </w:rPr>
        <w:t>本合同一式</w:t>
      </w:r>
      <w:r>
        <w:rPr>
          <w:rFonts w:hint="eastAsia" w:ascii="宋体" w:hAnsi="宋体" w:cs="宋体"/>
          <w:kern w:val="0"/>
          <w:u w:val="dashDotHeavy"/>
          <w:lang w:val="zh-CN"/>
        </w:rPr>
        <w:t>八</w:t>
      </w:r>
      <w:r>
        <w:rPr>
          <w:rFonts w:hint="eastAsia" w:ascii="宋体" w:hAnsi="宋体" w:cs="宋体"/>
          <w:kern w:val="0"/>
          <w:lang w:val="zh-CN"/>
        </w:rPr>
        <w:t>份，经双方签字，并加盖公章即为生效。</w:t>
      </w:r>
    </w:p>
    <w:p>
      <w:pPr>
        <w:autoSpaceDE w:val="0"/>
        <w:autoSpaceDN w:val="0"/>
        <w:spacing w:line="360" w:lineRule="auto"/>
        <w:ind w:firstLine="360"/>
        <w:rPr>
          <w:rFonts w:hint="eastAsia" w:ascii="宋体" w:hAnsi="宋体" w:cs="宋体"/>
          <w:kern w:val="0"/>
        </w:rPr>
      </w:pPr>
      <w:r>
        <w:rPr>
          <w:rFonts w:hint="eastAsia" w:ascii="宋体" w:hAnsi="宋体" w:cs="宋体"/>
          <w:kern w:val="0"/>
        </w:rPr>
        <w:t>2.</w:t>
      </w:r>
      <w:r>
        <w:rPr>
          <w:rFonts w:hint="eastAsia" w:ascii="宋体" w:hAnsi="宋体" w:cs="宋体"/>
          <w:kern w:val="0"/>
          <w:lang w:val="zh-CN"/>
        </w:rPr>
        <w:t>本合同未尽事宜，按经济合同法有关规定处理。</w:t>
      </w:r>
    </w:p>
    <w:p>
      <w:pPr>
        <w:autoSpaceDE w:val="0"/>
        <w:autoSpaceDN w:val="0"/>
        <w:spacing w:line="360" w:lineRule="auto"/>
        <w:ind w:firstLine="360"/>
        <w:rPr>
          <w:rFonts w:hint="eastAsia" w:ascii="宋体" w:hAnsi="宋体" w:cs="宋体"/>
          <w:kern w:val="0"/>
          <w:lang w:val="zh-CN"/>
        </w:rPr>
      </w:pPr>
      <w:r>
        <w:rPr>
          <w:rFonts w:hint="eastAsia" w:ascii="宋体" w:hAnsi="宋体" w:cs="宋体"/>
          <w:kern w:val="0"/>
        </w:rPr>
        <w:t>3.</w:t>
      </w:r>
      <w:r>
        <w:rPr>
          <w:rFonts w:hint="eastAsia" w:ascii="宋体" w:hAnsi="宋体" w:cs="宋体"/>
          <w:kern w:val="0"/>
          <w:lang w:val="zh-CN"/>
        </w:rPr>
        <w:t>本合同的组成包含《合同通用条款》。</w:t>
      </w:r>
    </w:p>
    <w:p>
      <w:pPr>
        <w:autoSpaceDE w:val="0"/>
        <w:autoSpaceDN w:val="0"/>
        <w:spacing w:line="360" w:lineRule="auto"/>
        <w:rPr>
          <w:rFonts w:hint="eastAsia" w:ascii="宋体" w:hAnsi="宋体" w:cs="宋体"/>
          <w:kern w:val="0"/>
        </w:rPr>
      </w:pPr>
      <w:r>
        <w:rPr>
          <w:rFonts w:hint="eastAsia" w:ascii="宋体" w:hAnsi="宋体" w:cs="宋体"/>
          <w:kern w:val="0"/>
          <w:lang w:val="zh-CN"/>
        </w:rPr>
        <w:t>甲方（盖章）：</w:t>
      </w:r>
      <w:r>
        <w:rPr>
          <w:rFonts w:hint="eastAsia" w:ascii="宋体" w:hAnsi="宋体" w:cs="宋体"/>
          <w:kern w:val="0"/>
        </w:rPr>
        <w:t xml:space="preserve">                         </w:t>
      </w:r>
      <w:r>
        <w:rPr>
          <w:rFonts w:hint="eastAsia" w:ascii="宋体" w:hAnsi="宋体" w:cs="宋体"/>
          <w:kern w:val="0"/>
          <w:lang w:val="zh-CN"/>
        </w:rPr>
        <w:t>乙方（盖章）：</w:t>
      </w:r>
    </w:p>
    <w:p>
      <w:pPr>
        <w:autoSpaceDE w:val="0"/>
        <w:autoSpaceDN w:val="0"/>
        <w:spacing w:line="360" w:lineRule="auto"/>
        <w:rPr>
          <w:rFonts w:hint="eastAsia" w:ascii="宋体" w:hAnsi="宋体" w:cs="宋体"/>
          <w:kern w:val="0"/>
        </w:rPr>
      </w:pPr>
      <w:r>
        <w:rPr>
          <w:rFonts w:hint="eastAsia" w:ascii="宋体" w:hAnsi="宋体" w:cs="宋体"/>
          <w:kern w:val="0"/>
          <w:lang w:val="zh-CN"/>
        </w:rPr>
        <w:t>法定代表人或委托代理人</w:t>
      </w:r>
      <w:r>
        <w:rPr>
          <w:rFonts w:hint="eastAsia" w:ascii="宋体" w:hAnsi="宋体" w:cs="宋体"/>
          <w:kern w:val="0"/>
        </w:rPr>
        <w:t xml:space="preserve">：               </w:t>
      </w:r>
      <w:r>
        <w:rPr>
          <w:rFonts w:hint="eastAsia" w:ascii="宋体" w:hAnsi="宋体" w:cs="宋体"/>
          <w:kern w:val="0"/>
          <w:lang w:val="zh-CN"/>
        </w:rPr>
        <w:t>法定代表人或委托代理人</w:t>
      </w:r>
      <w:r>
        <w:rPr>
          <w:rFonts w:hint="eastAsia" w:ascii="宋体" w:hAnsi="宋体" w:cs="宋体"/>
          <w:kern w:val="0"/>
        </w:rPr>
        <w:t>：</w:t>
      </w:r>
    </w:p>
    <w:p>
      <w:pPr>
        <w:autoSpaceDE w:val="0"/>
        <w:autoSpaceDN w:val="0"/>
        <w:spacing w:line="360" w:lineRule="auto"/>
        <w:rPr>
          <w:rFonts w:hint="eastAsia" w:ascii="宋体" w:hAnsi="宋体" w:cs="宋体"/>
          <w:kern w:val="0"/>
        </w:rPr>
      </w:pPr>
      <w:r>
        <w:rPr>
          <w:rFonts w:hint="eastAsia" w:ascii="宋体" w:hAnsi="宋体" w:cs="宋体"/>
          <w:kern w:val="0"/>
        </w:rPr>
        <w:t xml:space="preserve">                                       </w:t>
      </w:r>
      <w:r>
        <w:rPr>
          <w:rFonts w:hint="eastAsia" w:ascii="宋体" w:hAnsi="宋体" w:cs="宋体"/>
          <w:kern w:val="0"/>
          <w:lang w:val="zh-CN"/>
        </w:rPr>
        <w:t>开户银行：</w:t>
      </w:r>
    </w:p>
    <w:p>
      <w:pPr>
        <w:autoSpaceDE w:val="0"/>
        <w:autoSpaceDN w:val="0"/>
        <w:spacing w:line="360" w:lineRule="auto"/>
        <w:rPr>
          <w:rFonts w:hint="eastAsia" w:ascii="宋体" w:hAnsi="宋体" w:cs="宋体"/>
          <w:kern w:val="0"/>
          <w:lang w:val="zh-CN"/>
        </w:rPr>
      </w:pPr>
      <w:r>
        <w:rPr>
          <w:rFonts w:hint="eastAsia" w:ascii="宋体" w:hAnsi="宋体" w:cs="宋体"/>
          <w:kern w:val="0"/>
        </w:rPr>
        <w:t xml:space="preserve">                                       </w:t>
      </w:r>
      <w:r>
        <w:rPr>
          <w:rFonts w:hint="eastAsia" w:ascii="宋体" w:hAnsi="宋体" w:cs="宋体"/>
          <w:kern w:val="0"/>
          <w:lang w:val="zh-CN"/>
        </w:rPr>
        <w:t>账号：</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地址：</w:t>
      </w:r>
      <w:r>
        <w:rPr>
          <w:rFonts w:hint="eastAsia" w:ascii="宋体" w:hAnsi="宋体" w:cs="宋体"/>
          <w:kern w:val="0"/>
        </w:rPr>
        <w:t xml:space="preserve">                                 </w:t>
      </w:r>
      <w:r>
        <w:rPr>
          <w:rFonts w:hint="eastAsia" w:ascii="宋体" w:hAnsi="宋体" w:cs="宋体"/>
          <w:kern w:val="0"/>
          <w:lang w:val="zh-CN"/>
        </w:rPr>
        <w:t>地址：</w:t>
      </w:r>
    </w:p>
    <w:p>
      <w:pPr>
        <w:autoSpaceDE w:val="0"/>
        <w:autoSpaceDN w:val="0"/>
        <w:spacing w:line="360" w:lineRule="auto"/>
        <w:rPr>
          <w:rFonts w:hint="eastAsia" w:ascii="宋体" w:hAnsi="宋体" w:cs="宋体"/>
          <w:kern w:val="0"/>
        </w:rPr>
      </w:pPr>
      <w:r>
        <w:rPr>
          <w:rFonts w:hint="eastAsia" w:ascii="宋体" w:hAnsi="宋体" w:cs="宋体"/>
          <w:kern w:val="0"/>
          <w:lang w:val="zh-CN"/>
        </w:rPr>
        <w:t>联系电话：</w:t>
      </w:r>
      <w:r>
        <w:rPr>
          <w:rFonts w:hint="eastAsia" w:ascii="宋体" w:hAnsi="宋体" w:cs="宋体"/>
          <w:kern w:val="0"/>
        </w:rPr>
        <w:t xml:space="preserve">                             </w:t>
      </w:r>
      <w:r>
        <w:rPr>
          <w:rFonts w:hint="eastAsia" w:ascii="宋体" w:hAnsi="宋体" w:cs="宋体"/>
          <w:kern w:val="0"/>
          <w:lang w:val="zh-CN"/>
        </w:rPr>
        <w:t>联系电话：</w:t>
      </w:r>
    </w:p>
    <w:p>
      <w:pPr>
        <w:autoSpaceDE w:val="0"/>
        <w:autoSpaceDN w:val="0"/>
        <w:spacing w:line="360" w:lineRule="auto"/>
        <w:ind w:firstLine="1320" w:firstLineChars="550"/>
        <w:rPr>
          <w:rFonts w:hint="eastAsia" w:ascii="宋体" w:hAnsi="宋体" w:cs="宋体"/>
          <w:kern w:val="0"/>
        </w:rPr>
      </w:pPr>
      <w:r>
        <w:rPr>
          <w:rFonts w:hint="eastAsia" w:ascii="宋体" w:hAnsi="宋体" w:cs="宋体"/>
          <w:kern w:val="0"/>
          <w:lang w:val="zh-CN"/>
        </w:rPr>
        <w:t>签约时间：</w:t>
      </w:r>
      <w:r>
        <w:rPr>
          <w:rFonts w:hint="eastAsia" w:ascii="宋体" w:hAnsi="宋体" w:cs="宋体"/>
          <w:kern w:val="0"/>
        </w:rPr>
        <w:t xml:space="preserve">    </w:t>
      </w:r>
      <w:r>
        <w:rPr>
          <w:rFonts w:hint="eastAsia" w:ascii="宋体" w:hAnsi="宋体" w:cs="宋体"/>
          <w:kern w:val="0"/>
          <w:lang w:val="zh-CN"/>
        </w:rPr>
        <w:t>年</w:t>
      </w:r>
      <w:r>
        <w:rPr>
          <w:rFonts w:hint="eastAsia" w:ascii="宋体" w:hAnsi="宋体" w:cs="宋体"/>
          <w:kern w:val="0"/>
        </w:rPr>
        <w:t xml:space="preserve">    </w:t>
      </w:r>
      <w:r>
        <w:rPr>
          <w:rFonts w:hint="eastAsia" w:ascii="宋体" w:hAnsi="宋体" w:cs="宋体"/>
          <w:kern w:val="0"/>
          <w:lang w:val="zh-CN"/>
        </w:rPr>
        <w:t>月</w:t>
      </w:r>
      <w:r>
        <w:rPr>
          <w:rFonts w:hint="eastAsia" w:ascii="宋体" w:hAnsi="宋体" w:cs="宋体"/>
          <w:kern w:val="0"/>
        </w:rPr>
        <w:t xml:space="preserve">    </w:t>
      </w:r>
      <w:r>
        <w:rPr>
          <w:rFonts w:hint="eastAsia" w:ascii="宋体" w:hAnsi="宋体" w:cs="宋体"/>
          <w:kern w:val="0"/>
          <w:lang w:val="zh-CN"/>
        </w:rPr>
        <w:t>日</w:t>
      </w:r>
    </w:p>
    <w:p>
      <w:pPr>
        <w:autoSpaceDE w:val="0"/>
        <w:autoSpaceDN w:val="0"/>
        <w:spacing w:line="360" w:lineRule="auto"/>
        <w:rPr>
          <w:rFonts w:hint="eastAsia" w:ascii="宋体" w:hAnsi="宋体" w:cs="宋体"/>
          <w:kern w:val="0"/>
          <w:lang w:val="zh-CN"/>
        </w:rPr>
      </w:pPr>
    </w:p>
    <w:p>
      <w:pPr>
        <w:autoSpaceDE w:val="0"/>
        <w:autoSpaceDN w:val="0"/>
        <w:spacing w:line="360" w:lineRule="auto"/>
        <w:rPr>
          <w:rFonts w:hint="eastAsia" w:ascii="宋体" w:hAnsi="宋体" w:cs="宋体"/>
          <w:kern w:val="0"/>
        </w:rPr>
      </w:pPr>
      <w:r>
        <w:rPr>
          <w:rFonts w:hint="eastAsia" w:ascii="宋体" w:hAnsi="宋体" w:cs="宋体"/>
          <w:kern w:val="0"/>
          <w:lang w:val="zh-CN"/>
        </w:rPr>
        <w:t>采购代理机构：德令哈城乡建设综合开发有限公司</w:t>
      </w:r>
    </w:p>
    <w:p>
      <w:pPr>
        <w:autoSpaceDE w:val="0"/>
        <w:autoSpaceDN w:val="0"/>
        <w:spacing w:line="360" w:lineRule="auto"/>
        <w:rPr>
          <w:rFonts w:hint="eastAsia" w:ascii="宋体" w:hAnsi="宋体" w:cs="宋体"/>
          <w:kern w:val="0"/>
        </w:rPr>
      </w:pPr>
      <w:r>
        <w:rPr>
          <w:rFonts w:hint="eastAsia" w:ascii="宋体" w:hAnsi="宋体" w:cs="宋体"/>
          <w:kern w:val="0"/>
          <w:lang w:val="zh-CN"/>
        </w:rPr>
        <w:t>负责人或经办人：</w:t>
      </w:r>
    </w:p>
    <w:p>
      <w:pPr>
        <w:autoSpaceDE w:val="0"/>
        <w:autoSpaceDN w:val="0"/>
        <w:spacing w:line="360" w:lineRule="auto"/>
        <w:jc w:val="center"/>
        <w:rPr>
          <w:rFonts w:hint="eastAsia" w:ascii="宋体" w:hAnsi="宋体" w:cs="宋体"/>
          <w:b/>
          <w:bCs/>
          <w:kern w:val="0"/>
          <w:sz w:val="28"/>
          <w:szCs w:val="28"/>
        </w:rPr>
      </w:pPr>
      <w:r>
        <w:rPr>
          <w:rFonts w:hint="eastAsia" w:ascii="宋体" w:hAnsi="宋体" w:cs="宋体"/>
          <w:kern w:val="0"/>
          <w:lang w:val="zh-CN"/>
        </w:rPr>
        <w:t>时间：</w:t>
      </w:r>
      <w:r>
        <w:rPr>
          <w:rFonts w:hint="eastAsia" w:ascii="宋体" w:hAnsi="宋体" w:cs="宋体"/>
          <w:kern w:val="0"/>
        </w:rPr>
        <w:t>2023</w:t>
      </w:r>
      <w:r>
        <w:rPr>
          <w:rFonts w:hint="eastAsia" w:ascii="宋体" w:hAnsi="宋体" w:cs="宋体"/>
          <w:kern w:val="0"/>
          <w:lang w:val="zh-CN"/>
        </w:rPr>
        <w:t>年</w:t>
      </w:r>
      <w:r>
        <w:rPr>
          <w:rFonts w:hint="eastAsia" w:ascii="宋体" w:hAnsi="宋体" w:cs="宋体"/>
          <w:kern w:val="0"/>
        </w:rPr>
        <w:t xml:space="preserve">    </w:t>
      </w:r>
      <w:r>
        <w:rPr>
          <w:rFonts w:hint="eastAsia" w:ascii="宋体" w:hAnsi="宋体" w:cs="宋体"/>
          <w:kern w:val="0"/>
          <w:lang w:val="zh-CN"/>
        </w:rPr>
        <w:t>月</w:t>
      </w:r>
      <w:r>
        <w:rPr>
          <w:rFonts w:hint="eastAsia" w:ascii="宋体" w:hAnsi="宋体" w:cs="宋体"/>
          <w:kern w:val="0"/>
        </w:rPr>
        <w:t xml:space="preserve">    </w:t>
      </w:r>
      <w:r>
        <w:rPr>
          <w:rFonts w:hint="eastAsia" w:ascii="宋体" w:hAnsi="宋体" w:cs="宋体"/>
          <w:kern w:val="0"/>
          <w:lang w:val="zh-CN"/>
        </w:rPr>
        <w:t>日</w:t>
      </w:r>
      <w:r>
        <w:rPr>
          <w:rFonts w:hint="eastAsia" w:ascii="宋体" w:hAnsi="宋体" w:cs="宋体"/>
          <w:b/>
          <w:bCs/>
          <w:kern w:val="0"/>
          <w:sz w:val="28"/>
          <w:szCs w:val="28"/>
          <w:lang w:val="zh-CN"/>
        </w:rPr>
        <w:br w:type="page"/>
      </w:r>
      <w:r>
        <w:rPr>
          <w:rFonts w:hint="eastAsia" w:ascii="宋体" w:hAnsi="宋体" w:cs="宋体"/>
          <w:b/>
          <w:bCs/>
          <w:kern w:val="0"/>
          <w:sz w:val="28"/>
          <w:szCs w:val="28"/>
          <w:lang w:val="zh-CN"/>
        </w:rPr>
        <w:t>合同通用条款</w:t>
      </w:r>
    </w:p>
    <w:p>
      <w:pPr>
        <w:autoSpaceDE w:val="0"/>
        <w:autoSpaceDN w:val="0"/>
        <w:adjustRightInd w:val="0"/>
        <w:spacing w:line="360" w:lineRule="auto"/>
        <w:rPr>
          <w:rFonts w:hint="eastAsia" w:ascii="宋体" w:hAnsi="宋体" w:cs="宋体"/>
          <w:kern w:val="0"/>
          <w:sz w:val="28"/>
          <w:szCs w:val="28"/>
        </w:rPr>
      </w:pPr>
    </w:p>
    <w:p>
      <w:pPr>
        <w:autoSpaceDE w:val="0"/>
        <w:autoSpaceDN w:val="0"/>
        <w:spacing w:line="360" w:lineRule="auto"/>
        <w:ind w:firstLine="480"/>
        <w:rPr>
          <w:rFonts w:hint="eastAsia" w:ascii="宋体" w:hAnsi="宋体" w:cs="宋体"/>
          <w:kern w:val="0"/>
        </w:rPr>
      </w:pPr>
      <w:r>
        <w:rPr>
          <w:rFonts w:hint="eastAsia" w:ascii="宋体" w:hAnsi="宋体" w:cs="宋体"/>
          <w:kern w:val="0"/>
          <w:lang w:val="zh-CN"/>
        </w:rPr>
        <w:t>根据《中华人民共和国民法典》、《中华人民共和国政府采购法》的规定，合同双方经协商达成一致，自愿订立本合同，遵循公平原则明确双方的权利、义务，确保双方诚实守信地履行合同。</w:t>
      </w:r>
    </w:p>
    <w:p>
      <w:pPr>
        <w:autoSpaceDE w:val="0"/>
        <w:autoSpaceDN w:val="0"/>
        <w:spacing w:line="360" w:lineRule="auto"/>
        <w:rPr>
          <w:rFonts w:hint="eastAsia" w:ascii="宋体" w:hAnsi="宋体" w:cs="宋体"/>
          <w:b/>
          <w:bCs/>
          <w:kern w:val="0"/>
        </w:rPr>
      </w:pPr>
      <w:r>
        <w:rPr>
          <w:rFonts w:hint="eastAsia" w:ascii="宋体" w:hAnsi="宋体" w:cs="宋体"/>
          <w:b/>
          <w:bCs/>
          <w:kern w:val="0"/>
        </w:rPr>
        <w:t>1.</w:t>
      </w:r>
      <w:r>
        <w:rPr>
          <w:rFonts w:hint="eastAsia" w:ascii="宋体" w:hAnsi="宋体" w:cs="宋体"/>
          <w:b/>
          <w:bCs/>
          <w:kern w:val="0"/>
          <w:lang w:val="zh-CN"/>
        </w:rPr>
        <w:t>定义</w:t>
      </w:r>
    </w:p>
    <w:p>
      <w:pPr>
        <w:autoSpaceDE w:val="0"/>
        <w:autoSpaceDN w:val="0"/>
        <w:spacing w:line="360" w:lineRule="auto"/>
        <w:ind w:firstLine="480"/>
        <w:rPr>
          <w:rFonts w:hint="eastAsia" w:ascii="宋体" w:hAnsi="宋体" w:cs="宋体"/>
          <w:kern w:val="0"/>
        </w:rPr>
      </w:pPr>
      <w:r>
        <w:rPr>
          <w:rFonts w:hint="eastAsia" w:ascii="宋体" w:hAnsi="宋体" w:cs="宋体"/>
          <w:kern w:val="0"/>
          <w:lang w:val="zh-CN"/>
        </w:rPr>
        <w:t>本合同中的下列术语应解释为：</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 </w:t>
      </w:r>
      <w:r>
        <w:rPr>
          <w:rFonts w:hint="eastAsia" w:ascii="宋体" w:hAnsi="宋体" w:cs="宋体"/>
          <w:kern w:val="0"/>
          <w:lang w:val="zh-CN"/>
        </w:rPr>
        <w:t>“合同”指甲乙双方签署的、载明的甲乙双方权利义务的协议，包括所有的附件、附录和上述文件所提到的构成合同的所有文件。</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1.2 </w:t>
      </w:r>
      <w:r>
        <w:rPr>
          <w:rFonts w:hint="eastAsia" w:ascii="宋体" w:hAnsi="宋体" w:cs="宋体"/>
          <w:kern w:val="0"/>
          <w:lang w:val="zh-CN"/>
        </w:rPr>
        <w:t>“合同金额”指根据合同规定，乙方在正确地完全履行合同义务后甲方应付给乙方的价款。</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1.3 </w:t>
      </w:r>
      <w:r>
        <w:rPr>
          <w:rFonts w:hint="eastAsia" w:ascii="宋体" w:hAnsi="宋体" w:cs="宋体"/>
          <w:kern w:val="0"/>
          <w:lang w:val="zh-CN"/>
        </w:rPr>
        <w:t>“合同条款”指本合同条款。</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1.4 </w:t>
      </w:r>
      <w:r>
        <w:rPr>
          <w:rFonts w:hint="eastAsia" w:ascii="宋体" w:hAnsi="宋体" w:cs="宋体"/>
          <w:kern w:val="0"/>
          <w:lang w:val="zh-CN"/>
        </w:rPr>
        <w:t>“货物”指乙方根据合同约定须向甲方提供的一切产品、设备、机械、仪表、备件等，包括辅助工具、使用手册等相关资料。</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1.5 </w:t>
      </w:r>
      <w:r>
        <w:rPr>
          <w:rFonts w:hint="eastAsia" w:ascii="宋体" w:hAnsi="宋体" w:cs="宋体"/>
          <w:kern w:val="0"/>
          <w:lang w:val="zh-CN"/>
        </w:rPr>
        <w:t>“服务”指根据本合同规定乙方承担与供货有关的辅助服务，如运输、保险及安装、调试、提供技术援助、培训和合同中规定乙方应承担的其它义务。</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1.6 </w:t>
      </w:r>
      <w:r>
        <w:rPr>
          <w:rFonts w:hint="eastAsia" w:ascii="宋体" w:hAnsi="宋体" w:cs="宋体"/>
          <w:kern w:val="0"/>
          <w:lang w:val="zh-CN"/>
        </w:rPr>
        <w:t>“甲方”指购买货物和服务的单位。</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1.7 </w:t>
      </w:r>
      <w:r>
        <w:rPr>
          <w:rFonts w:hint="eastAsia" w:ascii="宋体" w:hAnsi="宋体" w:cs="宋体"/>
          <w:kern w:val="0"/>
          <w:lang w:val="zh-CN"/>
        </w:rPr>
        <w:t>“乙方”指提供本合同条款下货物和服务的公司或其他实体。</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1.8 </w:t>
      </w:r>
      <w:r>
        <w:rPr>
          <w:rFonts w:hint="eastAsia" w:ascii="宋体" w:hAnsi="宋体" w:cs="宋体"/>
          <w:kern w:val="0"/>
          <w:lang w:val="zh-CN"/>
        </w:rPr>
        <w:t>“现场”指合同规定货物将要运至和安装的地点。</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1.9 </w:t>
      </w:r>
      <w:r>
        <w:rPr>
          <w:rFonts w:hint="eastAsia" w:ascii="宋体" w:hAnsi="宋体" w:cs="宋体"/>
          <w:kern w:val="0"/>
          <w:lang w:val="zh-CN"/>
        </w:rPr>
        <w:t>“验收”指合同双方依据强制性的国家技术质量规范和合同约定，确认合同条款下的货物符合合同规定的活动。</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1.10 </w:t>
      </w:r>
      <w:r>
        <w:rPr>
          <w:rFonts w:hint="eastAsia" w:ascii="宋体" w:hAnsi="宋体" w:cs="宋体"/>
          <w:kern w:val="0"/>
          <w:lang w:val="zh-CN"/>
        </w:rPr>
        <w:t>原厂商：产品制造商或其在中国境内设立的办事或技术服务机构。除另有说明外，本合同文件所述的制造商、产品制造商、制造厂家、产品制造厂家均为原厂商。</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1.11 </w:t>
      </w:r>
      <w:r>
        <w:rPr>
          <w:rFonts w:hint="eastAsia" w:ascii="宋体" w:hAnsi="宋体" w:cs="宋体"/>
          <w:kern w:val="0"/>
          <w:lang w:val="zh-CN"/>
        </w:rPr>
        <w:t>原产地：指产品的生产地，或提供服务的来源地。</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1.12 </w:t>
      </w:r>
      <w:r>
        <w:rPr>
          <w:rFonts w:hint="eastAsia" w:ascii="宋体" w:hAnsi="宋体" w:cs="宋体"/>
          <w:kern w:val="0"/>
          <w:lang w:val="zh-CN"/>
        </w:rPr>
        <w:t>“工作日”指国家法定工作日，“天”指日历天数。</w:t>
      </w:r>
    </w:p>
    <w:p>
      <w:pPr>
        <w:autoSpaceDE w:val="0"/>
        <w:autoSpaceDN w:val="0"/>
        <w:spacing w:line="360" w:lineRule="auto"/>
        <w:rPr>
          <w:rFonts w:hint="eastAsia" w:ascii="宋体" w:hAnsi="宋体" w:cs="宋体"/>
          <w:b/>
          <w:bCs/>
          <w:kern w:val="0"/>
        </w:rPr>
      </w:pPr>
      <w:r>
        <w:rPr>
          <w:rFonts w:hint="eastAsia" w:ascii="宋体" w:hAnsi="宋体" w:cs="宋体"/>
          <w:b/>
          <w:bCs/>
          <w:kern w:val="0"/>
        </w:rPr>
        <w:t>2.</w:t>
      </w:r>
      <w:r>
        <w:rPr>
          <w:rFonts w:hint="eastAsia" w:ascii="宋体" w:hAnsi="宋体" w:cs="宋体"/>
          <w:b/>
          <w:bCs/>
          <w:kern w:val="0"/>
          <w:lang w:val="zh-CN"/>
        </w:rPr>
        <w:t>技术规格要求</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2.1 </w:t>
      </w:r>
      <w:r>
        <w:rPr>
          <w:rFonts w:hint="eastAsia" w:ascii="宋体" w:hAnsi="宋体" w:cs="宋体"/>
          <w:kern w:val="0"/>
          <w:lang w:val="zh-CN"/>
        </w:rPr>
        <w:t>本合同条款下提交货物的技术规格要求应等于或优于招投标文件技术规格要求。若技术规格要求中无相应规定，则应符合相应的国家有关部门最新颁布的相应正式标准。</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2.2 </w:t>
      </w:r>
      <w:r>
        <w:rPr>
          <w:rFonts w:hint="eastAsia" w:ascii="宋体" w:hAnsi="宋体" w:cs="宋体"/>
          <w:kern w:val="0"/>
          <w:lang w:val="zh-CN"/>
        </w:rPr>
        <w:t>乙方应向甲方提供货物及服务有关的标准的中文文本。</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2.3 </w:t>
      </w:r>
      <w:r>
        <w:rPr>
          <w:rFonts w:hint="eastAsia" w:ascii="宋体" w:hAnsi="宋体" w:cs="宋体"/>
          <w:kern w:val="0"/>
          <w:lang w:val="zh-CN"/>
        </w:rPr>
        <w:t>除非技术规范中另有规定，计量单位均采用中华人民共和国法定计量单位。</w:t>
      </w:r>
    </w:p>
    <w:p>
      <w:pPr>
        <w:autoSpaceDE w:val="0"/>
        <w:autoSpaceDN w:val="0"/>
        <w:spacing w:line="360" w:lineRule="auto"/>
        <w:rPr>
          <w:rFonts w:hint="eastAsia" w:ascii="宋体" w:hAnsi="宋体" w:cs="宋体"/>
          <w:b/>
          <w:bCs/>
          <w:kern w:val="0"/>
        </w:rPr>
      </w:pPr>
      <w:r>
        <w:rPr>
          <w:rFonts w:hint="eastAsia" w:ascii="宋体" w:hAnsi="宋体" w:cs="宋体"/>
          <w:b/>
          <w:bCs/>
          <w:kern w:val="0"/>
        </w:rPr>
        <w:t>3.</w:t>
      </w:r>
      <w:r>
        <w:rPr>
          <w:rFonts w:hint="eastAsia" w:ascii="宋体" w:hAnsi="宋体" w:cs="宋体"/>
          <w:b/>
          <w:bCs/>
          <w:kern w:val="0"/>
          <w:lang w:val="zh-CN"/>
        </w:rPr>
        <w:t>合同范围</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3.1 </w:t>
      </w:r>
      <w:r>
        <w:rPr>
          <w:rFonts w:hint="eastAsia" w:ascii="宋体" w:hAnsi="宋体" w:cs="宋体"/>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3.2 </w:t>
      </w:r>
      <w:r>
        <w:rPr>
          <w:rFonts w:hint="eastAsia" w:ascii="宋体" w:hAnsi="宋体" w:cs="宋体"/>
          <w:kern w:val="0"/>
          <w:lang w:val="zh-CN"/>
        </w:rPr>
        <w:t>乙方应负责培训甲方的技术人员。</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3.3 </w:t>
      </w:r>
      <w:r>
        <w:rPr>
          <w:rFonts w:hint="eastAsia" w:ascii="宋体" w:hAnsi="宋体" w:cs="宋体"/>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pPr>
        <w:autoSpaceDE w:val="0"/>
        <w:autoSpaceDN w:val="0"/>
        <w:spacing w:line="360" w:lineRule="auto"/>
        <w:rPr>
          <w:rFonts w:hint="eastAsia" w:ascii="宋体" w:hAnsi="宋体" w:cs="宋体"/>
          <w:b/>
          <w:bCs/>
          <w:kern w:val="0"/>
        </w:rPr>
      </w:pPr>
      <w:r>
        <w:rPr>
          <w:rFonts w:hint="eastAsia" w:ascii="宋体" w:hAnsi="宋体" w:cs="宋体"/>
          <w:b/>
          <w:bCs/>
          <w:kern w:val="0"/>
        </w:rPr>
        <w:t>4.</w:t>
      </w:r>
      <w:r>
        <w:rPr>
          <w:rFonts w:hint="eastAsia" w:ascii="宋体" w:hAnsi="宋体" w:cs="宋体"/>
          <w:b/>
          <w:bCs/>
          <w:kern w:val="0"/>
          <w:lang w:val="zh-CN"/>
        </w:rPr>
        <w:t>合同文件和资料</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4.1 </w:t>
      </w:r>
      <w:r>
        <w:rPr>
          <w:rFonts w:hint="eastAsia" w:ascii="宋体" w:hAnsi="宋体" w:cs="宋体"/>
          <w:kern w:val="0"/>
          <w:lang w:val="zh-CN"/>
        </w:rPr>
        <w:t>乙方在提供仪器设备时应同时提供中文版相关的技术资料，如目录索引、图纸、操作手册、使用指南、维修指南、服务手册等。</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4.2 </w:t>
      </w:r>
      <w:r>
        <w:rPr>
          <w:rFonts w:hint="eastAsia" w:ascii="宋体" w:hAnsi="宋体" w:cs="宋体"/>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autoSpaceDE w:val="0"/>
        <w:autoSpaceDN w:val="0"/>
        <w:spacing w:line="360" w:lineRule="auto"/>
        <w:rPr>
          <w:rFonts w:hint="eastAsia" w:ascii="宋体" w:hAnsi="宋体" w:cs="宋体"/>
          <w:b/>
          <w:bCs/>
          <w:kern w:val="0"/>
        </w:rPr>
      </w:pPr>
      <w:r>
        <w:rPr>
          <w:rFonts w:hint="eastAsia" w:ascii="宋体" w:hAnsi="宋体" w:cs="宋体"/>
          <w:b/>
          <w:bCs/>
          <w:kern w:val="0"/>
        </w:rPr>
        <w:t>5.</w:t>
      </w:r>
      <w:r>
        <w:rPr>
          <w:rFonts w:hint="eastAsia" w:ascii="宋体" w:hAnsi="宋体" w:cs="宋体"/>
          <w:b/>
          <w:bCs/>
          <w:kern w:val="0"/>
          <w:lang w:val="zh-CN"/>
        </w:rPr>
        <w:t>知识产权</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5.1 </w:t>
      </w:r>
      <w:r>
        <w:rPr>
          <w:rFonts w:hint="eastAsia" w:ascii="宋体" w:hAnsi="宋体" w:cs="宋体"/>
          <w:kern w:val="0"/>
          <w:lang w:val="zh-CN"/>
        </w:rPr>
        <w:t>乙方应保证甲方在使用该货物或其任何一部分时不受第三方提出的侵犯专利权、著作权、商标权和工业设计权等的起诉。</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5.2 </w:t>
      </w:r>
      <w:r>
        <w:rPr>
          <w:rFonts w:hint="eastAsia" w:ascii="宋体" w:hAnsi="宋体" w:cs="宋体"/>
          <w:kern w:val="0"/>
          <w:lang w:val="zh-CN"/>
        </w:rPr>
        <w:t>任何第三方提出侵权指控，乙方须与第三方交涉并承担由此产生的一切责任、费用和经济赔偿。</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5.3 </w:t>
      </w:r>
      <w:r>
        <w:rPr>
          <w:rFonts w:hint="eastAsia" w:ascii="宋体" w:hAnsi="宋体" w:cs="宋体"/>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5.4 </w:t>
      </w:r>
      <w:r>
        <w:rPr>
          <w:rFonts w:hint="eastAsia" w:ascii="宋体" w:hAnsi="宋体" w:cs="宋体"/>
          <w:kern w:val="0"/>
          <w:lang w:val="zh-CN"/>
        </w:rPr>
        <w:t>在本合同生效时已经存在并为各方合法拥有或使用的所有技术、资料和信息的知识产权，仍应属于其各自的原权利人所有或享有，另有约定的除外。</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5.5 </w:t>
      </w:r>
      <w:r>
        <w:rPr>
          <w:rFonts w:hint="eastAsia" w:ascii="宋体" w:hAnsi="宋体" w:cs="宋体"/>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pPr>
        <w:autoSpaceDE w:val="0"/>
        <w:autoSpaceDN w:val="0"/>
        <w:spacing w:line="360" w:lineRule="auto"/>
        <w:rPr>
          <w:rFonts w:hint="eastAsia" w:ascii="宋体" w:hAnsi="宋体" w:cs="宋体"/>
          <w:b/>
          <w:bCs/>
          <w:kern w:val="0"/>
        </w:rPr>
      </w:pPr>
      <w:r>
        <w:rPr>
          <w:rFonts w:hint="eastAsia" w:ascii="宋体" w:hAnsi="宋体" w:cs="宋体"/>
          <w:b/>
          <w:bCs/>
          <w:kern w:val="0"/>
        </w:rPr>
        <w:t>6.</w:t>
      </w:r>
      <w:r>
        <w:rPr>
          <w:rFonts w:hint="eastAsia" w:ascii="宋体" w:hAnsi="宋体" w:cs="宋体"/>
          <w:b/>
          <w:bCs/>
          <w:kern w:val="0"/>
          <w:lang w:val="zh-CN"/>
        </w:rPr>
        <w:t>保密</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6.1 </w:t>
      </w:r>
      <w:r>
        <w:rPr>
          <w:rFonts w:hint="eastAsia" w:ascii="宋体" w:hAnsi="宋体" w:cs="宋体"/>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6.2 </w:t>
      </w:r>
      <w:r>
        <w:rPr>
          <w:rFonts w:hint="eastAsia" w:ascii="宋体" w:hAnsi="宋体" w:cs="宋体"/>
          <w:kern w:val="0"/>
          <w:lang w:val="zh-CN"/>
        </w:rPr>
        <w:t>保密信息指任何一方因履行本合同所知悉的任何以口头、书面、图表或电子形式存在的对方信息，具体包括：</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6.2.1 </w:t>
      </w:r>
      <w:r>
        <w:rPr>
          <w:rFonts w:hint="eastAsia" w:ascii="宋体" w:hAnsi="宋体" w:cs="宋体"/>
          <w:kern w:val="0"/>
          <w:lang w:val="zh-CN"/>
        </w:rPr>
        <w:t>任何涉及对方过去、现在或将来的商业计划、规章制度、操作规程、处理手段、财务信息；</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6.2.2 </w:t>
      </w:r>
      <w:r>
        <w:rPr>
          <w:rFonts w:hint="eastAsia" w:ascii="宋体" w:hAnsi="宋体" w:cs="宋体"/>
          <w:kern w:val="0"/>
          <w:lang w:val="zh-CN"/>
        </w:rPr>
        <w:t>任何对方的技术措施、技术方案、软件应用及开发，硬件设备的品种、质量、数量、品牌等；</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6.2.3 </w:t>
      </w:r>
      <w:r>
        <w:rPr>
          <w:rFonts w:hint="eastAsia" w:ascii="宋体" w:hAnsi="宋体" w:cs="宋体"/>
          <w:kern w:val="0"/>
          <w:lang w:val="zh-CN"/>
        </w:rPr>
        <w:t>任何对方的技术秘密或专有知识、文件</w:t>
      </w:r>
      <w:r>
        <w:rPr>
          <w:rFonts w:hint="eastAsia" w:ascii="宋体" w:hAnsi="宋体" w:cs="宋体"/>
          <w:kern w:val="0"/>
        </w:rPr>
        <w:t xml:space="preserve"> </w:t>
      </w:r>
      <w:r>
        <w:rPr>
          <w:rFonts w:hint="eastAsia" w:ascii="宋体" w:hAnsi="宋体" w:cs="宋体"/>
          <w:kern w:val="0"/>
          <w:lang w:val="zh-CN"/>
        </w:rPr>
        <w:t>、报告、数据、客户软件、流程图、数据库、发明、知识、贸易秘密。</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6.3 </w:t>
      </w:r>
      <w:r>
        <w:rPr>
          <w:rFonts w:hint="eastAsia" w:ascii="宋体" w:hAnsi="宋体" w:cs="宋体"/>
          <w:kern w:val="0"/>
          <w:lang w:val="zh-CN"/>
        </w:rPr>
        <w:t>乙方应根据甲方的要求签署相应的保密协议，保密协议与本条款存在不一致的，以保密协议为准。</w:t>
      </w:r>
    </w:p>
    <w:p>
      <w:pPr>
        <w:autoSpaceDE w:val="0"/>
        <w:autoSpaceDN w:val="0"/>
        <w:spacing w:line="360" w:lineRule="auto"/>
        <w:rPr>
          <w:rFonts w:hint="eastAsia" w:ascii="宋体" w:hAnsi="宋体" w:cs="宋体"/>
          <w:b/>
          <w:bCs/>
          <w:kern w:val="0"/>
        </w:rPr>
      </w:pPr>
      <w:r>
        <w:rPr>
          <w:rFonts w:hint="eastAsia" w:ascii="宋体" w:hAnsi="宋体" w:cs="宋体"/>
          <w:b/>
          <w:bCs/>
          <w:kern w:val="0"/>
        </w:rPr>
        <w:t xml:space="preserve">7. </w:t>
      </w:r>
      <w:r>
        <w:rPr>
          <w:rFonts w:hint="eastAsia" w:ascii="宋体" w:hAnsi="宋体" w:cs="宋体"/>
          <w:b/>
          <w:bCs/>
          <w:kern w:val="0"/>
          <w:lang w:val="zh-CN"/>
        </w:rPr>
        <w:t>质量保证</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7.1 </w:t>
      </w:r>
      <w:r>
        <w:rPr>
          <w:rFonts w:hint="eastAsia" w:ascii="宋体" w:hAnsi="宋体" w:cs="宋体"/>
          <w:kern w:val="0"/>
          <w:lang w:val="zh-CN"/>
        </w:rPr>
        <w:t>货物质量保证</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7.1.1 </w:t>
      </w:r>
      <w:r>
        <w:rPr>
          <w:rFonts w:hint="eastAsia" w:ascii="宋体" w:hAnsi="宋体" w:cs="宋体"/>
          <w:kern w:val="0"/>
          <w:lang w:val="zh-CN"/>
        </w:rPr>
        <w:t>乙方必须保证货物是全新、未使用过的，并完全符合强制性的国家技术质量规范和合同规定的质量、规格、性能和技术规范等的要求。</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7.1.2 </w:t>
      </w:r>
      <w:r>
        <w:rPr>
          <w:rFonts w:hint="eastAsia" w:ascii="宋体" w:hAnsi="宋体" w:cs="宋体"/>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7.1.3 </w:t>
      </w:r>
      <w:r>
        <w:rPr>
          <w:rFonts w:hint="eastAsia" w:ascii="宋体" w:hAnsi="宋体" w:cs="宋体"/>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7.1.4 </w:t>
      </w:r>
      <w:r>
        <w:rPr>
          <w:rFonts w:hint="eastAsia" w:ascii="宋体" w:hAnsi="宋体" w:cs="宋体"/>
          <w:kern w:val="0"/>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7.1.5 </w:t>
      </w:r>
      <w:r>
        <w:rPr>
          <w:rFonts w:hint="eastAsia" w:ascii="宋体" w:hAnsi="宋体" w:cs="宋体"/>
          <w:kern w:val="0"/>
          <w:lang w:val="zh-CN"/>
        </w:rPr>
        <w:t>合同条款下货物的质量保证期自货物通过最终验收起算，合同另行规定除外。</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7.2 </w:t>
      </w:r>
      <w:r>
        <w:rPr>
          <w:rFonts w:hint="eastAsia" w:ascii="宋体" w:hAnsi="宋体" w:cs="宋体"/>
          <w:kern w:val="0"/>
          <w:lang w:val="zh-CN"/>
        </w:rPr>
        <w:t>辅助服务质量保证</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7.2.1 </w:t>
      </w:r>
      <w:r>
        <w:rPr>
          <w:rFonts w:hint="eastAsia" w:ascii="宋体" w:hAnsi="宋体" w:cs="宋体"/>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7.2.2 </w:t>
      </w:r>
      <w:r>
        <w:rPr>
          <w:rFonts w:hint="eastAsia" w:ascii="宋体" w:hAnsi="宋体" w:cs="宋体"/>
          <w:kern w:val="0"/>
          <w:lang w:val="zh-CN"/>
        </w:rPr>
        <w:t>乙方应保证合同条款下所提供的服务包括培训、安装指导、单机调试、系统联调和试验等，按合同规定方式进行，并保证不存在因乙方工作人员的过失、错误或疏忽而产生的缺陷。</w:t>
      </w:r>
    </w:p>
    <w:p>
      <w:pPr>
        <w:autoSpaceDE w:val="0"/>
        <w:autoSpaceDN w:val="0"/>
        <w:spacing w:line="360" w:lineRule="auto"/>
        <w:rPr>
          <w:rFonts w:hint="eastAsia" w:ascii="宋体" w:hAnsi="宋体" w:cs="宋体"/>
          <w:b/>
          <w:bCs/>
          <w:kern w:val="0"/>
        </w:rPr>
      </w:pPr>
      <w:r>
        <w:rPr>
          <w:rFonts w:hint="eastAsia" w:ascii="宋体" w:hAnsi="宋体" w:cs="宋体"/>
          <w:b/>
          <w:bCs/>
          <w:kern w:val="0"/>
        </w:rPr>
        <w:t>8.</w:t>
      </w:r>
      <w:r>
        <w:rPr>
          <w:rFonts w:hint="eastAsia" w:ascii="宋体" w:hAnsi="宋体" w:cs="宋体"/>
          <w:b/>
          <w:bCs/>
          <w:kern w:val="0"/>
          <w:lang w:val="zh-CN"/>
        </w:rPr>
        <w:t>包装要求</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8.1 </w:t>
      </w:r>
      <w:r>
        <w:rPr>
          <w:rFonts w:hint="eastAsia" w:ascii="宋体" w:hAnsi="宋体" w:cs="宋体"/>
          <w:kern w:val="0"/>
          <w:lang w:val="zh-CN"/>
        </w:rPr>
        <w:t>除合同另有约定外</w:t>
      </w:r>
      <w:r>
        <w:rPr>
          <w:rFonts w:hint="eastAsia" w:ascii="宋体" w:hAnsi="宋体" w:cs="宋体"/>
          <w:kern w:val="0"/>
        </w:rPr>
        <w:t>,</w:t>
      </w:r>
      <w:r>
        <w:rPr>
          <w:rFonts w:hint="eastAsia" w:ascii="宋体" w:hAnsi="宋体" w:cs="宋体"/>
          <w:kern w:val="0"/>
          <w:lang w:val="zh-CN"/>
        </w:rPr>
        <w:t>乙方提供的全部货物</w:t>
      </w:r>
      <w:r>
        <w:rPr>
          <w:rFonts w:hint="eastAsia" w:ascii="宋体" w:hAnsi="宋体" w:cs="宋体"/>
          <w:kern w:val="0"/>
        </w:rPr>
        <w:t>,</w:t>
      </w:r>
      <w:r>
        <w:rPr>
          <w:rFonts w:hint="eastAsia" w:ascii="宋体" w:hAnsi="宋体" w:cs="宋体"/>
          <w:kern w:val="0"/>
          <w:lang w:val="zh-CN"/>
        </w:rPr>
        <w:t>均应采用本行业通用的方式进行包装，且该包装应符合国家有关包装的法律、法规的规定。</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8.2 </w:t>
      </w:r>
      <w:r>
        <w:rPr>
          <w:rFonts w:hint="eastAsia" w:ascii="宋体" w:hAnsi="宋体" w:cs="宋体"/>
          <w:kern w:val="0"/>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8.3 </w:t>
      </w:r>
      <w:r>
        <w:rPr>
          <w:rFonts w:hint="eastAsia" w:ascii="宋体" w:hAnsi="宋体" w:cs="宋体"/>
          <w:kern w:val="0"/>
          <w:lang w:val="zh-CN"/>
        </w:rPr>
        <w:t>乙方所提供的货物包装均为出厂时原包装。</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8.4 </w:t>
      </w:r>
      <w:r>
        <w:rPr>
          <w:rFonts w:hint="eastAsia" w:ascii="宋体" w:hAnsi="宋体" w:cs="宋体"/>
          <w:kern w:val="0"/>
          <w:lang w:val="zh-CN"/>
        </w:rPr>
        <w:t>乙方所提供货物必须附有质量合格证，装箱清单，主机、附件、各种零部件和消耗品，有清楚的与装箱单相对应的名称和编号。</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8.5 </w:t>
      </w:r>
      <w:r>
        <w:rPr>
          <w:rFonts w:hint="eastAsia" w:ascii="宋体" w:hAnsi="宋体" w:cs="宋体"/>
          <w:kern w:val="0"/>
          <w:lang w:val="zh-CN"/>
        </w:rPr>
        <w:t>货物运输中的运输费用和保险费用均由乙方承担。运输过程中的一切损失、损坏均由乙方负责。</w:t>
      </w:r>
    </w:p>
    <w:p>
      <w:pPr>
        <w:autoSpaceDE w:val="0"/>
        <w:autoSpaceDN w:val="0"/>
        <w:spacing w:line="360" w:lineRule="auto"/>
        <w:rPr>
          <w:rFonts w:hint="eastAsia" w:ascii="宋体" w:hAnsi="宋体" w:cs="宋体"/>
          <w:b/>
          <w:bCs/>
          <w:kern w:val="0"/>
        </w:rPr>
      </w:pPr>
      <w:r>
        <w:rPr>
          <w:rFonts w:hint="eastAsia" w:ascii="宋体" w:hAnsi="宋体" w:cs="宋体"/>
          <w:b/>
          <w:bCs/>
          <w:kern w:val="0"/>
        </w:rPr>
        <w:t>9.</w:t>
      </w:r>
      <w:r>
        <w:rPr>
          <w:rFonts w:hint="eastAsia" w:ascii="宋体" w:hAnsi="宋体" w:cs="宋体"/>
          <w:b/>
          <w:bCs/>
          <w:kern w:val="0"/>
          <w:lang w:val="zh-CN"/>
        </w:rPr>
        <w:t>价格</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9.1 </w:t>
      </w:r>
      <w:r>
        <w:rPr>
          <w:rFonts w:hint="eastAsia" w:ascii="宋体" w:hAnsi="宋体" w:cs="宋体"/>
          <w:kern w:val="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9.2 </w:t>
      </w:r>
      <w:r>
        <w:rPr>
          <w:rFonts w:hint="eastAsia" w:ascii="宋体" w:hAnsi="宋体" w:cs="宋体"/>
          <w:kern w:val="0"/>
          <w:lang w:val="zh-CN"/>
        </w:rPr>
        <w:t>本合同价格为固定价格，包括了乙方履行合同全过程产生的所有成本和费用以及乙方应承担的一切税费。</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9.3 </w:t>
      </w:r>
      <w:r>
        <w:rPr>
          <w:rFonts w:hint="eastAsia" w:ascii="宋体" w:hAnsi="宋体" w:cs="宋体"/>
          <w:kern w:val="0"/>
          <w:lang w:val="zh-CN"/>
        </w:rPr>
        <w:t>检验费用</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9.3.1 </w:t>
      </w:r>
      <w:r>
        <w:rPr>
          <w:rFonts w:hint="eastAsia" w:ascii="宋体" w:hAnsi="宋体" w:cs="宋体"/>
          <w:kern w:val="0"/>
          <w:lang w:val="zh-CN"/>
        </w:rPr>
        <w:t>乙方必须负担本条款下属于乙方负责的检验、测试、调试、试运行和验收的所有费用，并负责乙方派往买方组织的检验、测试和验收人员的所有费用。</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9.3.2 </w:t>
      </w:r>
      <w:r>
        <w:rPr>
          <w:rFonts w:hint="eastAsia" w:ascii="宋体" w:hAnsi="宋体" w:cs="宋体"/>
          <w:kern w:val="0"/>
          <w:lang w:val="zh-CN"/>
        </w:rPr>
        <w:t>甲方按合同计划参加在乙方工厂所在地检验、测试和验收的费用全部由乙方负责并已包含在合同总价中。</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9.3.3 </w:t>
      </w:r>
      <w:r>
        <w:rPr>
          <w:rFonts w:hint="eastAsia" w:ascii="宋体" w:hAnsi="宋体" w:cs="宋体"/>
          <w:kern w:val="0"/>
          <w:lang w:val="zh-CN"/>
        </w:rPr>
        <w:t>甲方检验人员已到卖方所在地，测试无法依照合同进行，</w:t>
      </w:r>
      <w:r>
        <w:rPr>
          <w:rFonts w:hint="eastAsia" w:ascii="宋体" w:hAnsi="宋体" w:cs="宋体"/>
          <w:kern w:val="0"/>
        </w:rPr>
        <w:t xml:space="preserve"> </w:t>
      </w:r>
      <w:r>
        <w:rPr>
          <w:rFonts w:hint="eastAsia" w:ascii="宋体" w:hAnsi="宋体" w:cs="宋体"/>
          <w:kern w:val="0"/>
          <w:lang w:val="zh-CN"/>
        </w:rPr>
        <w:t>而引起甲方人员延长逗留时间，所有由此产生的包括甲方人员在内的直接费用及成本由乙方承担。</w:t>
      </w:r>
    </w:p>
    <w:p>
      <w:pPr>
        <w:autoSpaceDE w:val="0"/>
        <w:autoSpaceDN w:val="0"/>
        <w:spacing w:line="360" w:lineRule="auto"/>
        <w:rPr>
          <w:rFonts w:hint="eastAsia" w:ascii="宋体" w:hAnsi="宋体" w:cs="宋体"/>
          <w:b/>
          <w:bCs/>
          <w:kern w:val="0"/>
        </w:rPr>
      </w:pPr>
      <w:r>
        <w:rPr>
          <w:rFonts w:hint="eastAsia" w:ascii="宋体" w:hAnsi="宋体" w:cs="宋体"/>
          <w:b/>
          <w:bCs/>
          <w:kern w:val="0"/>
        </w:rPr>
        <w:t>10.</w:t>
      </w:r>
      <w:r>
        <w:rPr>
          <w:rFonts w:hint="eastAsia" w:ascii="宋体" w:hAnsi="宋体" w:cs="宋体"/>
          <w:b/>
          <w:bCs/>
          <w:kern w:val="0"/>
          <w:lang w:val="zh-CN"/>
        </w:rPr>
        <w:t>交货方式及交货日期</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交货方式：现场交货，乙方负责办理运输和保险，将货物运抵现场。</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交货期应根据产品的特点实事求是填写，进口产品90个工作日内，国产产品60个工作日内。特殊产品交货期需说明。</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交货日期：所有货物运抵现场并经双方开箱验收合格之日。</w:t>
      </w:r>
    </w:p>
    <w:p>
      <w:pPr>
        <w:autoSpaceDE w:val="0"/>
        <w:autoSpaceDN w:val="0"/>
        <w:spacing w:line="360" w:lineRule="auto"/>
        <w:rPr>
          <w:rFonts w:hint="eastAsia" w:ascii="宋体" w:hAnsi="宋体" w:cs="宋体"/>
          <w:kern w:val="0"/>
          <w:lang w:val="zh-CN"/>
        </w:rPr>
      </w:pPr>
      <w:r>
        <w:rPr>
          <w:rFonts w:hint="eastAsia" w:ascii="宋体" w:hAnsi="宋体" w:cs="宋体"/>
          <w:b/>
          <w:bCs/>
          <w:kern w:val="0"/>
          <w:lang w:val="zh-CN"/>
        </w:rPr>
        <w:t>11.检验和验收</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11.1 </w:t>
      </w:r>
      <w:r>
        <w:rPr>
          <w:rFonts w:hint="eastAsia" w:ascii="宋体" w:hAnsi="宋体" w:cs="宋体"/>
          <w:kern w:val="0"/>
          <w:lang w:val="zh-CN"/>
        </w:rPr>
        <w:t>开箱验收</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11.1.1 </w:t>
      </w:r>
      <w:r>
        <w:rPr>
          <w:rFonts w:hint="eastAsia" w:ascii="宋体" w:hAnsi="宋体" w:cs="宋体"/>
          <w:kern w:val="0"/>
          <w:lang w:val="zh-CN"/>
        </w:rPr>
        <w:t>货物运抵现场后，双方应及时开箱验收，并制作验收记录，以确认与本合同约定的数量、型号等是否一致。</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11.1.2 </w:t>
      </w:r>
      <w:r>
        <w:rPr>
          <w:rFonts w:hint="eastAsia" w:ascii="宋体" w:hAnsi="宋体" w:cs="宋体"/>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11.1.3 </w:t>
      </w:r>
      <w:r>
        <w:rPr>
          <w:rFonts w:hint="eastAsia" w:ascii="宋体" w:hAnsi="宋体" w:cs="宋体"/>
          <w:kern w:val="0"/>
          <w:lang w:val="zh-CN"/>
        </w:rPr>
        <w:t>开箱验收中如发现货物的数量、规格与合同约定不符，甲方有权拒收货物，乙方应及时按甲方要求免费对拒收货物采取更换或其他必要的补救措施，直至开箱验收合格，方视为乙方完成交货。</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11.2 </w:t>
      </w:r>
      <w:r>
        <w:rPr>
          <w:rFonts w:hint="eastAsia" w:ascii="宋体" w:hAnsi="宋体" w:cs="宋体"/>
          <w:kern w:val="0"/>
          <w:lang w:val="zh-CN"/>
        </w:rPr>
        <w:t>检验验收</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11.2.1 </w:t>
      </w:r>
      <w:r>
        <w:rPr>
          <w:rFonts w:hint="eastAsia" w:ascii="宋体" w:hAnsi="宋体" w:cs="宋体"/>
          <w:kern w:val="0"/>
          <w:lang w:val="zh-CN"/>
        </w:rPr>
        <w:t>交货完成后，乙方应及时组装、调试、试运行，按照合同专用条款规定的试运行完成后，双方及时组织对货物检验验收。合同双方均须派人参加合同要求双方参加的试验、检验。</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11.2.2 </w:t>
      </w:r>
      <w:r>
        <w:rPr>
          <w:rFonts w:hint="eastAsia" w:ascii="宋体" w:hAnsi="宋体" w:cs="宋体"/>
          <w:kern w:val="0"/>
          <w:lang w:val="zh-CN"/>
        </w:rPr>
        <w:t>在具体实施合同规定的检验验收之前，乙方需提前提交相应的测试计划（包括测试程序、测试内容和检验标准、试验时间安排等）供甲方确认。</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11.2.3 </w:t>
      </w:r>
      <w:r>
        <w:rPr>
          <w:rFonts w:hint="eastAsia" w:ascii="宋体" w:hAnsi="宋体" w:cs="宋体"/>
          <w:kern w:val="0"/>
          <w:lang w:val="zh-CN"/>
        </w:rPr>
        <w:t>除需甲方确认的试验验收外，乙方还应对所有检验验收测试的结果、步骤、原始数据等作妥善记录。如甲方要求，乙方应提供这些记录给买方。</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11.2.4 </w:t>
      </w:r>
      <w:r>
        <w:rPr>
          <w:rFonts w:hint="eastAsia" w:ascii="宋体" w:hAnsi="宋体" w:cs="宋体"/>
          <w:kern w:val="0"/>
          <w:lang w:val="zh-CN"/>
        </w:rPr>
        <w:t>检验测试出现全部或部分未达到本合同所约定的技术指标，甲方有权选择下列任一处理方式：</w:t>
      </w:r>
    </w:p>
    <w:p>
      <w:pPr>
        <w:autoSpaceDE w:val="0"/>
        <w:autoSpaceDN w:val="0"/>
        <w:spacing w:line="360" w:lineRule="auto"/>
        <w:ind w:firstLine="480"/>
        <w:rPr>
          <w:rFonts w:hint="eastAsia" w:ascii="宋体" w:hAnsi="宋体" w:cs="宋体"/>
          <w:kern w:val="0"/>
        </w:rPr>
      </w:pPr>
      <w:r>
        <w:rPr>
          <w:rFonts w:hint="eastAsia" w:ascii="宋体" w:hAnsi="宋体" w:cs="宋体"/>
          <w:kern w:val="0"/>
        </w:rPr>
        <w:t>a.</w:t>
      </w:r>
      <w:r>
        <w:rPr>
          <w:rFonts w:hint="eastAsia" w:ascii="宋体" w:hAnsi="宋体" w:cs="宋体"/>
          <w:kern w:val="0"/>
          <w:lang w:val="zh-CN"/>
        </w:rPr>
        <w:t>重新测试直至合格为止；</w:t>
      </w:r>
    </w:p>
    <w:p>
      <w:pPr>
        <w:autoSpaceDE w:val="0"/>
        <w:autoSpaceDN w:val="0"/>
        <w:spacing w:line="360" w:lineRule="auto"/>
        <w:ind w:firstLine="480"/>
        <w:rPr>
          <w:rFonts w:hint="eastAsia" w:ascii="宋体" w:hAnsi="宋体" w:cs="宋体"/>
          <w:kern w:val="0"/>
        </w:rPr>
      </w:pPr>
      <w:r>
        <w:rPr>
          <w:rFonts w:hint="eastAsia" w:ascii="宋体" w:hAnsi="宋体" w:cs="宋体"/>
          <w:kern w:val="0"/>
        </w:rPr>
        <w:t>b.</w:t>
      </w:r>
      <w:r>
        <w:rPr>
          <w:rFonts w:hint="eastAsia" w:ascii="宋体" w:hAnsi="宋体" w:cs="宋体"/>
          <w:kern w:val="0"/>
          <w:lang w:val="zh-CN"/>
        </w:rPr>
        <w:t>要求乙方对货物进行免费更换，然后重新测试直至合格为止；</w:t>
      </w:r>
    </w:p>
    <w:p>
      <w:pPr>
        <w:autoSpaceDE w:val="0"/>
        <w:autoSpaceDN w:val="0"/>
        <w:spacing w:line="360" w:lineRule="auto"/>
        <w:rPr>
          <w:rFonts w:hint="eastAsia" w:ascii="宋体" w:hAnsi="宋体" w:cs="宋体"/>
          <w:kern w:val="0"/>
        </w:rPr>
      </w:pPr>
      <w:r>
        <w:rPr>
          <w:rFonts w:hint="eastAsia" w:ascii="宋体" w:hAnsi="宋体" w:cs="宋体"/>
          <w:kern w:val="0"/>
          <w:lang w:val="zh-CN"/>
        </w:rPr>
        <w:t>无论选择何种方式，甲方因此而发生的因卖方原因引起的所有费用均由乙方负担。</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11.3 </w:t>
      </w:r>
      <w:r>
        <w:rPr>
          <w:rFonts w:hint="eastAsia" w:ascii="宋体" w:hAnsi="宋体" w:cs="宋体"/>
          <w:kern w:val="0"/>
          <w:lang w:val="zh-CN"/>
        </w:rPr>
        <w:t>使用过程检验</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11.3.1 </w:t>
      </w:r>
      <w:r>
        <w:rPr>
          <w:rFonts w:hint="eastAsia" w:ascii="宋体" w:hAnsi="宋体" w:cs="宋体"/>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11.3.2 </w:t>
      </w:r>
      <w:r>
        <w:rPr>
          <w:rFonts w:hint="eastAsia" w:ascii="宋体" w:hAnsi="宋体" w:cs="宋体"/>
          <w:kern w:val="0"/>
          <w:lang w:val="zh-CN"/>
        </w:rPr>
        <w:t>如果合同双方对乙方提供的上述试验结果报告的解释有分歧，双方须于出现分歧后</w:t>
      </w:r>
      <w:r>
        <w:rPr>
          <w:rFonts w:hint="eastAsia" w:ascii="宋体" w:hAnsi="宋体" w:cs="宋体"/>
          <w:kern w:val="0"/>
        </w:rPr>
        <w:t>10</w:t>
      </w:r>
      <w:r>
        <w:rPr>
          <w:rFonts w:hint="eastAsia" w:ascii="宋体" w:hAnsi="宋体" w:cs="宋体"/>
          <w:kern w:val="0"/>
          <w:lang w:val="zh-CN"/>
        </w:rPr>
        <w:t>天内给对方声明，以陈述己方的观点。声明须附有关证据。分歧应通过协商解决。</w:t>
      </w:r>
    </w:p>
    <w:p>
      <w:pPr>
        <w:autoSpaceDE w:val="0"/>
        <w:autoSpaceDN w:val="0"/>
        <w:spacing w:line="360" w:lineRule="auto"/>
        <w:rPr>
          <w:rFonts w:hint="eastAsia" w:ascii="宋体" w:hAnsi="宋体" w:cs="宋体"/>
          <w:b/>
          <w:bCs/>
          <w:kern w:val="0"/>
        </w:rPr>
      </w:pPr>
      <w:r>
        <w:rPr>
          <w:rFonts w:hint="eastAsia" w:ascii="宋体" w:hAnsi="宋体" w:cs="宋体"/>
          <w:b/>
          <w:bCs/>
          <w:kern w:val="0"/>
        </w:rPr>
        <w:t>12.</w:t>
      </w:r>
      <w:r>
        <w:rPr>
          <w:rFonts w:hint="eastAsia" w:ascii="宋体" w:hAnsi="宋体" w:cs="宋体"/>
          <w:b/>
          <w:bCs/>
          <w:kern w:val="0"/>
          <w:lang w:val="zh-CN"/>
        </w:rPr>
        <w:t>付款方法和条件</w:t>
      </w:r>
    </w:p>
    <w:p>
      <w:pPr>
        <w:autoSpaceDE w:val="0"/>
        <w:autoSpaceDN w:val="0"/>
        <w:spacing w:line="360" w:lineRule="auto"/>
        <w:ind w:firstLine="480"/>
        <w:rPr>
          <w:rFonts w:hint="eastAsia" w:ascii="宋体" w:hAnsi="宋体" w:cs="宋体"/>
          <w:kern w:val="0"/>
        </w:rPr>
      </w:pPr>
      <w:r>
        <w:rPr>
          <w:rFonts w:hint="eastAsia" w:ascii="宋体" w:hAnsi="宋体" w:cs="宋体"/>
          <w:kern w:val="0"/>
          <w:lang w:val="zh-CN"/>
        </w:rPr>
        <w:t>本合同条款下的付款方法和条件在“青海省政府采购项目合同书”中具体规定。</w:t>
      </w:r>
    </w:p>
    <w:p>
      <w:pPr>
        <w:autoSpaceDE w:val="0"/>
        <w:autoSpaceDN w:val="0"/>
        <w:spacing w:line="360" w:lineRule="auto"/>
        <w:rPr>
          <w:rFonts w:hint="eastAsia" w:ascii="宋体" w:hAnsi="宋体" w:cs="宋体"/>
          <w:b/>
          <w:bCs/>
          <w:kern w:val="0"/>
        </w:rPr>
      </w:pPr>
      <w:r>
        <w:rPr>
          <w:rFonts w:hint="eastAsia" w:ascii="宋体" w:hAnsi="宋体" w:cs="宋体"/>
          <w:b/>
          <w:bCs/>
          <w:kern w:val="0"/>
        </w:rPr>
        <w:t>13.</w:t>
      </w:r>
      <w:r>
        <w:rPr>
          <w:rFonts w:hint="eastAsia" w:ascii="宋体" w:hAnsi="宋体" w:cs="宋体"/>
          <w:b/>
          <w:bCs/>
          <w:kern w:val="0"/>
          <w:lang w:val="zh-CN"/>
        </w:rPr>
        <w:t>履约保证金</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13.1 </w:t>
      </w:r>
      <w:r>
        <w:rPr>
          <w:rFonts w:hint="eastAsia" w:ascii="宋体" w:hAnsi="宋体" w:cs="宋体"/>
          <w:kern w:val="0"/>
          <w:lang w:val="zh-CN"/>
        </w:rPr>
        <w:t>乙方应在合同签订前，按招标文件第</w:t>
      </w:r>
      <w:r>
        <w:rPr>
          <w:rFonts w:hint="eastAsia" w:ascii="宋体" w:hAnsi="宋体" w:cs="宋体"/>
          <w:kern w:val="0"/>
        </w:rPr>
        <w:t>二</w:t>
      </w:r>
      <w:r>
        <w:rPr>
          <w:rFonts w:hint="eastAsia" w:ascii="宋体" w:hAnsi="宋体" w:cs="宋体"/>
          <w:kern w:val="0"/>
          <w:lang w:val="zh-CN"/>
        </w:rPr>
        <w:t>部分“九 授予合同”中第2</w:t>
      </w:r>
      <w:r>
        <w:rPr>
          <w:rFonts w:ascii="宋体" w:hAnsi="宋体" w:cs="宋体"/>
          <w:kern w:val="0"/>
          <w:lang w:val="zh-CN"/>
        </w:rPr>
        <w:t>3</w:t>
      </w:r>
      <w:r>
        <w:rPr>
          <w:rFonts w:hint="eastAsia" w:ascii="宋体" w:hAnsi="宋体" w:cs="宋体"/>
          <w:kern w:val="0"/>
          <w:lang w:val="zh-CN"/>
        </w:rPr>
        <w:t>.2项的约定提交履约保证金。</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13.2 </w:t>
      </w:r>
      <w:r>
        <w:rPr>
          <w:rFonts w:hint="eastAsia" w:ascii="宋体" w:hAnsi="宋体" w:cs="宋体"/>
          <w:kern w:val="0"/>
          <w:lang w:val="zh-CN"/>
        </w:rPr>
        <w:t>履约保证金用于补偿甲方因乙方不能履行其合同义务而蒙受的损失。</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13.3 </w:t>
      </w:r>
      <w:r>
        <w:rPr>
          <w:rFonts w:hint="eastAsia" w:ascii="宋体" w:hAnsi="宋体" w:cs="宋体"/>
          <w:kern w:val="0"/>
          <w:lang w:val="zh-CN"/>
        </w:rPr>
        <w:t>履约保证金应使用本合同货币，按下述方式之一提交（招标文件中另有约定的除外）：</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13.3.1 </w:t>
      </w:r>
      <w:r>
        <w:rPr>
          <w:rFonts w:hint="eastAsia" w:ascii="宋体" w:hAnsi="宋体" w:cs="宋体"/>
          <w:kern w:val="0"/>
          <w:lang w:val="zh-CN"/>
        </w:rPr>
        <w:t>甲方可接受的在中华人民共和国注册和营业的银行出具的履约保函；</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13.3.2 </w:t>
      </w:r>
      <w:r>
        <w:rPr>
          <w:rFonts w:hint="eastAsia" w:ascii="宋体" w:hAnsi="宋体" w:cs="宋体"/>
          <w:kern w:val="0"/>
          <w:lang w:val="zh-CN"/>
        </w:rPr>
        <w:t>支票或汇票。</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13.4 </w:t>
      </w:r>
      <w:r>
        <w:rPr>
          <w:rFonts w:hint="eastAsia" w:ascii="宋体" w:hAnsi="宋体" w:cs="宋体"/>
          <w:kern w:val="0"/>
          <w:lang w:val="zh-CN"/>
        </w:rPr>
        <w:t>乙方未能按合同规定履行其义务，甲方有权从履约保证金中取得补偿。货物验收合格后，甲方将履约保证金退还乙方或转为质量保证金。</w:t>
      </w:r>
    </w:p>
    <w:p>
      <w:pPr>
        <w:autoSpaceDE w:val="0"/>
        <w:autoSpaceDN w:val="0"/>
        <w:spacing w:line="360" w:lineRule="auto"/>
        <w:rPr>
          <w:rFonts w:hint="eastAsia" w:ascii="宋体" w:hAnsi="宋体" w:cs="宋体"/>
          <w:b/>
          <w:bCs/>
          <w:kern w:val="0"/>
        </w:rPr>
      </w:pPr>
      <w:r>
        <w:rPr>
          <w:rFonts w:hint="eastAsia" w:ascii="宋体" w:hAnsi="宋体" w:cs="宋体"/>
          <w:b/>
          <w:bCs/>
          <w:kern w:val="0"/>
        </w:rPr>
        <w:t>14.</w:t>
      </w:r>
      <w:r>
        <w:rPr>
          <w:rFonts w:hint="eastAsia" w:ascii="宋体" w:hAnsi="宋体" w:cs="宋体"/>
          <w:b/>
          <w:bCs/>
          <w:kern w:val="0"/>
          <w:lang w:val="zh-CN"/>
        </w:rPr>
        <w:t>索赔</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14.1 </w:t>
      </w:r>
      <w:r>
        <w:rPr>
          <w:rFonts w:hint="eastAsia" w:ascii="宋体" w:hAnsi="宋体" w:cs="宋体"/>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14.2 </w:t>
      </w:r>
      <w:r>
        <w:rPr>
          <w:rFonts w:hint="eastAsia" w:ascii="宋体" w:hAnsi="宋体" w:cs="宋体"/>
          <w:kern w:val="0"/>
          <w:lang w:val="zh-CN"/>
        </w:rPr>
        <w:t>在履约保证期和检验期内，乙方对甲方提出的索赔负有责任，乙方应按照甲方同意的下列一种或多种方式解决索赔事宜：</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14.2.1 </w:t>
      </w:r>
      <w:r>
        <w:rPr>
          <w:rFonts w:hint="eastAsia" w:ascii="宋体" w:hAnsi="宋体" w:cs="宋体"/>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14.2.2 </w:t>
      </w:r>
      <w:r>
        <w:rPr>
          <w:rFonts w:hint="eastAsia" w:ascii="宋体" w:hAnsi="宋体" w:cs="宋体"/>
          <w:kern w:val="0"/>
          <w:lang w:val="zh-CN"/>
        </w:rPr>
        <w:t>根据货物低劣程度、损坏程度以及甲方所遭受损失的数额，经甲乙双方商定降低货物的价格，或由有资质的中介机构评估，以降低后的价格或评估价格为准。</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14.2.3 </w:t>
      </w:r>
      <w:r>
        <w:rPr>
          <w:rFonts w:hint="eastAsia" w:ascii="宋体" w:hAnsi="宋体" w:cs="宋体"/>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14.3 </w:t>
      </w:r>
      <w:r>
        <w:rPr>
          <w:rFonts w:hint="eastAsia" w:ascii="宋体" w:hAnsi="宋体" w:cs="宋体"/>
          <w:kern w:val="0"/>
          <w:lang w:val="zh-CN"/>
        </w:rPr>
        <w:t>乙方收到甲方发出的索赔通知之日起</w:t>
      </w:r>
      <w:r>
        <w:rPr>
          <w:rFonts w:hint="eastAsia" w:ascii="宋体" w:hAnsi="宋体" w:cs="宋体"/>
          <w:kern w:val="0"/>
        </w:rPr>
        <w:t>5</w:t>
      </w:r>
      <w:r>
        <w:rPr>
          <w:rFonts w:hint="eastAsia" w:ascii="宋体" w:hAnsi="宋体" w:cs="宋体"/>
          <w:kern w:val="0"/>
          <w:lang w:val="zh-CN"/>
        </w:rPr>
        <w:t>个工作日内未作答复的，甲方可从合同款或履约保证金中扣回索赔金额，如金额不足以补偿索赔金额，乙方应补足差额部分。</w:t>
      </w:r>
    </w:p>
    <w:p>
      <w:pPr>
        <w:autoSpaceDE w:val="0"/>
        <w:autoSpaceDN w:val="0"/>
        <w:spacing w:line="360" w:lineRule="auto"/>
        <w:rPr>
          <w:rFonts w:hint="eastAsia" w:ascii="宋体" w:hAnsi="宋体" w:cs="宋体"/>
          <w:b/>
          <w:bCs/>
          <w:kern w:val="0"/>
        </w:rPr>
      </w:pPr>
      <w:r>
        <w:rPr>
          <w:rFonts w:hint="eastAsia" w:ascii="宋体" w:hAnsi="宋体" w:cs="宋体"/>
          <w:b/>
          <w:bCs/>
          <w:kern w:val="0"/>
        </w:rPr>
        <w:t>15.</w:t>
      </w:r>
      <w:r>
        <w:rPr>
          <w:rFonts w:hint="eastAsia" w:ascii="宋体" w:hAnsi="宋体" w:cs="宋体"/>
          <w:b/>
          <w:bCs/>
          <w:kern w:val="0"/>
          <w:lang w:val="zh-CN"/>
        </w:rPr>
        <w:t>迟延交货</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15.1 </w:t>
      </w:r>
      <w:r>
        <w:rPr>
          <w:rFonts w:hint="eastAsia" w:ascii="宋体" w:hAnsi="宋体" w:cs="宋体"/>
          <w:kern w:val="0"/>
          <w:lang w:val="zh-CN"/>
        </w:rPr>
        <w:t>乙方应按照合同约定的时间交货和提供服务。</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15.2 </w:t>
      </w:r>
      <w:r>
        <w:rPr>
          <w:rFonts w:hint="eastAsia" w:ascii="宋体" w:hAnsi="宋体" w:cs="宋体"/>
          <w:kern w:val="0"/>
          <w:lang w:val="zh-CN"/>
        </w:rPr>
        <w:t>除不可抗力因素外，乙方迟延交货，甲方有权提出违约损失赔偿或解除合同。</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15.3 </w:t>
      </w:r>
      <w:r>
        <w:rPr>
          <w:rFonts w:hint="eastAsia" w:ascii="宋体" w:hAnsi="宋体" w:cs="宋体"/>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pPr>
        <w:autoSpaceDE w:val="0"/>
        <w:autoSpaceDN w:val="0"/>
        <w:spacing w:line="360" w:lineRule="auto"/>
        <w:rPr>
          <w:rFonts w:hint="eastAsia" w:ascii="宋体" w:hAnsi="宋体" w:cs="宋体"/>
          <w:b/>
          <w:bCs/>
          <w:kern w:val="0"/>
        </w:rPr>
      </w:pPr>
      <w:r>
        <w:rPr>
          <w:rFonts w:hint="eastAsia" w:ascii="宋体" w:hAnsi="宋体" w:cs="宋体"/>
          <w:b/>
          <w:bCs/>
          <w:kern w:val="0"/>
        </w:rPr>
        <w:t>16.</w:t>
      </w:r>
      <w:r>
        <w:rPr>
          <w:rFonts w:hint="eastAsia" w:ascii="宋体" w:hAnsi="宋体" w:cs="宋体"/>
          <w:b/>
          <w:bCs/>
          <w:kern w:val="0"/>
          <w:lang w:val="zh-CN"/>
        </w:rPr>
        <w:t>违约赔偿</w:t>
      </w:r>
    </w:p>
    <w:p>
      <w:pPr>
        <w:autoSpaceDE w:val="0"/>
        <w:autoSpaceDN w:val="0"/>
        <w:spacing w:line="360" w:lineRule="auto"/>
        <w:ind w:firstLine="480"/>
        <w:rPr>
          <w:rFonts w:hint="eastAsia" w:ascii="宋体" w:hAnsi="宋体" w:cs="宋体"/>
          <w:kern w:val="0"/>
        </w:rPr>
      </w:pPr>
      <w:r>
        <w:rPr>
          <w:rFonts w:hint="eastAsia" w:ascii="宋体" w:hAnsi="宋体" w:cs="宋体"/>
          <w:kern w:val="0"/>
          <w:lang w:val="zh-CN"/>
        </w:rPr>
        <w:t>除不可抗力因素外，乙方没有按照合同规定的时间交货和提供服务，甲方可要求乙方支付违约金。违约金每日按合同总价款的千分之五计收。</w:t>
      </w:r>
    </w:p>
    <w:p>
      <w:pPr>
        <w:autoSpaceDE w:val="0"/>
        <w:autoSpaceDN w:val="0"/>
        <w:spacing w:line="360" w:lineRule="auto"/>
        <w:rPr>
          <w:rFonts w:hint="eastAsia" w:ascii="宋体" w:hAnsi="宋体" w:cs="宋体"/>
          <w:b/>
          <w:bCs/>
          <w:kern w:val="0"/>
        </w:rPr>
      </w:pPr>
      <w:r>
        <w:rPr>
          <w:rFonts w:hint="eastAsia" w:ascii="宋体" w:hAnsi="宋体" w:cs="宋体"/>
          <w:b/>
          <w:bCs/>
          <w:kern w:val="0"/>
        </w:rPr>
        <w:t>17.</w:t>
      </w:r>
      <w:r>
        <w:rPr>
          <w:rFonts w:hint="eastAsia" w:ascii="宋体" w:hAnsi="宋体" w:cs="宋体"/>
          <w:b/>
          <w:bCs/>
          <w:kern w:val="0"/>
          <w:lang w:val="zh-CN"/>
        </w:rPr>
        <w:t>不可抗力</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17.1 </w:t>
      </w:r>
      <w:r>
        <w:rPr>
          <w:rFonts w:hint="eastAsia" w:ascii="宋体" w:hAnsi="宋体" w:cs="宋体"/>
          <w:kern w:val="0"/>
          <w:lang w:val="zh-CN"/>
        </w:rPr>
        <w:t>双方中任何一方遭遇法律规定的不可抗力，致使合同履行受阻时，履行合同的期限应予延长，延长的期限应相当于不可抗力所影响的时间。</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17.2 </w:t>
      </w:r>
      <w:r>
        <w:rPr>
          <w:rFonts w:hint="eastAsia" w:ascii="宋体" w:hAnsi="宋体" w:cs="宋体"/>
          <w:kern w:val="0"/>
          <w:lang w:val="zh-CN"/>
        </w:rPr>
        <w:t>受事故影响的一方应在不可抗力的事故发生后以书面形式通知另一方。</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17.3 </w:t>
      </w:r>
      <w:r>
        <w:rPr>
          <w:rFonts w:hint="eastAsia" w:ascii="宋体" w:hAnsi="宋体" w:cs="宋体"/>
          <w:kern w:val="0"/>
          <w:lang w:val="zh-CN"/>
        </w:rPr>
        <w:t>不可抗力使合同的某些内容有变更必要的，双方应通过协商达成进一步履行合同的协议，因不可抗力致使合同不能履行的，合同终止。</w:t>
      </w:r>
    </w:p>
    <w:p>
      <w:pPr>
        <w:autoSpaceDE w:val="0"/>
        <w:autoSpaceDN w:val="0"/>
        <w:spacing w:line="360" w:lineRule="auto"/>
        <w:rPr>
          <w:rFonts w:hint="eastAsia" w:ascii="宋体" w:hAnsi="宋体" w:cs="宋体"/>
          <w:b/>
          <w:bCs/>
          <w:kern w:val="0"/>
        </w:rPr>
      </w:pPr>
      <w:r>
        <w:rPr>
          <w:rFonts w:hint="eastAsia" w:ascii="宋体" w:hAnsi="宋体" w:cs="宋体"/>
          <w:b/>
          <w:bCs/>
          <w:kern w:val="0"/>
        </w:rPr>
        <w:t>18.</w:t>
      </w:r>
      <w:r>
        <w:rPr>
          <w:rFonts w:hint="eastAsia" w:ascii="宋体" w:hAnsi="宋体" w:cs="宋体"/>
          <w:b/>
          <w:bCs/>
          <w:kern w:val="0"/>
          <w:lang w:val="zh-CN"/>
        </w:rPr>
        <w:t>税费</w:t>
      </w:r>
    </w:p>
    <w:p>
      <w:pPr>
        <w:autoSpaceDE w:val="0"/>
        <w:autoSpaceDN w:val="0"/>
        <w:spacing w:line="360" w:lineRule="auto"/>
        <w:ind w:firstLine="480"/>
        <w:rPr>
          <w:rFonts w:hint="eastAsia" w:ascii="宋体" w:hAnsi="宋体" w:cs="宋体"/>
          <w:kern w:val="0"/>
        </w:rPr>
      </w:pPr>
      <w:r>
        <w:rPr>
          <w:rFonts w:hint="eastAsia" w:ascii="宋体" w:hAnsi="宋体" w:cs="宋体"/>
          <w:kern w:val="0"/>
          <w:lang w:val="zh-CN"/>
        </w:rPr>
        <w:t>与本合同有关的一切税费均由乙方承担。</w:t>
      </w:r>
    </w:p>
    <w:p>
      <w:pPr>
        <w:autoSpaceDE w:val="0"/>
        <w:autoSpaceDN w:val="0"/>
        <w:spacing w:line="360" w:lineRule="auto"/>
        <w:rPr>
          <w:rFonts w:hint="eastAsia" w:ascii="宋体" w:hAnsi="宋体" w:cs="宋体"/>
          <w:b/>
          <w:bCs/>
          <w:kern w:val="0"/>
        </w:rPr>
      </w:pPr>
      <w:r>
        <w:rPr>
          <w:rFonts w:hint="eastAsia" w:ascii="宋体" w:hAnsi="宋体" w:cs="宋体"/>
          <w:b/>
          <w:bCs/>
          <w:kern w:val="0"/>
        </w:rPr>
        <w:t>19.</w:t>
      </w:r>
      <w:r>
        <w:rPr>
          <w:rFonts w:hint="eastAsia" w:ascii="宋体" w:hAnsi="宋体" w:cs="宋体"/>
          <w:b/>
          <w:bCs/>
          <w:kern w:val="0"/>
          <w:lang w:val="zh-CN"/>
        </w:rPr>
        <w:t>合同争议的解决</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19.1 </w:t>
      </w:r>
      <w:r>
        <w:rPr>
          <w:rFonts w:hint="eastAsia" w:ascii="宋体" w:hAnsi="宋体" w:cs="宋体"/>
          <w:kern w:val="0"/>
          <w:lang w:val="zh-CN"/>
        </w:rPr>
        <w:t>甲方和乙方由于本合同的履行而发生任何争议时，双方可先通过协商解决。</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19.2 </w:t>
      </w:r>
      <w:r>
        <w:rPr>
          <w:rFonts w:hint="eastAsia" w:ascii="宋体" w:hAnsi="宋体" w:cs="宋体"/>
          <w:kern w:val="0"/>
          <w:lang w:val="zh-CN"/>
        </w:rPr>
        <w:t>任何一方不愿通过协商或通过协商仍不能解决争议，则双方中任何一方均应向甲方所在地人民法院起诉。</w:t>
      </w:r>
    </w:p>
    <w:p>
      <w:pPr>
        <w:autoSpaceDE w:val="0"/>
        <w:autoSpaceDN w:val="0"/>
        <w:spacing w:line="360" w:lineRule="auto"/>
        <w:rPr>
          <w:rFonts w:hint="eastAsia" w:ascii="宋体" w:hAnsi="宋体" w:cs="宋体"/>
          <w:b/>
          <w:bCs/>
          <w:kern w:val="0"/>
        </w:rPr>
      </w:pPr>
      <w:r>
        <w:rPr>
          <w:rFonts w:hint="eastAsia" w:ascii="宋体" w:hAnsi="宋体" w:cs="宋体"/>
          <w:b/>
          <w:bCs/>
          <w:kern w:val="0"/>
        </w:rPr>
        <w:t>20.</w:t>
      </w:r>
      <w:r>
        <w:rPr>
          <w:rFonts w:hint="eastAsia" w:ascii="宋体" w:hAnsi="宋体" w:cs="宋体"/>
          <w:b/>
          <w:bCs/>
          <w:kern w:val="0"/>
          <w:lang w:val="zh-CN"/>
        </w:rPr>
        <w:t>违约解除合同</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20.1 </w:t>
      </w:r>
      <w:r>
        <w:rPr>
          <w:rFonts w:hint="eastAsia" w:ascii="宋体" w:hAnsi="宋体" w:cs="宋体"/>
          <w:kern w:val="0"/>
          <w:lang w:val="zh-CN"/>
        </w:rPr>
        <w:t>出现下列情形之一的，视为乙方违约。甲方可向乙方发出书面通知，部分或全部终止合同，同时保留向乙方索赔的权利。</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20.1.1 </w:t>
      </w:r>
      <w:r>
        <w:rPr>
          <w:rFonts w:hint="eastAsia" w:ascii="宋体" w:hAnsi="宋体" w:cs="宋体"/>
          <w:kern w:val="0"/>
          <w:lang w:val="zh-CN"/>
        </w:rPr>
        <w:t>乙方未能在合同规定的限期或甲方同意延长的限期内，提供全部或部分货物的；</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20.1.2 </w:t>
      </w:r>
      <w:r>
        <w:rPr>
          <w:rFonts w:hint="eastAsia" w:ascii="宋体" w:hAnsi="宋体" w:cs="宋体"/>
          <w:kern w:val="0"/>
          <w:lang w:val="zh-CN"/>
        </w:rPr>
        <w:t>乙方未能履行合同规定的其它主要义务的；</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20.1.3 </w:t>
      </w:r>
      <w:r>
        <w:rPr>
          <w:rFonts w:hint="eastAsia" w:ascii="宋体" w:hAnsi="宋体" w:cs="宋体"/>
          <w:kern w:val="0"/>
          <w:lang w:val="zh-CN"/>
        </w:rPr>
        <w:t>乙方在本合同履行过程中有欺诈行为的。</w:t>
      </w:r>
    </w:p>
    <w:p>
      <w:pPr>
        <w:autoSpaceDE w:val="0"/>
        <w:autoSpaceDN w:val="0"/>
        <w:spacing w:line="360" w:lineRule="auto"/>
        <w:ind w:firstLine="480"/>
        <w:rPr>
          <w:rFonts w:hint="eastAsia" w:ascii="宋体" w:hAnsi="宋体" w:cs="宋体"/>
          <w:kern w:val="0"/>
        </w:rPr>
      </w:pPr>
      <w:r>
        <w:rPr>
          <w:rFonts w:hint="eastAsia" w:ascii="宋体" w:hAnsi="宋体" w:cs="宋体"/>
          <w:kern w:val="0"/>
        </w:rPr>
        <w:t xml:space="preserve">20.2 </w:t>
      </w:r>
      <w:r>
        <w:rPr>
          <w:rFonts w:hint="eastAsia" w:ascii="宋体" w:hAnsi="宋体" w:cs="宋体"/>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pPr>
        <w:autoSpaceDE w:val="0"/>
        <w:autoSpaceDN w:val="0"/>
        <w:spacing w:line="360" w:lineRule="auto"/>
        <w:rPr>
          <w:rFonts w:hint="eastAsia" w:ascii="宋体" w:hAnsi="宋体" w:cs="宋体"/>
          <w:b/>
          <w:bCs/>
          <w:kern w:val="0"/>
        </w:rPr>
      </w:pPr>
      <w:r>
        <w:rPr>
          <w:rFonts w:hint="eastAsia" w:ascii="宋体" w:hAnsi="宋体" w:cs="宋体"/>
          <w:b/>
          <w:bCs/>
          <w:kern w:val="0"/>
        </w:rPr>
        <w:t>21.</w:t>
      </w:r>
      <w:r>
        <w:rPr>
          <w:rFonts w:hint="eastAsia" w:ascii="宋体" w:hAnsi="宋体" w:cs="宋体"/>
          <w:b/>
          <w:bCs/>
          <w:kern w:val="0"/>
          <w:lang w:val="zh-CN"/>
        </w:rPr>
        <w:t>破产终止合同</w:t>
      </w:r>
    </w:p>
    <w:p>
      <w:pPr>
        <w:autoSpaceDE w:val="0"/>
        <w:autoSpaceDN w:val="0"/>
        <w:spacing w:line="360" w:lineRule="auto"/>
        <w:ind w:firstLine="480"/>
        <w:rPr>
          <w:rFonts w:hint="eastAsia" w:ascii="宋体" w:hAnsi="宋体" w:cs="宋体"/>
          <w:kern w:val="0"/>
        </w:rPr>
      </w:pPr>
      <w:r>
        <w:rPr>
          <w:rFonts w:hint="eastAsia" w:ascii="宋体" w:hAnsi="宋体" w:cs="宋体"/>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pPr>
        <w:autoSpaceDE w:val="0"/>
        <w:autoSpaceDN w:val="0"/>
        <w:spacing w:line="360" w:lineRule="auto"/>
        <w:rPr>
          <w:rFonts w:hint="eastAsia" w:ascii="宋体" w:hAnsi="宋体" w:cs="宋体"/>
          <w:b/>
          <w:bCs/>
          <w:kern w:val="0"/>
        </w:rPr>
      </w:pPr>
      <w:r>
        <w:rPr>
          <w:rFonts w:hint="eastAsia" w:ascii="宋体" w:hAnsi="宋体" w:cs="宋体"/>
          <w:b/>
          <w:bCs/>
          <w:kern w:val="0"/>
        </w:rPr>
        <w:t>22.</w:t>
      </w:r>
      <w:r>
        <w:rPr>
          <w:rFonts w:hint="eastAsia" w:ascii="宋体" w:hAnsi="宋体" w:cs="宋体"/>
          <w:b/>
          <w:bCs/>
          <w:kern w:val="0"/>
          <w:lang w:val="zh-CN"/>
        </w:rPr>
        <w:t>转让和分包</w:t>
      </w:r>
    </w:p>
    <w:p>
      <w:pPr>
        <w:autoSpaceDE w:val="0"/>
        <w:autoSpaceDN w:val="0"/>
        <w:spacing w:line="360" w:lineRule="auto"/>
        <w:ind w:firstLine="360"/>
        <w:rPr>
          <w:rFonts w:hint="eastAsia" w:ascii="宋体" w:hAnsi="宋体" w:cs="宋体"/>
          <w:kern w:val="0"/>
        </w:rPr>
      </w:pPr>
      <w:r>
        <w:rPr>
          <w:rFonts w:hint="eastAsia" w:ascii="宋体" w:hAnsi="宋体" w:cs="宋体"/>
          <w:kern w:val="0"/>
        </w:rPr>
        <w:t xml:space="preserve">22.1 </w:t>
      </w:r>
      <w:r>
        <w:rPr>
          <w:rFonts w:hint="eastAsia" w:ascii="宋体" w:hAnsi="宋体" w:cs="宋体"/>
          <w:kern w:val="0"/>
          <w:lang w:val="zh-CN"/>
        </w:rPr>
        <w:t>政府采购合同不能转让。</w:t>
      </w:r>
    </w:p>
    <w:p>
      <w:pPr>
        <w:autoSpaceDE w:val="0"/>
        <w:autoSpaceDN w:val="0"/>
        <w:spacing w:line="360" w:lineRule="auto"/>
        <w:ind w:firstLine="360"/>
        <w:rPr>
          <w:rFonts w:hint="eastAsia" w:ascii="宋体" w:hAnsi="宋体" w:cs="宋体"/>
          <w:kern w:val="0"/>
        </w:rPr>
      </w:pPr>
      <w:r>
        <w:rPr>
          <w:rFonts w:hint="eastAsia" w:ascii="宋体" w:hAnsi="宋体" w:cs="宋体"/>
          <w:kern w:val="0"/>
        </w:rPr>
        <w:t xml:space="preserve">22.2 </w:t>
      </w:r>
      <w:r>
        <w:rPr>
          <w:rFonts w:hint="eastAsia" w:ascii="宋体" w:hAnsi="宋体" w:cs="宋体"/>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autoSpaceDE w:val="0"/>
        <w:autoSpaceDN w:val="0"/>
        <w:spacing w:line="360" w:lineRule="auto"/>
        <w:rPr>
          <w:rFonts w:hint="eastAsia" w:ascii="宋体" w:hAnsi="宋体" w:cs="宋体"/>
          <w:b/>
          <w:bCs/>
          <w:kern w:val="0"/>
        </w:rPr>
      </w:pPr>
      <w:r>
        <w:rPr>
          <w:rFonts w:hint="eastAsia" w:ascii="宋体" w:hAnsi="宋体" w:cs="宋体"/>
          <w:b/>
          <w:bCs/>
          <w:kern w:val="0"/>
        </w:rPr>
        <w:t>23.</w:t>
      </w:r>
      <w:r>
        <w:rPr>
          <w:rFonts w:hint="eastAsia" w:ascii="宋体" w:hAnsi="宋体" w:cs="宋体"/>
          <w:b/>
          <w:bCs/>
          <w:kern w:val="0"/>
          <w:lang w:val="zh-CN"/>
        </w:rPr>
        <w:t>合同修改</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政府采购合同的双方当事人不得擅自变更、中止或者终止合同</w:t>
      </w:r>
    </w:p>
    <w:p>
      <w:pPr>
        <w:autoSpaceDE w:val="0"/>
        <w:autoSpaceDN w:val="0"/>
        <w:spacing w:line="360" w:lineRule="auto"/>
        <w:rPr>
          <w:rFonts w:hint="eastAsia" w:ascii="宋体" w:hAnsi="宋体" w:cs="宋体"/>
          <w:b/>
          <w:bCs/>
          <w:kern w:val="0"/>
        </w:rPr>
      </w:pPr>
      <w:r>
        <w:rPr>
          <w:rFonts w:hint="eastAsia" w:ascii="宋体" w:hAnsi="宋体" w:cs="宋体"/>
          <w:b/>
          <w:bCs/>
          <w:kern w:val="0"/>
        </w:rPr>
        <w:t>24.</w:t>
      </w:r>
      <w:r>
        <w:rPr>
          <w:rFonts w:hint="eastAsia" w:ascii="宋体" w:hAnsi="宋体" w:cs="宋体"/>
          <w:b/>
          <w:bCs/>
          <w:kern w:val="0"/>
          <w:lang w:val="zh-CN"/>
        </w:rPr>
        <w:t>通知</w:t>
      </w:r>
    </w:p>
    <w:p>
      <w:pPr>
        <w:autoSpaceDE w:val="0"/>
        <w:autoSpaceDN w:val="0"/>
        <w:spacing w:line="360" w:lineRule="auto"/>
        <w:ind w:firstLine="480"/>
        <w:rPr>
          <w:rFonts w:hint="eastAsia" w:ascii="宋体" w:hAnsi="宋体" w:cs="宋体"/>
          <w:kern w:val="0"/>
        </w:rPr>
      </w:pPr>
      <w:r>
        <w:rPr>
          <w:rFonts w:hint="eastAsia" w:ascii="宋体" w:hAnsi="宋体" w:cs="宋体"/>
          <w:kern w:val="0"/>
          <w:lang w:val="zh-CN"/>
        </w:rPr>
        <w:t>本合同任何一方给另一方的通知，都应以书面形式发送，而另一方也应以书面形式确认并发送到对方明确的地址。</w:t>
      </w:r>
    </w:p>
    <w:p>
      <w:pPr>
        <w:autoSpaceDE w:val="0"/>
        <w:autoSpaceDN w:val="0"/>
        <w:spacing w:line="360" w:lineRule="auto"/>
        <w:rPr>
          <w:rFonts w:hint="eastAsia" w:ascii="宋体" w:hAnsi="宋体" w:cs="宋体"/>
          <w:b/>
          <w:bCs/>
          <w:kern w:val="0"/>
        </w:rPr>
      </w:pPr>
      <w:r>
        <w:rPr>
          <w:rFonts w:hint="eastAsia" w:ascii="宋体" w:hAnsi="宋体" w:cs="宋体"/>
          <w:b/>
          <w:bCs/>
          <w:kern w:val="0"/>
        </w:rPr>
        <w:t>25.</w:t>
      </w:r>
      <w:r>
        <w:rPr>
          <w:rFonts w:hint="eastAsia" w:ascii="宋体" w:hAnsi="宋体" w:cs="宋体"/>
          <w:b/>
          <w:bCs/>
          <w:kern w:val="0"/>
          <w:lang w:val="zh-CN"/>
        </w:rPr>
        <w:t>计量单位</w:t>
      </w:r>
    </w:p>
    <w:p>
      <w:pPr>
        <w:autoSpaceDE w:val="0"/>
        <w:autoSpaceDN w:val="0"/>
        <w:spacing w:line="360" w:lineRule="auto"/>
        <w:ind w:firstLine="480"/>
        <w:rPr>
          <w:rFonts w:hint="eastAsia" w:ascii="宋体" w:hAnsi="宋体" w:cs="宋体"/>
          <w:kern w:val="0"/>
        </w:rPr>
      </w:pPr>
      <w:r>
        <w:rPr>
          <w:rFonts w:hint="eastAsia" w:ascii="宋体" w:hAnsi="宋体" w:cs="宋体"/>
          <w:kern w:val="0"/>
          <w:lang w:val="zh-CN"/>
        </w:rPr>
        <w:t>除技术规范中另有规定外</w:t>
      </w:r>
      <w:r>
        <w:rPr>
          <w:rFonts w:hint="eastAsia" w:ascii="宋体" w:hAnsi="宋体" w:cs="宋体"/>
          <w:kern w:val="0"/>
        </w:rPr>
        <w:t>,</w:t>
      </w:r>
      <w:r>
        <w:rPr>
          <w:rFonts w:hint="eastAsia" w:ascii="宋体" w:hAnsi="宋体" w:cs="宋体"/>
          <w:kern w:val="0"/>
          <w:lang w:val="zh-CN"/>
        </w:rPr>
        <w:t>计量单位均使用国家法定计量单位。</w:t>
      </w:r>
    </w:p>
    <w:p>
      <w:pPr>
        <w:autoSpaceDE w:val="0"/>
        <w:autoSpaceDN w:val="0"/>
        <w:spacing w:line="360" w:lineRule="auto"/>
        <w:rPr>
          <w:rFonts w:hint="eastAsia" w:ascii="宋体" w:hAnsi="宋体" w:cs="宋体"/>
          <w:b/>
          <w:bCs/>
          <w:kern w:val="0"/>
        </w:rPr>
      </w:pPr>
      <w:r>
        <w:rPr>
          <w:rFonts w:hint="eastAsia" w:ascii="宋体" w:hAnsi="宋体" w:cs="宋体"/>
          <w:b/>
          <w:bCs/>
          <w:kern w:val="0"/>
        </w:rPr>
        <w:t>26.</w:t>
      </w:r>
      <w:r>
        <w:rPr>
          <w:rFonts w:hint="eastAsia" w:ascii="宋体" w:hAnsi="宋体" w:cs="宋体"/>
          <w:b/>
          <w:bCs/>
          <w:kern w:val="0"/>
          <w:lang w:val="zh-CN"/>
        </w:rPr>
        <w:t>适用法律</w:t>
      </w:r>
    </w:p>
    <w:p>
      <w:pPr>
        <w:autoSpaceDE w:val="0"/>
        <w:autoSpaceDN w:val="0"/>
        <w:spacing w:line="360" w:lineRule="auto"/>
        <w:ind w:firstLine="480"/>
        <w:rPr>
          <w:rFonts w:hint="eastAsia" w:ascii="宋体" w:hAnsi="宋体" w:cs="宋体"/>
          <w:lang w:val="zh-CN"/>
        </w:rPr>
      </w:pPr>
      <w:r>
        <w:rPr>
          <w:rFonts w:hint="eastAsia" w:ascii="宋体" w:hAnsi="宋体" w:cs="宋体"/>
          <w:kern w:val="0"/>
          <w:lang w:val="zh-CN"/>
        </w:rPr>
        <w:t>本合同按照中华人民共和国的相关法律进行解释。</w:t>
      </w:r>
    </w:p>
    <w:p>
      <w:pPr>
        <w:pStyle w:val="12"/>
        <w:spacing w:before="0" w:after="0" w:line="360" w:lineRule="auto"/>
        <w:rPr>
          <w:rFonts w:hint="eastAsia" w:ascii="宋体" w:hAnsi="宋体" w:cs="宋体"/>
          <w:lang w:val="zh-CN"/>
        </w:rPr>
      </w:pPr>
      <w:r>
        <w:rPr>
          <w:rFonts w:hint="eastAsia" w:ascii="宋体" w:hAnsi="宋体" w:cs="宋体"/>
          <w:szCs w:val="36"/>
          <w:lang w:val="zh-CN"/>
        </w:rPr>
        <w:br w:type="page"/>
      </w:r>
      <w:bookmarkStart w:id="46" w:name="_Toc19192"/>
      <w:r>
        <w:rPr>
          <w:rFonts w:hint="eastAsia" w:ascii="宋体" w:hAnsi="宋体" w:cs="宋体"/>
          <w:szCs w:val="36"/>
          <w:lang w:val="zh-CN"/>
        </w:rPr>
        <w:t>第四部分  投标文件格式</w:t>
      </w:r>
      <w:bookmarkEnd w:id="46"/>
    </w:p>
    <w:p>
      <w:pPr>
        <w:pStyle w:val="12"/>
        <w:spacing w:before="0" w:after="0" w:line="360" w:lineRule="auto"/>
        <w:jc w:val="left"/>
        <w:outlineLvl w:val="1"/>
        <w:rPr>
          <w:rFonts w:hint="eastAsia" w:ascii="宋体" w:hAnsi="宋体" w:cs="宋体"/>
        </w:rPr>
      </w:pPr>
      <w:bookmarkStart w:id="47" w:name="_Toc11851"/>
      <w:bookmarkStart w:id="48" w:name="_Toc1170"/>
      <w:r>
        <w:rPr>
          <w:rFonts w:hint="eastAsia" w:ascii="宋体" w:hAnsi="宋体" w:cs="宋体"/>
          <w:sz w:val="30"/>
          <w:szCs w:val="30"/>
          <w:lang w:val="zh-CN"/>
        </w:rPr>
        <w:t>封面</w:t>
      </w:r>
      <w:bookmarkEnd w:id="47"/>
      <w:r>
        <w:rPr>
          <w:rFonts w:hint="eastAsia" w:ascii="宋体" w:hAnsi="宋体" w:cs="宋体"/>
          <w:sz w:val="30"/>
          <w:szCs w:val="30"/>
          <w:lang w:val="zh-CN"/>
        </w:rPr>
        <w:t>（上册）</w:t>
      </w:r>
      <w:bookmarkEnd w:id="48"/>
    </w:p>
    <w:p>
      <w:pPr>
        <w:autoSpaceDE w:val="0"/>
        <w:autoSpaceDN w:val="0"/>
        <w:spacing w:line="360" w:lineRule="auto"/>
        <w:jc w:val="right"/>
        <w:rPr>
          <w:rFonts w:hint="eastAsia" w:ascii="宋体" w:hAnsi="宋体" w:cs="宋体"/>
          <w:b/>
          <w:bCs/>
          <w:kern w:val="0"/>
          <w:sz w:val="36"/>
          <w:szCs w:val="36"/>
        </w:rPr>
      </w:pPr>
      <w:r>
        <w:rPr>
          <w:rFonts w:hint="eastAsia" w:ascii="宋体" w:hAnsi="宋体" w:cs="宋体"/>
          <w:b/>
          <w:bCs/>
          <w:kern w:val="0"/>
          <w:sz w:val="36"/>
          <w:szCs w:val="36"/>
        </w:rPr>
        <w:t>正本/副本</w:t>
      </w:r>
    </w:p>
    <w:p>
      <w:pPr>
        <w:autoSpaceDE w:val="0"/>
        <w:autoSpaceDN w:val="0"/>
        <w:spacing w:line="360" w:lineRule="auto"/>
        <w:jc w:val="center"/>
        <w:rPr>
          <w:rFonts w:hint="eastAsia" w:ascii="宋体" w:hAnsi="宋体" w:cs="宋体"/>
          <w:b/>
          <w:bCs/>
          <w:kern w:val="0"/>
          <w:sz w:val="52"/>
          <w:szCs w:val="52"/>
          <w:lang w:val="zh-CN"/>
        </w:rPr>
      </w:pPr>
      <w:r>
        <w:rPr>
          <w:rFonts w:hint="eastAsia" w:ascii="宋体" w:hAnsi="宋体" w:cs="宋体"/>
          <w:b/>
          <w:bCs/>
          <w:kern w:val="0"/>
          <w:sz w:val="52"/>
          <w:szCs w:val="52"/>
          <w:lang w:val="zh-CN"/>
        </w:rPr>
        <w:t>青海省政府采购项目</w:t>
      </w:r>
    </w:p>
    <w:p>
      <w:pPr>
        <w:autoSpaceDE w:val="0"/>
        <w:autoSpaceDN w:val="0"/>
        <w:spacing w:line="360" w:lineRule="auto"/>
        <w:rPr>
          <w:rFonts w:hint="eastAsia" w:ascii="宋体" w:hAnsi="宋体" w:cs="宋体"/>
          <w:kern w:val="0"/>
          <w:sz w:val="36"/>
          <w:szCs w:val="36"/>
        </w:rPr>
      </w:pPr>
    </w:p>
    <w:p>
      <w:pPr>
        <w:autoSpaceDE w:val="0"/>
        <w:autoSpaceDN w:val="0"/>
        <w:spacing w:line="360" w:lineRule="auto"/>
        <w:jc w:val="center"/>
        <w:rPr>
          <w:rFonts w:hint="eastAsia" w:ascii="宋体" w:hAnsi="宋体" w:cs="宋体"/>
          <w:b/>
          <w:bCs/>
          <w:kern w:val="0"/>
          <w:sz w:val="72"/>
          <w:szCs w:val="72"/>
          <w:lang w:val="zh-CN"/>
        </w:rPr>
      </w:pPr>
      <w:r>
        <w:rPr>
          <w:rFonts w:hint="eastAsia" w:ascii="宋体" w:hAnsi="宋体" w:cs="宋体"/>
          <w:b/>
          <w:bCs/>
          <w:kern w:val="0"/>
          <w:sz w:val="72"/>
          <w:szCs w:val="72"/>
          <w:lang w:val="zh-CN"/>
        </w:rPr>
        <w:t>投</w:t>
      </w:r>
      <w:r>
        <w:rPr>
          <w:rFonts w:hint="eastAsia" w:ascii="宋体" w:hAnsi="宋体" w:cs="宋体"/>
          <w:b/>
          <w:bCs/>
          <w:kern w:val="0"/>
          <w:sz w:val="72"/>
          <w:szCs w:val="72"/>
        </w:rPr>
        <w:t xml:space="preserve"> </w:t>
      </w:r>
      <w:r>
        <w:rPr>
          <w:rFonts w:hint="eastAsia" w:ascii="宋体" w:hAnsi="宋体" w:cs="宋体"/>
          <w:b/>
          <w:bCs/>
          <w:kern w:val="0"/>
          <w:sz w:val="72"/>
          <w:szCs w:val="72"/>
          <w:lang w:val="zh-CN"/>
        </w:rPr>
        <w:t>标</w:t>
      </w:r>
      <w:r>
        <w:rPr>
          <w:rFonts w:hint="eastAsia" w:ascii="宋体" w:hAnsi="宋体" w:cs="宋体"/>
          <w:b/>
          <w:bCs/>
          <w:kern w:val="0"/>
          <w:sz w:val="72"/>
          <w:szCs w:val="72"/>
        </w:rPr>
        <w:t xml:space="preserve"> </w:t>
      </w:r>
      <w:r>
        <w:rPr>
          <w:rFonts w:hint="eastAsia" w:ascii="宋体" w:hAnsi="宋体" w:cs="宋体"/>
          <w:b/>
          <w:bCs/>
          <w:kern w:val="0"/>
          <w:sz w:val="72"/>
          <w:szCs w:val="72"/>
          <w:lang w:val="zh-CN"/>
        </w:rPr>
        <w:t>文</w:t>
      </w:r>
      <w:r>
        <w:rPr>
          <w:rFonts w:hint="eastAsia" w:ascii="宋体" w:hAnsi="宋体" w:cs="宋体"/>
          <w:b/>
          <w:bCs/>
          <w:kern w:val="0"/>
          <w:sz w:val="72"/>
          <w:szCs w:val="72"/>
        </w:rPr>
        <w:t xml:space="preserve"> </w:t>
      </w:r>
      <w:r>
        <w:rPr>
          <w:rFonts w:hint="eastAsia" w:ascii="宋体" w:hAnsi="宋体" w:cs="宋体"/>
          <w:b/>
          <w:bCs/>
          <w:kern w:val="0"/>
          <w:sz w:val="72"/>
          <w:szCs w:val="72"/>
          <w:lang w:val="zh-CN"/>
        </w:rPr>
        <w:t>件</w:t>
      </w: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sz w:val="36"/>
          <w:szCs w:val="36"/>
          <w:lang w:val="zh-CN"/>
        </w:rPr>
        <w:t>（上册）</w:t>
      </w:r>
    </w:p>
    <w:p>
      <w:pPr>
        <w:autoSpaceDE w:val="0"/>
        <w:autoSpaceDN w:val="0"/>
        <w:spacing w:line="360" w:lineRule="auto"/>
        <w:jc w:val="center"/>
        <w:rPr>
          <w:rFonts w:hint="eastAsia" w:ascii="宋体" w:hAnsi="宋体" w:cs="宋体"/>
          <w:sz w:val="36"/>
          <w:szCs w:val="36"/>
          <w:lang w:val="zh-CN"/>
        </w:rPr>
      </w:pPr>
      <w:r>
        <w:rPr>
          <w:rFonts w:hint="eastAsia" w:ascii="宋体" w:hAnsi="宋体" w:cs="宋体"/>
          <w:b/>
          <w:bCs/>
          <w:sz w:val="36"/>
          <w:szCs w:val="36"/>
          <w:lang w:val="zh-CN"/>
        </w:rPr>
        <w:t>（资格审查文件）</w:t>
      </w:r>
    </w:p>
    <w:p>
      <w:pPr>
        <w:autoSpaceDE w:val="0"/>
        <w:autoSpaceDN w:val="0"/>
        <w:spacing w:line="360" w:lineRule="auto"/>
        <w:rPr>
          <w:rFonts w:hint="eastAsia" w:ascii="宋体" w:hAnsi="宋体" w:cs="宋体"/>
          <w:kern w:val="0"/>
          <w:sz w:val="36"/>
          <w:szCs w:val="36"/>
        </w:rPr>
      </w:pPr>
    </w:p>
    <w:p>
      <w:pPr>
        <w:autoSpaceDE w:val="0"/>
        <w:autoSpaceDN w:val="0"/>
        <w:spacing w:line="360" w:lineRule="auto"/>
        <w:rPr>
          <w:rFonts w:hint="eastAsia" w:ascii="宋体" w:hAnsi="宋体" w:cs="宋体"/>
          <w:b/>
          <w:bCs/>
          <w:kern w:val="0"/>
          <w:sz w:val="36"/>
          <w:szCs w:val="36"/>
        </w:rPr>
      </w:pPr>
      <w:r>
        <w:rPr>
          <w:rFonts w:hint="eastAsia" w:ascii="宋体" w:hAnsi="宋体" w:cs="宋体"/>
          <w:b/>
          <w:bCs/>
          <w:kern w:val="0"/>
          <w:sz w:val="36"/>
          <w:szCs w:val="36"/>
          <w:lang w:val="zh-CN"/>
        </w:rPr>
        <w:t>采购项目编号：</w:t>
      </w:r>
    </w:p>
    <w:p>
      <w:pPr>
        <w:autoSpaceDE w:val="0"/>
        <w:autoSpaceDN w:val="0"/>
        <w:spacing w:line="360" w:lineRule="auto"/>
        <w:rPr>
          <w:rFonts w:hint="eastAsia" w:ascii="宋体" w:hAnsi="宋体" w:cs="宋体"/>
          <w:b/>
          <w:bCs/>
          <w:kern w:val="0"/>
          <w:sz w:val="36"/>
          <w:szCs w:val="36"/>
        </w:rPr>
      </w:pPr>
      <w:r>
        <w:rPr>
          <w:rFonts w:hint="eastAsia" w:ascii="宋体" w:hAnsi="宋体" w:cs="宋体"/>
          <w:b/>
          <w:bCs/>
          <w:kern w:val="0"/>
          <w:sz w:val="36"/>
          <w:szCs w:val="36"/>
          <w:lang w:val="zh-CN"/>
        </w:rPr>
        <w:t>采购项目名称</w:t>
      </w:r>
      <w:r>
        <w:rPr>
          <w:rFonts w:hint="eastAsia" w:ascii="宋体" w:hAnsi="宋体" w:cs="宋体"/>
          <w:b/>
          <w:bCs/>
          <w:kern w:val="0"/>
          <w:sz w:val="36"/>
          <w:szCs w:val="36"/>
        </w:rPr>
        <w:t>：</w:t>
      </w:r>
    </w:p>
    <w:p>
      <w:pPr>
        <w:autoSpaceDE w:val="0"/>
        <w:autoSpaceDN w:val="0"/>
        <w:spacing w:line="360" w:lineRule="auto"/>
        <w:rPr>
          <w:rFonts w:hint="eastAsia" w:ascii="宋体" w:hAnsi="宋体" w:cs="宋体"/>
          <w:b/>
          <w:bCs/>
          <w:kern w:val="0"/>
          <w:sz w:val="36"/>
          <w:szCs w:val="36"/>
        </w:rPr>
      </w:pPr>
    </w:p>
    <w:p>
      <w:pPr>
        <w:autoSpaceDE w:val="0"/>
        <w:autoSpaceDN w:val="0"/>
        <w:spacing w:line="360" w:lineRule="auto"/>
        <w:rPr>
          <w:rFonts w:hint="eastAsia" w:ascii="宋体" w:hAnsi="宋体" w:cs="宋体"/>
          <w:b/>
          <w:bCs/>
          <w:kern w:val="0"/>
          <w:sz w:val="36"/>
          <w:szCs w:val="36"/>
        </w:rPr>
      </w:pPr>
    </w:p>
    <w:p>
      <w:pPr>
        <w:autoSpaceDE w:val="0"/>
        <w:autoSpaceDN w:val="0"/>
        <w:spacing w:line="360" w:lineRule="auto"/>
        <w:rPr>
          <w:rFonts w:hint="eastAsia" w:ascii="宋体" w:hAnsi="宋体" w:cs="宋体"/>
          <w:b/>
          <w:bCs/>
          <w:kern w:val="0"/>
          <w:sz w:val="36"/>
          <w:szCs w:val="36"/>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投标人：</w:t>
      </w:r>
      <w:r>
        <w:rPr>
          <w:rFonts w:hint="eastAsia" w:ascii="宋体" w:hAnsi="宋体" w:cs="宋体"/>
          <w:b/>
          <w:bCs/>
          <w:kern w:val="0"/>
          <w:sz w:val="36"/>
          <w:szCs w:val="36"/>
          <w:u w:val="single"/>
        </w:rPr>
        <w:t xml:space="preserve">                          </w:t>
      </w:r>
      <w:r>
        <w:rPr>
          <w:rFonts w:hint="eastAsia" w:ascii="宋体" w:hAnsi="宋体" w:cs="宋体"/>
          <w:b/>
          <w:bCs/>
          <w:kern w:val="0"/>
          <w:sz w:val="36"/>
          <w:szCs w:val="36"/>
        </w:rPr>
        <w:t>（</w:t>
      </w:r>
      <w:r>
        <w:rPr>
          <w:rFonts w:hint="eastAsia" w:ascii="宋体" w:hAnsi="宋体" w:cs="宋体"/>
          <w:b/>
          <w:bCs/>
          <w:kern w:val="0"/>
          <w:sz w:val="36"/>
          <w:szCs w:val="36"/>
          <w:lang w:val="zh-CN"/>
        </w:rPr>
        <w:t>公章）</w:t>
      </w:r>
    </w:p>
    <w:p>
      <w:pPr>
        <w:autoSpaceDE w:val="0"/>
        <w:autoSpaceDN w:val="0"/>
        <w:spacing w:line="360" w:lineRule="auto"/>
        <w:rPr>
          <w:rFonts w:hint="eastAsia" w:ascii="宋体" w:hAnsi="宋体" w:cs="宋体"/>
          <w:b/>
          <w:bCs/>
          <w:kern w:val="0"/>
          <w:sz w:val="36"/>
          <w:szCs w:val="36"/>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法定代表人或委托代理人：</w:t>
      </w:r>
      <w:r>
        <w:rPr>
          <w:rFonts w:hint="eastAsia" w:ascii="宋体" w:hAnsi="宋体" w:cs="宋体"/>
          <w:b/>
          <w:bCs/>
          <w:kern w:val="0"/>
          <w:sz w:val="36"/>
          <w:szCs w:val="36"/>
          <w:u w:val="single"/>
        </w:rPr>
        <w:t xml:space="preserve">     </w:t>
      </w:r>
      <w:r>
        <w:rPr>
          <w:rFonts w:hint="eastAsia" w:ascii="宋体" w:hAnsi="宋体" w:cs="宋体"/>
          <w:b/>
          <w:bCs/>
          <w:kern w:val="0"/>
          <w:sz w:val="36"/>
          <w:szCs w:val="36"/>
          <w:lang w:val="zh-CN"/>
        </w:rPr>
        <w:t>（签字或盖章）</w:t>
      </w:r>
    </w:p>
    <w:p>
      <w:pPr>
        <w:autoSpaceDE w:val="0"/>
        <w:autoSpaceDN w:val="0"/>
        <w:spacing w:line="360" w:lineRule="auto"/>
        <w:rPr>
          <w:rFonts w:hint="eastAsia" w:ascii="宋体" w:hAnsi="宋体" w:cs="宋体"/>
          <w:b/>
          <w:bCs/>
          <w:kern w:val="0"/>
          <w:sz w:val="36"/>
          <w:szCs w:val="36"/>
          <w:lang w:val="zh-CN"/>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年</w:t>
      </w:r>
      <w:r>
        <w:rPr>
          <w:rFonts w:hint="eastAsia" w:ascii="宋体" w:hAnsi="宋体" w:cs="宋体"/>
          <w:b/>
          <w:bCs/>
          <w:kern w:val="0"/>
          <w:sz w:val="36"/>
          <w:szCs w:val="36"/>
        </w:rPr>
        <w:t xml:space="preserve">    </w:t>
      </w:r>
      <w:r>
        <w:rPr>
          <w:rFonts w:hint="eastAsia" w:ascii="宋体" w:hAnsi="宋体" w:cs="宋体"/>
          <w:b/>
          <w:bCs/>
          <w:kern w:val="0"/>
          <w:sz w:val="36"/>
          <w:szCs w:val="36"/>
          <w:lang w:val="zh-CN"/>
        </w:rPr>
        <w:t>月</w:t>
      </w:r>
      <w:r>
        <w:rPr>
          <w:rFonts w:hint="eastAsia" w:ascii="宋体" w:hAnsi="宋体" w:cs="宋体"/>
          <w:b/>
          <w:bCs/>
          <w:kern w:val="0"/>
          <w:sz w:val="36"/>
          <w:szCs w:val="36"/>
        </w:rPr>
        <w:t xml:space="preserve">    </w:t>
      </w:r>
      <w:r>
        <w:rPr>
          <w:rFonts w:hint="eastAsia" w:ascii="宋体" w:hAnsi="宋体" w:cs="宋体"/>
          <w:b/>
          <w:bCs/>
          <w:kern w:val="0"/>
          <w:sz w:val="36"/>
          <w:szCs w:val="36"/>
          <w:lang w:val="zh-CN"/>
        </w:rPr>
        <w:t>日</w:t>
      </w:r>
    </w:p>
    <w:p>
      <w:pPr>
        <w:pStyle w:val="12"/>
        <w:spacing w:before="0" w:after="0" w:line="360" w:lineRule="auto"/>
        <w:jc w:val="left"/>
        <w:outlineLvl w:val="1"/>
        <w:rPr>
          <w:rFonts w:hint="eastAsia" w:ascii="宋体" w:hAnsi="宋体" w:cs="宋体"/>
          <w:lang w:val="zh-CN"/>
        </w:rPr>
      </w:pPr>
      <w:r>
        <w:rPr>
          <w:rFonts w:hint="eastAsia" w:ascii="宋体" w:hAnsi="宋体" w:cs="宋体"/>
          <w:b w:val="0"/>
          <w:bCs w:val="0"/>
          <w:kern w:val="0"/>
          <w:lang w:val="zh-CN"/>
        </w:rPr>
        <w:br w:type="page"/>
      </w:r>
      <w:bookmarkStart w:id="49" w:name="_Toc13863"/>
      <w:bookmarkStart w:id="50" w:name="_Toc29902"/>
      <w:bookmarkStart w:id="51" w:name="_Toc8514"/>
      <w:r>
        <w:rPr>
          <w:rFonts w:hint="eastAsia" w:ascii="宋体" w:hAnsi="宋体" w:cs="宋体"/>
          <w:sz w:val="30"/>
          <w:szCs w:val="30"/>
          <w:lang w:val="zh-CN"/>
        </w:rPr>
        <w:t>目录（上册）</w:t>
      </w:r>
      <w:bookmarkEnd w:id="49"/>
    </w:p>
    <w:p>
      <w:pPr>
        <w:numPr>
          <w:ilvl w:val="0"/>
          <w:numId w:val="6"/>
        </w:numPr>
        <w:autoSpaceDE w:val="0"/>
        <w:autoSpaceDN w:val="0"/>
        <w:spacing w:line="360" w:lineRule="auto"/>
        <w:rPr>
          <w:rFonts w:hint="eastAsia" w:ascii="宋体" w:hAnsi="宋体" w:cs="宋体"/>
          <w:kern w:val="0"/>
          <w:lang w:val="zh-CN"/>
        </w:rPr>
      </w:pPr>
      <w:r>
        <w:rPr>
          <w:rFonts w:hint="eastAsia" w:ascii="宋体" w:hAnsi="宋体" w:cs="宋体"/>
          <w:kern w:val="0"/>
          <w:lang w:val="zh-CN"/>
        </w:rPr>
        <w:t>投标函……………………………………………………………所在页码</w:t>
      </w:r>
    </w:p>
    <w:p>
      <w:pPr>
        <w:numPr>
          <w:ilvl w:val="0"/>
          <w:numId w:val="6"/>
        </w:numPr>
        <w:autoSpaceDE w:val="0"/>
        <w:autoSpaceDN w:val="0"/>
        <w:spacing w:line="360" w:lineRule="auto"/>
        <w:rPr>
          <w:rFonts w:hint="eastAsia" w:ascii="宋体" w:hAnsi="宋体" w:cs="宋体"/>
          <w:kern w:val="0"/>
          <w:lang w:val="zh-CN"/>
        </w:rPr>
      </w:pPr>
      <w:r>
        <w:rPr>
          <w:rFonts w:hint="eastAsia" w:ascii="宋体" w:hAnsi="宋体" w:cs="宋体"/>
          <w:kern w:val="0"/>
          <w:lang w:val="zh-CN"/>
        </w:rPr>
        <w:t>法定代表人证明书………………………………………………所在页码</w:t>
      </w:r>
    </w:p>
    <w:p>
      <w:pPr>
        <w:numPr>
          <w:ilvl w:val="0"/>
          <w:numId w:val="6"/>
        </w:numPr>
        <w:autoSpaceDE w:val="0"/>
        <w:autoSpaceDN w:val="0"/>
        <w:spacing w:line="360" w:lineRule="auto"/>
        <w:rPr>
          <w:rFonts w:hint="eastAsia" w:ascii="宋体" w:hAnsi="宋体" w:cs="宋体"/>
          <w:kern w:val="0"/>
          <w:lang w:val="zh-CN"/>
        </w:rPr>
      </w:pPr>
      <w:r>
        <w:rPr>
          <w:rFonts w:hint="eastAsia" w:ascii="宋体" w:hAnsi="宋体" w:cs="宋体"/>
          <w:kern w:val="0"/>
          <w:lang w:val="zh-CN"/>
        </w:rPr>
        <w:t>法定代表人授权书………………………………………………所在页码</w:t>
      </w:r>
    </w:p>
    <w:p>
      <w:pPr>
        <w:numPr>
          <w:ilvl w:val="0"/>
          <w:numId w:val="6"/>
        </w:numPr>
        <w:autoSpaceDE w:val="0"/>
        <w:autoSpaceDN w:val="0"/>
        <w:spacing w:line="360" w:lineRule="auto"/>
        <w:rPr>
          <w:rFonts w:hint="eastAsia" w:ascii="宋体" w:hAnsi="宋体" w:cs="宋体"/>
          <w:kern w:val="0"/>
          <w:lang w:val="zh-CN"/>
        </w:rPr>
      </w:pPr>
      <w:r>
        <w:rPr>
          <w:rFonts w:hint="eastAsia" w:ascii="宋体" w:hAnsi="宋体" w:cs="宋体"/>
          <w:kern w:val="0"/>
          <w:lang w:val="zh-CN"/>
        </w:rPr>
        <w:t>投标人承诺函……………………………………………………所在页码</w:t>
      </w:r>
    </w:p>
    <w:p>
      <w:pPr>
        <w:numPr>
          <w:ilvl w:val="0"/>
          <w:numId w:val="6"/>
        </w:numPr>
        <w:autoSpaceDE w:val="0"/>
        <w:autoSpaceDN w:val="0"/>
        <w:spacing w:line="360" w:lineRule="auto"/>
        <w:rPr>
          <w:rFonts w:hint="eastAsia" w:ascii="宋体" w:hAnsi="宋体" w:cs="宋体"/>
          <w:kern w:val="0"/>
          <w:lang w:val="zh-CN"/>
        </w:rPr>
      </w:pPr>
      <w:r>
        <w:rPr>
          <w:rFonts w:hint="eastAsia" w:ascii="宋体" w:hAnsi="宋体" w:cs="宋体"/>
          <w:kern w:val="0"/>
          <w:lang w:val="zh-CN"/>
        </w:rPr>
        <w:t>投标人诚信承诺书………………………………………………所在页码</w:t>
      </w:r>
    </w:p>
    <w:p>
      <w:pPr>
        <w:numPr>
          <w:ilvl w:val="0"/>
          <w:numId w:val="6"/>
        </w:numPr>
        <w:autoSpaceDE w:val="0"/>
        <w:autoSpaceDN w:val="0"/>
        <w:spacing w:line="360" w:lineRule="auto"/>
        <w:rPr>
          <w:rFonts w:hint="eastAsia" w:ascii="宋体" w:hAnsi="宋体" w:cs="宋体"/>
          <w:kern w:val="0"/>
          <w:lang w:val="zh-CN"/>
        </w:rPr>
      </w:pPr>
      <w:r>
        <w:rPr>
          <w:rFonts w:hint="eastAsia" w:ascii="宋体" w:hAnsi="宋体" w:cs="宋体"/>
          <w:kern w:val="0"/>
          <w:lang w:val="zh-CN"/>
        </w:rPr>
        <w:t>资格证明材料……………………………………………………所在页码</w:t>
      </w:r>
    </w:p>
    <w:p>
      <w:pPr>
        <w:numPr>
          <w:ilvl w:val="0"/>
          <w:numId w:val="6"/>
        </w:numPr>
        <w:autoSpaceDE w:val="0"/>
        <w:autoSpaceDN w:val="0"/>
        <w:spacing w:line="360" w:lineRule="auto"/>
        <w:rPr>
          <w:rFonts w:hint="eastAsia" w:ascii="宋体" w:hAnsi="宋体" w:cs="宋体"/>
          <w:kern w:val="0"/>
          <w:lang w:val="zh-CN"/>
        </w:rPr>
      </w:pPr>
      <w:r>
        <w:rPr>
          <w:rFonts w:hint="eastAsia" w:ascii="宋体" w:hAnsi="宋体" w:cs="宋体"/>
          <w:kern w:val="0"/>
          <w:lang w:val="zh-CN"/>
        </w:rPr>
        <w:t>财务状况报告，依法缴纳税收和社会保障资金的相关材料…所在页码</w:t>
      </w:r>
    </w:p>
    <w:p>
      <w:pPr>
        <w:numPr>
          <w:ilvl w:val="0"/>
          <w:numId w:val="6"/>
        </w:numPr>
        <w:autoSpaceDE w:val="0"/>
        <w:autoSpaceDN w:val="0"/>
        <w:spacing w:line="360" w:lineRule="auto"/>
        <w:rPr>
          <w:rFonts w:hint="eastAsia" w:ascii="宋体" w:hAnsi="宋体" w:cs="宋体"/>
          <w:kern w:val="0"/>
          <w:lang w:val="zh-CN"/>
        </w:rPr>
      </w:pPr>
      <w:r>
        <w:rPr>
          <w:rFonts w:hint="eastAsia" w:ascii="宋体" w:hAnsi="宋体" w:cs="宋体"/>
          <w:kern w:val="0"/>
          <w:lang w:val="zh-CN"/>
        </w:rPr>
        <w:t>具备履行合同所必需的设备和专业技术能力的证明材料……所在页码</w:t>
      </w:r>
    </w:p>
    <w:p>
      <w:pPr>
        <w:numPr>
          <w:ilvl w:val="0"/>
          <w:numId w:val="6"/>
        </w:numPr>
        <w:autoSpaceDE w:val="0"/>
        <w:autoSpaceDN w:val="0"/>
        <w:spacing w:line="360" w:lineRule="auto"/>
        <w:rPr>
          <w:rFonts w:hint="eastAsia" w:ascii="宋体" w:hAnsi="宋体" w:cs="宋体"/>
          <w:kern w:val="0"/>
          <w:lang w:val="zh-CN"/>
        </w:rPr>
      </w:pPr>
      <w:r>
        <w:rPr>
          <w:rFonts w:hint="eastAsia" w:ascii="宋体" w:hAnsi="宋体" w:cs="宋体"/>
          <w:kern w:val="0"/>
          <w:lang w:val="zh-CN"/>
        </w:rPr>
        <w:t>无重大违法记录声明……………………………………………所在页码</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10</w:t>
      </w:r>
      <w:r>
        <w:rPr>
          <w:rFonts w:hint="eastAsia" w:ascii="宋体" w:hAnsi="宋体" w:cs="宋体"/>
          <w:kern w:val="0"/>
          <w:lang w:val="zh-CN"/>
        </w:rPr>
        <w:t>）投标保证金证明………………………………………………所在页码</w:t>
      </w:r>
    </w:p>
    <w:p>
      <w:pPr>
        <w:pStyle w:val="18"/>
        <w:rPr>
          <w:rFonts w:hint="eastAsia"/>
          <w:color w:val="auto"/>
          <w:lang w:val="zh-CN"/>
        </w:rPr>
      </w:pPr>
    </w:p>
    <w:bookmarkEnd w:id="50"/>
    <w:bookmarkEnd w:id="51"/>
    <w:p>
      <w:pPr>
        <w:pStyle w:val="12"/>
        <w:spacing w:before="0" w:after="0" w:line="360" w:lineRule="auto"/>
        <w:jc w:val="left"/>
        <w:outlineLvl w:val="1"/>
        <w:rPr>
          <w:rFonts w:hint="eastAsia" w:ascii="宋体" w:hAnsi="宋体" w:cs="宋体"/>
          <w:lang w:val="zh-CN"/>
        </w:rPr>
      </w:pPr>
      <w:bookmarkStart w:id="52" w:name="_Toc19582"/>
      <w:r>
        <w:rPr>
          <w:rFonts w:hint="eastAsia" w:ascii="宋体" w:hAnsi="宋体" w:cs="宋体"/>
          <w:sz w:val="30"/>
          <w:szCs w:val="30"/>
          <w:lang w:val="zh-CN"/>
        </w:rPr>
        <w:br w:type="page"/>
      </w:r>
      <w:bookmarkStart w:id="53" w:name="_Toc7022"/>
      <w:r>
        <w:rPr>
          <w:rFonts w:hint="eastAsia" w:ascii="宋体" w:hAnsi="宋体" w:cs="宋体"/>
          <w:sz w:val="30"/>
          <w:szCs w:val="30"/>
        </w:rPr>
        <w:t>（1）</w:t>
      </w:r>
      <w:r>
        <w:rPr>
          <w:rFonts w:hint="eastAsia" w:ascii="宋体" w:hAnsi="宋体" w:cs="宋体"/>
          <w:sz w:val="30"/>
          <w:szCs w:val="30"/>
          <w:lang w:val="zh-CN"/>
        </w:rPr>
        <w:t>投标函</w:t>
      </w:r>
      <w:bookmarkEnd w:id="52"/>
      <w:bookmarkEnd w:id="53"/>
    </w:p>
    <w:p>
      <w:pPr>
        <w:autoSpaceDE w:val="0"/>
        <w:autoSpaceDN w:val="0"/>
        <w:spacing w:line="360" w:lineRule="auto"/>
        <w:rPr>
          <w:rFonts w:hint="eastAsia" w:ascii="宋体" w:hAnsi="宋体" w:cs="宋体"/>
          <w:b/>
          <w:bCs/>
          <w:kern w:val="0"/>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投标函</w:t>
      </w:r>
    </w:p>
    <w:p>
      <w:pPr>
        <w:autoSpaceDE w:val="0"/>
        <w:autoSpaceDN w:val="0"/>
        <w:spacing w:line="360" w:lineRule="auto"/>
        <w:rPr>
          <w:rFonts w:hint="eastAsia" w:ascii="宋体" w:hAnsi="宋体" w:cs="宋体"/>
          <w:b/>
          <w:bCs/>
          <w:kern w:val="0"/>
          <w:sz w:val="28"/>
          <w:szCs w:val="28"/>
          <w:lang w:val="zh-CN"/>
        </w:rPr>
      </w:pPr>
    </w:p>
    <w:p>
      <w:pPr>
        <w:autoSpaceDE w:val="0"/>
        <w:autoSpaceDN w:val="0"/>
        <w:spacing w:line="360" w:lineRule="auto"/>
        <w:rPr>
          <w:rFonts w:hint="eastAsia" w:ascii="宋体" w:hAnsi="宋体" w:cs="宋体"/>
          <w:kern w:val="0"/>
          <w:lang w:val="zh-CN"/>
        </w:rPr>
      </w:pPr>
      <w:r>
        <w:rPr>
          <w:rFonts w:hint="eastAsia" w:ascii="宋体" w:hAnsi="宋体" w:cs="宋体"/>
          <w:b/>
          <w:bCs/>
          <w:kern w:val="0"/>
          <w:lang w:val="zh-CN"/>
        </w:rPr>
        <w:t>致：德令哈城乡建设综合开发有限公司</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我们收到</w:t>
      </w:r>
      <w:r>
        <w:rPr>
          <w:rFonts w:hint="eastAsia" w:ascii="宋体" w:hAnsi="宋体" w:cs="宋体"/>
          <w:kern w:val="0"/>
          <w:u w:val="single"/>
          <w:lang w:val="zh-CN"/>
        </w:rPr>
        <w:t>采购项目名称</w:t>
      </w:r>
      <w:r>
        <w:rPr>
          <w:rFonts w:hint="eastAsia" w:ascii="宋体" w:hAnsi="宋体" w:cs="宋体"/>
          <w:kern w:val="0"/>
          <w:u w:val="single"/>
        </w:rPr>
        <w:t>·包号</w:t>
      </w:r>
      <w:r>
        <w:rPr>
          <w:rFonts w:hint="eastAsia" w:ascii="宋体" w:hAnsi="宋体" w:cs="宋体"/>
          <w:kern w:val="0"/>
          <w:u w:val="single"/>
          <w:lang w:val="zh-CN"/>
        </w:rPr>
        <w:t>（采购项目编号）</w:t>
      </w:r>
      <w:r>
        <w:rPr>
          <w:rFonts w:hint="eastAsia" w:ascii="宋体" w:hAnsi="宋体" w:cs="宋体"/>
          <w:kern w:val="0"/>
          <w:lang w:val="zh-CN"/>
        </w:rPr>
        <w:t>招标文件，经研究，法定代表人（</w:t>
      </w:r>
      <w:r>
        <w:rPr>
          <w:rFonts w:hint="eastAsia" w:ascii="宋体" w:hAnsi="宋体" w:cs="宋体"/>
          <w:kern w:val="0"/>
          <w:u w:val="single"/>
          <w:lang w:val="zh-CN"/>
        </w:rPr>
        <w:t>姓名、职务</w:t>
      </w:r>
      <w:r>
        <w:rPr>
          <w:rFonts w:hint="eastAsia" w:ascii="宋体" w:hAnsi="宋体" w:cs="宋体"/>
          <w:kern w:val="0"/>
          <w:lang w:val="zh-CN"/>
        </w:rPr>
        <w:t>）正式授权（</w:t>
      </w:r>
      <w:r>
        <w:rPr>
          <w:rFonts w:hint="eastAsia" w:ascii="宋体" w:hAnsi="宋体" w:cs="宋体"/>
          <w:kern w:val="0"/>
          <w:u w:val="single"/>
          <w:lang w:val="zh-CN"/>
        </w:rPr>
        <w:t>委托代理人姓名、职务</w:t>
      </w:r>
      <w:r>
        <w:rPr>
          <w:rFonts w:hint="eastAsia" w:ascii="宋体" w:hAnsi="宋体" w:cs="宋体"/>
          <w:kern w:val="0"/>
          <w:lang w:val="zh-CN"/>
        </w:rPr>
        <w:t>）代表投标人（</w:t>
      </w:r>
      <w:r>
        <w:rPr>
          <w:rFonts w:hint="eastAsia" w:ascii="宋体" w:hAnsi="宋体" w:cs="宋体"/>
          <w:kern w:val="0"/>
          <w:u w:val="single"/>
          <w:lang w:val="zh-CN"/>
        </w:rPr>
        <w:t>投标人名称、地址</w:t>
      </w:r>
      <w:r>
        <w:rPr>
          <w:rFonts w:hint="eastAsia" w:ascii="宋体" w:hAnsi="宋体" w:cs="宋体"/>
          <w:kern w:val="0"/>
          <w:lang w:val="zh-CN"/>
        </w:rPr>
        <w:t>）提交投标文件。</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据此函，签字代表宣布同意如下：</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1.我方已详阅招标文件的全部内容，包括澄清、修改条款等有关附件，承诺对其完全理解并接受。</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2.投标有效期：</w:t>
      </w:r>
      <w:r>
        <w:rPr>
          <w:rFonts w:hint="eastAsia" w:ascii="宋体" w:hAnsi="宋体" w:cs="宋体"/>
          <w:shd w:val="clear" w:color="auto" w:fill="FFFFFF"/>
        </w:rPr>
        <w:t>从提交投标文件的截止之日起</w:t>
      </w:r>
      <w:r>
        <w:rPr>
          <w:rFonts w:hint="eastAsia" w:ascii="宋体" w:hAnsi="宋体" w:cs="宋体"/>
          <w:kern w:val="0"/>
          <w:u w:val="single"/>
        </w:rPr>
        <w:t>90</w:t>
      </w:r>
      <w:r>
        <w:rPr>
          <w:rFonts w:hint="eastAsia" w:ascii="宋体" w:hAnsi="宋体" w:cs="宋体"/>
          <w:kern w:val="0"/>
          <w:lang w:val="zh-CN"/>
        </w:rPr>
        <w:t>日历日内有效。如果我方在投标有效期内撤回投标或中标后不签约的，投标保证金将被贵方没收。</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3.我方同意按照贵方要求提供与投标有关的一切数据或资料，理解并接受贵方制定的评标办法。</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4.与本投标有关的一切正式往来通讯请寄：</w:t>
      </w:r>
    </w:p>
    <w:p>
      <w:pPr>
        <w:autoSpaceDE w:val="0"/>
        <w:autoSpaceDN w:val="0"/>
        <w:spacing w:line="360" w:lineRule="auto"/>
        <w:rPr>
          <w:rFonts w:hint="eastAsia" w:ascii="宋体" w:hAnsi="宋体" w:cs="宋体"/>
          <w:kern w:val="0"/>
          <w:lang w:val="zh-CN"/>
        </w:rPr>
      </w:pP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地址：_______________          邮编：______________</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电话：_______________          传真：______________</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法定代表人姓名： ___________   职务：____________</w:t>
      </w:r>
    </w:p>
    <w:p>
      <w:pPr>
        <w:autoSpaceDE w:val="0"/>
        <w:autoSpaceDN w:val="0"/>
        <w:spacing w:line="360" w:lineRule="auto"/>
        <w:rPr>
          <w:rFonts w:hint="eastAsia" w:ascii="宋体" w:hAnsi="宋体" w:cs="宋体"/>
          <w:kern w:val="0"/>
          <w:lang w:val="zh-CN"/>
        </w:rPr>
      </w:pPr>
    </w:p>
    <w:p>
      <w:pPr>
        <w:autoSpaceDE w:val="0"/>
        <w:autoSpaceDN w:val="0"/>
        <w:spacing w:line="360" w:lineRule="auto"/>
        <w:rPr>
          <w:rFonts w:hint="eastAsia" w:ascii="宋体" w:hAnsi="宋体" w:cs="宋体"/>
          <w:kern w:val="0"/>
          <w:lang w:val="zh-CN"/>
        </w:rPr>
      </w:pP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法定代表人或委托代理人：        （签字或盖章）</w:t>
      </w: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pStyle w:val="12"/>
        <w:spacing w:before="0" w:after="0" w:line="360" w:lineRule="auto"/>
        <w:jc w:val="left"/>
        <w:outlineLvl w:val="1"/>
        <w:rPr>
          <w:rFonts w:hint="eastAsia" w:ascii="宋体" w:hAnsi="宋体" w:cs="宋体"/>
        </w:rPr>
      </w:pPr>
      <w:r>
        <w:rPr>
          <w:rFonts w:hint="eastAsia" w:ascii="宋体" w:hAnsi="宋体" w:cs="宋体"/>
          <w:b w:val="0"/>
          <w:bCs w:val="0"/>
          <w:kern w:val="0"/>
          <w:sz w:val="24"/>
          <w:lang w:val="zh-CN"/>
        </w:rPr>
        <w:br w:type="page"/>
      </w:r>
      <w:bookmarkStart w:id="54" w:name="_Toc32248"/>
      <w:bookmarkStart w:id="55" w:name="_Toc29944"/>
      <w:r>
        <w:rPr>
          <w:rFonts w:hint="eastAsia" w:ascii="宋体" w:hAnsi="宋体" w:cs="宋体"/>
          <w:kern w:val="0"/>
          <w:sz w:val="30"/>
          <w:szCs w:val="30"/>
          <w:lang w:val="zh-CN"/>
        </w:rPr>
        <w:t>（</w:t>
      </w:r>
      <w:r>
        <w:rPr>
          <w:rFonts w:hint="eastAsia" w:ascii="宋体" w:hAnsi="宋体" w:cs="宋体"/>
          <w:kern w:val="0"/>
          <w:sz w:val="30"/>
          <w:szCs w:val="30"/>
        </w:rPr>
        <w:t>2</w:t>
      </w:r>
      <w:r>
        <w:rPr>
          <w:rFonts w:hint="eastAsia" w:ascii="宋体" w:hAnsi="宋体" w:cs="宋体"/>
          <w:kern w:val="0"/>
          <w:sz w:val="30"/>
          <w:szCs w:val="30"/>
          <w:lang w:val="zh-CN"/>
        </w:rPr>
        <w:t>）</w:t>
      </w:r>
      <w:r>
        <w:rPr>
          <w:rFonts w:hint="eastAsia" w:ascii="宋体" w:hAnsi="宋体" w:cs="宋体"/>
          <w:sz w:val="30"/>
          <w:szCs w:val="30"/>
        </w:rPr>
        <w:t>法定代表人证明书</w:t>
      </w:r>
      <w:bookmarkEnd w:id="54"/>
    </w:p>
    <w:p>
      <w:pPr>
        <w:autoSpaceDE w:val="0"/>
        <w:autoSpaceDN w:val="0"/>
        <w:spacing w:line="360" w:lineRule="auto"/>
        <w:rPr>
          <w:rFonts w:hint="eastAsia" w:ascii="宋体" w:hAnsi="宋体" w:cs="宋体"/>
          <w:kern w:val="0"/>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法定代表人证明书</w:t>
      </w:r>
    </w:p>
    <w:p>
      <w:pPr>
        <w:autoSpaceDE w:val="0"/>
        <w:autoSpaceDN w:val="0"/>
        <w:spacing w:line="360" w:lineRule="auto"/>
        <w:rPr>
          <w:rFonts w:hint="eastAsia" w:ascii="宋体" w:hAnsi="宋体" w:cs="宋体"/>
          <w:b/>
          <w:bCs/>
          <w:kern w:val="0"/>
          <w:sz w:val="28"/>
          <w:szCs w:val="28"/>
          <w:lang w:val="zh-CN"/>
        </w:rPr>
      </w:pPr>
    </w:p>
    <w:p>
      <w:pPr>
        <w:autoSpaceDE w:val="0"/>
        <w:autoSpaceDN w:val="0"/>
        <w:spacing w:line="360" w:lineRule="auto"/>
        <w:rPr>
          <w:rFonts w:hint="eastAsia" w:ascii="宋体" w:hAnsi="宋体" w:cs="宋体"/>
          <w:kern w:val="0"/>
          <w:lang w:val="zh-CN"/>
        </w:rPr>
      </w:pPr>
      <w:r>
        <w:rPr>
          <w:rFonts w:hint="eastAsia" w:ascii="宋体" w:hAnsi="宋体" w:cs="宋体"/>
          <w:b/>
          <w:bCs/>
          <w:kern w:val="0"/>
          <w:lang w:val="zh-CN"/>
        </w:rPr>
        <w:t>致：德令哈城乡建设综合开发有限公司</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 xml:space="preserve">    </w:t>
      </w:r>
      <w:r>
        <w:rPr>
          <w:rFonts w:hint="eastAsia" w:ascii="宋体" w:hAnsi="宋体" w:cs="宋体"/>
          <w:kern w:val="0"/>
          <w:u w:val="single"/>
          <w:lang w:val="zh-CN"/>
        </w:rPr>
        <w:t>（法定代表人姓名）</w:t>
      </w:r>
      <w:r>
        <w:rPr>
          <w:rFonts w:hint="eastAsia" w:ascii="宋体" w:hAnsi="宋体" w:cs="宋体"/>
          <w:kern w:val="0"/>
          <w:lang w:val="zh-CN"/>
        </w:rPr>
        <w:t>现任我单位</w:t>
      </w:r>
      <w:r>
        <w:rPr>
          <w:rFonts w:hint="eastAsia" w:ascii="宋体" w:hAnsi="宋体" w:cs="宋体"/>
          <w:kern w:val="0"/>
          <w:u w:val="single"/>
          <w:lang w:val="zh-CN"/>
        </w:rPr>
        <w:t xml:space="preserve">      </w:t>
      </w:r>
      <w:r>
        <w:rPr>
          <w:rFonts w:hint="eastAsia" w:ascii="宋体" w:hAnsi="宋体" w:cs="宋体"/>
          <w:kern w:val="0"/>
          <w:lang w:val="zh-CN"/>
        </w:rPr>
        <w:t>职务，为法定代表人，特此证明。</w:t>
      </w:r>
    </w:p>
    <w:p>
      <w:pPr>
        <w:autoSpaceDE w:val="0"/>
        <w:autoSpaceDN w:val="0"/>
        <w:spacing w:line="360" w:lineRule="auto"/>
        <w:rPr>
          <w:rFonts w:hint="eastAsia" w:ascii="宋体" w:hAnsi="宋体" w:cs="宋体"/>
          <w:kern w:val="0"/>
          <w:lang w:val="zh-CN"/>
        </w:rPr>
      </w:pP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法定代表人基本情况：</w:t>
      </w:r>
    </w:p>
    <w:p>
      <w:pPr>
        <w:autoSpaceDE w:val="0"/>
        <w:autoSpaceDN w:val="0"/>
        <w:spacing w:line="360" w:lineRule="auto"/>
        <w:rPr>
          <w:rFonts w:hint="eastAsia" w:ascii="宋体" w:hAnsi="宋体" w:cs="宋体"/>
          <w:kern w:val="0"/>
          <w:u w:val="single"/>
          <w:lang w:val="zh-CN"/>
        </w:rPr>
      </w:pPr>
      <w:r>
        <w:rPr>
          <w:rFonts w:hint="eastAsia" w:ascii="宋体" w:hAnsi="宋体" w:cs="宋体"/>
          <w:kern w:val="0"/>
          <w:lang w:val="zh-CN"/>
        </w:rPr>
        <w:t>性别：</w:t>
      </w:r>
      <w:r>
        <w:rPr>
          <w:rFonts w:hint="eastAsia" w:ascii="宋体" w:hAnsi="宋体" w:cs="宋体"/>
          <w:kern w:val="0"/>
          <w:u w:val="single"/>
          <w:lang w:val="zh-CN"/>
        </w:rPr>
        <w:t xml:space="preserve">           </w:t>
      </w:r>
      <w:r>
        <w:rPr>
          <w:rFonts w:hint="eastAsia" w:ascii="宋体" w:hAnsi="宋体" w:cs="宋体"/>
          <w:kern w:val="0"/>
          <w:lang w:val="zh-CN"/>
        </w:rPr>
        <w:t>年龄：</w:t>
      </w:r>
      <w:r>
        <w:rPr>
          <w:rFonts w:hint="eastAsia" w:ascii="宋体" w:hAnsi="宋体" w:cs="宋体"/>
          <w:kern w:val="0"/>
          <w:u w:val="single"/>
          <w:lang w:val="zh-CN"/>
        </w:rPr>
        <w:t xml:space="preserve">           </w:t>
      </w:r>
      <w:r>
        <w:rPr>
          <w:rFonts w:hint="eastAsia" w:ascii="宋体" w:hAnsi="宋体" w:cs="宋体"/>
          <w:kern w:val="0"/>
          <w:lang w:val="zh-CN"/>
        </w:rPr>
        <w:t xml:space="preserve"> 民族：</w:t>
      </w:r>
      <w:r>
        <w:rPr>
          <w:rFonts w:hint="eastAsia" w:ascii="宋体" w:hAnsi="宋体" w:cs="宋体"/>
          <w:kern w:val="0"/>
          <w:u w:val="single"/>
          <w:lang w:val="zh-CN"/>
        </w:rPr>
        <w:t xml:space="preserve">         </w:t>
      </w:r>
    </w:p>
    <w:p>
      <w:pPr>
        <w:autoSpaceDE w:val="0"/>
        <w:autoSpaceDN w:val="0"/>
        <w:spacing w:line="360" w:lineRule="auto"/>
        <w:rPr>
          <w:rFonts w:hint="eastAsia" w:ascii="宋体" w:hAnsi="宋体" w:cs="宋体"/>
          <w:kern w:val="0"/>
          <w:u w:val="single"/>
          <w:lang w:val="zh-CN"/>
        </w:rPr>
      </w:pPr>
      <w:r>
        <w:rPr>
          <w:rFonts w:hint="eastAsia" w:ascii="宋体" w:hAnsi="宋体" w:cs="宋体"/>
          <w:kern w:val="0"/>
          <w:lang w:val="zh-CN"/>
        </w:rPr>
        <w:t>地址：</w:t>
      </w:r>
      <w:r>
        <w:rPr>
          <w:rFonts w:hint="eastAsia" w:ascii="宋体" w:hAnsi="宋体" w:cs="宋体"/>
          <w:kern w:val="0"/>
          <w:u w:val="single"/>
          <w:lang w:val="zh-CN"/>
        </w:rPr>
        <w:t xml:space="preserve">                                            </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身份证号码：</w:t>
      </w:r>
      <w:r>
        <w:rPr>
          <w:rFonts w:hint="eastAsia" w:ascii="宋体" w:hAnsi="宋体" w:cs="宋体"/>
          <w:kern w:val="0"/>
          <w:u w:val="single"/>
          <w:lang w:val="zh-CN"/>
        </w:rPr>
        <w:t xml:space="preserve">                                      </w:t>
      </w:r>
    </w:p>
    <w:p>
      <w:pPr>
        <w:autoSpaceDE w:val="0"/>
        <w:autoSpaceDN w:val="0"/>
        <w:spacing w:line="360" w:lineRule="auto"/>
        <w:rPr>
          <w:rFonts w:hint="eastAsia" w:ascii="宋体" w:hAnsi="宋体" w:cs="宋体"/>
          <w:kern w:val="0"/>
          <w:lang w:val="zh-CN"/>
        </w:rPr>
      </w:pP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附法定代表人第二代身份证双面扫描（或复印）件</w:t>
      </w:r>
    </w:p>
    <w:p>
      <w:pPr>
        <w:autoSpaceDE w:val="0"/>
        <w:autoSpaceDN w:val="0"/>
        <w:spacing w:line="360" w:lineRule="auto"/>
        <w:rPr>
          <w:rFonts w:hint="eastAsia" w:ascii="宋体" w:hAnsi="宋体" w:cs="宋体"/>
          <w:kern w:val="0"/>
          <w:lang w:val="zh-CN"/>
        </w:rPr>
      </w:pPr>
    </w:p>
    <w:p>
      <w:pPr>
        <w:autoSpaceDE w:val="0"/>
        <w:autoSpaceDN w:val="0"/>
        <w:spacing w:line="360" w:lineRule="auto"/>
        <w:rPr>
          <w:rFonts w:hint="eastAsia" w:ascii="宋体" w:hAnsi="宋体" w:cs="宋体"/>
          <w:kern w:val="0"/>
          <w:lang w:val="zh-CN"/>
        </w:rPr>
      </w:pP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hint="eastAsia"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pStyle w:val="12"/>
        <w:spacing w:before="0" w:after="0" w:line="360" w:lineRule="auto"/>
        <w:jc w:val="left"/>
        <w:outlineLvl w:val="1"/>
        <w:rPr>
          <w:rFonts w:hint="eastAsia" w:ascii="宋体" w:hAnsi="宋体" w:cs="宋体"/>
          <w:lang w:val="zh-CN"/>
        </w:rPr>
      </w:pPr>
      <w:r>
        <w:rPr>
          <w:rFonts w:hint="eastAsia" w:ascii="宋体" w:hAnsi="宋体" w:cs="宋体"/>
          <w:lang w:val="zh-CN"/>
        </w:rPr>
        <w:br w:type="page"/>
      </w:r>
      <w:bookmarkEnd w:id="55"/>
      <w:bookmarkStart w:id="56" w:name="_Toc24043"/>
      <w:bookmarkStart w:id="57" w:name="_Toc17284"/>
      <w:r>
        <w:rPr>
          <w:rFonts w:hint="eastAsia" w:ascii="宋体" w:hAnsi="宋体" w:cs="宋体"/>
          <w:sz w:val="30"/>
          <w:szCs w:val="30"/>
        </w:rPr>
        <w:t>（3）</w:t>
      </w:r>
      <w:r>
        <w:rPr>
          <w:rFonts w:hint="eastAsia" w:ascii="宋体" w:hAnsi="宋体" w:cs="宋体"/>
          <w:sz w:val="30"/>
          <w:szCs w:val="30"/>
          <w:lang w:val="zh-CN"/>
        </w:rPr>
        <w:t>法定代表人授权书</w:t>
      </w:r>
      <w:bookmarkEnd w:id="56"/>
    </w:p>
    <w:p>
      <w:pPr>
        <w:spacing w:line="360" w:lineRule="auto"/>
        <w:rPr>
          <w:rFonts w:hint="eastAsia" w:ascii="宋体" w:hAnsi="宋体" w:cs="宋体"/>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法定代表人授权书</w:t>
      </w:r>
    </w:p>
    <w:p>
      <w:pPr>
        <w:autoSpaceDE w:val="0"/>
        <w:autoSpaceDN w:val="0"/>
        <w:spacing w:line="360" w:lineRule="auto"/>
        <w:rPr>
          <w:rFonts w:hint="eastAsia" w:ascii="宋体" w:hAnsi="宋体" w:cs="宋体"/>
          <w:b/>
          <w:bCs/>
          <w:kern w:val="0"/>
          <w:sz w:val="28"/>
          <w:szCs w:val="28"/>
          <w:lang w:val="zh-CN"/>
        </w:rPr>
      </w:pPr>
    </w:p>
    <w:p>
      <w:pPr>
        <w:autoSpaceDE w:val="0"/>
        <w:autoSpaceDN w:val="0"/>
        <w:spacing w:line="360" w:lineRule="auto"/>
        <w:rPr>
          <w:rFonts w:hint="eastAsia" w:ascii="宋体" w:hAnsi="宋体" w:cs="宋体"/>
          <w:b/>
          <w:bCs/>
          <w:kern w:val="0"/>
          <w:lang w:val="zh-CN"/>
        </w:rPr>
      </w:pPr>
      <w:r>
        <w:rPr>
          <w:rFonts w:hint="eastAsia" w:ascii="宋体" w:hAnsi="宋体" w:cs="宋体"/>
          <w:b/>
          <w:bCs/>
          <w:kern w:val="0"/>
          <w:lang w:val="zh-CN"/>
        </w:rPr>
        <w:t>致：德令哈城乡建设综合开发有限公司</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 xml:space="preserve">    </w:t>
      </w:r>
      <w:r>
        <w:rPr>
          <w:rFonts w:hint="eastAsia" w:ascii="宋体" w:hAnsi="宋体" w:cs="宋体"/>
          <w:kern w:val="0"/>
          <w:u w:val="single"/>
          <w:lang w:val="zh-CN"/>
        </w:rPr>
        <w:t>（投标人名称）</w:t>
      </w:r>
      <w:r>
        <w:rPr>
          <w:rFonts w:hint="eastAsia" w:ascii="宋体" w:hAnsi="宋体" w:cs="宋体"/>
          <w:kern w:val="0"/>
          <w:lang w:val="zh-CN"/>
        </w:rPr>
        <w:t>系中华人民共和国合法企业，法定地址</w:t>
      </w:r>
      <w:r>
        <w:rPr>
          <w:rFonts w:hint="eastAsia" w:ascii="宋体" w:hAnsi="宋体" w:cs="宋体"/>
          <w:kern w:val="0"/>
          <w:u w:val="single"/>
          <w:lang w:val="zh-CN"/>
        </w:rPr>
        <w:t xml:space="preserve">              </w:t>
      </w:r>
      <w:r>
        <w:rPr>
          <w:rFonts w:hint="eastAsia" w:ascii="宋体" w:hAnsi="宋体" w:cs="宋体"/>
          <w:kern w:val="0"/>
          <w:lang w:val="zh-CN"/>
        </w:rPr>
        <w:t>。</w:t>
      </w:r>
    </w:p>
    <w:p>
      <w:pPr>
        <w:autoSpaceDE w:val="0"/>
        <w:autoSpaceDN w:val="0"/>
        <w:spacing w:line="360" w:lineRule="auto"/>
        <w:rPr>
          <w:rFonts w:hint="eastAsia" w:ascii="宋体" w:hAnsi="宋体" w:cs="宋体"/>
          <w:kern w:val="0"/>
          <w:lang w:val="zh-CN"/>
        </w:rPr>
      </w:pPr>
      <w:r>
        <w:rPr>
          <w:rFonts w:hint="eastAsia" w:ascii="宋体" w:hAnsi="宋体" w:cs="宋体"/>
          <w:kern w:val="0"/>
        </w:rPr>
        <w:t xml:space="preserve">    </w:t>
      </w:r>
      <w:r>
        <w:rPr>
          <w:rFonts w:hint="eastAsia" w:ascii="宋体" w:hAnsi="宋体" w:cs="宋体"/>
          <w:kern w:val="0"/>
          <w:u w:val="single"/>
          <w:lang w:val="zh-CN"/>
        </w:rPr>
        <w:t>（法定代表人姓名）</w:t>
      </w:r>
      <w:r>
        <w:rPr>
          <w:rFonts w:hint="eastAsia" w:ascii="宋体" w:hAnsi="宋体" w:cs="宋体"/>
          <w:kern w:val="0"/>
          <w:lang w:val="zh-CN"/>
        </w:rPr>
        <w:t>特授权</w:t>
      </w:r>
      <w:r>
        <w:rPr>
          <w:rFonts w:hint="eastAsia" w:ascii="宋体" w:hAnsi="宋体" w:cs="宋体"/>
          <w:kern w:val="0"/>
          <w:u w:val="single"/>
          <w:lang w:val="zh-CN"/>
        </w:rPr>
        <w:t>（委托代理人姓名）</w:t>
      </w:r>
      <w:r>
        <w:rPr>
          <w:rFonts w:hint="eastAsia" w:ascii="宋体" w:hAnsi="宋体" w:cs="宋体"/>
          <w:kern w:val="0"/>
          <w:lang w:val="zh-CN"/>
        </w:rPr>
        <w:t>代表我单位全权办理</w:t>
      </w:r>
    </w:p>
    <w:p>
      <w:pPr>
        <w:autoSpaceDE w:val="0"/>
        <w:autoSpaceDN w:val="0"/>
        <w:spacing w:line="360" w:lineRule="auto"/>
        <w:rPr>
          <w:rFonts w:hint="eastAsia" w:ascii="宋体" w:hAnsi="宋体" w:cs="宋体"/>
          <w:kern w:val="0"/>
          <w:lang w:val="zh-CN"/>
        </w:rPr>
      </w:pPr>
      <w:r>
        <w:rPr>
          <w:rFonts w:hint="eastAsia" w:ascii="宋体" w:hAnsi="宋体" w:cs="宋体"/>
          <w:kern w:val="0"/>
          <w:u w:val="single"/>
          <w:lang w:val="zh-CN"/>
        </w:rPr>
        <w:t xml:space="preserve">                         </w:t>
      </w:r>
      <w:r>
        <w:rPr>
          <w:rFonts w:hint="eastAsia" w:ascii="宋体" w:hAnsi="宋体" w:cs="宋体"/>
          <w:kern w:val="0"/>
          <w:lang w:val="zh-CN"/>
        </w:rPr>
        <w:t>项目的投标、答疑等具体工作，并签署全部有关的文件、资料。</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我单位对被授权人的签名负全部责任。</w:t>
      </w:r>
    </w:p>
    <w:p>
      <w:pPr>
        <w:autoSpaceDE w:val="0"/>
        <w:autoSpaceDN w:val="0"/>
        <w:spacing w:line="360" w:lineRule="auto"/>
        <w:ind w:firstLine="480"/>
        <w:rPr>
          <w:rFonts w:ascii="宋体" w:hAnsi="宋体" w:cs="宋体"/>
          <w:kern w:val="0"/>
          <w:u w:val="single"/>
        </w:rPr>
      </w:pPr>
      <w:r>
        <w:rPr>
          <w:rFonts w:hint="eastAsia" w:ascii="宋体" w:hAnsi="宋体" w:cs="宋体"/>
          <w:kern w:val="0"/>
          <w:lang w:val="zh-CN"/>
        </w:rPr>
        <w:t>被授权人联系电话：</w:t>
      </w:r>
      <w:r>
        <w:rPr>
          <w:rFonts w:hint="eastAsia" w:ascii="宋体" w:hAnsi="宋体" w:cs="宋体"/>
          <w:kern w:val="0"/>
          <w:u w:val="single"/>
          <w:lang w:val="zh-CN"/>
        </w:rPr>
        <w:t xml:space="preserve">              </w:t>
      </w:r>
    </w:p>
    <w:p>
      <w:pPr>
        <w:autoSpaceDE w:val="0"/>
        <w:autoSpaceDN w:val="0"/>
        <w:spacing w:line="360" w:lineRule="auto"/>
        <w:rPr>
          <w:rFonts w:hint="eastAsia" w:ascii="宋体" w:hAnsi="宋体" w:cs="宋体"/>
          <w:kern w:val="0"/>
          <w:u w:val="single"/>
          <w:lang w:val="zh-CN"/>
        </w:rPr>
      </w:pPr>
      <w:r>
        <w:rPr>
          <w:rFonts w:hint="eastAsia" w:ascii="宋体" w:hAnsi="宋体" w:cs="宋体"/>
          <w:kern w:val="0"/>
          <w:lang w:val="zh-CN"/>
        </w:rPr>
        <w:t>被授权人（委托代理人）签字：</w:t>
      </w:r>
      <w:r>
        <w:rPr>
          <w:rFonts w:hint="eastAsia" w:ascii="宋体" w:hAnsi="宋体" w:cs="宋体"/>
          <w:kern w:val="0"/>
          <w:u w:val="single"/>
          <w:lang w:val="zh-CN"/>
        </w:rPr>
        <w:t xml:space="preserve">       </w:t>
      </w:r>
      <w:r>
        <w:rPr>
          <w:rFonts w:hint="eastAsia" w:ascii="宋体" w:hAnsi="宋体" w:cs="宋体"/>
          <w:kern w:val="0"/>
          <w:lang w:val="zh-CN"/>
        </w:rPr>
        <w:t xml:space="preserve">  授权人（法定代表人）签字或签章：</w:t>
      </w:r>
      <w:r>
        <w:rPr>
          <w:rFonts w:hint="eastAsia" w:ascii="宋体" w:hAnsi="宋体" w:cs="宋体"/>
          <w:kern w:val="0"/>
          <w:u w:val="single"/>
          <w:lang w:val="zh-CN"/>
        </w:rPr>
        <w:t xml:space="preserve">       </w:t>
      </w:r>
    </w:p>
    <w:p>
      <w:pPr>
        <w:autoSpaceDE w:val="0"/>
        <w:autoSpaceDN w:val="0"/>
        <w:spacing w:line="360" w:lineRule="auto"/>
        <w:rPr>
          <w:rFonts w:hint="eastAsia" w:ascii="宋体" w:hAnsi="宋体" w:cs="宋体"/>
          <w:kern w:val="0"/>
          <w:u w:val="single"/>
          <w:lang w:val="zh-CN"/>
        </w:rPr>
      </w:pPr>
      <w:r>
        <w:rPr>
          <w:rFonts w:hint="eastAsia" w:ascii="宋体" w:hAnsi="宋体" w:cs="宋体"/>
          <w:kern w:val="0"/>
          <w:lang w:val="zh-CN"/>
        </w:rPr>
        <w:t>职务：</w:t>
      </w:r>
      <w:r>
        <w:rPr>
          <w:rFonts w:hint="eastAsia" w:ascii="宋体" w:hAnsi="宋体" w:cs="宋体"/>
          <w:kern w:val="0"/>
          <w:u w:val="single"/>
          <w:lang w:val="zh-CN"/>
        </w:rPr>
        <w:t xml:space="preserve">                             </w:t>
      </w:r>
      <w:r>
        <w:rPr>
          <w:rFonts w:hint="eastAsia" w:ascii="宋体" w:hAnsi="宋体" w:cs="宋体"/>
          <w:kern w:val="0"/>
          <w:lang w:val="zh-CN"/>
        </w:rPr>
        <w:t xml:space="preserve">  职务：</w:t>
      </w:r>
      <w:r>
        <w:rPr>
          <w:rFonts w:hint="eastAsia" w:ascii="宋体" w:hAnsi="宋体" w:cs="宋体"/>
          <w:kern w:val="0"/>
          <w:u w:val="single"/>
          <w:lang w:val="zh-CN"/>
        </w:rPr>
        <w:t xml:space="preserve">                           </w:t>
      </w:r>
    </w:p>
    <w:p>
      <w:pPr>
        <w:autoSpaceDE w:val="0"/>
        <w:autoSpaceDN w:val="0"/>
        <w:spacing w:line="360" w:lineRule="auto"/>
        <w:rPr>
          <w:rFonts w:hint="eastAsia" w:ascii="宋体" w:hAnsi="宋体" w:cs="宋体"/>
          <w:kern w:val="0"/>
          <w:lang w:val="zh-CN"/>
        </w:rPr>
      </w:pP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附被授权人第二代身份证双面扫描（或复印）件</w:t>
      </w:r>
    </w:p>
    <w:p>
      <w:pPr>
        <w:autoSpaceDE w:val="0"/>
        <w:autoSpaceDN w:val="0"/>
        <w:spacing w:line="360" w:lineRule="auto"/>
        <w:rPr>
          <w:rFonts w:hint="eastAsia" w:ascii="宋体" w:hAnsi="宋体" w:cs="宋体"/>
          <w:kern w:val="0"/>
          <w:lang w:val="zh-CN"/>
        </w:rPr>
      </w:pPr>
    </w:p>
    <w:p>
      <w:pPr>
        <w:autoSpaceDE w:val="0"/>
        <w:autoSpaceDN w:val="0"/>
        <w:spacing w:line="360" w:lineRule="auto"/>
        <w:rPr>
          <w:rFonts w:hint="eastAsia" w:ascii="宋体" w:hAnsi="宋体" w:cs="宋体"/>
          <w:kern w:val="0"/>
          <w:lang w:val="zh-CN"/>
        </w:rPr>
      </w:pP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autoSpaceDE w:val="0"/>
        <w:autoSpaceDN w:val="0"/>
        <w:spacing w:line="360" w:lineRule="auto"/>
        <w:rPr>
          <w:rFonts w:hint="eastAsia" w:ascii="宋体" w:hAnsi="宋体" w:cs="宋体"/>
          <w:kern w:val="0"/>
          <w:lang w:val="zh-CN"/>
        </w:rPr>
      </w:pPr>
    </w:p>
    <w:p>
      <w:pPr>
        <w:pStyle w:val="12"/>
        <w:spacing w:before="0" w:after="0" w:line="360" w:lineRule="auto"/>
        <w:jc w:val="left"/>
        <w:outlineLvl w:val="1"/>
        <w:rPr>
          <w:rFonts w:hint="eastAsia" w:ascii="宋体" w:hAnsi="宋体" w:cs="宋体"/>
          <w:lang w:val="zh-CN"/>
        </w:rPr>
      </w:pPr>
      <w:r>
        <w:rPr>
          <w:rFonts w:hint="eastAsia" w:ascii="宋体" w:hAnsi="宋体" w:cs="宋体"/>
          <w:lang w:val="zh-CN"/>
        </w:rPr>
        <w:br w:type="page"/>
      </w:r>
      <w:bookmarkStart w:id="58" w:name="_Toc11089"/>
      <w:r>
        <w:rPr>
          <w:rFonts w:hint="eastAsia" w:ascii="宋体" w:hAnsi="宋体" w:cs="宋体"/>
          <w:sz w:val="30"/>
          <w:szCs w:val="30"/>
        </w:rPr>
        <w:t>（4）</w:t>
      </w:r>
      <w:r>
        <w:rPr>
          <w:rFonts w:hint="eastAsia" w:ascii="宋体" w:hAnsi="宋体" w:cs="宋体"/>
          <w:sz w:val="30"/>
          <w:szCs w:val="30"/>
          <w:lang w:val="zh-CN"/>
        </w:rPr>
        <w:t>投标人承诺函</w:t>
      </w:r>
      <w:bookmarkEnd w:id="58"/>
    </w:p>
    <w:p>
      <w:pPr>
        <w:autoSpaceDE w:val="0"/>
        <w:autoSpaceDN w:val="0"/>
        <w:spacing w:line="360" w:lineRule="auto"/>
        <w:rPr>
          <w:rFonts w:hint="eastAsia" w:ascii="宋体" w:hAnsi="宋体" w:cs="宋体"/>
          <w:kern w:val="0"/>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投标人承诺函</w:t>
      </w:r>
    </w:p>
    <w:p>
      <w:pPr>
        <w:autoSpaceDE w:val="0"/>
        <w:autoSpaceDN w:val="0"/>
        <w:spacing w:line="360" w:lineRule="auto"/>
        <w:rPr>
          <w:rFonts w:hint="eastAsia" w:ascii="宋体" w:hAnsi="宋体" w:cs="宋体"/>
          <w:b/>
          <w:bCs/>
          <w:kern w:val="0"/>
          <w:sz w:val="28"/>
          <w:szCs w:val="28"/>
          <w:lang w:val="zh-CN"/>
        </w:rPr>
      </w:pPr>
    </w:p>
    <w:p>
      <w:pPr>
        <w:autoSpaceDE w:val="0"/>
        <w:autoSpaceDN w:val="0"/>
        <w:spacing w:line="360" w:lineRule="auto"/>
        <w:rPr>
          <w:rFonts w:hint="eastAsia" w:ascii="宋体" w:hAnsi="宋体" w:cs="宋体"/>
          <w:b/>
          <w:bCs/>
          <w:kern w:val="0"/>
          <w:lang w:val="zh-CN"/>
        </w:rPr>
      </w:pPr>
      <w:r>
        <w:rPr>
          <w:rFonts w:hint="eastAsia" w:ascii="宋体" w:hAnsi="宋体" w:cs="宋体"/>
          <w:b/>
          <w:bCs/>
          <w:kern w:val="0"/>
          <w:lang w:val="zh-CN"/>
        </w:rPr>
        <w:t>致：德令哈城乡建设综合开发有限公司</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关于贵方202</w:t>
      </w:r>
      <w:r>
        <w:rPr>
          <w:rFonts w:hint="eastAsia" w:ascii="宋体" w:hAnsi="宋体" w:cs="宋体"/>
          <w:kern w:val="0"/>
        </w:rPr>
        <w:t>3</w:t>
      </w:r>
      <w:r>
        <w:rPr>
          <w:rFonts w:hint="eastAsia" w:ascii="宋体" w:hAnsi="宋体" w:cs="宋体"/>
          <w:kern w:val="0"/>
          <w:lang w:val="zh-CN"/>
        </w:rPr>
        <w:t>年</w:t>
      </w:r>
      <w:r>
        <w:rPr>
          <w:rFonts w:hint="eastAsia" w:ascii="宋体" w:hAnsi="宋体" w:cs="宋体"/>
          <w:kern w:val="0"/>
          <w:u w:val="single"/>
          <w:lang w:val="zh-CN"/>
        </w:rPr>
        <w:t xml:space="preserve">   </w:t>
      </w:r>
      <w:r>
        <w:rPr>
          <w:rFonts w:hint="eastAsia" w:ascii="宋体" w:hAnsi="宋体" w:cs="宋体"/>
          <w:kern w:val="0"/>
          <w:lang w:val="zh-CN"/>
        </w:rPr>
        <w:t>月</w:t>
      </w:r>
      <w:r>
        <w:rPr>
          <w:rFonts w:hint="eastAsia" w:ascii="宋体" w:hAnsi="宋体" w:cs="宋体"/>
          <w:kern w:val="0"/>
          <w:u w:val="single"/>
          <w:lang w:val="zh-CN"/>
        </w:rPr>
        <w:t xml:space="preserve"> </w:t>
      </w:r>
      <w:r>
        <w:rPr>
          <w:rFonts w:hint="eastAsia" w:ascii="宋体" w:hAnsi="宋体" w:cs="宋体"/>
          <w:kern w:val="0"/>
          <w:u w:val="single"/>
        </w:rPr>
        <w:t xml:space="preserve">  日</w:t>
      </w:r>
      <w:r>
        <w:rPr>
          <w:rFonts w:hint="eastAsia" w:ascii="宋体" w:hAnsi="宋体" w:cs="宋体"/>
          <w:kern w:val="0"/>
          <w:u w:val="single"/>
          <w:lang w:val="zh-CN"/>
        </w:rPr>
        <w:t>(项目名称</w:t>
      </w:r>
      <w:r>
        <w:rPr>
          <w:rFonts w:hint="eastAsia" w:ascii="宋体" w:hAnsi="宋体" w:cs="宋体"/>
          <w:kern w:val="0"/>
          <w:u w:val="single"/>
        </w:rPr>
        <w:t>·包号</w:t>
      </w:r>
      <w:r>
        <w:rPr>
          <w:rFonts w:hint="eastAsia" w:ascii="宋体" w:hAnsi="宋体" w:cs="宋体"/>
          <w:kern w:val="0"/>
          <w:u w:val="single"/>
          <w:lang w:val="zh-CN"/>
        </w:rPr>
        <w:t>)</w:t>
      </w:r>
      <w:r>
        <w:rPr>
          <w:rFonts w:hint="eastAsia" w:ascii="宋体" w:hAnsi="宋体" w:cs="宋体"/>
          <w:kern w:val="0"/>
          <w:lang w:val="zh-CN"/>
        </w:rPr>
        <w:t>采购项目，本签字人愿意参加投标，提供采购一览表中要求的所有产品，并证实提交的所有资料是准确的和真实的。同时，我代表（</w:t>
      </w:r>
      <w:r>
        <w:rPr>
          <w:rFonts w:hint="eastAsia" w:ascii="宋体" w:hAnsi="宋体" w:cs="宋体"/>
          <w:kern w:val="0"/>
          <w:u w:val="single"/>
          <w:lang w:val="zh-CN"/>
        </w:rPr>
        <w:t>投标人名称</w:t>
      </w:r>
      <w:r>
        <w:rPr>
          <w:rFonts w:hint="eastAsia" w:ascii="宋体" w:hAnsi="宋体" w:cs="宋体"/>
          <w:kern w:val="0"/>
          <w:lang w:val="zh-CN"/>
        </w:rPr>
        <w:t>），在此作如下承诺：</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 xml:space="preserve">   </w:t>
      </w:r>
      <w:r>
        <w:rPr>
          <w:rFonts w:hint="eastAsia" w:ascii="宋体" w:hAnsi="宋体" w:cs="宋体"/>
          <w:kern w:val="0"/>
        </w:rPr>
        <w:t xml:space="preserve"> </w:t>
      </w:r>
      <w:r>
        <w:rPr>
          <w:rFonts w:hint="eastAsia" w:ascii="宋体" w:hAnsi="宋体" w:cs="宋体"/>
          <w:kern w:val="0"/>
          <w:lang w:val="zh-CN"/>
        </w:rPr>
        <w:t>1.完全理解和接受招标文件的一切规定和要求；</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2.若中标，我方将按照招标文件的具体规定与采购人签订采购合同，并且严格履行合同义务，按时交货，提供优质的产品和服务。如果在合同执行过程中，发现质量、数量出现问题，我方一定尽快更换或补退货，并承担相应的经济责任；</w:t>
      </w:r>
    </w:p>
    <w:p>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3、我方保证甲方在使用该产品或其任何一部分时，不受第三方提出的侵犯专利权、著作权、商标权和工业设计权等知识产权的起诉，若有违犯，愿承担相应的一切责任。</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4、我方承诺，所投的产品均为原装进口产品外，且均符合国家强制性标准。若有不实，愿承担相应的责任。</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5、在整个招标过程中我方若有违规行为，贵方可按招标文件之规定给予处罚，我方完全接受。</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6、若中标，本承诺将成为合同不可分割的一部分，与合同具有同等的法律效力。</w:t>
      </w:r>
    </w:p>
    <w:p>
      <w:pPr>
        <w:autoSpaceDE w:val="0"/>
        <w:autoSpaceDN w:val="0"/>
        <w:spacing w:line="360" w:lineRule="auto"/>
        <w:rPr>
          <w:rFonts w:hint="eastAsia" w:ascii="宋体" w:hAnsi="宋体" w:cs="宋体"/>
          <w:kern w:val="0"/>
          <w:lang w:val="zh-CN"/>
        </w:rPr>
      </w:pPr>
    </w:p>
    <w:p>
      <w:pPr>
        <w:autoSpaceDE w:val="0"/>
        <w:autoSpaceDN w:val="0"/>
        <w:spacing w:line="360" w:lineRule="auto"/>
        <w:rPr>
          <w:rFonts w:hint="eastAsia" w:ascii="宋体" w:hAnsi="宋体" w:cs="宋体"/>
          <w:kern w:val="0"/>
          <w:lang w:val="zh-CN"/>
        </w:rPr>
      </w:pP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法定代表人或委托代理人：        （签字或盖章）</w:t>
      </w:r>
    </w:p>
    <w:p>
      <w:pPr>
        <w:autoSpaceDE w:val="0"/>
        <w:autoSpaceDN w:val="0"/>
        <w:spacing w:line="360" w:lineRule="auto"/>
        <w:jc w:val="center"/>
        <w:rPr>
          <w:rFonts w:hint="eastAsia"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pStyle w:val="12"/>
        <w:spacing w:before="0" w:after="0" w:line="360" w:lineRule="auto"/>
        <w:jc w:val="left"/>
        <w:outlineLvl w:val="1"/>
        <w:rPr>
          <w:rFonts w:hint="eastAsia" w:ascii="宋体" w:hAnsi="宋体" w:cs="宋体"/>
          <w:lang w:val="zh-CN"/>
        </w:rPr>
      </w:pPr>
      <w:r>
        <w:rPr>
          <w:rFonts w:hint="eastAsia" w:ascii="宋体" w:hAnsi="宋体" w:cs="宋体"/>
          <w:lang w:val="zh-CN"/>
        </w:rPr>
        <w:br w:type="page"/>
      </w:r>
      <w:bookmarkStart w:id="59" w:name="_Toc12175"/>
      <w:r>
        <w:rPr>
          <w:rFonts w:hint="eastAsia" w:ascii="宋体" w:hAnsi="宋体" w:cs="宋体"/>
          <w:sz w:val="30"/>
          <w:szCs w:val="30"/>
        </w:rPr>
        <w:t>（5）</w:t>
      </w:r>
      <w:r>
        <w:rPr>
          <w:rFonts w:hint="eastAsia" w:ascii="宋体" w:hAnsi="宋体" w:cs="宋体"/>
          <w:sz w:val="30"/>
          <w:szCs w:val="30"/>
          <w:lang w:val="zh-CN"/>
        </w:rPr>
        <w:t>投标人诚信承诺书</w:t>
      </w:r>
      <w:bookmarkEnd w:id="59"/>
    </w:p>
    <w:p>
      <w:pPr>
        <w:spacing w:line="360" w:lineRule="auto"/>
        <w:rPr>
          <w:rFonts w:hint="eastAsia" w:ascii="宋体" w:hAnsi="宋体" w:cs="宋体"/>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投标人诚信承诺书</w:t>
      </w:r>
    </w:p>
    <w:p>
      <w:pPr>
        <w:autoSpaceDE w:val="0"/>
        <w:autoSpaceDN w:val="0"/>
        <w:spacing w:line="360" w:lineRule="auto"/>
        <w:rPr>
          <w:rFonts w:hint="eastAsia" w:ascii="宋体" w:hAnsi="宋体" w:cs="宋体"/>
          <w:kern w:val="0"/>
          <w:lang w:val="zh-CN"/>
        </w:rPr>
      </w:pPr>
      <w:r>
        <w:rPr>
          <w:rFonts w:hint="eastAsia" w:ascii="宋体" w:hAnsi="宋体" w:cs="宋体"/>
          <w:b/>
          <w:bCs/>
          <w:kern w:val="0"/>
          <w:lang w:val="zh-CN"/>
        </w:rPr>
        <w:t>致：德令哈城乡建设综合开发有限公司</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为了诚实、客观、有序地参与青海省政府采购活动，愿就以下内容作出承诺：</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一、自觉遵守各项法律、法规、规章、制度以及社会公德，维护廉洁环境，与同场竞争的其他投标人平等参加政府采购活动。</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二、参加采购代理机构组织的政府采购活动时，严格按照招标文件的规定和要求提供所需的相关材料，并对所提供的各类资料的真实性负责，不虚假应标，不虚列业绩。</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三、尊重参与政府采购活动各相关方的合法行为，接受政府采购活动依法形成的意见、结果。</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四、依法参加政府采购活动，不围标、串标，维护市场秩序，不提供“三无”产品、以次充好。</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五、积极推动政府采购活动健康开展，对采购活动有疑问、异议时，按法律规定的程序实名反映情况，不恶意中伤、无事生非，以和谐、平等的心态参加政府采购活动。</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六、认真履行中标人应承担的责任和义务，全面执行采购合同规定的各项内容，保质保量地按时提供采购物品。</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若本企业（单位）发生有悖于上述承诺的行为，愿意接受《中华人民共和国政府采购法》和《政府采购法实施条例》中对投标人的相关处理。</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本承诺是采购项目投标文件的组成部分。</w:t>
      </w:r>
    </w:p>
    <w:p>
      <w:pPr>
        <w:autoSpaceDE w:val="0"/>
        <w:autoSpaceDN w:val="0"/>
        <w:spacing w:line="360" w:lineRule="auto"/>
        <w:rPr>
          <w:rFonts w:hint="eastAsia" w:ascii="宋体" w:hAnsi="宋体" w:cs="宋体"/>
          <w:kern w:val="0"/>
          <w:lang w:val="zh-CN"/>
        </w:rPr>
      </w:pP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法定代表人或委托代理人：        （签字或盖章）</w:t>
      </w:r>
    </w:p>
    <w:p>
      <w:pPr>
        <w:autoSpaceDE w:val="0"/>
        <w:autoSpaceDN w:val="0"/>
        <w:spacing w:line="360" w:lineRule="auto"/>
        <w:jc w:val="center"/>
        <w:rPr>
          <w:rFonts w:hint="eastAsia"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pStyle w:val="12"/>
        <w:spacing w:before="0" w:after="0" w:line="360" w:lineRule="auto"/>
        <w:jc w:val="left"/>
        <w:outlineLvl w:val="1"/>
        <w:rPr>
          <w:rFonts w:hint="eastAsia" w:ascii="宋体" w:hAnsi="宋体" w:cs="宋体"/>
          <w:lang w:val="zh-CN"/>
        </w:rPr>
      </w:pPr>
      <w:r>
        <w:rPr>
          <w:rFonts w:hint="eastAsia" w:ascii="宋体" w:hAnsi="宋体" w:cs="宋体"/>
          <w:kern w:val="0"/>
          <w:sz w:val="24"/>
          <w:lang w:val="zh-CN"/>
        </w:rPr>
        <w:br w:type="page"/>
      </w:r>
      <w:bookmarkEnd w:id="57"/>
      <w:bookmarkStart w:id="60" w:name="_Toc240"/>
      <w:bookmarkStart w:id="61" w:name="_Toc8344"/>
      <w:r>
        <w:rPr>
          <w:rFonts w:hint="eastAsia" w:ascii="宋体" w:hAnsi="宋体" w:cs="宋体"/>
          <w:sz w:val="30"/>
          <w:szCs w:val="30"/>
        </w:rPr>
        <w:t>（6）</w:t>
      </w:r>
      <w:r>
        <w:rPr>
          <w:rFonts w:hint="eastAsia" w:ascii="宋体" w:hAnsi="宋体" w:cs="宋体"/>
          <w:sz w:val="30"/>
          <w:szCs w:val="30"/>
          <w:lang w:val="zh-CN"/>
        </w:rPr>
        <w:t>资格证明材料</w:t>
      </w:r>
      <w:bookmarkEnd w:id="60"/>
    </w:p>
    <w:p>
      <w:pPr>
        <w:spacing w:line="360" w:lineRule="auto"/>
        <w:rPr>
          <w:rFonts w:hint="eastAsia" w:ascii="宋体" w:hAnsi="宋体" w:cs="宋体"/>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资格证明材料</w:t>
      </w:r>
    </w:p>
    <w:p>
      <w:pPr>
        <w:autoSpaceDE w:val="0"/>
        <w:autoSpaceDN w:val="0"/>
        <w:spacing w:line="360" w:lineRule="auto"/>
        <w:rPr>
          <w:rFonts w:hint="eastAsia" w:ascii="宋体" w:hAnsi="宋体" w:cs="宋体"/>
          <w:kern w:val="0"/>
          <w:sz w:val="28"/>
          <w:szCs w:val="28"/>
          <w:lang w:val="zh-CN"/>
        </w:rPr>
      </w:pPr>
    </w:p>
    <w:p>
      <w:pPr>
        <w:spacing w:line="360" w:lineRule="auto"/>
        <w:ind w:firstLine="480" w:firstLineChars="200"/>
        <w:rPr>
          <w:rFonts w:hint="eastAsia" w:ascii="宋体" w:hAnsi="宋体" w:cs="宋体"/>
        </w:rPr>
      </w:pPr>
      <w:r>
        <w:rPr>
          <w:rFonts w:hint="eastAsia" w:ascii="宋体" w:hAnsi="宋体" w:cs="宋体"/>
        </w:rPr>
        <w:t>资格证明材料包括：</w:t>
      </w:r>
    </w:p>
    <w:p>
      <w:pPr>
        <w:numPr>
          <w:ilvl w:val="0"/>
          <w:numId w:val="7"/>
        </w:numPr>
        <w:spacing w:line="360" w:lineRule="auto"/>
        <w:ind w:firstLine="480"/>
        <w:rPr>
          <w:rFonts w:ascii="宋体" w:hAnsi="宋体" w:cs="宋体"/>
        </w:rPr>
      </w:pPr>
      <w:r>
        <w:rPr>
          <w:rFonts w:hint="eastAsia" w:ascii="宋体" w:hAnsi="宋体" w:cs="宋体"/>
        </w:rPr>
        <w:t>提供有效的营业执照、税务登记证、机构代码证或三证（五证）合一统一社会代码证及其他资格证明文件（扫描或复印件）；</w:t>
      </w:r>
    </w:p>
    <w:p>
      <w:pPr>
        <w:spacing w:line="360" w:lineRule="auto"/>
        <w:ind w:firstLine="480" w:firstLineChars="200"/>
        <w:rPr>
          <w:rFonts w:hint="eastAsia" w:ascii="宋体" w:hAnsi="宋体" w:cs="宋体"/>
        </w:rPr>
      </w:pPr>
      <w:r>
        <w:rPr>
          <w:rFonts w:hint="eastAsia" w:ascii="宋体" w:hAnsi="宋体"/>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pPr>
        <w:spacing w:line="360" w:lineRule="auto"/>
        <w:ind w:firstLine="480" w:firstLineChars="200"/>
        <w:rPr>
          <w:rFonts w:hint="eastAsia" w:ascii="宋体" w:hAnsi="宋体" w:cs="宋体"/>
        </w:rPr>
      </w:pPr>
      <w:r>
        <w:rPr>
          <w:rFonts w:hint="eastAsia" w:ascii="宋体" w:hAnsi="宋体" w:cs="宋体"/>
        </w:rPr>
        <w:t>（2）招标文件规定的有关资格证书、许可证书、认证等；</w:t>
      </w:r>
    </w:p>
    <w:p>
      <w:pPr>
        <w:spacing w:line="360" w:lineRule="auto"/>
        <w:ind w:firstLine="480" w:firstLineChars="200"/>
        <w:rPr>
          <w:rFonts w:hint="eastAsia" w:ascii="宋体" w:hAnsi="宋体" w:cs="宋体"/>
        </w:rPr>
      </w:pPr>
      <w:r>
        <w:rPr>
          <w:rFonts w:hint="eastAsia" w:ascii="宋体" w:hAnsi="宋体" w:cs="宋体"/>
        </w:rPr>
        <w:t>（3）投标人认为有必要提供的其他资格证明文件。</w:t>
      </w:r>
    </w:p>
    <w:p>
      <w:pPr>
        <w:pStyle w:val="12"/>
        <w:spacing w:before="0" w:after="0" w:line="360" w:lineRule="auto"/>
        <w:jc w:val="left"/>
        <w:outlineLvl w:val="1"/>
        <w:rPr>
          <w:rFonts w:hint="eastAsia" w:ascii="宋体" w:hAnsi="宋体" w:cs="宋体"/>
        </w:rPr>
      </w:pPr>
      <w:r>
        <w:rPr>
          <w:rFonts w:hint="eastAsia" w:ascii="宋体" w:hAnsi="宋体" w:cs="宋体"/>
          <w:kern w:val="0"/>
          <w:sz w:val="24"/>
          <w:lang w:val="zh-CN"/>
        </w:rPr>
        <w:br w:type="page"/>
      </w:r>
      <w:bookmarkStart w:id="62" w:name="_Toc18480"/>
      <w:r>
        <w:rPr>
          <w:rFonts w:hint="eastAsia" w:ascii="宋体" w:hAnsi="宋体" w:cs="宋体"/>
          <w:sz w:val="30"/>
          <w:szCs w:val="30"/>
        </w:rPr>
        <w:t>（7）</w:t>
      </w:r>
      <w:r>
        <w:rPr>
          <w:rFonts w:hint="eastAsia" w:ascii="宋体" w:hAnsi="宋体" w:cs="宋体"/>
          <w:sz w:val="30"/>
          <w:szCs w:val="30"/>
          <w:lang w:val="zh-CN"/>
        </w:rPr>
        <w:t>财务状况报告，依法缴纳税收和社会保障资金的相关材料</w:t>
      </w:r>
      <w:bookmarkEnd w:id="62"/>
    </w:p>
    <w:p>
      <w:pPr>
        <w:autoSpaceDE w:val="0"/>
        <w:autoSpaceDN w:val="0"/>
        <w:spacing w:line="360" w:lineRule="auto"/>
        <w:rPr>
          <w:rFonts w:hint="eastAsia" w:ascii="宋体" w:hAnsi="宋体" w:cs="宋体"/>
          <w:kern w:val="0"/>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财务状况报告，依法缴纳税收和社会保障资金的相关材料</w:t>
      </w:r>
    </w:p>
    <w:p>
      <w:pPr>
        <w:autoSpaceDE w:val="0"/>
        <w:autoSpaceDN w:val="0"/>
        <w:spacing w:line="360" w:lineRule="auto"/>
        <w:rPr>
          <w:rFonts w:hint="eastAsia" w:ascii="宋体" w:hAnsi="宋体" w:cs="宋体"/>
          <w:kern w:val="0"/>
          <w:sz w:val="28"/>
          <w:szCs w:val="28"/>
          <w:lang w:val="zh-CN"/>
        </w:rPr>
      </w:pPr>
    </w:p>
    <w:p>
      <w:pPr>
        <w:autoSpaceDE w:val="0"/>
        <w:autoSpaceDN w:val="0"/>
        <w:spacing w:line="520" w:lineRule="exact"/>
        <w:ind w:firstLine="480"/>
        <w:rPr>
          <w:rFonts w:hint="eastAsia" w:ascii="宋体" w:cs="宋体"/>
          <w:kern w:val="0"/>
          <w:lang w:val="zh-CN"/>
        </w:rPr>
      </w:pPr>
      <w:r>
        <w:rPr>
          <w:rFonts w:hint="eastAsia" w:ascii="宋体" w:cs="宋体"/>
          <w:kern w:val="0"/>
          <w:lang w:val="zh-CN"/>
        </w:rPr>
        <w:t>按照招标文件第2.2款（1）中第&lt;2&gt;条规定提供以下相关材料。</w:t>
      </w:r>
    </w:p>
    <w:p>
      <w:pPr>
        <w:spacing w:line="360" w:lineRule="auto"/>
        <w:ind w:firstLine="240" w:firstLineChars="100"/>
        <w:jc w:val="left"/>
        <w:rPr>
          <w:rFonts w:hint="default" w:ascii="宋体" w:hAnsi="宋体" w:eastAsia="宋体" w:cs="宋体"/>
          <w:sz w:val="24"/>
          <w:szCs w:val="24"/>
          <w:lang w:val="en-US" w:eastAsia="zh-CN"/>
        </w:rPr>
      </w:pPr>
      <w:r>
        <w:rPr>
          <w:rFonts w:hint="eastAsia" w:ascii="宋体" w:hAnsi="宋体" w:cs="宋体"/>
          <w:sz w:val="24"/>
          <w:szCs w:val="24"/>
          <w:lang w:val="zh-CN"/>
        </w:rPr>
        <w:t>1、供应商基本开户银行近三个月内出具的资信证明或经第三方机构出具的</w:t>
      </w:r>
      <w:r>
        <w:rPr>
          <w:rFonts w:hint="eastAsia" w:ascii="宋体" w:hAnsi="宋体" w:cs="宋体"/>
          <w:sz w:val="24"/>
          <w:szCs w:val="24"/>
          <w:lang w:val="en-US" w:eastAsia="zh-CN"/>
        </w:rPr>
        <w:t>2022度</w:t>
      </w:r>
      <w:r>
        <w:rPr>
          <w:rFonts w:hint="eastAsia" w:ascii="宋体" w:hAnsi="宋体" w:cs="宋体"/>
          <w:sz w:val="24"/>
          <w:szCs w:val="24"/>
          <w:lang w:val="zh-CN"/>
        </w:rPr>
        <w:t>财务状况审计报告（扫描或复印件应全面、完整、清晰），包括资产负债表、现金流量表、利润表和财务（会计）报表附注</w:t>
      </w:r>
      <w:r>
        <w:rPr>
          <w:rFonts w:hint="eastAsia" w:ascii="宋体" w:hAnsi="宋体" w:eastAsia="宋体" w:cs="宋体"/>
          <w:sz w:val="24"/>
          <w:szCs w:val="24"/>
          <w:lang w:val="zh-CN"/>
        </w:rPr>
        <w:t>。（注册时间至文件递交截止日不足一年的提供银行资信证明）</w:t>
      </w:r>
      <w:r>
        <w:rPr>
          <w:rFonts w:hint="eastAsia" w:ascii="宋体" w:hAnsi="宋体" w:cs="宋体"/>
          <w:lang w:val="zh-CN"/>
        </w:rPr>
        <w:t>。</w:t>
      </w:r>
      <w:r>
        <w:rPr>
          <w:rFonts w:hint="eastAsia" w:ascii="宋体" w:hAnsi="宋体" w:cs="宋体"/>
          <w:lang w:val="en-US" w:eastAsia="zh-CN"/>
        </w:rPr>
        <w:t xml:space="preserve">        </w:t>
      </w:r>
    </w:p>
    <w:p>
      <w:pPr>
        <w:autoSpaceDE w:val="0"/>
        <w:autoSpaceDN w:val="0"/>
        <w:spacing w:line="520" w:lineRule="exact"/>
        <w:ind w:firstLine="480"/>
        <w:rPr>
          <w:rFonts w:hint="eastAsia" w:ascii="宋体" w:cs="宋体"/>
          <w:kern w:val="0"/>
          <w:lang w:val="zh-CN"/>
        </w:rPr>
      </w:pPr>
      <w:r>
        <w:rPr>
          <w:rFonts w:hint="eastAsia" w:ascii="宋体" w:cs="宋体"/>
          <w:kern w:val="0"/>
          <w:lang w:val="zh-CN"/>
        </w:rPr>
        <w:t>2、近半年内连续</w:t>
      </w:r>
      <w:r>
        <w:rPr>
          <w:rFonts w:hint="eastAsia" w:ascii="宋体" w:cs="宋体"/>
          <w:kern w:val="0"/>
          <w:lang w:val="en-US" w:eastAsia="zh-CN"/>
        </w:rPr>
        <w:t>6个月</w:t>
      </w:r>
      <w:r>
        <w:rPr>
          <w:rFonts w:hint="eastAsia" w:ascii="宋体" w:cs="宋体"/>
          <w:kern w:val="0"/>
          <w:lang w:val="zh-CN"/>
        </w:rPr>
        <w:t>的依法缴纳税收和社会保障资金记录的证明材料；依法免税或不需要缴纳社会保障资金的投标人须提供相应文件证明其依法免税或不需要缴纳社会保障资金。</w:t>
      </w:r>
    </w:p>
    <w:p>
      <w:pPr>
        <w:autoSpaceDE w:val="0"/>
        <w:autoSpaceDN w:val="0"/>
        <w:spacing w:line="360" w:lineRule="auto"/>
        <w:ind w:firstLine="480"/>
        <w:rPr>
          <w:rFonts w:hint="eastAsia" w:ascii="宋体" w:hAnsi="宋体" w:eastAsia="宋体" w:cs="宋体"/>
          <w:b/>
          <w:bCs/>
          <w:kern w:val="2"/>
          <w:sz w:val="30"/>
          <w:szCs w:val="30"/>
          <w:lang w:val="zh-CN" w:eastAsia="zh-CN" w:bidi="ar-SA"/>
        </w:rPr>
      </w:pPr>
      <w:r>
        <w:rPr>
          <w:rFonts w:hint="eastAsia" w:ascii="宋体" w:cs="宋体"/>
          <w:kern w:val="0"/>
          <w:sz w:val="24"/>
          <w:lang w:val="zh-CN"/>
        </w:rPr>
        <w:br w:type="page"/>
      </w:r>
      <w:bookmarkEnd w:id="61"/>
      <w:bookmarkStart w:id="63" w:name="_Toc32568"/>
      <w:bookmarkStart w:id="64" w:name="_Toc21530"/>
      <w:r>
        <w:rPr>
          <w:rFonts w:hint="eastAsia" w:ascii="宋体" w:hAnsi="宋体" w:eastAsia="宋体" w:cs="宋体"/>
          <w:b/>
          <w:bCs/>
          <w:kern w:val="2"/>
          <w:sz w:val="30"/>
          <w:szCs w:val="30"/>
          <w:lang w:val="zh-CN" w:eastAsia="zh-CN" w:bidi="ar-SA"/>
        </w:rPr>
        <w:t>（8）具备履行合同所必需的设备和专业技术能力的证明材料</w:t>
      </w:r>
      <w:bookmarkEnd w:id="63"/>
    </w:p>
    <w:p>
      <w:pPr>
        <w:autoSpaceDE w:val="0"/>
        <w:autoSpaceDN w:val="0"/>
        <w:spacing w:line="360" w:lineRule="auto"/>
        <w:rPr>
          <w:rFonts w:hint="eastAsia" w:ascii="宋体" w:hAnsi="宋体" w:cs="宋体"/>
          <w:kern w:val="0"/>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具备履行合同所必需的设备和专业技术能力的证明材料</w:t>
      </w:r>
    </w:p>
    <w:p>
      <w:pPr>
        <w:autoSpaceDE w:val="0"/>
        <w:autoSpaceDN w:val="0"/>
        <w:spacing w:line="360" w:lineRule="auto"/>
        <w:ind w:firstLine="480"/>
        <w:rPr>
          <w:rFonts w:ascii="宋体" w:hAnsi="宋体" w:cs="宋体"/>
          <w:kern w:val="0"/>
          <w:lang w:val="zh-CN"/>
        </w:rPr>
      </w:pP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为保证本项目合同的顺利履行，投标人必须具备履行合同的设备和专业技术能力，须提供必须具备履行合同的设备和专业技术能力的承诺函（格式自拟），并提供相关设备的购置发票或相关人员的职称证书、用工合同等证明材料</w:t>
      </w:r>
    </w:p>
    <w:p>
      <w:pPr>
        <w:pStyle w:val="12"/>
        <w:spacing w:before="0" w:after="0" w:line="360" w:lineRule="auto"/>
        <w:jc w:val="left"/>
        <w:outlineLvl w:val="1"/>
        <w:rPr>
          <w:rFonts w:hint="eastAsia" w:ascii="宋体" w:hAnsi="宋体" w:cs="宋体"/>
        </w:rPr>
      </w:pPr>
      <w:r>
        <w:rPr>
          <w:rFonts w:hint="eastAsia" w:ascii="宋体" w:hAnsi="宋体" w:cs="宋体"/>
          <w:kern w:val="0"/>
          <w:sz w:val="24"/>
          <w:lang w:val="zh-CN"/>
        </w:rPr>
        <w:br w:type="page"/>
      </w:r>
      <w:bookmarkStart w:id="65" w:name="_Toc14074"/>
      <w:r>
        <w:rPr>
          <w:rFonts w:hint="eastAsia" w:ascii="宋体" w:hAnsi="宋体" w:cs="宋体"/>
          <w:sz w:val="30"/>
          <w:szCs w:val="30"/>
        </w:rPr>
        <w:t>（9）</w:t>
      </w:r>
      <w:r>
        <w:rPr>
          <w:rFonts w:hint="eastAsia" w:ascii="宋体" w:hAnsi="宋体" w:cs="宋体"/>
          <w:sz w:val="30"/>
          <w:szCs w:val="30"/>
          <w:lang w:val="zh-CN"/>
        </w:rPr>
        <w:t>无重大违法记录声明</w:t>
      </w:r>
      <w:bookmarkEnd w:id="65"/>
    </w:p>
    <w:p>
      <w:pPr>
        <w:autoSpaceDE w:val="0"/>
        <w:autoSpaceDN w:val="0"/>
        <w:spacing w:line="360" w:lineRule="auto"/>
        <w:rPr>
          <w:rFonts w:hint="eastAsia" w:ascii="宋体" w:hAnsi="宋体" w:cs="宋体"/>
          <w:kern w:val="0"/>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无重大违法记录声明</w:t>
      </w:r>
    </w:p>
    <w:p>
      <w:pPr>
        <w:spacing w:line="360" w:lineRule="auto"/>
        <w:rPr>
          <w:rFonts w:hint="eastAsia" w:ascii="宋体" w:hAnsi="宋体" w:cs="宋体"/>
          <w:b/>
          <w:bCs/>
          <w:sz w:val="28"/>
          <w:szCs w:val="28"/>
        </w:rPr>
      </w:pPr>
    </w:p>
    <w:p>
      <w:pPr>
        <w:spacing w:line="360" w:lineRule="auto"/>
        <w:rPr>
          <w:rFonts w:hint="eastAsia" w:ascii="宋体" w:hAnsi="宋体" w:cs="宋体"/>
          <w:b/>
          <w:bCs/>
        </w:rPr>
      </w:pPr>
      <w:r>
        <w:rPr>
          <w:rFonts w:hint="eastAsia" w:ascii="宋体" w:hAnsi="宋体" w:cs="宋体"/>
          <w:b/>
          <w:bCs/>
        </w:rPr>
        <w:t>致：</w:t>
      </w:r>
      <w:r>
        <w:rPr>
          <w:rFonts w:hint="eastAsia" w:ascii="宋体" w:hAnsi="宋体" w:cs="宋体"/>
          <w:b/>
          <w:bCs/>
          <w:kern w:val="0"/>
          <w:lang w:val="zh-CN"/>
        </w:rPr>
        <w:t>德令哈城乡建设综合开发有限公司</w:t>
      </w:r>
    </w:p>
    <w:p>
      <w:pPr>
        <w:spacing w:line="360" w:lineRule="auto"/>
        <w:ind w:firstLine="480" w:firstLineChars="200"/>
        <w:rPr>
          <w:rFonts w:hint="eastAsia" w:ascii="宋体" w:hAnsi="宋体" w:cs="宋体"/>
          <w:shd w:val="clear" w:color="auto" w:fill="FFFFFF"/>
        </w:rPr>
      </w:pPr>
      <w:r>
        <w:rPr>
          <w:rFonts w:hint="eastAsia" w:ascii="宋体" w:hAnsi="宋体" w:cs="宋体"/>
        </w:rPr>
        <w:t>我单位参加本次政府采购项目活动前三年内，在经营活动中无重大违法活动记录，符合《政府采购法》规定的投标人资格条</w:t>
      </w:r>
      <w:r>
        <w:rPr>
          <w:rFonts w:hint="eastAsia" w:ascii="宋体" w:hAnsi="宋体" w:cs="宋体"/>
          <w:shd w:val="clear" w:color="auto" w:fill="FFFFFF"/>
        </w:rPr>
        <w:t>件。我方对此声明负全部法律责任。</w:t>
      </w:r>
    </w:p>
    <w:p>
      <w:pPr>
        <w:spacing w:line="360" w:lineRule="auto"/>
        <w:ind w:firstLine="480" w:firstLineChars="200"/>
        <w:rPr>
          <w:rFonts w:hint="eastAsia" w:ascii="宋体" w:hAnsi="宋体" w:cs="宋体"/>
        </w:rPr>
      </w:pPr>
      <w:r>
        <w:rPr>
          <w:rFonts w:hint="eastAsia" w:ascii="宋体" w:hAnsi="宋体" w:cs="宋体"/>
        </w:rPr>
        <w:t>特此声明。</w:t>
      </w:r>
    </w:p>
    <w:p>
      <w:pPr>
        <w:autoSpaceDE w:val="0"/>
        <w:autoSpaceDN w:val="0"/>
        <w:spacing w:line="360" w:lineRule="auto"/>
        <w:jc w:val="left"/>
        <w:rPr>
          <w:rFonts w:hint="eastAsia" w:ascii="宋体" w:hAnsi="宋体" w:cs="宋体"/>
          <w:kern w:val="0"/>
          <w:lang w:val="zh-CN"/>
        </w:rPr>
      </w:pPr>
    </w:p>
    <w:p>
      <w:pPr>
        <w:autoSpaceDE w:val="0"/>
        <w:autoSpaceDN w:val="0"/>
        <w:spacing w:line="360" w:lineRule="auto"/>
        <w:ind w:firstLine="480" w:firstLineChars="200"/>
        <w:jc w:val="left"/>
        <w:rPr>
          <w:rFonts w:hint="eastAsia" w:ascii="宋体" w:hAnsi="宋体" w:cs="宋体"/>
          <w:kern w:val="0"/>
          <w:lang w:val="zh-CN"/>
        </w:rPr>
      </w:pPr>
      <w:r>
        <w:rPr>
          <w:rFonts w:hint="eastAsia" w:ascii="宋体" w:hAnsi="宋体" w:cs="宋体"/>
          <w:kern w:val="0"/>
          <w:lang w:val="zh-CN"/>
        </w:rPr>
        <w:t>附“信用中国”、“</w:t>
      </w:r>
      <w:r>
        <w:rPr>
          <w:rFonts w:hint="eastAsia"/>
        </w:rPr>
        <w:t>中国政府采购网</w:t>
      </w:r>
      <w:r>
        <w:rPr>
          <w:rFonts w:hint="eastAsia" w:ascii="宋体" w:hAnsi="宋体" w:cs="宋体"/>
          <w:kern w:val="0"/>
          <w:lang w:val="zh-CN"/>
        </w:rPr>
        <w:t>”网站查询截图，时间为投标截止时间前20天内。</w:t>
      </w:r>
    </w:p>
    <w:p>
      <w:pPr>
        <w:autoSpaceDE w:val="0"/>
        <w:autoSpaceDN w:val="0"/>
        <w:spacing w:line="360" w:lineRule="auto"/>
        <w:jc w:val="left"/>
        <w:rPr>
          <w:rFonts w:hint="eastAsia" w:ascii="宋体" w:hAnsi="宋体" w:cs="宋体"/>
          <w:kern w:val="0"/>
          <w:lang w:val="zh-CN"/>
        </w:rPr>
      </w:pPr>
    </w:p>
    <w:p>
      <w:pPr>
        <w:autoSpaceDE w:val="0"/>
        <w:autoSpaceDN w:val="0"/>
        <w:spacing w:line="360" w:lineRule="auto"/>
        <w:jc w:val="left"/>
        <w:rPr>
          <w:rFonts w:hint="eastAsia" w:ascii="宋体" w:hAnsi="宋体" w:cs="宋体"/>
          <w:kern w:val="0"/>
          <w:lang w:val="zh-CN"/>
        </w:rPr>
      </w:pPr>
    </w:p>
    <w:p>
      <w:pPr>
        <w:autoSpaceDE w:val="0"/>
        <w:autoSpaceDN w:val="0"/>
        <w:spacing w:line="360" w:lineRule="auto"/>
        <w:jc w:val="left"/>
        <w:rPr>
          <w:rFonts w:hint="eastAsia" w:ascii="宋体" w:hAnsi="宋体" w:cs="宋体"/>
          <w:kern w:val="0"/>
          <w:lang w:val="zh-CN"/>
        </w:rPr>
      </w:pPr>
    </w:p>
    <w:p>
      <w:pPr>
        <w:autoSpaceDE w:val="0"/>
        <w:autoSpaceDN w:val="0"/>
        <w:spacing w:line="360" w:lineRule="auto"/>
        <w:jc w:val="left"/>
        <w:rPr>
          <w:rFonts w:hint="eastAsia" w:ascii="宋体" w:hAnsi="宋体" w:cs="宋体"/>
          <w:kern w:val="0"/>
          <w:lang w:val="zh-CN"/>
        </w:rPr>
      </w:pP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法定代表人或委托代理人：        （签字或盖章）</w:t>
      </w:r>
    </w:p>
    <w:p>
      <w:pPr>
        <w:autoSpaceDE w:val="0"/>
        <w:autoSpaceDN w:val="0"/>
        <w:spacing w:line="360" w:lineRule="auto"/>
        <w:jc w:val="center"/>
        <w:rPr>
          <w:rFonts w:hint="eastAsia"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pStyle w:val="12"/>
        <w:spacing w:before="0" w:after="0" w:line="360" w:lineRule="auto"/>
        <w:jc w:val="left"/>
        <w:outlineLvl w:val="1"/>
        <w:rPr>
          <w:rFonts w:hint="eastAsia" w:ascii="宋体" w:hAnsi="宋体" w:cs="宋体"/>
          <w:lang w:val="zh-CN"/>
        </w:rPr>
      </w:pPr>
      <w:r>
        <w:rPr>
          <w:rFonts w:hint="eastAsia" w:ascii="宋体" w:hAnsi="宋体" w:cs="宋体"/>
          <w:lang w:val="zh-CN"/>
        </w:rPr>
        <w:br w:type="page"/>
      </w:r>
      <w:bookmarkEnd w:id="64"/>
      <w:bookmarkStart w:id="66" w:name="_Toc12180"/>
      <w:bookmarkStart w:id="67" w:name="_Toc515908218"/>
      <w:bookmarkStart w:id="68" w:name="_Toc29764"/>
      <w:r>
        <w:rPr>
          <w:rFonts w:hint="eastAsia" w:ascii="宋体" w:hAnsi="宋体" w:cs="宋体"/>
          <w:sz w:val="30"/>
          <w:szCs w:val="30"/>
        </w:rPr>
        <w:t>（10）</w:t>
      </w:r>
      <w:r>
        <w:rPr>
          <w:rFonts w:hint="eastAsia" w:ascii="宋体" w:hAnsi="宋体" w:cs="宋体"/>
          <w:sz w:val="30"/>
          <w:szCs w:val="30"/>
          <w:lang w:val="zh-CN"/>
        </w:rPr>
        <w:t>投标保证金证明</w:t>
      </w:r>
      <w:bookmarkEnd w:id="66"/>
      <w:bookmarkEnd w:id="67"/>
      <w:bookmarkEnd w:id="68"/>
    </w:p>
    <w:p>
      <w:pPr>
        <w:spacing w:line="360" w:lineRule="auto"/>
        <w:rPr>
          <w:rFonts w:hint="eastAsia" w:ascii="宋体" w:hAnsi="宋体" w:cs="宋体"/>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投标保证金证明</w:t>
      </w:r>
    </w:p>
    <w:p>
      <w:pPr>
        <w:autoSpaceDE w:val="0"/>
        <w:autoSpaceDN w:val="0"/>
        <w:spacing w:line="360" w:lineRule="auto"/>
        <w:rPr>
          <w:rFonts w:hint="eastAsia" w:ascii="宋体" w:hAnsi="宋体" w:cs="宋体"/>
          <w:b/>
          <w:bCs/>
          <w:kern w:val="0"/>
          <w:sz w:val="28"/>
          <w:szCs w:val="28"/>
          <w:lang w:val="zh-CN"/>
        </w:rPr>
      </w:pPr>
    </w:p>
    <w:p>
      <w:pPr>
        <w:autoSpaceDE w:val="0"/>
        <w:autoSpaceDN w:val="0"/>
        <w:spacing w:line="360" w:lineRule="auto"/>
        <w:rPr>
          <w:rFonts w:hint="eastAsia" w:ascii="宋体" w:hAnsi="宋体" w:cs="宋体"/>
          <w:b/>
          <w:bCs/>
          <w:kern w:val="0"/>
          <w:lang w:val="zh-CN"/>
        </w:rPr>
      </w:pPr>
      <w:r>
        <w:rPr>
          <w:rFonts w:hint="eastAsia" w:ascii="宋体" w:hAnsi="宋体" w:cs="宋体"/>
          <w:b/>
          <w:bCs/>
          <w:kern w:val="0"/>
          <w:lang w:val="zh-CN"/>
        </w:rPr>
        <w:t>致：德令哈城乡建设综合开发有限公司</w:t>
      </w:r>
    </w:p>
    <w:p>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我方为（采购项目名称</w:t>
      </w:r>
      <w:r>
        <w:rPr>
          <w:rFonts w:hint="eastAsia" w:ascii="宋体" w:hAnsi="宋体" w:cs="宋体"/>
          <w:kern w:val="0"/>
        </w:rPr>
        <w:t>·包号</w:t>
      </w:r>
      <w:r>
        <w:rPr>
          <w:rFonts w:hint="eastAsia" w:ascii="宋体" w:hAnsi="宋体" w:cs="宋体"/>
          <w:kern w:val="0"/>
          <w:lang w:val="zh-CN"/>
        </w:rPr>
        <w:t>）项目（采购项目编号为：        ）递交保证金人民币       （大写：人民币        元）已于     年    月    日以基本户转账方式汇入你方账户。</w:t>
      </w:r>
    </w:p>
    <w:p>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附件：保证金交款证明复印件（加盖单位公章）</w:t>
      </w:r>
    </w:p>
    <w:p>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退还保证金时请按以下内容汇入至我方账户（同递交保证金账户）。若因提供内容不全、错误等原因导致该项目保证金未能及时退还或退还过程中发生错误，我方将承担全部责任和损失。</w:t>
      </w:r>
    </w:p>
    <w:p>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户    名：</w:t>
      </w:r>
    </w:p>
    <w:p>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开户银行：</w:t>
      </w:r>
    </w:p>
    <w:p>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开户帐号：</w:t>
      </w:r>
    </w:p>
    <w:p>
      <w:pPr>
        <w:autoSpaceDE w:val="0"/>
        <w:autoSpaceDN w:val="0"/>
        <w:spacing w:line="360" w:lineRule="auto"/>
        <w:ind w:firstLine="360"/>
        <w:rPr>
          <w:rFonts w:hint="eastAsia" w:ascii="宋体" w:hAnsi="宋体" w:cs="宋体"/>
          <w:kern w:val="0"/>
          <w:lang w:val="zh-CN"/>
        </w:rPr>
      </w:pPr>
    </w:p>
    <w:p>
      <w:pPr>
        <w:autoSpaceDE w:val="0"/>
        <w:autoSpaceDN w:val="0"/>
        <w:spacing w:line="360" w:lineRule="auto"/>
        <w:ind w:firstLine="360"/>
        <w:rPr>
          <w:rFonts w:hint="eastAsia" w:ascii="宋体" w:hAnsi="宋体" w:cs="宋体"/>
          <w:kern w:val="0"/>
          <w:lang w:val="zh-CN"/>
        </w:rPr>
      </w:pPr>
    </w:p>
    <w:p>
      <w:pPr>
        <w:autoSpaceDE w:val="0"/>
        <w:autoSpaceDN w:val="0"/>
        <w:spacing w:line="360" w:lineRule="auto"/>
        <w:ind w:firstLine="360"/>
        <w:rPr>
          <w:rFonts w:hint="eastAsia" w:ascii="宋体" w:hAnsi="宋体" w:cs="宋体"/>
          <w:kern w:val="0"/>
          <w:lang w:val="zh-CN"/>
        </w:rPr>
      </w:pP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法定代表人或委托代理人：        （签字或盖章）</w:t>
      </w:r>
    </w:p>
    <w:p>
      <w:pPr>
        <w:autoSpaceDE w:val="0"/>
        <w:autoSpaceDN w:val="0"/>
        <w:spacing w:line="360" w:lineRule="auto"/>
        <w:jc w:val="center"/>
        <w:rPr>
          <w:rFonts w:hint="eastAsia"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autoSpaceDE w:val="0"/>
        <w:autoSpaceDN w:val="0"/>
        <w:spacing w:line="360" w:lineRule="auto"/>
        <w:rPr>
          <w:rFonts w:hint="eastAsia" w:ascii="宋体" w:hAnsi="宋体" w:cs="宋体"/>
          <w:lang w:val="zh-CN"/>
        </w:rPr>
      </w:pPr>
    </w:p>
    <w:p>
      <w:pPr>
        <w:autoSpaceDE w:val="0"/>
        <w:autoSpaceDN w:val="0"/>
        <w:spacing w:line="360" w:lineRule="auto"/>
        <w:rPr>
          <w:rFonts w:hint="eastAsia" w:ascii="宋体" w:hAnsi="宋体" w:cs="宋体"/>
          <w:lang w:val="zh-CN"/>
        </w:rPr>
      </w:pPr>
    </w:p>
    <w:p>
      <w:pPr>
        <w:autoSpaceDE w:val="0"/>
        <w:autoSpaceDN w:val="0"/>
        <w:spacing w:line="360" w:lineRule="auto"/>
        <w:rPr>
          <w:rFonts w:hint="eastAsia" w:ascii="宋体" w:hAnsi="宋体" w:cs="宋体"/>
          <w:lang w:val="zh-CN"/>
        </w:rPr>
      </w:pPr>
    </w:p>
    <w:p>
      <w:pPr>
        <w:autoSpaceDE w:val="0"/>
        <w:autoSpaceDN w:val="0"/>
        <w:spacing w:line="360" w:lineRule="auto"/>
        <w:rPr>
          <w:rFonts w:hint="eastAsia" w:ascii="宋体" w:hAnsi="宋体" w:cs="宋体"/>
          <w:lang w:val="zh-CN"/>
        </w:rPr>
      </w:pPr>
    </w:p>
    <w:p>
      <w:pPr>
        <w:autoSpaceDE w:val="0"/>
        <w:autoSpaceDN w:val="0"/>
        <w:spacing w:line="360" w:lineRule="auto"/>
        <w:rPr>
          <w:rFonts w:hint="eastAsia" w:ascii="宋体" w:hAnsi="宋体" w:cs="宋体"/>
          <w:lang w:val="zh-CN"/>
        </w:rPr>
      </w:pPr>
    </w:p>
    <w:p>
      <w:pPr>
        <w:autoSpaceDE w:val="0"/>
        <w:autoSpaceDN w:val="0"/>
        <w:spacing w:line="360" w:lineRule="auto"/>
        <w:rPr>
          <w:rFonts w:hint="eastAsia" w:ascii="宋体" w:hAnsi="宋体" w:cs="宋体"/>
          <w:lang w:val="zh-CN"/>
        </w:rPr>
      </w:pPr>
    </w:p>
    <w:p>
      <w:pPr>
        <w:autoSpaceDE w:val="0"/>
        <w:autoSpaceDN w:val="0"/>
        <w:spacing w:line="360" w:lineRule="auto"/>
        <w:rPr>
          <w:rFonts w:hint="eastAsia" w:ascii="宋体" w:hAnsi="宋体" w:cs="宋体"/>
          <w:lang w:val="zh-CN"/>
        </w:rPr>
      </w:pPr>
    </w:p>
    <w:p>
      <w:pPr>
        <w:autoSpaceDE w:val="0"/>
        <w:autoSpaceDN w:val="0"/>
        <w:spacing w:line="360" w:lineRule="auto"/>
        <w:rPr>
          <w:rFonts w:hint="eastAsia" w:ascii="宋体" w:hAnsi="宋体" w:cs="宋体"/>
          <w:lang w:val="zh-CN"/>
        </w:rPr>
      </w:pPr>
    </w:p>
    <w:p>
      <w:pPr>
        <w:autoSpaceDE w:val="0"/>
        <w:autoSpaceDN w:val="0"/>
        <w:spacing w:line="360" w:lineRule="auto"/>
        <w:rPr>
          <w:rFonts w:hint="eastAsia"/>
          <w:b/>
          <w:sz w:val="36"/>
          <w:szCs w:val="36"/>
        </w:rPr>
      </w:pPr>
      <w:r>
        <w:rPr>
          <w:rFonts w:hint="eastAsia"/>
          <w:b/>
          <w:sz w:val="36"/>
          <w:szCs w:val="36"/>
          <w:lang w:val="zh-CN"/>
        </w:rPr>
        <w:t>（下册）</w:t>
      </w:r>
    </w:p>
    <w:p>
      <w:pPr>
        <w:autoSpaceDE w:val="0"/>
        <w:autoSpaceDN w:val="0"/>
        <w:spacing w:line="360" w:lineRule="auto"/>
        <w:jc w:val="right"/>
        <w:rPr>
          <w:rFonts w:hint="eastAsia" w:ascii="宋体" w:hAnsi="宋体" w:cs="宋体"/>
          <w:b/>
          <w:bCs/>
          <w:kern w:val="0"/>
          <w:sz w:val="36"/>
          <w:szCs w:val="36"/>
        </w:rPr>
      </w:pPr>
      <w:r>
        <w:rPr>
          <w:rFonts w:hint="eastAsia" w:ascii="宋体" w:hAnsi="宋体" w:cs="宋体"/>
          <w:b/>
          <w:bCs/>
          <w:kern w:val="0"/>
          <w:sz w:val="36"/>
          <w:szCs w:val="36"/>
        </w:rPr>
        <w:t>正本/副本</w:t>
      </w:r>
    </w:p>
    <w:p>
      <w:pPr>
        <w:autoSpaceDE w:val="0"/>
        <w:autoSpaceDN w:val="0"/>
        <w:spacing w:line="360" w:lineRule="auto"/>
        <w:jc w:val="center"/>
        <w:rPr>
          <w:rFonts w:hint="eastAsia" w:ascii="宋体" w:hAnsi="宋体" w:cs="宋体"/>
          <w:b/>
          <w:bCs/>
          <w:kern w:val="0"/>
          <w:sz w:val="52"/>
          <w:szCs w:val="52"/>
          <w:lang w:val="zh-CN"/>
        </w:rPr>
      </w:pPr>
      <w:r>
        <w:rPr>
          <w:rFonts w:hint="eastAsia" w:ascii="宋体" w:hAnsi="宋体" w:cs="宋体"/>
          <w:b/>
          <w:bCs/>
          <w:kern w:val="0"/>
          <w:sz w:val="52"/>
          <w:szCs w:val="52"/>
          <w:lang w:val="zh-CN"/>
        </w:rPr>
        <w:t>青海省政府采购项目</w:t>
      </w:r>
    </w:p>
    <w:p>
      <w:pPr>
        <w:autoSpaceDE w:val="0"/>
        <w:autoSpaceDN w:val="0"/>
        <w:spacing w:line="360" w:lineRule="auto"/>
        <w:rPr>
          <w:rFonts w:hint="eastAsia" w:ascii="宋体" w:hAnsi="宋体" w:cs="宋体"/>
          <w:kern w:val="0"/>
          <w:sz w:val="36"/>
          <w:szCs w:val="36"/>
        </w:rPr>
      </w:pPr>
    </w:p>
    <w:p>
      <w:pPr>
        <w:autoSpaceDE w:val="0"/>
        <w:autoSpaceDN w:val="0"/>
        <w:spacing w:line="360" w:lineRule="auto"/>
        <w:jc w:val="center"/>
        <w:rPr>
          <w:rFonts w:hint="eastAsia" w:ascii="宋体" w:hAnsi="宋体" w:cs="宋体"/>
          <w:b/>
          <w:bCs/>
          <w:kern w:val="0"/>
          <w:sz w:val="72"/>
          <w:szCs w:val="72"/>
        </w:rPr>
      </w:pPr>
      <w:r>
        <w:rPr>
          <w:rFonts w:hint="eastAsia" w:ascii="宋体" w:hAnsi="宋体" w:cs="宋体"/>
          <w:b/>
          <w:bCs/>
          <w:kern w:val="0"/>
          <w:sz w:val="72"/>
          <w:szCs w:val="72"/>
          <w:lang w:val="zh-CN"/>
        </w:rPr>
        <w:t>投</w:t>
      </w:r>
      <w:r>
        <w:rPr>
          <w:rFonts w:hint="eastAsia" w:ascii="宋体" w:hAnsi="宋体" w:cs="宋体"/>
          <w:b/>
          <w:bCs/>
          <w:kern w:val="0"/>
          <w:sz w:val="72"/>
          <w:szCs w:val="72"/>
        </w:rPr>
        <w:t xml:space="preserve"> </w:t>
      </w:r>
      <w:r>
        <w:rPr>
          <w:rFonts w:hint="eastAsia" w:ascii="宋体" w:hAnsi="宋体" w:cs="宋体"/>
          <w:b/>
          <w:bCs/>
          <w:kern w:val="0"/>
          <w:sz w:val="72"/>
          <w:szCs w:val="72"/>
          <w:lang w:val="zh-CN"/>
        </w:rPr>
        <w:t>标</w:t>
      </w:r>
      <w:r>
        <w:rPr>
          <w:rFonts w:hint="eastAsia" w:ascii="宋体" w:hAnsi="宋体" w:cs="宋体"/>
          <w:b/>
          <w:bCs/>
          <w:kern w:val="0"/>
          <w:sz w:val="72"/>
          <w:szCs w:val="72"/>
        </w:rPr>
        <w:t xml:space="preserve"> </w:t>
      </w:r>
      <w:r>
        <w:rPr>
          <w:rFonts w:hint="eastAsia" w:ascii="宋体" w:hAnsi="宋体" w:cs="宋体"/>
          <w:b/>
          <w:bCs/>
          <w:kern w:val="0"/>
          <w:sz w:val="72"/>
          <w:szCs w:val="72"/>
          <w:lang w:val="zh-CN"/>
        </w:rPr>
        <w:t>文</w:t>
      </w:r>
      <w:r>
        <w:rPr>
          <w:rFonts w:hint="eastAsia" w:ascii="宋体" w:hAnsi="宋体" w:cs="宋体"/>
          <w:b/>
          <w:bCs/>
          <w:kern w:val="0"/>
          <w:sz w:val="72"/>
          <w:szCs w:val="72"/>
        </w:rPr>
        <w:t xml:space="preserve"> </w:t>
      </w:r>
      <w:r>
        <w:rPr>
          <w:rFonts w:hint="eastAsia" w:ascii="宋体" w:hAnsi="宋体" w:cs="宋体"/>
          <w:b/>
          <w:bCs/>
          <w:kern w:val="0"/>
          <w:sz w:val="72"/>
          <w:szCs w:val="72"/>
          <w:lang w:val="zh-CN"/>
        </w:rPr>
        <w:t>件</w:t>
      </w:r>
    </w:p>
    <w:p>
      <w:pPr>
        <w:autoSpaceDE w:val="0"/>
        <w:autoSpaceDN w:val="0"/>
        <w:spacing w:line="360" w:lineRule="auto"/>
        <w:jc w:val="center"/>
        <w:rPr>
          <w:rFonts w:hint="eastAsia" w:ascii="宋体" w:hAnsi="宋体" w:cs="宋体"/>
          <w:kern w:val="0"/>
          <w:sz w:val="44"/>
          <w:szCs w:val="44"/>
        </w:rPr>
      </w:pPr>
      <w:r>
        <w:rPr>
          <w:rFonts w:hint="eastAsia" w:ascii="宋体" w:hAnsi="宋体" w:cs="宋体"/>
          <w:b/>
          <w:bCs/>
          <w:sz w:val="44"/>
          <w:szCs w:val="44"/>
          <w:lang w:val="zh-CN"/>
        </w:rPr>
        <w:t>（下册）</w:t>
      </w:r>
    </w:p>
    <w:p>
      <w:pPr>
        <w:autoSpaceDE w:val="0"/>
        <w:autoSpaceDN w:val="0"/>
        <w:spacing w:line="360" w:lineRule="auto"/>
        <w:rPr>
          <w:rFonts w:hint="eastAsia" w:ascii="宋体" w:hAnsi="宋体" w:cs="宋体"/>
          <w:kern w:val="0"/>
          <w:sz w:val="36"/>
          <w:szCs w:val="36"/>
        </w:rPr>
      </w:pPr>
    </w:p>
    <w:p>
      <w:pPr>
        <w:autoSpaceDE w:val="0"/>
        <w:autoSpaceDN w:val="0"/>
        <w:spacing w:line="360" w:lineRule="auto"/>
        <w:rPr>
          <w:rFonts w:hint="eastAsia" w:ascii="宋体" w:hAnsi="宋体" w:cs="宋体"/>
          <w:kern w:val="0"/>
          <w:sz w:val="36"/>
          <w:szCs w:val="36"/>
        </w:rPr>
      </w:pPr>
    </w:p>
    <w:p>
      <w:pPr>
        <w:autoSpaceDE w:val="0"/>
        <w:autoSpaceDN w:val="0"/>
        <w:spacing w:line="360" w:lineRule="auto"/>
        <w:rPr>
          <w:rFonts w:hint="eastAsia" w:ascii="宋体" w:hAnsi="宋体" w:cs="宋体"/>
          <w:b/>
          <w:bCs/>
          <w:kern w:val="0"/>
          <w:sz w:val="36"/>
          <w:szCs w:val="36"/>
        </w:rPr>
      </w:pPr>
      <w:r>
        <w:rPr>
          <w:rFonts w:hint="eastAsia" w:ascii="宋体" w:hAnsi="宋体" w:cs="宋体"/>
          <w:b/>
          <w:bCs/>
          <w:kern w:val="0"/>
          <w:sz w:val="36"/>
          <w:szCs w:val="36"/>
          <w:lang w:val="zh-CN"/>
        </w:rPr>
        <w:t>采购项目编号：</w:t>
      </w:r>
    </w:p>
    <w:p>
      <w:pPr>
        <w:autoSpaceDE w:val="0"/>
        <w:autoSpaceDN w:val="0"/>
        <w:spacing w:line="360" w:lineRule="auto"/>
        <w:rPr>
          <w:rFonts w:hint="eastAsia" w:ascii="宋体" w:hAnsi="宋体" w:cs="宋体"/>
          <w:b/>
          <w:bCs/>
          <w:kern w:val="0"/>
          <w:sz w:val="36"/>
          <w:szCs w:val="36"/>
        </w:rPr>
      </w:pPr>
      <w:r>
        <w:rPr>
          <w:rFonts w:hint="eastAsia" w:ascii="宋体" w:hAnsi="宋体" w:cs="宋体"/>
          <w:b/>
          <w:bCs/>
          <w:kern w:val="0"/>
          <w:sz w:val="36"/>
          <w:szCs w:val="36"/>
          <w:lang w:val="zh-CN"/>
        </w:rPr>
        <w:t>采购项目名称</w:t>
      </w:r>
      <w:r>
        <w:rPr>
          <w:rFonts w:hint="eastAsia" w:ascii="宋体" w:hAnsi="宋体" w:cs="宋体"/>
          <w:b/>
          <w:bCs/>
          <w:kern w:val="0"/>
          <w:sz w:val="36"/>
          <w:szCs w:val="36"/>
        </w:rPr>
        <w:t>：</w:t>
      </w:r>
    </w:p>
    <w:p>
      <w:pPr>
        <w:autoSpaceDE w:val="0"/>
        <w:autoSpaceDN w:val="0"/>
        <w:spacing w:line="360" w:lineRule="auto"/>
        <w:rPr>
          <w:rFonts w:hint="eastAsia" w:ascii="宋体" w:hAnsi="宋体" w:cs="宋体"/>
          <w:b/>
          <w:bCs/>
          <w:kern w:val="0"/>
          <w:sz w:val="36"/>
          <w:szCs w:val="36"/>
        </w:rPr>
      </w:pPr>
    </w:p>
    <w:p>
      <w:pPr>
        <w:autoSpaceDE w:val="0"/>
        <w:autoSpaceDN w:val="0"/>
        <w:spacing w:line="360" w:lineRule="auto"/>
        <w:rPr>
          <w:rFonts w:hint="eastAsia" w:ascii="宋体" w:hAnsi="宋体" w:cs="宋体"/>
          <w:b/>
          <w:bCs/>
          <w:kern w:val="0"/>
          <w:sz w:val="36"/>
          <w:szCs w:val="36"/>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投标人：</w:t>
      </w:r>
      <w:r>
        <w:rPr>
          <w:rFonts w:hint="eastAsia" w:ascii="宋体" w:hAnsi="宋体" w:cs="宋体"/>
          <w:b/>
          <w:bCs/>
          <w:kern w:val="0"/>
          <w:sz w:val="36"/>
          <w:szCs w:val="36"/>
          <w:u w:val="single"/>
        </w:rPr>
        <w:t xml:space="preserve">                          </w:t>
      </w:r>
      <w:r>
        <w:rPr>
          <w:rFonts w:hint="eastAsia" w:ascii="宋体" w:hAnsi="宋体" w:cs="宋体"/>
          <w:b/>
          <w:bCs/>
          <w:kern w:val="0"/>
          <w:sz w:val="36"/>
          <w:szCs w:val="36"/>
        </w:rPr>
        <w:t>（</w:t>
      </w:r>
      <w:r>
        <w:rPr>
          <w:rFonts w:hint="eastAsia" w:ascii="宋体" w:hAnsi="宋体" w:cs="宋体"/>
          <w:b/>
          <w:bCs/>
          <w:kern w:val="0"/>
          <w:sz w:val="36"/>
          <w:szCs w:val="36"/>
          <w:lang w:val="zh-CN"/>
        </w:rPr>
        <w:t>公章）</w:t>
      </w:r>
    </w:p>
    <w:p>
      <w:pPr>
        <w:autoSpaceDE w:val="0"/>
        <w:autoSpaceDN w:val="0"/>
        <w:spacing w:line="360" w:lineRule="auto"/>
        <w:rPr>
          <w:rFonts w:hint="eastAsia" w:ascii="宋体" w:hAnsi="宋体" w:cs="宋体"/>
          <w:b/>
          <w:bCs/>
          <w:kern w:val="0"/>
          <w:sz w:val="36"/>
          <w:szCs w:val="36"/>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法定代表人或委托代理人：</w:t>
      </w:r>
      <w:r>
        <w:rPr>
          <w:rFonts w:hint="eastAsia" w:ascii="宋体" w:hAnsi="宋体" w:cs="宋体"/>
          <w:b/>
          <w:bCs/>
          <w:kern w:val="0"/>
          <w:sz w:val="36"/>
          <w:szCs w:val="36"/>
          <w:u w:val="single"/>
        </w:rPr>
        <w:t xml:space="preserve">     </w:t>
      </w:r>
      <w:r>
        <w:rPr>
          <w:rFonts w:hint="eastAsia" w:ascii="宋体" w:hAnsi="宋体" w:cs="宋体"/>
          <w:b/>
          <w:bCs/>
          <w:kern w:val="0"/>
          <w:sz w:val="36"/>
          <w:szCs w:val="36"/>
          <w:lang w:val="zh-CN"/>
        </w:rPr>
        <w:t>（签字或盖章）</w:t>
      </w:r>
    </w:p>
    <w:p>
      <w:pPr>
        <w:autoSpaceDE w:val="0"/>
        <w:autoSpaceDN w:val="0"/>
        <w:spacing w:line="360" w:lineRule="auto"/>
        <w:rPr>
          <w:rFonts w:hint="eastAsia" w:ascii="宋体" w:hAnsi="宋体" w:cs="宋体"/>
          <w:b/>
          <w:bCs/>
          <w:kern w:val="0"/>
          <w:sz w:val="36"/>
          <w:szCs w:val="36"/>
          <w:lang w:val="zh-CN"/>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年</w:t>
      </w:r>
      <w:r>
        <w:rPr>
          <w:rFonts w:hint="eastAsia" w:ascii="宋体" w:hAnsi="宋体" w:cs="宋体"/>
          <w:b/>
          <w:bCs/>
          <w:kern w:val="0"/>
          <w:sz w:val="36"/>
          <w:szCs w:val="36"/>
        </w:rPr>
        <w:t xml:space="preserve">    </w:t>
      </w:r>
      <w:r>
        <w:rPr>
          <w:rFonts w:hint="eastAsia" w:ascii="宋体" w:hAnsi="宋体" w:cs="宋体"/>
          <w:b/>
          <w:bCs/>
          <w:kern w:val="0"/>
          <w:sz w:val="36"/>
          <w:szCs w:val="36"/>
          <w:lang w:val="zh-CN"/>
        </w:rPr>
        <w:t>月</w:t>
      </w:r>
      <w:r>
        <w:rPr>
          <w:rFonts w:hint="eastAsia" w:ascii="宋体" w:hAnsi="宋体" w:cs="宋体"/>
          <w:b/>
          <w:bCs/>
          <w:kern w:val="0"/>
          <w:sz w:val="36"/>
          <w:szCs w:val="36"/>
        </w:rPr>
        <w:t xml:space="preserve">    </w:t>
      </w:r>
      <w:r>
        <w:rPr>
          <w:rFonts w:hint="eastAsia" w:ascii="宋体" w:hAnsi="宋体" w:cs="宋体"/>
          <w:b/>
          <w:bCs/>
          <w:kern w:val="0"/>
          <w:sz w:val="36"/>
          <w:szCs w:val="36"/>
          <w:lang w:val="zh-CN"/>
        </w:rPr>
        <w:t>日</w:t>
      </w:r>
    </w:p>
    <w:p>
      <w:pPr>
        <w:pStyle w:val="12"/>
        <w:spacing w:before="0" w:after="0" w:line="360" w:lineRule="auto"/>
        <w:jc w:val="left"/>
        <w:rPr>
          <w:rFonts w:hint="eastAsia" w:ascii="宋体" w:hAnsi="宋体" w:cs="宋体"/>
          <w:lang w:val="zh-CN"/>
        </w:rPr>
      </w:pPr>
      <w:r>
        <w:rPr>
          <w:rFonts w:hint="eastAsia" w:ascii="宋体" w:hAnsi="宋体" w:cs="宋体"/>
          <w:b w:val="0"/>
          <w:bCs w:val="0"/>
          <w:kern w:val="0"/>
          <w:lang w:val="zh-CN"/>
        </w:rPr>
        <w:br w:type="page"/>
      </w:r>
      <w:bookmarkStart w:id="69" w:name="_Toc727"/>
      <w:r>
        <w:rPr>
          <w:rFonts w:hint="eastAsia" w:ascii="宋体" w:hAnsi="宋体" w:cs="宋体"/>
          <w:sz w:val="30"/>
          <w:szCs w:val="30"/>
          <w:lang w:val="zh-CN"/>
        </w:rPr>
        <w:t>目录（下册）</w:t>
      </w:r>
      <w:bookmarkEnd w:id="69"/>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11</w:t>
      </w:r>
      <w:r>
        <w:rPr>
          <w:rFonts w:hint="eastAsia" w:ascii="宋体" w:hAnsi="宋体" w:cs="宋体"/>
          <w:kern w:val="0"/>
          <w:lang w:val="zh-CN"/>
        </w:rPr>
        <w:t>）开标一览表（报价表）…………………………………………所在页码</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12</w:t>
      </w:r>
      <w:r>
        <w:rPr>
          <w:rFonts w:hint="eastAsia" w:ascii="宋体" w:hAnsi="宋体" w:cs="宋体"/>
          <w:kern w:val="0"/>
          <w:lang w:val="zh-CN"/>
        </w:rPr>
        <w:t>）分项报价表………………………………………………………所在页码</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13</w:t>
      </w:r>
      <w:r>
        <w:rPr>
          <w:rFonts w:hint="eastAsia" w:ascii="宋体" w:hAnsi="宋体" w:cs="宋体"/>
          <w:kern w:val="0"/>
          <w:lang w:val="zh-CN"/>
        </w:rPr>
        <w:t>）技术规格响应表…………………………………………………所在页码</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14</w:t>
      </w:r>
      <w:r>
        <w:rPr>
          <w:rFonts w:hint="eastAsia" w:ascii="宋体" w:hAnsi="宋体" w:cs="宋体"/>
          <w:kern w:val="0"/>
          <w:lang w:val="zh-CN"/>
        </w:rPr>
        <w:t>）投标产品相关资料………………………………………………所在页码</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15</w:t>
      </w:r>
      <w:r>
        <w:rPr>
          <w:rFonts w:hint="eastAsia" w:ascii="宋体" w:hAnsi="宋体" w:cs="宋体"/>
          <w:kern w:val="0"/>
          <w:lang w:val="zh-CN"/>
        </w:rPr>
        <w:t>）投标人的类似业绩证明材料……………………………………所在页码</w:t>
      </w:r>
    </w:p>
    <w:p>
      <w:pPr>
        <w:autoSpaceDE w:val="0"/>
        <w:autoSpaceDN w:val="0"/>
        <w:spacing w:line="360" w:lineRule="auto"/>
        <w:rPr>
          <w:rFonts w:hint="eastAsia" w:ascii="宋体" w:hAnsi="宋体" w:cs="宋体"/>
          <w:lang w:val="zh-CN"/>
        </w:rPr>
      </w:pPr>
      <w:r>
        <w:rPr>
          <w:rFonts w:hint="eastAsia" w:ascii="宋体" w:hAnsi="宋体" w:cs="宋体"/>
          <w:kern w:val="0"/>
          <w:lang w:val="zh-CN"/>
        </w:rPr>
        <w:t>（</w:t>
      </w:r>
      <w:r>
        <w:rPr>
          <w:rFonts w:hint="eastAsia" w:ascii="宋体" w:hAnsi="宋体" w:cs="宋体"/>
          <w:kern w:val="0"/>
        </w:rPr>
        <w:t>16</w:t>
      </w:r>
      <w:r>
        <w:rPr>
          <w:rFonts w:hint="eastAsia" w:ascii="宋体" w:hAnsi="宋体" w:cs="宋体"/>
          <w:kern w:val="0"/>
          <w:lang w:val="zh-CN"/>
        </w:rPr>
        <w:t>）中小企业声明函、监狱企业证明资料…………………………所在页码</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w:t>
      </w:r>
      <w:r>
        <w:rPr>
          <w:rFonts w:hint="eastAsia" w:ascii="宋体" w:hAnsi="宋体" w:cs="宋体"/>
          <w:kern w:val="0"/>
        </w:rPr>
        <w:t>17</w:t>
      </w:r>
      <w:r>
        <w:rPr>
          <w:rFonts w:hint="eastAsia" w:ascii="宋体" w:hAnsi="宋体" w:cs="宋体"/>
          <w:kern w:val="0"/>
          <w:lang w:val="zh-CN"/>
        </w:rPr>
        <w:t>）残疾人福利性单位声明函………………………………………所在页码</w:t>
      </w:r>
    </w:p>
    <w:p>
      <w:pPr>
        <w:autoSpaceDE w:val="0"/>
        <w:autoSpaceDN w:val="0"/>
        <w:spacing w:line="360" w:lineRule="auto"/>
        <w:rPr>
          <w:rFonts w:hint="eastAsia" w:ascii="宋体" w:hAnsi="宋体" w:cs="宋体"/>
          <w:lang w:val="zh-CN"/>
        </w:rPr>
      </w:pPr>
      <w:r>
        <w:rPr>
          <w:rFonts w:hint="eastAsia" w:ascii="宋体" w:hAnsi="宋体" w:cs="宋体"/>
          <w:kern w:val="0"/>
          <w:lang w:val="zh-CN"/>
        </w:rPr>
        <w:t>（</w:t>
      </w:r>
      <w:r>
        <w:rPr>
          <w:rFonts w:hint="eastAsia" w:ascii="宋体" w:hAnsi="宋体" w:cs="宋体"/>
          <w:kern w:val="0"/>
        </w:rPr>
        <w:t>18</w:t>
      </w:r>
      <w:r>
        <w:rPr>
          <w:rFonts w:hint="eastAsia" w:ascii="宋体" w:hAnsi="宋体" w:cs="宋体"/>
          <w:kern w:val="0"/>
          <w:lang w:val="zh-CN"/>
        </w:rPr>
        <w:t>）投标人认为在其他方面有必要说明的事项……………………所在页码</w:t>
      </w:r>
    </w:p>
    <w:p>
      <w:pPr>
        <w:pStyle w:val="12"/>
        <w:spacing w:before="0" w:after="0" w:line="360" w:lineRule="auto"/>
        <w:jc w:val="left"/>
        <w:outlineLvl w:val="1"/>
        <w:rPr>
          <w:rFonts w:hint="eastAsia" w:ascii="宋体" w:hAnsi="宋体" w:cs="宋体"/>
          <w:lang w:val="zh-CN"/>
        </w:rPr>
      </w:pPr>
      <w:r>
        <w:rPr>
          <w:rFonts w:hint="eastAsia" w:ascii="宋体" w:hAnsi="宋体" w:cs="宋体"/>
          <w:lang w:val="zh-CN"/>
        </w:rPr>
        <w:br w:type="page"/>
      </w:r>
      <w:bookmarkStart w:id="70" w:name="_Toc15305"/>
      <w:bookmarkStart w:id="71" w:name="_Toc26451"/>
      <w:bookmarkStart w:id="72" w:name="_Toc28963"/>
      <w:r>
        <w:rPr>
          <w:rFonts w:hint="eastAsia" w:ascii="宋体" w:hAnsi="宋体" w:cs="宋体"/>
          <w:sz w:val="30"/>
          <w:szCs w:val="30"/>
        </w:rPr>
        <w:t>（11）</w:t>
      </w:r>
      <w:r>
        <w:rPr>
          <w:rFonts w:hint="eastAsia" w:ascii="宋体" w:hAnsi="宋体" w:cs="宋体"/>
          <w:sz w:val="30"/>
          <w:szCs w:val="30"/>
          <w:lang w:val="zh-CN"/>
        </w:rPr>
        <w:t>开标一览表（报价表）</w:t>
      </w:r>
      <w:bookmarkEnd w:id="70"/>
      <w:bookmarkEnd w:id="71"/>
    </w:p>
    <w:p>
      <w:pPr>
        <w:autoSpaceDE w:val="0"/>
        <w:autoSpaceDN w:val="0"/>
        <w:spacing w:line="360" w:lineRule="auto"/>
        <w:rPr>
          <w:rFonts w:hint="eastAsia" w:ascii="宋体" w:hAnsi="宋体" w:cs="宋体"/>
          <w:b/>
          <w:bCs/>
          <w:kern w:val="0"/>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开标一览表（报价表）</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包号：</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2"/>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pPr>
              <w:pStyle w:val="3"/>
              <w:spacing w:line="360" w:lineRule="auto"/>
              <w:ind w:firstLine="0"/>
              <w:jc w:val="center"/>
              <w:rPr>
                <w:rFonts w:hint="eastAsia" w:ascii="宋体" w:hAnsi="宋体" w:cs="宋体"/>
                <w:szCs w:val="24"/>
              </w:rPr>
            </w:pPr>
            <w:r>
              <w:rPr>
                <w:rFonts w:hint="eastAsia" w:ascii="宋体" w:hAnsi="宋体" w:cs="宋体"/>
                <w:szCs w:val="24"/>
              </w:rPr>
              <w:t>投标人名称</w:t>
            </w:r>
          </w:p>
        </w:tc>
        <w:tc>
          <w:tcPr>
            <w:tcW w:w="5985" w:type="dxa"/>
            <w:noWrap w:val="0"/>
            <w:vAlign w:val="center"/>
          </w:tcPr>
          <w:p>
            <w:pPr>
              <w:pStyle w:val="3"/>
              <w:spacing w:line="360" w:lineRule="auto"/>
              <w:ind w:firstLine="0"/>
              <w:rPr>
                <w:rFonts w:hint="eastAsia" w:ascii="宋体" w:hAnsi="宋体"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pPr>
              <w:pStyle w:val="3"/>
              <w:spacing w:line="360" w:lineRule="auto"/>
              <w:ind w:firstLine="0"/>
              <w:jc w:val="center"/>
              <w:rPr>
                <w:rFonts w:hint="eastAsia" w:ascii="宋体" w:hAnsi="宋体" w:cs="宋体"/>
                <w:szCs w:val="24"/>
              </w:rPr>
            </w:pPr>
            <w:r>
              <w:rPr>
                <w:rFonts w:hint="eastAsia" w:ascii="宋体" w:hAnsi="宋体" w:cs="宋体"/>
                <w:szCs w:val="24"/>
              </w:rPr>
              <w:t>项目名称</w:t>
            </w:r>
          </w:p>
        </w:tc>
        <w:tc>
          <w:tcPr>
            <w:tcW w:w="5985" w:type="dxa"/>
            <w:noWrap w:val="0"/>
            <w:vAlign w:val="center"/>
          </w:tcPr>
          <w:p>
            <w:pPr>
              <w:pStyle w:val="3"/>
              <w:spacing w:line="360" w:lineRule="auto"/>
              <w:ind w:firstLine="0"/>
              <w:rPr>
                <w:rFonts w:hint="eastAsia" w:ascii="宋体" w:hAnsi="宋体"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pPr>
              <w:pStyle w:val="3"/>
              <w:spacing w:line="360" w:lineRule="auto"/>
              <w:ind w:firstLine="0"/>
              <w:jc w:val="center"/>
              <w:rPr>
                <w:rFonts w:hint="eastAsia" w:ascii="宋体" w:hAnsi="宋体" w:cs="宋体"/>
                <w:szCs w:val="24"/>
              </w:rPr>
            </w:pPr>
            <w:r>
              <w:rPr>
                <w:rFonts w:hint="eastAsia" w:ascii="宋体" w:hAnsi="宋体" w:cs="宋体"/>
                <w:szCs w:val="24"/>
              </w:rPr>
              <w:t>投标报价</w:t>
            </w:r>
          </w:p>
        </w:tc>
        <w:tc>
          <w:tcPr>
            <w:tcW w:w="5985" w:type="dxa"/>
            <w:noWrap w:val="0"/>
            <w:vAlign w:val="center"/>
          </w:tcPr>
          <w:p>
            <w:pPr>
              <w:autoSpaceDE w:val="0"/>
              <w:autoSpaceDN w:val="0"/>
              <w:spacing w:line="360" w:lineRule="auto"/>
              <w:rPr>
                <w:rFonts w:hint="eastAsia" w:ascii="宋体" w:hAnsi="宋体" w:cs="宋体"/>
                <w:kern w:val="0"/>
                <w:lang w:val="zh-CN"/>
              </w:rPr>
            </w:pPr>
            <w:r>
              <w:rPr>
                <w:rFonts w:hint="eastAsia" w:ascii="宋体" w:hAnsi="宋体" w:cs="宋体"/>
                <w:kern w:val="0"/>
                <w:lang w:val="zh-CN"/>
              </w:rPr>
              <w:t>大写：</w:t>
            </w:r>
          </w:p>
          <w:p>
            <w:pPr>
              <w:pStyle w:val="3"/>
              <w:spacing w:line="360" w:lineRule="auto"/>
              <w:ind w:firstLine="0"/>
              <w:rPr>
                <w:rFonts w:hint="eastAsia" w:ascii="宋体" w:hAnsi="宋体" w:cs="宋体"/>
                <w:szCs w:val="24"/>
              </w:rPr>
            </w:pPr>
            <w:r>
              <w:rPr>
                <w:rFonts w:hint="eastAsia" w:ascii="宋体" w:hAnsi="宋体" w:cs="宋体"/>
                <w:kern w:val="0"/>
                <w:szCs w:val="24"/>
                <w:lang w:val="zh-CN"/>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pPr>
              <w:pStyle w:val="3"/>
              <w:spacing w:line="360" w:lineRule="auto"/>
              <w:ind w:firstLine="0"/>
              <w:jc w:val="center"/>
              <w:rPr>
                <w:rFonts w:hint="eastAsia" w:ascii="宋体" w:hAnsi="宋体" w:cs="宋体"/>
                <w:szCs w:val="24"/>
              </w:rPr>
            </w:pPr>
            <w:r>
              <w:rPr>
                <w:rFonts w:hint="eastAsia" w:ascii="宋体" w:hAnsi="宋体" w:cs="宋体"/>
                <w:szCs w:val="24"/>
              </w:rPr>
              <w:t>交货时间</w:t>
            </w:r>
          </w:p>
        </w:tc>
        <w:tc>
          <w:tcPr>
            <w:tcW w:w="5985" w:type="dxa"/>
            <w:noWrap w:val="0"/>
            <w:vAlign w:val="center"/>
          </w:tcPr>
          <w:p>
            <w:pPr>
              <w:pStyle w:val="3"/>
              <w:spacing w:line="360" w:lineRule="auto"/>
              <w:ind w:firstLine="0"/>
              <w:rPr>
                <w:rFonts w:hint="eastAsia" w:ascii="宋体" w:hAnsi="宋体"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pPr>
              <w:pStyle w:val="3"/>
              <w:spacing w:line="360" w:lineRule="auto"/>
              <w:ind w:firstLine="0"/>
              <w:jc w:val="center"/>
              <w:rPr>
                <w:rFonts w:hint="eastAsia" w:ascii="宋体" w:hAnsi="宋体" w:cs="宋体"/>
                <w:szCs w:val="24"/>
              </w:rPr>
            </w:pPr>
            <w:r>
              <w:rPr>
                <w:rFonts w:hint="eastAsia" w:ascii="宋体" w:hAnsi="宋体" w:cs="宋体"/>
                <w:szCs w:val="24"/>
              </w:rPr>
              <w:t>免费质保期</w:t>
            </w:r>
          </w:p>
        </w:tc>
        <w:tc>
          <w:tcPr>
            <w:tcW w:w="5985" w:type="dxa"/>
            <w:noWrap w:val="0"/>
            <w:vAlign w:val="center"/>
          </w:tcPr>
          <w:p>
            <w:pPr>
              <w:pStyle w:val="3"/>
              <w:spacing w:line="360" w:lineRule="auto"/>
              <w:ind w:firstLine="0"/>
              <w:rPr>
                <w:rFonts w:hint="eastAsia" w:ascii="宋体" w:hAnsi="宋体" w:cs="宋体"/>
                <w:szCs w:val="24"/>
              </w:rPr>
            </w:pPr>
          </w:p>
        </w:tc>
      </w:tr>
    </w:tbl>
    <w:p>
      <w:pPr>
        <w:autoSpaceDE w:val="0"/>
        <w:autoSpaceDN w:val="0"/>
        <w:spacing w:line="360" w:lineRule="auto"/>
        <w:rPr>
          <w:rFonts w:hint="eastAsia" w:ascii="宋体" w:hAnsi="宋体" w:cs="宋体"/>
          <w:kern w:val="0"/>
          <w:lang w:val="zh-CN"/>
        </w:rPr>
      </w:pPr>
      <w:r>
        <w:rPr>
          <w:rFonts w:hint="eastAsia" w:ascii="宋体" w:hAnsi="宋体" w:cs="宋体"/>
          <w:b/>
          <w:bCs/>
          <w:kern w:val="0"/>
          <w:lang w:val="zh-CN"/>
        </w:rPr>
        <w:t>注：</w:t>
      </w:r>
      <w:r>
        <w:rPr>
          <w:rFonts w:hint="eastAsia" w:ascii="宋体" w:hAnsi="宋体" w:cs="宋体"/>
          <w:kern w:val="0"/>
          <w:lang w:val="zh-CN"/>
        </w:rPr>
        <w:t>1.填写此表时不得改变表格形式。</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2.“投标报价”为投标总价。投标报价必须包括：产品费、验收费、手续费、包装费、运输费、保险费、安装费、调试费、培训费、售前、售中、售后服务费、税金及不可预见费等全部费用。</w:t>
      </w:r>
    </w:p>
    <w:p>
      <w:pPr>
        <w:autoSpaceDE w:val="0"/>
        <w:autoSpaceDN w:val="0"/>
        <w:spacing w:line="360" w:lineRule="auto"/>
        <w:ind w:firstLine="480"/>
        <w:rPr>
          <w:rFonts w:hint="eastAsia" w:ascii="宋体" w:hAnsi="宋体" w:cs="宋体"/>
          <w:kern w:val="0"/>
        </w:rPr>
      </w:pPr>
      <w:r>
        <w:rPr>
          <w:rFonts w:hint="eastAsia" w:ascii="宋体" w:hAnsi="宋体" w:cs="宋体"/>
          <w:kern w:val="0"/>
          <w:lang w:val="zh-CN"/>
        </w:rPr>
        <w:t>3.“交货时间”是指产品能够交付使用的具体时间（工作日）。</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4.投标报价不能有两个或两个以上的报价方案，</w:t>
      </w:r>
      <w:r>
        <w:rPr>
          <w:rFonts w:hint="eastAsia" w:ascii="宋体" w:hAnsi="宋体" w:cs="宋体"/>
          <w:kern w:val="0"/>
        </w:rPr>
        <w:t>否则投标无效</w:t>
      </w:r>
      <w:r>
        <w:rPr>
          <w:rFonts w:hint="eastAsia" w:ascii="宋体" w:hAnsi="宋体" w:cs="宋体"/>
          <w:kern w:val="0"/>
          <w:lang w:val="zh-CN"/>
        </w:rPr>
        <w:t>。</w:t>
      </w:r>
    </w:p>
    <w:p>
      <w:pPr>
        <w:autoSpaceDE w:val="0"/>
        <w:autoSpaceDN w:val="0"/>
        <w:spacing w:line="360" w:lineRule="auto"/>
        <w:rPr>
          <w:rFonts w:hint="eastAsia" w:ascii="宋体" w:hAnsi="宋体" w:cs="宋体"/>
          <w:kern w:val="0"/>
          <w:lang w:val="zh-CN"/>
        </w:rPr>
      </w:pPr>
    </w:p>
    <w:p>
      <w:pPr>
        <w:autoSpaceDE w:val="0"/>
        <w:autoSpaceDN w:val="0"/>
        <w:spacing w:line="360" w:lineRule="auto"/>
        <w:rPr>
          <w:rFonts w:hint="eastAsia" w:ascii="宋体" w:hAnsi="宋体" w:cs="宋体"/>
          <w:kern w:val="0"/>
          <w:lang w:val="zh-CN"/>
        </w:rPr>
      </w:pP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法定代表人或委托代理人：        （签字或盖章）</w:t>
      </w:r>
    </w:p>
    <w:p>
      <w:pPr>
        <w:autoSpaceDE w:val="0"/>
        <w:autoSpaceDN w:val="0"/>
        <w:spacing w:line="360" w:lineRule="auto"/>
        <w:jc w:val="center"/>
        <w:rPr>
          <w:rFonts w:hint="eastAsia"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autoSpaceDE w:val="0"/>
        <w:autoSpaceDN w:val="0"/>
        <w:spacing w:line="360" w:lineRule="auto"/>
        <w:rPr>
          <w:rFonts w:hint="eastAsia" w:ascii="宋体" w:hAnsi="宋体" w:cs="宋体"/>
          <w:kern w:val="0"/>
          <w:lang w:val="zh-CN"/>
        </w:rPr>
      </w:pPr>
    </w:p>
    <w:p>
      <w:pPr>
        <w:pStyle w:val="12"/>
        <w:spacing w:before="0" w:after="0" w:line="360" w:lineRule="auto"/>
        <w:jc w:val="left"/>
        <w:outlineLvl w:val="1"/>
        <w:rPr>
          <w:rFonts w:hint="eastAsia" w:ascii="宋体" w:hAnsi="宋体" w:cs="宋体"/>
        </w:rPr>
      </w:pPr>
      <w:r>
        <w:rPr>
          <w:rFonts w:hint="eastAsia" w:ascii="宋体" w:hAnsi="宋体" w:cs="宋体"/>
          <w:sz w:val="30"/>
          <w:szCs w:val="30"/>
          <w:lang w:val="zh-CN"/>
        </w:rPr>
        <w:br w:type="page"/>
      </w:r>
      <w:bookmarkStart w:id="73" w:name="_Toc31475"/>
      <w:r>
        <w:rPr>
          <w:rFonts w:hint="eastAsia" w:ascii="宋体" w:hAnsi="宋体" w:cs="宋体"/>
          <w:sz w:val="30"/>
          <w:szCs w:val="30"/>
        </w:rPr>
        <w:t>（12）</w:t>
      </w:r>
      <w:r>
        <w:rPr>
          <w:rFonts w:hint="eastAsia" w:ascii="宋体" w:hAnsi="宋体" w:cs="宋体"/>
          <w:sz w:val="30"/>
          <w:szCs w:val="30"/>
          <w:lang w:val="zh-CN"/>
        </w:rPr>
        <w:t>分项报价表</w:t>
      </w:r>
      <w:bookmarkEnd w:id="72"/>
      <w:bookmarkEnd w:id="73"/>
    </w:p>
    <w:p>
      <w:pPr>
        <w:autoSpaceDE w:val="0"/>
        <w:autoSpaceDN w:val="0"/>
        <w:spacing w:line="360" w:lineRule="auto"/>
        <w:rPr>
          <w:rFonts w:hint="eastAsia" w:ascii="宋体" w:hAnsi="宋体" w:cs="宋体"/>
          <w:b/>
          <w:bCs/>
          <w:kern w:val="0"/>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分项报价表</w:t>
      </w:r>
    </w:p>
    <w:p>
      <w:pPr>
        <w:autoSpaceDE w:val="0"/>
        <w:autoSpaceDN w:val="0"/>
        <w:spacing w:line="360" w:lineRule="auto"/>
        <w:rPr>
          <w:rFonts w:hint="eastAsia" w:ascii="宋体" w:hAnsi="宋体" w:cs="宋体"/>
          <w:b/>
          <w:bCs/>
          <w:kern w:val="0"/>
          <w:sz w:val="28"/>
          <w:szCs w:val="28"/>
          <w:lang w:val="zh-CN"/>
        </w:rPr>
      </w:pPr>
    </w:p>
    <w:p>
      <w:pPr>
        <w:autoSpaceDE w:val="0"/>
        <w:autoSpaceDN w:val="0"/>
        <w:spacing w:line="360" w:lineRule="auto"/>
        <w:rPr>
          <w:rFonts w:hint="eastAsia" w:ascii="宋体" w:hAnsi="宋体" w:cs="宋体"/>
          <w:kern w:val="0"/>
          <w:lang w:val="zh-CN"/>
        </w:rPr>
      </w:pPr>
      <w:r>
        <w:rPr>
          <w:rFonts w:hint="eastAsia" w:ascii="宋体" w:hAnsi="宋体" w:cs="宋体"/>
          <w:b/>
          <w:bCs/>
          <w:kern w:val="0"/>
          <w:lang w:val="zh-CN"/>
        </w:rPr>
        <w:t>投标人名称</w:t>
      </w:r>
      <w:r>
        <w:rPr>
          <w:rFonts w:hint="eastAsia" w:ascii="宋体" w:hAnsi="宋体" w:cs="宋体"/>
          <w:b/>
          <w:bCs/>
          <w:kern w:val="0"/>
        </w:rPr>
        <w:t>：                                              包号：</w:t>
      </w:r>
    </w:p>
    <w:tbl>
      <w:tblPr>
        <w:tblStyle w:val="13"/>
        <w:tblW w:w="0" w:type="auto"/>
        <w:jc w:val="center"/>
        <w:tblLayout w:type="fixed"/>
        <w:tblCellMar>
          <w:top w:w="0" w:type="dxa"/>
          <w:left w:w="28" w:type="dxa"/>
          <w:bottom w:w="0" w:type="dxa"/>
          <w:right w:w="28" w:type="dxa"/>
        </w:tblCellMar>
      </w:tblPr>
      <w:tblGrid>
        <w:gridCol w:w="628"/>
        <w:gridCol w:w="1563"/>
        <w:gridCol w:w="1065"/>
        <w:gridCol w:w="759"/>
        <w:gridCol w:w="1305"/>
        <w:gridCol w:w="931"/>
        <w:gridCol w:w="706"/>
        <w:gridCol w:w="831"/>
        <w:gridCol w:w="829"/>
      </w:tblGrid>
      <w:tr>
        <w:tblPrEx>
          <w:tblCellMar>
            <w:top w:w="0" w:type="dxa"/>
            <w:left w:w="28" w:type="dxa"/>
            <w:bottom w:w="0" w:type="dxa"/>
            <w:right w:w="28" w:type="dxa"/>
          </w:tblCellMar>
        </w:tblPrEx>
        <w:trPr>
          <w:trHeight w:val="23" w:hRule="atLeast"/>
          <w:jc w:val="center"/>
        </w:trPr>
        <w:tc>
          <w:tcPr>
            <w:tcW w:w="628" w:type="dxa"/>
            <w:tcBorders>
              <w:top w:val="single" w:color="000000" w:sz="8" w:space="0"/>
              <w:left w:val="single" w:color="000000" w:sz="8"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序号</w:t>
            </w:r>
          </w:p>
        </w:tc>
        <w:tc>
          <w:tcPr>
            <w:tcW w:w="1563" w:type="dxa"/>
            <w:tcBorders>
              <w:top w:val="single" w:color="000000" w:sz="8"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产品名称</w:t>
            </w:r>
          </w:p>
        </w:tc>
        <w:tc>
          <w:tcPr>
            <w:tcW w:w="1065" w:type="dxa"/>
            <w:tcBorders>
              <w:top w:val="single" w:color="000000" w:sz="8"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品牌</w:t>
            </w:r>
          </w:p>
        </w:tc>
        <w:tc>
          <w:tcPr>
            <w:tcW w:w="759" w:type="dxa"/>
            <w:tcBorders>
              <w:top w:val="single" w:color="000000" w:sz="8"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规格型号</w:t>
            </w:r>
          </w:p>
        </w:tc>
        <w:tc>
          <w:tcPr>
            <w:tcW w:w="1305" w:type="dxa"/>
            <w:tcBorders>
              <w:top w:val="single" w:color="000000" w:sz="8"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生产厂家</w:t>
            </w:r>
          </w:p>
        </w:tc>
        <w:tc>
          <w:tcPr>
            <w:tcW w:w="931" w:type="dxa"/>
            <w:tcBorders>
              <w:top w:val="single" w:color="000000" w:sz="8"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数量及单位</w:t>
            </w:r>
          </w:p>
        </w:tc>
        <w:tc>
          <w:tcPr>
            <w:tcW w:w="706" w:type="dxa"/>
            <w:tcBorders>
              <w:top w:val="single" w:color="000000" w:sz="8"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单价</w:t>
            </w:r>
          </w:p>
        </w:tc>
        <w:tc>
          <w:tcPr>
            <w:tcW w:w="831" w:type="dxa"/>
            <w:tcBorders>
              <w:top w:val="single" w:color="000000" w:sz="8"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合计</w:t>
            </w:r>
          </w:p>
        </w:tc>
        <w:tc>
          <w:tcPr>
            <w:tcW w:w="829" w:type="dxa"/>
            <w:tcBorders>
              <w:top w:val="single" w:color="000000" w:sz="8" w:space="0"/>
              <w:left w:val="single" w:color="000000" w:sz="6"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rPr>
              <w:t>免费质保期</w:t>
            </w: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1</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829" w:type="dxa"/>
            <w:tcBorders>
              <w:top w:val="single" w:color="000000" w:sz="6" w:space="0"/>
              <w:left w:val="single" w:color="000000" w:sz="6"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cs="宋体"/>
                <w:kern w:val="0"/>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2</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829" w:type="dxa"/>
            <w:tcBorders>
              <w:top w:val="single" w:color="000000" w:sz="6" w:space="0"/>
              <w:left w:val="single" w:color="000000" w:sz="6"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cs="宋体"/>
                <w:kern w:val="0"/>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3</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829" w:type="dxa"/>
            <w:tcBorders>
              <w:top w:val="single" w:color="000000" w:sz="6" w:space="0"/>
              <w:left w:val="single" w:color="000000" w:sz="6"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cs="宋体"/>
                <w:kern w:val="0"/>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4</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829" w:type="dxa"/>
            <w:tcBorders>
              <w:top w:val="single" w:color="000000" w:sz="6" w:space="0"/>
              <w:left w:val="single" w:color="000000" w:sz="6"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cs="宋体"/>
                <w:kern w:val="0"/>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829" w:type="dxa"/>
            <w:tcBorders>
              <w:top w:val="single" w:color="000000" w:sz="6" w:space="0"/>
              <w:left w:val="single" w:color="000000" w:sz="6"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cs="宋体"/>
                <w:kern w:val="0"/>
                <w:lang w:val="zh-CN"/>
              </w:rPr>
            </w:pPr>
          </w:p>
        </w:tc>
      </w:tr>
      <w:tr>
        <w:tblPrEx>
          <w:tblCellMar>
            <w:top w:w="0" w:type="dxa"/>
            <w:left w:w="28" w:type="dxa"/>
            <w:bottom w:w="0" w:type="dxa"/>
            <w:right w:w="28" w:type="dxa"/>
          </w:tblCellMar>
        </w:tblPrEx>
        <w:trPr>
          <w:trHeight w:val="23" w:hRule="atLeast"/>
          <w:jc w:val="center"/>
        </w:trPr>
        <w:tc>
          <w:tcPr>
            <w:tcW w:w="2191" w:type="dxa"/>
            <w:gridSpan w:val="2"/>
            <w:tcBorders>
              <w:top w:val="single" w:color="000000" w:sz="6" w:space="0"/>
              <w:left w:val="single" w:color="000000" w:sz="8" w:space="0"/>
              <w:bottom w:val="single" w:color="000000" w:sz="8"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投标总价</w:t>
            </w:r>
          </w:p>
        </w:tc>
        <w:tc>
          <w:tcPr>
            <w:tcW w:w="6426" w:type="dxa"/>
            <w:gridSpan w:val="7"/>
            <w:tcBorders>
              <w:top w:val="single" w:color="000000" w:sz="6" w:space="0"/>
              <w:left w:val="single" w:color="000000" w:sz="6" w:space="0"/>
              <w:bottom w:val="single" w:color="000000" w:sz="8" w:space="0"/>
              <w:right w:val="single" w:color="000000" w:sz="8" w:space="0"/>
            </w:tcBorders>
            <w:noWrap w:val="0"/>
            <w:vAlign w:val="center"/>
          </w:tcPr>
          <w:p>
            <w:pPr>
              <w:autoSpaceDE w:val="0"/>
              <w:autoSpaceDN w:val="0"/>
              <w:spacing w:line="360" w:lineRule="auto"/>
              <w:rPr>
                <w:rFonts w:hint="eastAsia" w:ascii="宋体" w:hAnsi="宋体" w:cs="宋体"/>
                <w:kern w:val="0"/>
                <w:lang w:val="zh-CN"/>
              </w:rPr>
            </w:pPr>
            <w:r>
              <w:rPr>
                <w:rFonts w:hint="eastAsia" w:ascii="宋体" w:hAnsi="宋体" w:cs="宋体"/>
                <w:kern w:val="0"/>
                <w:lang w:val="zh-CN"/>
              </w:rPr>
              <w:t>大写：</w:t>
            </w:r>
          </w:p>
          <w:p>
            <w:pPr>
              <w:autoSpaceDE w:val="0"/>
              <w:autoSpaceDN w:val="0"/>
              <w:spacing w:line="360" w:lineRule="auto"/>
              <w:rPr>
                <w:rFonts w:hint="eastAsia" w:ascii="宋体" w:hAnsi="宋体" w:cs="宋体"/>
                <w:kern w:val="0"/>
                <w:lang w:val="zh-CN"/>
              </w:rPr>
            </w:pPr>
            <w:r>
              <w:rPr>
                <w:rFonts w:hint="eastAsia" w:ascii="宋体" w:hAnsi="宋体" w:cs="宋体"/>
                <w:kern w:val="0"/>
                <w:lang w:val="zh-CN"/>
              </w:rPr>
              <w:t>小写：</w:t>
            </w:r>
          </w:p>
        </w:tc>
      </w:tr>
    </w:tbl>
    <w:p>
      <w:pPr>
        <w:autoSpaceDE w:val="0"/>
        <w:autoSpaceDN w:val="0"/>
        <w:spacing w:line="360" w:lineRule="auto"/>
        <w:rPr>
          <w:rFonts w:hint="eastAsia" w:ascii="宋体" w:hAnsi="宋体" w:cs="宋体"/>
          <w:kern w:val="0"/>
          <w:lang w:val="zh-CN"/>
        </w:rPr>
      </w:pPr>
      <w:r>
        <w:rPr>
          <w:rFonts w:hint="eastAsia" w:ascii="宋体" w:hAnsi="宋体" w:cs="宋体"/>
          <w:kern w:val="0"/>
          <w:lang w:val="zh-CN"/>
        </w:rPr>
        <w:t>注：</w:t>
      </w:r>
      <w:r>
        <w:rPr>
          <w:rFonts w:hint="eastAsia" w:ascii="宋体" w:hAnsi="宋体" w:cs="宋体"/>
          <w:kern w:val="0"/>
        </w:rPr>
        <w:t>1.</w:t>
      </w:r>
      <w:r>
        <w:rPr>
          <w:rFonts w:hint="eastAsia" w:ascii="宋体" w:hAnsi="宋体" w:cs="宋体"/>
          <w:kern w:val="0"/>
          <w:lang w:val="zh-CN"/>
        </w:rPr>
        <w:t>本表应依照每包采购一览表中的产品序号按顺序逐项填写，不得遗漏，</w:t>
      </w:r>
      <w:r>
        <w:rPr>
          <w:rFonts w:hint="eastAsia" w:ascii="宋体" w:hAnsi="宋体"/>
        </w:rPr>
        <w:t>否则</w:t>
      </w:r>
      <w:r>
        <w:rPr>
          <w:rFonts w:hint="eastAsia" w:ascii="宋体" w:hAnsi="宋体"/>
          <w:kern w:val="0"/>
          <w:szCs w:val="20"/>
        </w:rPr>
        <w:t>，按无效投标处理</w:t>
      </w:r>
      <w:r>
        <w:rPr>
          <w:rFonts w:hint="eastAsia" w:ascii="宋体" w:hAnsi="宋体" w:cs="宋体"/>
          <w:kern w:val="0"/>
          <w:lang w:val="zh-CN"/>
        </w:rPr>
        <w:t>。</w:t>
      </w:r>
    </w:p>
    <w:p>
      <w:pPr>
        <w:autoSpaceDE w:val="0"/>
        <w:autoSpaceDN w:val="0"/>
        <w:spacing w:line="360" w:lineRule="auto"/>
        <w:rPr>
          <w:rFonts w:hint="eastAsia" w:ascii="宋体" w:hAnsi="宋体" w:cs="宋体"/>
          <w:kern w:val="0"/>
        </w:rPr>
      </w:pPr>
      <w:r>
        <w:rPr>
          <w:rFonts w:hint="eastAsia" w:ascii="宋体" w:hAnsi="宋体" w:cs="宋体"/>
          <w:kern w:val="0"/>
        </w:rPr>
        <w:t xml:space="preserve">    2.</w:t>
      </w:r>
      <w:r>
        <w:rPr>
          <w:rFonts w:hint="eastAsia" w:ascii="宋体" w:hAnsi="宋体" w:cs="宋体"/>
          <w:kern w:val="0"/>
          <w:lang w:val="zh-CN"/>
        </w:rPr>
        <w:t>投标报价不能有两个或两个以上的报价方案。</w:t>
      </w:r>
    </w:p>
    <w:p>
      <w:pPr>
        <w:autoSpaceDE w:val="0"/>
        <w:autoSpaceDN w:val="0"/>
        <w:spacing w:line="360" w:lineRule="auto"/>
        <w:rPr>
          <w:rFonts w:hint="eastAsia" w:ascii="宋体" w:hAnsi="宋体" w:cs="宋体"/>
          <w:kern w:val="0"/>
          <w:lang w:val="zh-CN"/>
        </w:rPr>
      </w:pPr>
    </w:p>
    <w:p>
      <w:pPr>
        <w:autoSpaceDE w:val="0"/>
        <w:autoSpaceDN w:val="0"/>
        <w:spacing w:line="360" w:lineRule="auto"/>
        <w:rPr>
          <w:rFonts w:hint="eastAsia" w:ascii="宋体" w:hAnsi="宋体" w:cs="宋体"/>
          <w:kern w:val="0"/>
          <w:lang w:val="zh-CN"/>
        </w:rPr>
      </w:pP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法定代表人或委托代理人：        （签字或盖章）</w:t>
      </w:r>
    </w:p>
    <w:p>
      <w:pPr>
        <w:jc w:val="center"/>
        <w:rPr>
          <w:rFonts w:hint="eastAsia" w:ascii="宋体" w:hAnsi="宋体" w:cs="宋体"/>
          <w:b/>
          <w:bCs/>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rPr>
          <w:rFonts w:hint="eastAsia" w:ascii="宋体" w:hAnsi="宋体" w:cs="宋体"/>
          <w:b/>
          <w:bCs/>
          <w:kern w:val="0"/>
          <w:lang w:val="zh-CN"/>
        </w:rPr>
      </w:pPr>
    </w:p>
    <w:p>
      <w:pPr>
        <w:pStyle w:val="12"/>
        <w:spacing w:before="0" w:after="0" w:line="360" w:lineRule="auto"/>
        <w:jc w:val="both"/>
        <w:outlineLvl w:val="1"/>
        <w:rPr>
          <w:rFonts w:hint="eastAsia" w:ascii="宋体" w:hAnsi="宋体" w:cs="宋体"/>
        </w:rPr>
      </w:pPr>
      <w:r>
        <w:rPr>
          <w:rFonts w:hint="eastAsia" w:ascii="宋体" w:hAnsi="宋体" w:cs="宋体"/>
          <w:sz w:val="30"/>
          <w:szCs w:val="30"/>
          <w:lang w:val="zh-CN"/>
        </w:rPr>
        <w:br w:type="page"/>
      </w:r>
      <w:bookmarkStart w:id="74" w:name="_Toc14566"/>
      <w:r>
        <w:rPr>
          <w:rFonts w:hint="eastAsia" w:ascii="宋体" w:hAnsi="宋体" w:cs="宋体"/>
          <w:sz w:val="30"/>
          <w:szCs w:val="30"/>
        </w:rPr>
        <w:t>（13）</w:t>
      </w:r>
      <w:r>
        <w:rPr>
          <w:rFonts w:hint="eastAsia" w:ascii="宋体" w:hAnsi="宋体" w:cs="宋体"/>
          <w:sz w:val="30"/>
          <w:szCs w:val="30"/>
          <w:lang w:val="zh-CN"/>
        </w:rPr>
        <w:t>技术规格响应表</w:t>
      </w:r>
      <w:bookmarkEnd w:id="74"/>
    </w:p>
    <w:p>
      <w:pPr>
        <w:autoSpaceDE w:val="0"/>
        <w:autoSpaceDN w:val="0"/>
        <w:spacing w:line="360" w:lineRule="auto"/>
        <w:rPr>
          <w:rFonts w:hint="eastAsia" w:ascii="宋体" w:hAnsi="宋体" w:cs="宋体"/>
          <w:kern w:val="0"/>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技术规格响应表</w:t>
      </w:r>
    </w:p>
    <w:p>
      <w:pPr>
        <w:autoSpaceDE w:val="0"/>
        <w:autoSpaceDN w:val="0"/>
        <w:spacing w:line="360" w:lineRule="auto"/>
        <w:rPr>
          <w:rFonts w:hint="eastAsia" w:ascii="宋体" w:hAnsi="宋体" w:cs="宋体"/>
          <w:b/>
          <w:bCs/>
          <w:kern w:val="0"/>
          <w:lang w:val="zh-CN"/>
        </w:rPr>
      </w:pPr>
      <w:r>
        <w:rPr>
          <w:rFonts w:hint="eastAsia" w:ascii="宋体" w:hAnsi="宋体" w:cs="宋体"/>
          <w:b/>
          <w:bCs/>
          <w:kern w:val="0"/>
          <w:lang w:val="zh-CN"/>
        </w:rPr>
        <w:t>投标人名称</w:t>
      </w:r>
      <w:r>
        <w:rPr>
          <w:rFonts w:hint="eastAsia" w:ascii="宋体" w:hAnsi="宋体" w:cs="宋体"/>
          <w:b/>
          <w:bCs/>
          <w:kern w:val="0"/>
        </w:rPr>
        <w:t xml:space="preserve">：                                            包号：  </w:t>
      </w:r>
    </w:p>
    <w:tbl>
      <w:tblPr>
        <w:tblStyle w:val="13"/>
        <w:tblW w:w="0" w:type="auto"/>
        <w:jc w:val="center"/>
        <w:tblLayout w:type="fixed"/>
        <w:tblCellMar>
          <w:top w:w="0" w:type="dxa"/>
          <w:left w:w="28" w:type="dxa"/>
          <w:bottom w:w="0" w:type="dxa"/>
          <w:right w:w="28" w:type="dxa"/>
        </w:tblCellMar>
      </w:tblPr>
      <w:tblGrid>
        <w:gridCol w:w="616"/>
        <w:gridCol w:w="1233"/>
        <w:gridCol w:w="2378"/>
        <w:gridCol w:w="1247"/>
        <w:gridCol w:w="2467"/>
        <w:gridCol w:w="676"/>
      </w:tblGrid>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3611" w:type="dxa"/>
            <w:gridSpan w:val="2"/>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投标产品技术参数、指标</w:t>
            </w:r>
          </w:p>
        </w:tc>
        <w:tc>
          <w:tcPr>
            <w:tcW w:w="67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偏离</w:t>
            </w: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序号</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名称</w:t>
            </w:r>
          </w:p>
        </w:tc>
        <w:tc>
          <w:tcPr>
            <w:tcW w:w="237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名称</w:t>
            </w:r>
          </w:p>
        </w:tc>
        <w:tc>
          <w:tcPr>
            <w:tcW w:w="246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技术参数及配置</w:t>
            </w:r>
          </w:p>
        </w:tc>
        <w:tc>
          <w:tcPr>
            <w:tcW w:w="67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1</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2</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r>
              <w:rPr>
                <w:rFonts w:hint="eastAsia" w:ascii="宋体" w:hAnsi="宋体" w:cs="宋体"/>
                <w:kern w:val="0"/>
                <w:lang w:val="zh-CN"/>
              </w:rPr>
              <w:t>…</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kern w:val="0"/>
                <w:lang w:val="zh-CN"/>
              </w:rPr>
            </w:pPr>
          </w:p>
        </w:tc>
      </w:tr>
    </w:tbl>
    <w:p>
      <w:pPr>
        <w:autoSpaceDE w:val="0"/>
        <w:autoSpaceDN w:val="0"/>
        <w:spacing w:line="360" w:lineRule="auto"/>
        <w:rPr>
          <w:rFonts w:hint="eastAsia" w:ascii="宋体" w:hAnsi="宋体" w:cs="宋体"/>
          <w:kern w:val="0"/>
          <w:lang w:val="zh-CN"/>
        </w:rPr>
      </w:pPr>
      <w:r>
        <w:rPr>
          <w:rFonts w:hint="eastAsia" w:ascii="宋体" w:hAnsi="宋体" w:cs="宋体"/>
          <w:kern w:val="0"/>
          <w:lang w:val="zh-CN"/>
        </w:rPr>
        <w:t>注：1.本表应按照每包“项目概况及技术参数”中产品序号的指标逐项填写，不得遗漏，</w:t>
      </w:r>
      <w:r>
        <w:rPr>
          <w:rFonts w:hint="eastAsia" w:ascii="宋体" w:hAnsi="宋体"/>
        </w:rPr>
        <w:t>否则</w:t>
      </w:r>
      <w:r>
        <w:rPr>
          <w:rFonts w:hint="eastAsia" w:ascii="宋体" w:hAnsi="宋体"/>
          <w:kern w:val="0"/>
          <w:szCs w:val="20"/>
        </w:rPr>
        <w:t>，按无效投标处理</w:t>
      </w:r>
      <w:r>
        <w:rPr>
          <w:rFonts w:hint="eastAsia" w:ascii="宋体" w:hAnsi="宋体"/>
        </w:rPr>
        <w:t>。</w:t>
      </w:r>
    </w:p>
    <w:p>
      <w:pPr>
        <w:numPr>
          <w:ilvl w:val="0"/>
          <w:numId w:val="8"/>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投标产品技术参数、指标”必须与投标文件中提供的产品检测报告、彩页等证明材料的实质性响应情况相一致。若在评标环节发现该项与投标文件中提供的产品检测报告、彩页（或厂家公开发布的资料参数）等证明材料的实质性响应情况不一致或直接复制招标文件“采购需求技术参数、指标”内容的，按无效投标处理。</w:t>
      </w:r>
    </w:p>
    <w:p>
      <w:pPr>
        <w:numPr>
          <w:ilvl w:val="0"/>
          <w:numId w:val="8"/>
        </w:num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填写此表时以招标项目参数要求为基本投标要求，满足招标项目参数要求的指标需列出“</w:t>
      </w:r>
      <w:r>
        <w:rPr>
          <w:rFonts w:hint="eastAsia" w:ascii="宋体" w:hAnsi="宋体" w:cs="宋体"/>
          <w:kern w:val="0"/>
        </w:rPr>
        <w:t>0</w:t>
      </w:r>
      <w:r>
        <w:rPr>
          <w:rFonts w:hint="eastAsia" w:ascii="宋体" w:hAnsi="宋体" w:cs="宋体"/>
          <w:kern w:val="0"/>
          <w:lang w:val="zh-CN"/>
        </w:rPr>
        <w:t>”；超出、不满足招标项目参数要求的指标需列出“+”、“-”偏差，并做出详细说明。</w:t>
      </w: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rPr>
        <w:t>4</w:t>
      </w:r>
      <w:r>
        <w:rPr>
          <w:rFonts w:hint="eastAsia" w:ascii="宋体" w:hAnsi="宋体" w:cs="宋体"/>
          <w:kern w:val="0"/>
          <w:lang w:val="zh-CN"/>
        </w:rPr>
        <w:t>.投标人响应采购需求应具体、明确，含糊不清、不确切或伪造、编造证明材料的，按照实质性不响应处理。对伪造、编造证明材料的，将报告本级财政部门。</w:t>
      </w:r>
    </w:p>
    <w:p>
      <w:pPr>
        <w:autoSpaceDE w:val="0"/>
        <w:autoSpaceDN w:val="0"/>
        <w:spacing w:line="360" w:lineRule="auto"/>
        <w:ind w:firstLine="480"/>
        <w:rPr>
          <w:rFonts w:hint="eastAsia" w:ascii="宋体" w:hAnsi="宋体" w:cs="宋体"/>
          <w:kern w:val="0"/>
          <w:lang w:val="zh-CN"/>
        </w:rPr>
      </w:pPr>
    </w:p>
    <w:p>
      <w:pPr>
        <w:autoSpaceDE w:val="0"/>
        <w:autoSpaceDN w:val="0"/>
        <w:spacing w:line="360" w:lineRule="auto"/>
        <w:ind w:firstLine="480"/>
        <w:rPr>
          <w:rFonts w:hint="eastAsia" w:ascii="宋体" w:hAnsi="宋体" w:cs="宋体"/>
          <w:kern w:val="0"/>
          <w:lang w:val="zh-CN"/>
        </w:rPr>
      </w:pP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hint="eastAsia" w:ascii="宋体" w:hAnsi="宋体" w:cs="宋体"/>
          <w:b/>
          <w:bCs/>
          <w:kern w:val="0"/>
          <w:lang w:val="zh-CN"/>
        </w:rPr>
      </w:pPr>
      <w:r>
        <w:rPr>
          <w:rFonts w:hint="eastAsia" w:ascii="宋体" w:hAnsi="宋体" w:cs="宋体"/>
          <w:b/>
          <w:bCs/>
          <w:kern w:val="0"/>
          <w:lang w:val="zh-CN"/>
        </w:rPr>
        <w:t>法定代表人或委托代理人：        （签字或盖章）</w:t>
      </w:r>
    </w:p>
    <w:p>
      <w:pPr>
        <w:autoSpaceDE w:val="0"/>
        <w:autoSpaceDN w:val="0"/>
        <w:spacing w:line="360" w:lineRule="auto"/>
        <w:ind w:firstLine="3253"/>
        <w:rPr>
          <w:rFonts w:hint="eastAsia" w:ascii="宋体" w:hAnsi="宋体" w:cs="宋体"/>
          <w:b/>
          <w:bCs/>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pStyle w:val="12"/>
        <w:spacing w:before="0" w:after="0" w:line="360" w:lineRule="auto"/>
        <w:jc w:val="left"/>
        <w:outlineLvl w:val="1"/>
        <w:rPr>
          <w:rFonts w:hint="eastAsia" w:ascii="宋体" w:hAnsi="宋体" w:cs="宋体"/>
        </w:rPr>
      </w:pPr>
      <w:r>
        <w:rPr>
          <w:rFonts w:hint="eastAsia" w:ascii="宋体" w:hAnsi="宋体" w:cs="宋体"/>
          <w:kern w:val="0"/>
          <w:sz w:val="24"/>
          <w:szCs w:val="24"/>
          <w:lang w:val="zh-CN"/>
        </w:rPr>
        <w:br w:type="page"/>
      </w:r>
      <w:bookmarkStart w:id="75" w:name="_Toc8297"/>
      <w:bookmarkStart w:id="76" w:name="_Toc14290"/>
      <w:r>
        <w:rPr>
          <w:rFonts w:hint="eastAsia" w:ascii="宋体" w:hAnsi="宋体" w:cs="宋体"/>
          <w:sz w:val="30"/>
          <w:szCs w:val="30"/>
        </w:rPr>
        <w:t>（14）</w:t>
      </w:r>
      <w:r>
        <w:rPr>
          <w:rFonts w:hint="eastAsia" w:ascii="宋体" w:hAnsi="宋体" w:cs="宋体"/>
          <w:sz w:val="30"/>
          <w:szCs w:val="30"/>
          <w:lang w:val="zh-CN"/>
        </w:rPr>
        <w:t>投标产品相关资料</w:t>
      </w:r>
      <w:bookmarkEnd w:id="75"/>
    </w:p>
    <w:p>
      <w:pPr>
        <w:autoSpaceDE w:val="0"/>
        <w:autoSpaceDN w:val="0"/>
        <w:spacing w:line="360" w:lineRule="auto"/>
        <w:rPr>
          <w:rFonts w:hint="eastAsia" w:ascii="宋体" w:hAnsi="宋体" w:cs="宋体"/>
          <w:kern w:val="0"/>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投标产品相关资料</w:t>
      </w:r>
    </w:p>
    <w:p>
      <w:pPr>
        <w:autoSpaceDE w:val="0"/>
        <w:autoSpaceDN w:val="0"/>
        <w:spacing w:line="360" w:lineRule="auto"/>
        <w:rPr>
          <w:rFonts w:hint="eastAsia" w:ascii="宋体" w:hAnsi="宋体" w:cs="宋体"/>
          <w:kern w:val="0"/>
          <w:sz w:val="28"/>
          <w:szCs w:val="28"/>
          <w:lang w:val="zh-CN"/>
        </w:rPr>
      </w:pPr>
    </w:p>
    <w:p>
      <w:pPr>
        <w:autoSpaceDE w:val="0"/>
        <w:autoSpaceDN w:val="0"/>
        <w:spacing w:line="360" w:lineRule="auto"/>
        <w:ind w:firstLine="480" w:firstLineChars="200"/>
        <w:rPr>
          <w:rFonts w:hint="eastAsia" w:ascii="宋体" w:hAnsi="宋体" w:cs="宋体"/>
          <w:sz w:val="32"/>
          <w:lang w:val="zh-CN"/>
        </w:rPr>
      </w:pPr>
      <w:r>
        <w:rPr>
          <w:rFonts w:hint="eastAsia" w:ascii="宋体" w:hAnsi="宋体" w:cs="宋体"/>
          <w:kern w:val="0"/>
          <w:lang w:val="zh-CN"/>
        </w:rPr>
        <w:t>根据采购项目内容，投标时提供国家认可的质监机构出具的投标产品的产品检验报告、证明技术参数响应的相关资料、彩页（或厂家公开发布的资料参数）、相关认证等资料。</w:t>
      </w:r>
    </w:p>
    <w:p>
      <w:pPr>
        <w:pStyle w:val="12"/>
        <w:spacing w:before="0" w:after="0" w:line="360" w:lineRule="auto"/>
        <w:jc w:val="left"/>
        <w:outlineLvl w:val="1"/>
        <w:rPr>
          <w:rFonts w:hint="eastAsia" w:ascii="宋体" w:hAnsi="宋体" w:cs="宋体"/>
        </w:rPr>
      </w:pPr>
      <w:r>
        <w:rPr>
          <w:rFonts w:hint="eastAsia" w:ascii="宋体" w:hAnsi="宋体" w:cs="宋体"/>
          <w:lang w:val="zh-CN"/>
        </w:rPr>
        <w:br w:type="page"/>
      </w:r>
      <w:bookmarkStart w:id="77" w:name="_Toc2748"/>
      <w:r>
        <w:rPr>
          <w:rFonts w:hint="eastAsia" w:ascii="宋体" w:hAnsi="宋体" w:cs="宋体"/>
          <w:sz w:val="30"/>
          <w:szCs w:val="30"/>
        </w:rPr>
        <w:t>（15）</w:t>
      </w:r>
      <w:r>
        <w:rPr>
          <w:rFonts w:hint="eastAsia" w:ascii="宋体" w:hAnsi="宋体" w:cs="宋体"/>
          <w:sz w:val="30"/>
          <w:szCs w:val="30"/>
          <w:lang w:val="zh-CN"/>
        </w:rPr>
        <w:t>投标人的类似业绩证明材料</w:t>
      </w:r>
      <w:bookmarkEnd w:id="76"/>
      <w:bookmarkEnd w:id="77"/>
    </w:p>
    <w:p>
      <w:pPr>
        <w:autoSpaceDE w:val="0"/>
        <w:autoSpaceDN w:val="0"/>
        <w:spacing w:line="360" w:lineRule="auto"/>
        <w:rPr>
          <w:rFonts w:hint="eastAsia" w:ascii="宋体" w:hAnsi="宋体" w:cs="宋体"/>
          <w:kern w:val="0"/>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投标人的类似业绩证明材料</w:t>
      </w:r>
    </w:p>
    <w:p>
      <w:pPr>
        <w:autoSpaceDE w:val="0"/>
        <w:autoSpaceDN w:val="0"/>
        <w:spacing w:line="360" w:lineRule="auto"/>
        <w:rPr>
          <w:rFonts w:hint="eastAsia" w:ascii="宋体" w:hAnsi="宋体" w:cs="宋体"/>
          <w:kern w:val="0"/>
          <w:sz w:val="28"/>
          <w:szCs w:val="28"/>
          <w:lang w:val="zh-CN"/>
        </w:rPr>
      </w:pPr>
    </w:p>
    <w:p>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提供自</w:t>
      </w:r>
      <w:r>
        <w:rPr>
          <w:rFonts w:hint="eastAsia" w:ascii="宋体" w:hAnsi="宋体" w:cs="宋体"/>
          <w:kern w:val="0"/>
          <w:u w:val="single"/>
          <w:lang w:val="zh-CN"/>
        </w:rPr>
        <w:t xml:space="preserve"> 20</w:t>
      </w:r>
      <w:r>
        <w:rPr>
          <w:rFonts w:hint="eastAsia" w:ascii="宋体" w:hAnsi="宋体" w:cs="宋体"/>
          <w:kern w:val="0"/>
          <w:u w:val="single"/>
          <w:lang w:val="en-US" w:eastAsia="zh-CN"/>
        </w:rPr>
        <w:t>20</w:t>
      </w:r>
      <w:r>
        <w:rPr>
          <w:rFonts w:hint="eastAsia" w:ascii="宋体" w:hAnsi="宋体" w:cs="宋体"/>
          <w:kern w:val="0"/>
          <w:u w:val="single"/>
        </w:rPr>
        <w:t>年</w:t>
      </w:r>
      <w:r>
        <w:rPr>
          <w:rFonts w:hint="eastAsia" w:ascii="宋体" w:hAnsi="宋体" w:cs="宋体"/>
          <w:kern w:val="0"/>
          <w:u w:val="single"/>
          <w:lang w:val="en-US" w:eastAsia="zh-CN"/>
        </w:rPr>
        <w:t>9</w:t>
      </w:r>
      <w:r>
        <w:rPr>
          <w:rFonts w:hint="eastAsia" w:ascii="宋体" w:hAnsi="宋体" w:cs="宋体"/>
          <w:kern w:val="0"/>
          <w:u w:val="single"/>
        </w:rPr>
        <w:t>月</w:t>
      </w:r>
      <w:r>
        <w:rPr>
          <w:rFonts w:hint="eastAsia" w:ascii="宋体" w:hAnsi="宋体" w:cs="宋体"/>
          <w:kern w:val="0"/>
          <w:lang w:val="zh-CN"/>
        </w:rPr>
        <w:t>以来的类似业绩证明材料。类似业绩是指与采购项目在产品类型、使用功能、</w:t>
      </w:r>
      <w:r>
        <w:rPr>
          <w:rFonts w:ascii="宋体" w:hAnsi="宋体" w:cs="宋体"/>
          <w:kern w:val="0"/>
          <w:lang w:val="zh-CN"/>
        </w:rPr>
        <w:t>合同规模</w:t>
      </w:r>
      <w:r>
        <w:rPr>
          <w:rFonts w:hint="eastAsia" w:ascii="宋体" w:hAnsi="宋体" w:cs="宋体"/>
          <w:kern w:val="0"/>
          <w:lang w:val="zh-CN"/>
        </w:rPr>
        <w:t>等方面相同或相近的项目。</w:t>
      </w:r>
      <w:r>
        <w:rPr>
          <w:rFonts w:hint="eastAsia" w:ascii="宋体" w:hAnsi="宋体"/>
        </w:rPr>
        <w:t>需提供包含中标通知书、合同首页、标的及金额所在页、供货合同签字盖章页的扫描（或复印）件。</w:t>
      </w:r>
    </w:p>
    <w:p>
      <w:pPr>
        <w:pStyle w:val="12"/>
        <w:spacing w:before="0" w:after="0" w:line="360" w:lineRule="auto"/>
        <w:jc w:val="left"/>
        <w:outlineLvl w:val="1"/>
        <w:rPr>
          <w:rFonts w:hint="eastAsia" w:ascii="宋体" w:hAnsi="宋体" w:cs="宋体"/>
          <w:lang w:val="zh-CN"/>
        </w:rPr>
      </w:pPr>
      <w:r>
        <w:rPr>
          <w:rFonts w:hint="eastAsia" w:ascii="宋体" w:hAnsi="宋体" w:cs="宋体"/>
          <w:lang w:val="zh-CN"/>
        </w:rPr>
        <w:br w:type="page"/>
      </w:r>
      <w:bookmarkStart w:id="78" w:name="_Toc10010"/>
      <w:bookmarkStart w:id="79" w:name="_Toc6755"/>
      <w:r>
        <w:rPr>
          <w:rFonts w:hint="eastAsia" w:ascii="宋体" w:hAnsi="宋体" w:cs="宋体"/>
          <w:sz w:val="30"/>
          <w:szCs w:val="30"/>
        </w:rPr>
        <w:t>（16.1）</w:t>
      </w:r>
      <w:bookmarkEnd w:id="78"/>
      <w:bookmarkEnd w:id="79"/>
      <w:r>
        <w:rPr>
          <w:rFonts w:hint="eastAsia" w:ascii="宋体" w:hAnsi="宋体" w:cs="宋体"/>
          <w:sz w:val="30"/>
          <w:szCs w:val="30"/>
        </w:rPr>
        <w:t>中小企业声明函</w:t>
      </w:r>
    </w:p>
    <w:p>
      <w:pPr>
        <w:spacing w:line="360" w:lineRule="auto"/>
        <w:rPr>
          <w:rFonts w:hint="eastAsia" w:ascii="宋体" w:hAnsi="宋体" w:cs="宋体"/>
          <w:sz w:val="28"/>
          <w:szCs w:val="28"/>
          <w:lang w:val="zh-CN"/>
        </w:rPr>
      </w:pPr>
    </w:p>
    <w:p>
      <w:pPr>
        <w:autoSpaceDE w:val="0"/>
        <w:autoSpaceDN w:val="0"/>
        <w:spacing w:line="360" w:lineRule="auto"/>
        <w:jc w:val="center"/>
        <w:rPr>
          <w:rFonts w:hint="eastAsia" w:ascii="宋体" w:hAnsi="宋体" w:cs="宋体"/>
          <w:kern w:val="0"/>
          <w:sz w:val="28"/>
          <w:szCs w:val="28"/>
          <w:lang w:val="zh-CN"/>
        </w:rPr>
      </w:pPr>
      <w:r>
        <w:rPr>
          <w:rFonts w:hint="eastAsia" w:ascii="宋体" w:hAnsi="宋体" w:cs="宋体"/>
          <w:b/>
          <w:bCs/>
          <w:sz w:val="32"/>
          <w:szCs w:val="32"/>
        </w:rPr>
        <w:t>中小企业声明函（货物）</w:t>
      </w:r>
    </w:p>
    <w:p>
      <w:pPr>
        <w:spacing w:after="120" w:afterLines="50"/>
        <w:rPr>
          <w:rFonts w:hint="eastAsia"/>
        </w:rPr>
      </w:pPr>
      <w:r>
        <w:rPr>
          <w:rFonts w:hint="eastAsia" w:ascii="宋体" w:hAnsi="宋体"/>
          <w:b/>
          <w:bCs/>
        </w:rPr>
        <w:t>致：</w:t>
      </w:r>
      <w:r>
        <w:rPr>
          <w:rFonts w:hint="eastAsia" w:ascii="宋体" w:hAnsi="宋体" w:cs="宋体"/>
          <w:b/>
          <w:bCs/>
          <w:kern w:val="0"/>
          <w:lang w:val="zh-CN"/>
        </w:rPr>
        <w:t>德令哈城乡建设综合开发有限公司</w:t>
      </w:r>
    </w:p>
    <w:p>
      <w:pPr>
        <w:spacing w:line="360" w:lineRule="auto"/>
        <w:ind w:firstLine="480"/>
        <w:rPr>
          <w:rFonts w:hint="eastAsia"/>
        </w:rPr>
      </w:pPr>
      <w:r>
        <w:rPr>
          <w:rFonts w:hint="eastAsia"/>
        </w:rPr>
        <w:t>本公司（联合体） 郑重声明， 根据《政府采购促进中小企业发展管理办法》（财库﹝2020﹞46 号） 的规定， 本公司（联合体） 参加</w:t>
      </w:r>
      <w:r>
        <w:rPr>
          <w:rFonts w:hint="eastAsia"/>
          <w:u w:val="single"/>
        </w:rPr>
        <w:t>（单位名称）</w:t>
      </w:r>
      <w:r>
        <w:rPr>
          <w:rFonts w:hint="eastAsia"/>
        </w:rPr>
        <w:t xml:space="preserve"> 的</w:t>
      </w:r>
      <w:r>
        <w:rPr>
          <w:rFonts w:hint="eastAsia"/>
          <w:u w:val="single"/>
        </w:rPr>
        <w:t xml:space="preserve">（项目名称） </w:t>
      </w:r>
      <w:r>
        <w:rPr>
          <w:rFonts w:hint="eastAsia"/>
        </w:rPr>
        <w:t>采购活动，提供的货物全部由符合政策要求的中小企业制造。 相关企业（含联合体中的中小企业、 签订分包意向协议的中小企业）的具体情况如下：</w:t>
      </w:r>
    </w:p>
    <w:p>
      <w:pPr>
        <w:spacing w:line="360" w:lineRule="auto"/>
        <w:ind w:firstLine="480"/>
        <w:rPr>
          <w:rFonts w:hint="eastAsia"/>
        </w:rPr>
      </w:pPr>
      <w:r>
        <w:rPr>
          <w:rFonts w:hint="eastAsia"/>
        </w:rPr>
        <w:t xml:space="preserve">1. </w:t>
      </w:r>
      <w:r>
        <w:rPr>
          <w:rFonts w:hint="eastAsia"/>
          <w:u w:val="single"/>
        </w:rPr>
        <w:t>（标的名称）</w:t>
      </w:r>
      <w:r>
        <w:rPr>
          <w:rFonts w:hint="eastAsia"/>
        </w:rPr>
        <w:t xml:space="preserve"> ，属于</w:t>
      </w:r>
      <w:r>
        <w:rPr>
          <w:rFonts w:hint="eastAsia"/>
          <w:u w:val="single"/>
        </w:rPr>
        <w:t xml:space="preserve">    （采购文件中明确的所属行业）     </w:t>
      </w:r>
      <w:r>
        <w:rPr>
          <w:rFonts w:hint="eastAsia"/>
        </w:rPr>
        <w:t>行业； 制造商为</w:t>
      </w:r>
      <w:r>
        <w:rPr>
          <w:rFonts w:hint="eastAsia"/>
          <w:u w:val="single"/>
        </w:rPr>
        <w:t>（ 企业名称）</w:t>
      </w:r>
      <w:r>
        <w:rPr>
          <w:rFonts w:hint="eastAsia"/>
        </w:rPr>
        <w:t>， 从业人员</w:t>
      </w:r>
      <w:r>
        <w:rPr>
          <w:rFonts w:hint="eastAsia"/>
          <w:u w:val="single"/>
        </w:rPr>
        <w:t xml:space="preserve">    </w:t>
      </w:r>
      <w:r>
        <w:rPr>
          <w:rFonts w:hint="eastAsia"/>
        </w:rPr>
        <w:t>人， 营业收入为</w:t>
      </w:r>
      <w:r>
        <w:rPr>
          <w:rFonts w:hint="eastAsia"/>
          <w:u w:val="single"/>
        </w:rPr>
        <w:t xml:space="preserve">     </w:t>
      </w:r>
      <w:r>
        <w:rPr>
          <w:rFonts w:hint="eastAsia"/>
        </w:rPr>
        <w:t>万元， 资产总额为</w:t>
      </w:r>
      <w:r>
        <w:rPr>
          <w:rFonts w:hint="eastAsia"/>
          <w:u w:val="single"/>
        </w:rPr>
        <w:t xml:space="preserve">    </w:t>
      </w:r>
      <w:r>
        <w:rPr>
          <w:rFonts w:hint="eastAsia"/>
        </w:rPr>
        <w:t>万元，属于</w:t>
      </w:r>
      <w:r>
        <w:rPr>
          <w:rFonts w:hint="eastAsia"/>
          <w:u w:val="single"/>
        </w:rPr>
        <w:t>（中型企业、 小型企业、 微型企业）</w:t>
      </w:r>
      <w:r>
        <w:rPr>
          <w:rFonts w:hint="eastAsia"/>
        </w:rPr>
        <w:t>；</w:t>
      </w:r>
    </w:p>
    <w:p>
      <w:pPr>
        <w:spacing w:line="360" w:lineRule="auto"/>
        <w:ind w:firstLine="480"/>
        <w:rPr>
          <w:rFonts w:hint="eastAsia"/>
        </w:rPr>
      </w:pPr>
      <w:r>
        <w:rPr>
          <w:rFonts w:hint="eastAsia"/>
        </w:rPr>
        <w:t xml:space="preserve">2. </w:t>
      </w:r>
      <w:r>
        <w:rPr>
          <w:rFonts w:hint="eastAsia"/>
          <w:u w:val="single"/>
        </w:rPr>
        <w:t xml:space="preserve">（标的名称） </w:t>
      </w:r>
      <w:r>
        <w:rPr>
          <w:rFonts w:hint="eastAsia"/>
        </w:rPr>
        <w:t>，属于</w:t>
      </w:r>
      <w:r>
        <w:rPr>
          <w:rFonts w:hint="eastAsia"/>
          <w:u w:val="single"/>
        </w:rPr>
        <w:t xml:space="preserve">  （采购文件中明确的所属行业）    </w:t>
      </w:r>
      <w:r>
        <w:rPr>
          <w:rFonts w:hint="eastAsia"/>
        </w:rPr>
        <w:t>行业； 制造商为</w:t>
      </w:r>
      <w:r>
        <w:rPr>
          <w:rFonts w:hint="eastAsia"/>
          <w:u w:val="single"/>
        </w:rPr>
        <w:t>（ 企业名称）</w:t>
      </w:r>
      <w:r>
        <w:rPr>
          <w:rFonts w:hint="eastAsia"/>
        </w:rPr>
        <w:t>，从业人员</w:t>
      </w:r>
      <w:r>
        <w:rPr>
          <w:rFonts w:hint="eastAsia"/>
          <w:u w:val="single"/>
        </w:rPr>
        <w:t xml:space="preserve">    </w:t>
      </w:r>
      <w:r>
        <w:rPr>
          <w:rFonts w:hint="eastAsia"/>
        </w:rPr>
        <w:t>人， 营业收入为</w:t>
      </w:r>
      <w:r>
        <w:rPr>
          <w:rFonts w:hint="eastAsia"/>
          <w:u w:val="single"/>
        </w:rPr>
        <w:t xml:space="preserve">    </w:t>
      </w:r>
      <w:r>
        <w:rPr>
          <w:rFonts w:hint="eastAsia"/>
        </w:rPr>
        <w:t>万元， 资产总额为</w:t>
      </w:r>
      <w:r>
        <w:rPr>
          <w:rFonts w:hint="eastAsia"/>
          <w:u w:val="single"/>
        </w:rPr>
        <w:t xml:space="preserve">    </w:t>
      </w:r>
      <w:r>
        <w:rPr>
          <w:rFonts w:hint="eastAsia"/>
        </w:rPr>
        <w:t>万元，属于</w:t>
      </w:r>
      <w:r>
        <w:rPr>
          <w:rFonts w:hint="eastAsia"/>
          <w:u w:val="single"/>
        </w:rPr>
        <w:t>（中型企业、 小型企业、 微型企业）</w:t>
      </w:r>
      <w:r>
        <w:rPr>
          <w:rFonts w:hint="eastAsia"/>
        </w:rPr>
        <w:t>；</w:t>
      </w:r>
    </w:p>
    <w:p>
      <w:pPr>
        <w:spacing w:line="360" w:lineRule="auto"/>
        <w:ind w:firstLine="480"/>
        <w:rPr>
          <w:rFonts w:hint="eastAsia"/>
        </w:rPr>
      </w:pPr>
      <w:r>
        <w:rPr>
          <w:rFonts w:hint="eastAsia"/>
        </w:rPr>
        <w:t>……</w:t>
      </w:r>
    </w:p>
    <w:p>
      <w:pPr>
        <w:spacing w:line="360" w:lineRule="auto"/>
        <w:ind w:firstLine="480"/>
        <w:rPr>
          <w:rFonts w:hint="eastAsia"/>
        </w:rPr>
      </w:pPr>
      <w:r>
        <w:rPr>
          <w:rFonts w:hint="eastAsia"/>
        </w:rPr>
        <w:t>以上企业，不属于大企业的分支机构， 不存在控股股东为大企业的情形， 也不存在与大企业的负责人为同一人的情形。</w:t>
      </w:r>
    </w:p>
    <w:p>
      <w:pPr>
        <w:spacing w:line="360" w:lineRule="auto"/>
        <w:ind w:firstLine="480"/>
        <w:rPr>
          <w:rFonts w:hint="eastAsia"/>
        </w:rPr>
      </w:pPr>
      <w:r>
        <w:rPr>
          <w:rFonts w:hint="eastAsia"/>
        </w:rPr>
        <w:t>本企业对上述声明内容的真实性负责。 如有虚假， 将依法承担相应责任。</w:t>
      </w:r>
    </w:p>
    <w:p>
      <w:pPr>
        <w:spacing w:line="360" w:lineRule="auto"/>
        <w:ind w:firstLine="480"/>
        <w:rPr>
          <w:rFonts w:hint="eastAsia"/>
        </w:rPr>
      </w:pPr>
    </w:p>
    <w:p>
      <w:pPr>
        <w:spacing w:line="360" w:lineRule="auto"/>
        <w:rPr>
          <w:rFonts w:hint="eastAsia"/>
        </w:rPr>
      </w:pPr>
      <w:r>
        <w:rPr>
          <w:rFonts w:hint="eastAsia"/>
        </w:rPr>
        <w:t>注：1、从业人员、营业收入、资产总额填报上一年度数据，无上一年度数据的新成立企业可不填报。</w:t>
      </w:r>
    </w:p>
    <w:p>
      <w:pPr>
        <w:pStyle w:val="5"/>
        <w:numPr>
          <w:ilvl w:val="0"/>
          <w:numId w:val="9"/>
        </w:numPr>
        <w:ind w:firstLine="600" w:firstLineChars="250"/>
        <w:rPr>
          <w:rFonts w:hint="eastAsia" w:ascii="宋体" w:hAnsi="宋体"/>
        </w:rPr>
      </w:pPr>
      <w:r>
        <w:rPr>
          <w:rFonts w:hint="eastAsia" w:ascii="宋体" w:hAnsi="宋体"/>
        </w:rPr>
        <w:t>若无此项内容，可不提供此函。</w:t>
      </w:r>
    </w:p>
    <w:p>
      <w:pPr>
        <w:pStyle w:val="10"/>
        <w:rPr>
          <w:rFonts w:hint="eastAsia"/>
        </w:rPr>
      </w:pPr>
    </w:p>
    <w:p>
      <w:pPr>
        <w:pStyle w:val="10"/>
        <w:rPr>
          <w:rFonts w:hint="eastAsia"/>
        </w:rPr>
      </w:pPr>
    </w:p>
    <w:p>
      <w:pPr>
        <w:spacing w:line="360" w:lineRule="auto"/>
        <w:ind w:right="480"/>
        <w:jc w:val="right"/>
        <w:rPr>
          <w:rFonts w:hint="eastAsia" w:ascii="宋体" w:hAnsi="宋体"/>
          <w:b/>
        </w:rPr>
      </w:pPr>
      <w:r>
        <w:rPr>
          <w:rFonts w:hint="eastAsia" w:ascii="宋体" w:hAnsi="宋体"/>
          <w:b/>
        </w:rPr>
        <w:t>企业名称：</w:t>
      </w:r>
      <w:r>
        <w:rPr>
          <w:rFonts w:hint="eastAsia" w:ascii="仿宋_GB2312" w:eastAsia="仿宋_GB2312" w:cs="宋体"/>
          <w:kern w:val="0"/>
          <w:sz w:val="28"/>
          <w:szCs w:val="28"/>
          <w:u w:val="single"/>
        </w:rPr>
        <w:t xml:space="preserve">       </w:t>
      </w:r>
      <w:r>
        <w:rPr>
          <w:rFonts w:hint="eastAsia" w:ascii="宋体" w:hAnsi="宋体"/>
          <w:b/>
        </w:rPr>
        <w:t>（公章）</w:t>
      </w:r>
    </w:p>
    <w:p>
      <w:pPr>
        <w:spacing w:line="360" w:lineRule="auto"/>
        <w:ind w:firstLine="482"/>
        <w:jc w:val="right"/>
        <w:rPr>
          <w:rFonts w:ascii="宋体" w:hAnsi="宋体"/>
          <w:b/>
        </w:rPr>
      </w:pPr>
      <w:r>
        <w:rPr>
          <w:rFonts w:hint="eastAsia" w:ascii="宋体" w:hAnsi="宋体"/>
          <w:b/>
        </w:rPr>
        <w:t>企业法定代表人：</w:t>
      </w:r>
      <w:r>
        <w:rPr>
          <w:rFonts w:hint="eastAsia" w:ascii="仿宋_GB2312" w:eastAsia="仿宋_GB2312" w:cs="宋体"/>
          <w:kern w:val="0"/>
          <w:sz w:val="28"/>
          <w:szCs w:val="28"/>
          <w:u w:val="single"/>
        </w:rPr>
        <w:t xml:space="preserve">       </w:t>
      </w:r>
      <w:r>
        <w:rPr>
          <w:rFonts w:hint="eastAsia" w:ascii="宋体" w:hAnsi="宋体"/>
          <w:b/>
        </w:rPr>
        <w:t>（签字或盖章）</w:t>
      </w:r>
    </w:p>
    <w:p>
      <w:pPr>
        <w:autoSpaceDE w:val="0"/>
        <w:autoSpaceDN w:val="0"/>
        <w:spacing w:line="360" w:lineRule="auto"/>
        <w:jc w:val="center"/>
        <w:rPr>
          <w:rFonts w:hint="eastAsia" w:ascii="宋体" w:hAnsi="宋体" w:cs="宋体"/>
          <w:b/>
          <w:bCs/>
          <w:kern w:val="0"/>
          <w:lang w:val="zh-CN"/>
        </w:rPr>
      </w:pPr>
      <w:r>
        <w:rPr>
          <w:rFonts w:hint="eastAsia" w:ascii="宋体" w:hAnsi="宋体"/>
          <w:b/>
        </w:rPr>
        <w:t>年  月  日</w:t>
      </w:r>
    </w:p>
    <w:p>
      <w:pPr>
        <w:pStyle w:val="12"/>
        <w:spacing w:before="0" w:after="0" w:line="360" w:lineRule="auto"/>
        <w:jc w:val="left"/>
        <w:outlineLvl w:val="1"/>
        <w:rPr>
          <w:rFonts w:hint="eastAsia" w:ascii="宋体" w:hAnsi="宋体" w:cs="宋体"/>
          <w:lang w:val="zh-CN"/>
        </w:rPr>
      </w:pPr>
      <w:r>
        <w:rPr>
          <w:rFonts w:hint="eastAsia" w:ascii="宋体" w:hAnsi="宋体" w:cs="宋体"/>
          <w:kern w:val="0"/>
          <w:lang w:val="zh-CN"/>
        </w:rPr>
        <w:br w:type="page"/>
      </w:r>
      <w:bookmarkStart w:id="80" w:name="_Toc11260"/>
      <w:r>
        <w:rPr>
          <w:rFonts w:hint="eastAsia" w:ascii="宋体" w:hAnsi="宋体" w:cs="宋体"/>
          <w:sz w:val="30"/>
          <w:szCs w:val="30"/>
        </w:rPr>
        <w:t>（16.2）</w:t>
      </w:r>
      <w:bookmarkEnd w:id="80"/>
      <w:r>
        <w:rPr>
          <w:rFonts w:hint="eastAsia" w:ascii="宋体" w:hAnsi="宋体" w:cs="宋体"/>
          <w:sz w:val="30"/>
          <w:szCs w:val="30"/>
        </w:rPr>
        <w:t>监狱企业证明资料</w:t>
      </w:r>
    </w:p>
    <w:p>
      <w:pPr>
        <w:adjustRightInd w:val="0"/>
        <w:snapToGrid w:val="0"/>
        <w:spacing w:line="440" w:lineRule="exact"/>
        <w:ind w:left="6987" w:hanging="6987" w:hangingChars="2900"/>
        <w:jc w:val="center"/>
        <w:rPr>
          <w:rFonts w:hint="eastAsia" w:ascii="宋体" w:hAnsi="宋体" w:cs="宋体"/>
          <w:b/>
          <w:bCs/>
          <w:kern w:val="0"/>
          <w:lang w:val="zh-CN"/>
        </w:rPr>
      </w:pPr>
    </w:p>
    <w:p>
      <w:pPr>
        <w:adjustRightInd w:val="0"/>
        <w:snapToGrid w:val="0"/>
        <w:spacing w:line="440" w:lineRule="exact"/>
        <w:ind w:left="10481" w:hanging="10481" w:hangingChars="2900"/>
        <w:jc w:val="center"/>
        <w:rPr>
          <w:rFonts w:hint="eastAsia" w:ascii="宋体" w:hAnsi="宋体" w:cs="宋体"/>
          <w:b/>
        </w:rPr>
      </w:pPr>
      <w:r>
        <w:rPr>
          <w:rFonts w:hint="eastAsia" w:ascii="宋体" w:cs="楷体"/>
          <w:b/>
          <w:sz w:val="36"/>
          <w:szCs w:val="36"/>
        </w:rPr>
        <w:t>监狱企业证明资料</w:t>
      </w:r>
    </w:p>
    <w:p>
      <w:pPr>
        <w:adjustRightInd w:val="0"/>
        <w:snapToGrid w:val="0"/>
        <w:spacing w:line="440" w:lineRule="exact"/>
        <w:ind w:left="6987" w:hanging="6987" w:hangingChars="2900"/>
        <w:rPr>
          <w:rFonts w:hint="eastAsia" w:ascii="宋体" w:hAnsi="宋体" w:cs="宋体"/>
          <w:b/>
          <w:bCs/>
          <w:kern w:val="0"/>
          <w:lang w:val="zh-CN"/>
        </w:rPr>
      </w:pPr>
    </w:p>
    <w:p>
      <w:pPr>
        <w:adjustRightInd w:val="0"/>
        <w:snapToGrid w:val="0"/>
        <w:spacing w:line="440" w:lineRule="exact"/>
        <w:ind w:left="6987" w:hanging="6987" w:hangingChars="2900"/>
        <w:rPr>
          <w:rFonts w:hint="eastAsia" w:ascii="宋体" w:hAnsi="宋体" w:cs="宋体"/>
        </w:rPr>
      </w:pPr>
      <w:r>
        <w:rPr>
          <w:rFonts w:hint="eastAsia" w:ascii="宋体" w:hAnsi="宋体" w:cs="宋体"/>
          <w:b/>
          <w:bCs/>
          <w:kern w:val="0"/>
          <w:lang w:val="zh-CN"/>
        </w:rPr>
        <w:t>致：德令哈城乡建设综合开发有限公司</w:t>
      </w:r>
    </w:p>
    <w:p>
      <w:pPr>
        <w:adjustRightInd w:val="0"/>
        <w:snapToGrid w:val="0"/>
        <w:spacing w:line="560" w:lineRule="exact"/>
        <w:ind w:firstLine="504"/>
        <w:rPr>
          <w:rFonts w:hint="eastAsia" w:ascii="宋体" w:cs="仿宋_GB2312"/>
        </w:rPr>
      </w:pPr>
      <w:r>
        <w:rPr>
          <w:rFonts w:hint="eastAsia" w:ascii="宋体" w:cs="仿宋_GB2312"/>
          <w:bCs/>
          <w:spacing w:val="6"/>
        </w:rPr>
        <w:t>备注：</w:t>
      </w:r>
      <w:r>
        <w:rPr>
          <w:rFonts w:hint="eastAsia" w:ascii="宋体" w:cs="仿宋_GB2312"/>
        </w:rPr>
        <w:t>按</w:t>
      </w:r>
      <w:r>
        <w:rPr>
          <w:rFonts w:hint="eastAsia" w:ascii="宋体" w:cs="仿宋_GB2312"/>
          <w:spacing w:val="6"/>
        </w:rPr>
        <w:t>《</w:t>
      </w:r>
      <w:r>
        <w:rPr>
          <w:rFonts w:hint="eastAsia" w:ascii="宋体" w:cs="仿宋_GB2312"/>
        </w:rPr>
        <w:t>财政部 司法部关于政府采购支持监狱企业发展有关问题的通知</w:t>
      </w:r>
      <w:r>
        <w:rPr>
          <w:rFonts w:hint="eastAsia" w:ascii="宋体" w:cs="仿宋_GB2312"/>
          <w:spacing w:val="6"/>
        </w:rPr>
        <w:t>》</w:t>
      </w:r>
      <w:r>
        <w:rPr>
          <w:rFonts w:hint="eastAsia" w:ascii="宋体" w:cs="仿宋_GB2312"/>
        </w:rPr>
        <w:t>(财库〔2014〕68号)文件规定提供证明文件（复印件）。</w:t>
      </w:r>
    </w:p>
    <w:p>
      <w:pPr>
        <w:adjustRightInd w:val="0"/>
        <w:snapToGrid w:val="0"/>
        <w:spacing w:line="560" w:lineRule="exact"/>
        <w:ind w:firstLine="480"/>
        <w:rPr>
          <w:rFonts w:hint="eastAsia" w:ascii="宋体" w:cs="仿宋_GB2312"/>
        </w:rPr>
      </w:pPr>
    </w:p>
    <w:p>
      <w:pPr>
        <w:spacing w:line="360" w:lineRule="auto"/>
        <w:rPr>
          <w:rFonts w:hint="eastAsia" w:ascii="宋体" w:hAnsi="宋体" w:cs="宋体"/>
        </w:rPr>
      </w:pPr>
      <w:r>
        <w:rPr>
          <w:rFonts w:hint="eastAsia" w:ascii="宋体" w:hAnsi="宋体" w:cs="宋体"/>
        </w:rPr>
        <w:t>注：若无此项内容，可不提供。</w:t>
      </w:r>
    </w:p>
    <w:p>
      <w:pPr>
        <w:adjustRightInd w:val="0"/>
        <w:snapToGrid w:val="0"/>
        <w:spacing w:line="560" w:lineRule="exact"/>
        <w:ind w:firstLine="480"/>
        <w:rPr>
          <w:rFonts w:hint="eastAsia" w:ascii="宋体" w:cs="仿宋_GB2312"/>
        </w:rPr>
      </w:pPr>
    </w:p>
    <w:p>
      <w:pPr>
        <w:spacing w:before="120" w:beforeLines="50" w:line="560" w:lineRule="exact"/>
        <w:ind w:firstLine="480"/>
        <w:jc w:val="center"/>
        <w:rPr>
          <w:rFonts w:hint="eastAsia" w:ascii="宋体" w:cs="仿宋_GB2312"/>
          <w:bCs/>
        </w:rPr>
      </w:pPr>
      <w:r>
        <w:rPr>
          <w:rFonts w:hint="eastAsia" w:ascii="宋体" w:cs="仿宋_GB2312"/>
          <w:bCs/>
        </w:rPr>
        <w:t xml:space="preserve">                 </w:t>
      </w:r>
      <w:bookmarkStart w:id="81" w:name="_Toc22071_WPSOffice_Level3"/>
      <w:r>
        <w:rPr>
          <w:rFonts w:hint="eastAsia" w:ascii="宋体" w:cs="仿宋_GB2312"/>
          <w:bCs/>
        </w:rPr>
        <w:t>单位名称：</w:t>
      </w:r>
      <w:r>
        <w:rPr>
          <w:rFonts w:hint="eastAsia" w:ascii="宋体" w:cs="仿宋_GB2312"/>
          <w:bCs/>
          <w:u w:val="single"/>
        </w:rPr>
        <w:t xml:space="preserve">       </w:t>
      </w:r>
      <w:r>
        <w:rPr>
          <w:rFonts w:hint="eastAsia" w:ascii="宋体" w:cs="仿宋_GB2312"/>
          <w:bCs/>
        </w:rPr>
        <w:t>（公章）</w:t>
      </w:r>
      <w:bookmarkEnd w:id="81"/>
    </w:p>
    <w:p>
      <w:pPr>
        <w:spacing w:before="120" w:beforeLines="50" w:line="560" w:lineRule="exact"/>
        <w:ind w:firstLine="480"/>
        <w:jc w:val="center"/>
        <w:rPr>
          <w:rFonts w:hint="eastAsia" w:ascii="宋体" w:cs="仿宋_GB2312"/>
          <w:bCs/>
        </w:rPr>
      </w:pPr>
      <w:r>
        <w:rPr>
          <w:rFonts w:hint="eastAsia" w:ascii="宋体" w:cs="仿宋_GB2312"/>
          <w:bCs/>
        </w:rPr>
        <w:t xml:space="preserve">        </w:t>
      </w:r>
      <w:bookmarkStart w:id="82" w:name="_Toc11539_WPSOffice_Level3"/>
      <w:r>
        <w:rPr>
          <w:rFonts w:hint="eastAsia" w:ascii="宋体" w:cs="仿宋_GB2312"/>
          <w:bCs/>
        </w:rPr>
        <w:t>法定代表人或委托代理人：</w:t>
      </w:r>
      <w:r>
        <w:rPr>
          <w:rFonts w:hint="eastAsia" w:ascii="宋体" w:cs="仿宋_GB2312"/>
          <w:bCs/>
          <w:u w:val="single"/>
        </w:rPr>
        <w:t xml:space="preserve">       </w:t>
      </w:r>
      <w:r>
        <w:rPr>
          <w:rFonts w:hint="eastAsia" w:ascii="宋体" w:cs="仿宋_GB2312"/>
          <w:bCs/>
        </w:rPr>
        <w:t>（签字或盖章）</w:t>
      </w:r>
      <w:bookmarkEnd w:id="82"/>
    </w:p>
    <w:p>
      <w:pPr>
        <w:autoSpaceDE w:val="0"/>
        <w:autoSpaceDN w:val="0"/>
        <w:spacing w:line="360" w:lineRule="auto"/>
        <w:jc w:val="center"/>
        <w:rPr>
          <w:rFonts w:hint="eastAsia" w:ascii="宋体" w:hAnsi="宋体" w:cs="宋体"/>
          <w:kern w:val="0"/>
          <w:lang w:val="zh-CN"/>
        </w:rPr>
      </w:pPr>
      <w:r>
        <w:rPr>
          <w:rFonts w:hint="eastAsia" w:ascii="宋体" w:cs="仿宋_GB2312"/>
          <w:bCs/>
        </w:rPr>
        <w:t xml:space="preserve">                                    </w:t>
      </w:r>
      <w:bookmarkStart w:id="83" w:name="_Toc3285_WPSOffice_Level3"/>
      <w:r>
        <w:rPr>
          <w:rFonts w:hint="eastAsia" w:ascii="宋体" w:cs="仿宋_GB2312"/>
          <w:bCs/>
        </w:rPr>
        <w:t>年   月  日</w:t>
      </w:r>
      <w:bookmarkEnd w:id="83"/>
    </w:p>
    <w:p>
      <w:pPr>
        <w:pStyle w:val="12"/>
        <w:spacing w:before="0" w:after="0" w:line="360" w:lineRule="auto"/>
        <w:jc w:val="left"/>
        <w:outlineLvl w:val="1"/>
        <w:rPr>
          <w:rFonts w:hint="eastAsia" w:ascii="宋体" w:hAnsi="宋体" w:cs="宋体"/>
          <w:b w:val="0"/>
          <w:sz w:val="28"/>
          <w:szCs w:val="28"/>
        </w:rPr>
      </w:pPr>
      <w:r>
        <w:rPr>
          <w:rFonts w:hint="eastAsia" w:ascii="宋体" w:hAnsi="宋体" w:cs="宋体"/>
          <w:lang w:val="zh-CN"/>
        </w:rPr>
        <w:br w:type="page"/>
      </w:r>
      <w:bookmarkStart w:id="84" w:name="_Toc28723"/>
      <w:bookmarkStart w:id="85" w:name="_Toc743"/>
      <w:r>
        <w:rPr>
          <w:rFonts w:hint="eastAsia" w:ascii="宋体" w:hAnsi="宋体" w:cs="宋体"/>
          <w:bCs w:val="0"/>
          <w:sz w:val="28"/>
          <w:szCs w:val="28"/>
          <w:lang w:val="zh-CN"/>
        </w:rPr>
        <w:t>（</w:t>
      </w:r>
      <w:r>
        <w:rPr>
          <w:rFonts w:hint="eastAsia" w:ascii="宋体" w:hAnsi="宋体" w:cs="宋体"/>
          <w:bCs w:val="0"/>
          <w:sz w:val="28"/>
          <w:szCs w:val="28"/>
        </w:rPr>
        <w:t>17</w:t>
      </w:r>
      <w:r>
        <w:rPr>
          <w:rFonts w:hint="eastAsia" w:ascii="宋体" w:hAnsi="宋体" w:cs="宋体"/>
          <w:bCs w:val="0"/>
          <w:sz w:val="28"/>
          <w:szCs w:val="28"/>
          <w:lang w:val="zh-CN"/>
        </w:rPr>
        <w:t>）</w:t>
      </w:r>
      <w:r>
        <w:rPr>
          <w:rFonts w:hint="eastAsia" w:ascii="宋体" w:hAnsi="宋体" w:cs="宋体"/>
          <w:bCs w:val="0"/>
          <w:sz w:val="30"/>
          <w:szCs w:val="30"/>
          <w:lang w:val="zh-CN"/>
        </w:rPr>
        <w:t>残疾人</w:t>
      </w:r>
      <w:r>
        <w:rPr>
          <w:rFonts w:hint="eastAsia" w:ascii="宋体" w:hAnsi="宋体" w:cs="宋体"/>
          <w:bCs w:val="0"/>
          <w:sz w:val="28"/>
          <w:szCs w:val="28"/>
        </w:rPr>
        <w:t>福利性单位声明函</w:t>
      </w:r>
      <w:bookmarkEnd w:id="84"/>
    </w:p>
    <w:p>
      <w:pPr>
        <w:jc w:val="center"/>
        <w:rPr>
          <w:rFonts w:hint="eastAsia" w:ascii="宋体" w:hAnsi="宋体" w:cs="宋体"/>
          <w:b/>
          <w:sz w:val="36"/>
          <w:szCs w:val="36"/>
        </w:rPr>
      </w:pPr>
      <w:bookmarkStart w:id="86" w:name="OLE_LINK14"/>
      <w:bookmarkStart w:id="87" w:name="OLE_LINK13"/>
    </w:p>
    <w:p>
      <w:pPr>
        <w:jc w:val="center"/>
        <w:rPr>
          <w:rFonts w:hint="eastAsia" w:ascii="宋体" w:hAnsi="宋体" w:cs="宋体"/>
          <w:b/>
          <w:sz w:val="36"/>
          <w:szCs w:val="36"/>
        </w:rPr>
      </w:pPr>
      <w:r>
        <w:rPr>
          <w:rFonts w:hint="eastAsia" w:ascii="宋体" w:hAnsi="宋体" w:cs="宋体"/>
          <w:b/>
          <w:sz w:val="36"/>
          <w:szCs w:val="36"/>
        </w:rPr>
        <w:t>残疾人福利性单位声明函</w:t>
      </w:r>
    </w:p>
    <w:bookmarkEnd w:id="86"/>
    <w:bookmarkEnd w:id="87"/>
    <w:p>
      <w:pPr>
        <w:spacing w:after="120" w:afterLines="50"/>
        <w:rPr>
          <w:rFonts w:hint="eastAsia" w:ascii="宋体" w:hAnsi="宋体" w:cs="宋体"/>
          <w:bCs/>
        </w:rPr>
      </w:pPr>
    </w:p>
    <w:p>
      <w:pPr>
        <w:spacing w:after="120" w:afterLines="50"/>
        <w:rPr>
          <w:rFonts w:hint="eastAsia" w:ascii="宋体" w:hAnsi="宋体" w:cs="宋体"/>
          <w:b/>
          <w:bCs/>
        </w:rPr>
      </w:pPr>
      <w:r>
        <w:rPr>
          <w:rFonts w:hint="eastAsia" w:ascii="宋体" w:hAnsi="宋体" w:cs="宋体"/>
          <w:b/>
          <w:bCs/>
        </w:rPr>
        <w:t>致：</w:t>
      </w:r>
      <w:r>
        <w:rPr>
          <w:rFonts w:hint="eastAsia" w:ascii="宋体" w:hAnsi="宋体" w:cs="宋体"/>
          <w:b/>
          <w:bCs/>
          <w:kern w:val="0"/>
          <w:lang w:val="zh-CN"/>
        </w:rPr>
        <w:t>德令哈城乡建设综合开发有限公司</w:t>
      </w:r>
    </w:p>
    <w:p>
      <w:pPr>
        <w:spacing w:line="360" w:lineRule="auto"/>
        <w:ind w:firstLine="480"/>
        <w:rPr>
          <w:rFonts w:hint="eastAsia" w:ascii="宋体" w:hAnsi="宋体" w:cs="宋体"/>
        </w:rPr>
      </w:pPr>
    </w:p>
    <w:p>
      <w:pPr>
        <w:spacing w:line="360" w:lineRule="auto"/>
        <w:ind w:firstLine="480"/>
        <w:rPr>
          <w:rFonts w:hint="eastAsia" w:ascii="宋体" w:hAnsi="宋体" w:cs="宋体"/>
        </w:rPr>
      </w:pPr>
      <w:r>
        <w:rPr>
          <w:rFonts w:hint="eastAsia" w:ascii="宋体" w:hAnsi="宋体" w:cs="宋体"/>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u w:val="single"/>
        </w:rPr>
        <w:t xml:space="preserve">       </w:t>
      </w:r>
      <w:r>
        <w:rPr>
          <w:rFonts w:hint="eastAsia" w:ascii="宋体" w:hAnsi="宋体" w:cs="宋体"/>
        </w:rPr>
        <w:t>人，安置的残疾人人数</w:t>
      </w:r>
      <w:r>
        <w:rPr>
          <w:rFonts w:hint="eastAsia" w:ascii="宋体" w:hAnsi="宋体" w:cs="宋体"/>
          <w:u w:val="single"/>
        </w:rPr>
        <w:t xml:space="preserve">      </w:t>
      </w:r>
      <w:r>
        <w:rPr>
          <w:rFonts w:hint="eastAsia" w:ascii="宋体" w:hAnsi="宋体" w:cs="宋体"/>
        </w:rPr>
        <w:t>人。且本单位参加______单位的______项目采购活动提供本单位制造的货物（由本单位承担工程/提供服务），或者提供其他残疾人福利性单位制造的货物（不包括使用非残疾人福利性单位注册商标的货物）。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rPr>
          <w:rFonts w:hint="eastAsia" w:ascii="宋体" w:hAnsi="宋体" w:cs="宋体"/>
        </w:rPr>
      </w:pPr>
      <w:r>
        <w:rPr>
          <w:rFonts w:hint="eastAsia" w:ascii="宋体" w:hAnsi="宋体" w:cs="宋体"/>
        </w:rPr>
        <w:t>本单位对上述声明的真实性负责。如有虚假，将依法承担相应责任。</w:t>
      </w:r>
    </w:p>
    <w:p>
      <w:pPr>
        <w:spacing w:line="360" w:lineRule="auto"/>
        <w:ind w:firstLine="480"/>
        <w:rPr>
          <w:rFonts w:hint="eastAsia" w:ascii="宋体" w:hAnsi="宋体" w:cs="宋体"/>
        </w:rPr>
      </w:pPr>
    </w:p>
    <w:p>
      <w:pPr>
        <w:spacing w:line="360" w:lineRule="auto"/>
        <w:rPr>
          <w:rFonts w:hint="eastAsia" w:ascii="宋体" w:hAnsi="宋体" w:cs="宋体"/>
        </w:rPr>
      </w:pPr>
      <w:r>
        <w:rPr>
          <w:rFonts w:hint="eastAsia" w:ascii="宋体" w:hAnsi="宋体" w:cs="宋体"/>
        </w:rPr>
        <w:t>注：若无此项内容，可不提供此函。</w:t>
      </w:r>
    </w:p>
    <w:p>
      <w:pPr>
        <w:spacing w:line="360" w:lineRule="auto"/>
        <w:ind w:firstLine="480"/>
        <w:rPr>
          <w:rFonts w:hint="eastAsia" w:ascii="宋体" w:hAnsi="宋体" w:cs="宋体"/>
        </w:rPr>
      </w:pPr>
    </w:p>
    <w:p>
      <w:pPr>
        <w:spacing w:line="360" w:lineRule="auto"/>
        <w:ind w:firstLine="480"/>
        <w:rPr>
          <w:rFonts w:hint="eastAsia" w:ascii="宋体" w:hAnsi="宋体" w:cs="宋体"/>
        </w:rPr>
      </w:pPr>
    </w:p>
    <w:p>
      <w:pPr>
        <w:spacing w:line="360" w:lineRule="auto"/>
        <w:ind w:firstLine="480"/>
        <w:rPr>
          <w:rFonts w:hint="eastAsia" w:ascii="宋体" w:hAnsi="宋体" w:cs="宋体"/>
        </w:rPr>
      </w:pPr>
    </w:p>
    <w:p>
      <w:pPr>
        <w:spacing w:line="360" w:lineRule="auto"/>
        <w:ind w:firstLine="480"/>
        <w:rPr>
          <w:rFonts w:hint="eastAsia" w:ascii="宋体" w:hAnsi="宋体" w:cs="宋体"/>
        </w:rPr>
      </w:pPr>
    </w:p>
    <w:p>
      <w:pPr>
        <w:spacing w:line="360" w:lineRule="auto"/>
        <w:ind w:firstLine="480"/>
        <w:rPr>
          <w:rFonts w:hint="eastAsia" w:ascii="宋体" w:hAnsi="宋体" w:cs="宋体"/>
        </w:rPr>
      </w:pPr>
    </w:p>
    <w:p>
      <w:pPr>
        <w:spacing w:line="360" w:lineRule="auto"/>
        <w:ind w:firstLine="480"/>
        <w:rPr>
          <w:rFonts w:hint="eastAsia" w:ascii="宋体" w:hAnsi="宋体" w:cs="宋体"/>
        </w:rPr>
      </w:pPr>
    </w:p>
    <w:p>
      <w:pPr>
        <w:spacing w:line="360" w:lineRule="auto"/>
        <w:ind w:firstLine="480"/>
        <w:rPr>
          <w:rFonts w:hint="eastAsia" w:ascii="宋体" w:hAnsi="宋体" w:cs="宋体"/>
        </w:rPr>
      </w:pPr>
    </w:p>
    <w:p>
      <w:pPr>
        <w:spacing w:line="360" w:lineRule="auto"/>
        <w:jc w:val="center"/>
        <w:rPr>
          <w:rFonts w:hint="eastAsia" w:ascii="宋体" w:hAnsi="宋体" w:cs="宋体"/>
          <w:b/>
        </w:rPr>
      </w:pPr>
      <w:r>
        <w:rPr>
          <w:rFonts w:hint="eastAsia" w:ascii="宋体" w:hAnsi="宋体" w:cs="宋体"/>
          <w:b/>
        </w:rPr>
        <w:t xml:space="preserve">                                企业名称：</w:t>
      </w:r>
      <w:r>
        <w:rPr>
          <w:rFonts w:hint="eastAsia" w:ascii="宋体" w:hAnsi="宋体" w:cs="宋体"/>
          <w:kern w:val="0"/>
          <w:sz w:val="28"/>
          <w:szCs w:val="28"/>
          <w:u w:val="single"/>
        </w:rPr>
        <w:t xml:space="preserve">       </w:t>
      </w:r>
      <w:r>
        <w:rPr>
          <w:rFonts w:hint="eastAsia" w:ascii="宋体" w:hAnsi="宋体" w:cs="宋体"/>
          <w:b/>
        </w:rPr>
        <w:t>（公章）</w:t>
      </w:r>
    </w:p>
    <w:p>
      <w:pPr>
        <w:spacing w:line="360" w:lineRule="auto"/>
        <w:ind w:firstLine="482"/>
        <w:jc w:val="right"/>
        <w:rPr>
          <w:rFonts w:hint="eastAsia" w:ascii="宋体" w:hAnsi="宋体" w:cs="宋体"/>
          <w:b/>
        </w:rPr>
      </w:pPr>
      <w:r>
        <w:rPr>
          <w:rFonts w:hint="eastAsia" w:ascii="宋体" w:hAnsi="宋体" w:cs="宋体"/>
          <w:b/>
        </w:rPr>
        <w:t xml:space="preserve">       企业法定代表人：</w:t>
      </w:r>
      <w:r>
        <w:rPr>
          <w:rFonts w:hint="eastAsia" w:ascii="宋体" w:hAnsi="宋体" w:cs="宋体"/>
          <w:kern w:val="0"/>
          <w:sz w:val="28"/>
          <w:szCs w:val="28"/>
          <w:u w:val="single"/>
        </w:rPr>
        <w:t xml:space="preserve">       </w:t>
      </w:r>
      <w:r>
        <w:rPr>
          <w:rFonts w:hint="eastAsia" w:ascii="宋体" w:hAnsi="宋体" w:cs="宋体"/>
          <w:b/>
        </w:rPr>
        <w:t>（签字或盖章）</w:t>
      </w:r>
    </w:p>
    <w:p>
      <w:pPr>
        <w:ind w:firstLine="482"/>
        <w:jc w:val="center"/>
        <w:rPr>
          <w:rFonts w:hint="eastAsia" w:ascii="宋体" w:hAnsi="宋体" w:cs="宋体"/>
          <w:b/>
        </w:rPr>
      </w:pPr>
      <w:r>
        <w:rPr>
          <w:rFonts w:hint="eastAsia" w:ascii="宋体" w:hAnsi="宋体" w:cs="宋体"/>
          <w:b/>
        </w:rPr>
        <w:t xml:space="preserve">              年   月  日</w:t>
      </w:r>
    </w:p>
    <w:p>
      <w:pPr>
        <w:pStyle w:val="12"/>
        <w:spacing w:before="0" w:after="0" w:line="360" w:lineRule="auto"/>
        <w:jc w:val="left"/>
        <w:outlineLvl w:val="1"/>
        <w:rPr>
          <w:rFonts w:hint="eastAsia" w:ascii="宋体" w:hAnsi="宋体" w:cs="宋体"/>
        </w:rPr>
      </w:pPr>
      <w:r>
        <w:rPr>
          <w:rFonts w:hint="eastAsia" w:ascii="宋体" w:hAnsi="宋体" w:cs="宋体"/>
          <w:lang w:val="zh-CN"/>
        </w:rPr>
        <w:br w:type="page"/>
      </w:r>
      <w:bookmarkStart w:id="88" w:name="_Toc18550"/>
      <w:r>
        <w:rPr>
          <w:rFonts w:hint="eastAsia" w:ascii="宋体" w:hAnsi="宋体" w:cs="宋体"/>
          <w:sz w:val="30"/>
          <w:szCs w:val="30"/>
        </w:rPr>
        <w:t>（18）</w:t>
      </w:r>
      <w:r>
        <w:rPr>
          <w:rFonts w:hint="eastAsia" w:ascii="宋体" w:hAnsi="宋体" w:cs="宋体"/>
          <w:sz w:val="30"/>
          <w:szCs w:val="30"/>
          <w:lang w:val="zh-CN"/>
        </w:rPr>
        <w:t>投标人认为在其他方面有必要说明的事项</w:t>
      </w:r>
      <w:bookmarkEnd w:id="85"/>
      <w:bookmarkEnd w:id="88"/>
    </w:p>
    <w:p>
      <w:pPr>
        <w:autoSpaceDE w:val="0"/>
        <w:autoSpaceDN w:val="0"/>
        <w:spacing w:line="360" w:lineRule="auto"/>
        <w:rPr>
          <w:rFonts w:hint="eastAsia" w:ascii="宋体" w:hAnsi="宋体" w:cs="宋体"/>
          <w:kern w:val="0"/>
          <w:sz w:val="28"/>
          <w:szCs w:val="28"/>
          <w:lang w:val="zh-CN"/>
        </w:rPr>
      </w:pPr>
    </w:p>
    <w:p>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投标人认为在其他方面有必要说明的事项</w:t>
      </w:r>
    </w:p>
    <w:p>
      <w:pPr>
        <w:autoSpaceDE w:val="0"/>
        <w:autoSpaceDN w:val="0"/>
        <w:spacing w:line="360" w:lineRule="auto"/>
        <w:rPr>
          <w:rFonts w:hint="eastAsia" w:ascii="宋体" w:hAnsi="宋体" w:cs="宋体"/>
          <w:lang w:val="zh-CN"/>
        </w:rPr>
      </w:pPr>
      <w:r>
        <w:rPr>
          <w:rFonts w:hint="eastAsia" w:ascii="宋体" w:hAnsi="宋体" w:cs="宋体"/>
          <w:lang w:val="zh-CN"/>
        </w:rPr>
        <w:t>格式自定</w:t>
      </w: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rPr>
          <w:rFonts w:hint="eastAsia" w:ascii="宋体" w:hAnsi="宋体" w:cs="宋体"/>
          <w:lang w:val="zh-CN" w:eastAsia="zh-CN"/>
        </w:rPr>
      </w:pPr>
    </w:p>
    <w:p>
      <w:pPr>
        <w:pStyle w:val="12"/>
        <w:spacing w:before="0" w:after="0" w:line="360" w:lineRule="auto"/>
        <w:jc w:val="left"/>
        <w:rPr>
          <w:rFonts w:hint="eastAsia" w:ascii="宋体" w:hAnsi="宋体" w:cs="宋体"/>
          <w:sz w:val="30"/>
          <w:szCs w:val="30"/>
          <w:lang w:val="zh-CN" w:eastAsia="zh-CN"/>
        </w:rPr>
      </w:pPr>
      <w:r>
        <w:rPr>
          <w:rFonts w:hint="eastAsia" w:ascii="宋体" w:hAnsi="宋体" w:cs="宋体"/>
          <w:sz w:val="30"/>
          <w:szCs w:val="30"/>
          <w:lang w:val="zh-CN"/>
        </w:rPr>
        <w:t>（19）其他资质要求相关承诺</w:t>
      </w:r>
    </w:p>
    <w:p>
      <w:pPr>
        <w:autoSpaceDE w:val="0"/>
        <w:autoSpaceDN w:val="0"/>
        <w:spacing w:line="360" w:lineRule="auto"/>
        <w:rPr>
          <w:rFonts w:hint="eastAsia" w:ascii="宋体" w:hAnsi="宋体" w:cs="宋体"/>
          <w:lang w:val="zh-CN"/>
        </w:rPr>
      </w:pPr>
      <w:r>
        <w:rPr>
          <w:rFonts w:hint="eastAsia" w:ascii="宋体" w:hAnsi="宋体" w:cs="宋体"/>
          <w:lang w:val="zh-CN"/>
        </w:rPr>
        <w:t>格式自定</w:t>
      </w:r>
    </w:p>
    <w:p>
      <w:pPr>
        <w:pStyle w:val="12"/>
        <w:spacing w:before="0" w:after="0" w:line="360" w:lineRule="auto"/>
        <w:rPr>
          <w:rFonts w:hint="eastAsia" w:ascii="宋体" w:hAnsi="宋体" w:cs="宋体"/>
        </w:rPr>
      </w:pPr>
      <w:r>
        <w:rPr>
          <w:rFonts w:hint="eastAsia" w:ascii="宋体" w:hAnsi="宋体" w:cs="宋体"/>
          <w:lang w:val="zh-CN"/>
        </w:rPr>
        <w:br w:type="page"/>
      </w:r>
      <w:bookmarkStart w:id="89" w:name="_Toc18752"/>
      <w:bookmarkStart w:id="90" w:name="_Toc24875"/>
      <w:r>
        <w:rPr>
          <w:rFonts w:hint="eastAsia" w:ascii="宋体" w:hAnsi="宋体" w:cs="宋体"/>
          <w:szCs w:val="36"/>
          <w:lang w:val="zh-CN"/>
        </w:rPr>
        <w:t>第五部分  采购项目要求及技术参数</w:t>
      </w:r>
      <w:bookmarkEnd w:id="89"/>
      <w:bookmarkEnd w:id="90"/>
    </w:p>
    <w:p>
      <w:pPr>
        <w:pStyle w:val="12"/>
        <w:spacing w:before="0" w:after="0" w:line="360" w:lineRule="auto"/>
        <w:outlineLvl w:val="1"/>
        <w:rPr>
          <w:rFonts w:hint="eastAsia" w:ascii="宋体" w:hAnsi="宋体" w:cs="宋体"/>
          <w:szCs w:val="36"/>
        </w:rPr>
      </w:pPr>
      <w:bookmarkStart w:id="91" w:name="_Toc9451"/>
      <w:bookmarkStart w:id="92" w:name="_Toc16900"/>
      <w:r>
        <w:rPr>
          <w:rFonts w:hint="eastAsia" w:ascii="宋体" w:hAnsi="宋体" w:cs="宋体"/>
          <w:lang w:val="zh-CN"/>
        </w:rPr>
        <w:t>（一）投标要求</w:t>
      </w:r>
      <w:bookmarkEnd w:id="91"/>
      <w:bookmarkEnd w:id="92"/>
    </w:p>
    <w:p>
      <w:pPr>
        <w:pStyle w:val="12"/>
        <w:spacing w:before="0" w:after="0" w:line="360" w:lineRule="auto"/>
        <w:jc w:val="left"/>
        <w:outlineLvl w:val="1"/>
        <w:rPr>
          <w:rFonts w:hint="eastAsia" w:ascii="宋体" w:hAnsi="宋体" w:cs="宋体"/>
          <w:lang w:val="zh-CN"/>
        </w:rPr>
      </w:pPr>
      <w:bookmarkStart w:id="93" w:name="_Toc12351"/>
      <w:bookmarkStart w:id="94" w:name="_Toc4601"/>
      <w:r>
        <w:rPr>
          <w:rFonts w:hint="eastAsia" w:ascii="宋体" w:hAnsi="宋体" w:cs="宋体"/>
          <w:sz w:val="28"/>
          <w:szCs w:val="28"/>
          <w:lang w:val="zh-CN"/>
        </w:rPr>
        <w:t>1.投标说明</w:t>
      </w:r>
      <w:bookmarkEnd w:id="93"/>
      <w:bookmarkEnd w:id="94"/>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1.1</w:t>
      </w:r>
      <w:r>
        <w:rPr>
          <w:rFonts w:hint="eastAsia" w:ascii="宋体" w:hAnsi="宋体" w:cs="宋体"/>
          <w:kern w:val="0"/>
        </w:rPr>
        <w:t xml:space="preserve"> </w:t>
      </w:r>
      <w:r>
        <w:rPr>
          <w:rFonts w:hint="eastAsia" w:ascii="宋体" w:hAnsi="宋体" w:cs="宋体"/>
          <w:kern w:val="0"/>
          <w:lang w:val="zh-CN"/>
        </w:rPr>
        <w:t>投标人可以按照招标文件规定的包号选择投标，但必须对所投包号中的所有内容作为一个整体进行投标，不能拆分或少报。否则，投标无效。</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lang w:val="zh-CN"/>
        </w:rPr>
        <w:t>1.2</w:t>
      </w:r>
      <w:r>
        <w:rPr>
          <w:rFonts w:hint="eastAsia" w:ascii="宋体" w:hAnsi="宋体" w:cs="宋体"/>
          <w:kern w:val="0"/>
        </w:rPr>
        <w:t xml:space="preserve"> </w:t>
      </w:r>
      <w:r>
        <w:rPr>
          <w:rFonts w:hint="eastAsia" w:ascii="宋体" w:hAnsi="宋体" w:cs="宋体"/>
          <w:kern w:val="0"/>
          <w:lang w:val="zh-CN"/>
        </w:rPr>
        <w:t>投标人必须如实填写“技术规格响应表”，在“投标产品技术参数、指标”栏中列出所投产品的具体技术参数、指标；以采购人需求为最低指标要求，投标人对超出或不满足最低指标要求的指标需列出“＋、-”偏差。</w:t>
      </w:r>
    </w:p>
    <w:p>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w:t>
      </w:r>
      <w:r>
        <w:rPr>
          <w:rFonts w:hint="eastAsia" w:ascii="宋体" w:hAnsi="宋体" w:cs="宋体"/>
          <w:kern w:val="0"/>
        </w:rPr>
        <w:t>3</w:t>
      </w:r>
      <w:r>
        <w:rPr>
          <w:rFonts w:hint="eastAsia" w:ascii="宋体" w:hAnsi="宋体" w:cs="宋体"/>
        </w:rPr>
        <w:t xml:space="preserve"> </w:t>
      </w:r>
      <w:r>
        <w:rPr>
          <w:rFonts w:hint="eastAsia" w:ascii="宋体" w:hAnsi="宋体" w:cs="宋体"/>
          <w:kern w:val="0"/>
          <w:lang w:val="zh-CN"/>
        </w:rPr>
        <w:t>招标内容中未特别标注为“原装进口”字样的产品，投标人必须投国产产品；标注为“原装进口”字样的产品，投标人可以投进口产品，但如果因信息不对称等原因，仍有满足采购需求的国内产品要求参与采购竞争的，可以投国产产品，并且按照公平竞争原则实施采购。</w:t>
      </w:r>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rPr>
        <w:t>1.4</w:t>
      </w:r>
      <w:r>
        <w:rPr>
          <w:rFonts w:ascii="宋体" w:hAnsi="宋体" w:cs="宋体"/>
          <w:kern w:val="0"/>
        </w:rPr>
        <w:t xml:space="preserve"> </w:t>
      </w:r>
      <w:r>
        <w:rPr>
          <w:rFonts w:hint="eastAsia" w:ascii="宋体" w:hAnsi="宋体"/>
        </w:rPr>
        <w:t>所投产品或其任何一部分不得侵犯专利权、著作权、商标权和工业设计权等知识产权。</w:t>
      </w:r>
    </w:p>
    <w:p>
      <w:pPr>
        <w:autoSpaceDE w:val="0"/>
        <w:autoSpaceDN w:val="0"/>
        <w:spacing w:line="360" w:lineRule="auto"/>
        <w:ind w:firstLine="480" w:firstLineChars="200"/>
        <w:rPr>
          <w:rFonts w:hint="eastAsia" w:ascii="宋体" w:hAnsi="宋体" w:cs="宋体"/>
          <w:kern w:val="0"/>
        </w:rPr>
      </w:pPr>
      <w:r>
        <w:rPr>
          <w:rFonts w:hint="eastAsia" w:ascii="宋体" w:hAnsi="宋体" w:cs="宋体"/>
          <w:kern w:val="0"/>
        </w:rPr>
        <w:t>1.</w:t>
      </w:r>
      <w:r>
        <w:rPr>
          <w:rFonts w:ascii="宋体" w:hAnsi="宋体" w:cs="宋体"/>
          <w:kern w:val="0"/>
        </w:rPr>
        <w:t>5</w:t>
      </w:r>
      <w:r>
        <w:rPr>
          <w:rFonts w:hint="eastAsia" w:ascii="宋体" w:hAnsi="宋体" w:cs="宋体"/>
          <w:kern w:val="0"/>
        </w:rPr>
        <w:t xml:space="preserve"> 项目中标后分包情况：</w:t>
      </w:r>
      <w:r>
        <w:rPr>
          <w:rFonts w:hint="eastAsia" w:ascii="宋体" w:hAnsi="宋体" w:cs="宋体"/>
          <w:kern w:val="0"/>
          <w:u w:val="single"/>
          <w:lang w:bidi="ar"/>
        </w:rPr>
        <w:t>不允许</w:t>
      </w:r>
      <w:r>
        <w:rPr>
          <w:rFonts w:hint="eastAsia" w:ascii="宋体" w:hAnsi="宋体" w:cs="宋体"/>
          <w:kern w:val="0"/>
          <w:u w:val="single"/>
        </w:rPr>
        <w:t>。</w:t>
      </w:r>
      <w:r>
        <w:rPr>
          <w:rFonts w:hint="eastAsia" w:ascii="宋体" w:hAnsi="宋体" w:cs="宋体"/>
          <w:kern w:val="0"/>
        </w:rPr>
        <w:t>（允许，投标人拟在中标后将中标项目的非主体、非关键性工作分包的，应当在投标文件中载明分包承担主体，分包承担主体应当具备相应资质条件且不得再次分包）</w:t>
      </w:r>
    </w:p>
    <w:p>
      <w:pPr>
        <w:pStyle w:val="12"/>
        <w:spacing w:before="0" w:after="0" w:line="360" w:lineRule="auto"/>
        <w:jc w:val="left"/>
        <w:outlineLvl w:val="1"/>
        <w:rPr>
          <w:rFonts w:hint="eastAsia" w:ascii="宋体" w:hAnsi="宋体" w:cs="宋体"/>
          <w:lang w:val="zh-CN"/>
        </w:rPr>
      </w:pPr>
      <w:bookmarkStart w:id="95" w:name="_Toc18880"/>
      <w:bookmarkStart w:id="96" w:name="_Toc10680"/>
      <w:r>
        <w:rPr>
          <w:rFonts w:hint="eastAsia" w:ascii="宋体" w:hAnsi="宋体" w:cs="宋体"/>
          <w:sz w:val="28"/>
          <w:szCs w:val="28"/>
          <w:lang w:val="en-US" w:eastAsia="zh-CN"/>
        </w:rPr>
        <w:t>2</w:t>
      </w:r>
      <w:r>
        <w:rPr>
          <w:rFonts w:hint="eastAsia" w:ascii="宋体" w:hAnsi="宋体" w:cs="宋体"/>
          <w:sz w:val="28"/>
          <w:szCs w:val="28"/>
          <w:lang w:val="zh-CN"/>
        </w:rPr>
        <w:t>.商务要求</w:t>
      </w:r>
      <w:bookmarkEnd w:id="95"/>
      <w:bookmarkEnd w:id="96"/>
    </w:p>
    <w:p>
      <w:pPr>
        <w:autoSpaceDE w:val="0"/>
        <w:autoSpaceDN w:val="0"/>
        <w:spacing w:line="360" w:lineRule="auto"/>
        <w:ind w:firstLine="480" w:firstLineChars="200"/>
        <w:rPr>
          <w:rFonts w:hint="eastAsia" w:ascii="宋体" w:hAnsi="宋体" w:cs="宋体"/>
          <w:kern w:val="0"/>
          <w:lang w:val="zh-CN"/>
        </w:rPr>
      </w:pPr>
      <w:r>
        <w:rPr>
          <w:rFonts w:hint="eastAsia" w:ascii="宋体" w:hAnsi="宋体" w:cs="宋体"/>
          <w:kern w:val="0"/>
        </w:rPr>
        <w:t>3</w:t>
      </w:r>
      <w:r>
        <w:rPr>
          <w:rFonts w:hint="eastAsia" w:ascii="宋体" w:hAnsi="宋体" w:cs="宋体"/>
          <w:kern w:val="0"/>
          <w:lang w:val="zh-CN"/>
        </w:rPr>
        <w:t>.1.交货时间：</w:t>
      </w:r>
      <w:r>
        <w:rPr>
          <w:rFonts w:hint="eastAsia" w:ascii="宋体" w:hAnsi="宋体" w:cs="宋体"/>
          <w:color w:val="0000FF"/>
          <w:kern w:val="0"/>
          <w:lang w:val="zh-CN"/>
        </w:rPr>
        <w:t>合同签订后</w:t>
      </w:r>
      <w:r>
        <w:rPr>
          <w:rFonts w:hint="eastAsia" w:ascii="宋体" w:hAnsi="宋体" w:cs="宋体"/>
          <w:color w:val="0000FF"/>
          <w:kern w:val="0"/>
          <w:lang w:val="en-US" w:eastAsia="zh-CN"/>
        </w:rPr>
        <w:t>45日历</w:t>
      </w:r>
      <w:r>
        <w:rPr>
          <w:rFonts w:hint="eastAsia" w:ascii="宋体" w:hAnsi="宋体" w:cs="宋体"/>
          <w:color w:val="0000FF"/>
          <w:kern w:val="0"/>
          <w:lang w:val="zh-CN"/>
        </w:rPr>
        <w:t>日</w:t>
      </w:r>
      <w:r>
        <w:rPr>
          <w:rFonts w:hint="eastAsia" w:ascii="宋体" w:hAnsi="宋体" w:cs="宋体"/>
          <w:color w:val="0000FF"/>
          <w:kern w:val="0"/>
          <w:lang w:val="en-US" w:eastAsia="zh-CN"/>
        </w:rPr>
        <w:t>内</w:t>
      </w:r>
      <w:r>
        <w:rPr>
          <w:rFonts w:hint="eastAsia" w:ascii="宋体" w:hAnsi="宋体" w:cs="宋体"/>
          <w:color w:val="0000FF"/>
          <w:kern w:val="0"/>
          <w:lang w:val="zh-CN"/>
        </w:rPr>
        <w:t>交付</w:t>
      </w:r>
      <w:r>
        <w:rPr>
          <w:rFonts w:hint="eastAsia" w:ascii="宋体" w:hAnsi="宋体" w:cs="宋体"/>
          <w:color w:val="0000FF"/>
          <w:kern w:val="0"/>
          <w:lang w:val="en-US" w:eastAsia="zh-CN"/>
        </w:rPr>
        <w:t>并达到</w:t>
      </w:r>
      <w:r>
        <w:rPr>
          <w:rFonts w:hint="eastAsia" w:ascii="宋体" w:hAnsi="宋体" w:cs="宋体"/>
          <w:color w:val="0000FF"/>
          <w:kern w:val="0"/>
          <w:lang w:val="zh-CN"/>
        </w:rPr>
        <w:t>使用</w:t>
      </w:r>
      <w:r>
        <w:rPr>
          <w:rFonts w:hint="eastAsia" w:ascii="宋体" w:hAnsi="宋体" w:cs="宋体"/>
          <w:color w:val="0000FF"/>
          <w:kern w:val="0"/>
          <w:lang w:val="en-US" w:eastAsia="zh-CN"/>
        </w:rPr>
        <w:t>条件</w:t>
      </w:r>
      <w:r>
        <w:rPr>
          <w:rFonts w:hint="eastAsia" w:ascii="宋体" w:hAnsi="宋体" w:cs="宋体"/>
          <w:kern w:val="0"/>
          <w:lang w:val="zh-CN"/>
        </w:rPr>
        <w:t>。</w:t>
      </w:r>
    </w:p>
    <w:p>
      <w:pPr>
        <w:autoSpaceDE w:val="0"/>
        <w:autoSpaceDN w:val="0"/>
        <w:spacing w:line="360" w:lineRule="auto"/>
        <w:ind w:firstLine="480" w:firstLineChars="200"/>
        <w:rPr>
          <w:rFonts w:hint="default" w:eastAsia="宋体"/>
          <w:lang w:val="en-US" w:eastAsia="zh-CN"/>
        </w:rPr>
      </w:pPr>
      <w:r>
        <w:rPr>
          <w:rFonts w:hint="eastAsia" w:ascii="宋体" w:hAnsi="宋体" w:cs="宋体"/>
          <w:kern w:val="0"/>
        </w:rPr>
        <w:t>3</w:t>
      </w:r>
      <w:r>
        <w:rPr>
          <w:rFonts w:hint="eastAsia" w:ascii="宋体" w:hAnsi="宋体" w:cs="宋体"/>
          <w:kern w:val="0"/>
          <w:lang w:val="zh-CN"/>
        </w:rPr>
        <w:t>.2.交货地点：德令哈市住房和城乡建设局</w:t>
      </w:r>
      <w:r>
        <w:rPr>
          <w:rFonts w:hint="eastAsia" w:ascii="宋体" w:hAnsi="宋体" w:cs="宋体"/>
          <w:kern w:val="0"/>
          <w:lang w:val="en-US" w:eastAsia="zh-CN"/>
        </w:rPr>
        <w:t>指定地点</w:t>
      </w:r>
    </w:p>
    <w:p>
      <w:pPr>
        <w:autoSpaceDE w:val="0"/>
        <w:autoSpaceDN w:val="0"/>
        <w:spacing w:line="360" w:lineRule="auto"/>
        <w:ind w:firstLine="480" w:firstLineChars="200"/>
        <w:rPr>
          <w:rFonts w:hint="eastAsia" w:ascii="宋体" w:hAnsi="宋体" w:eastAsia="宋体" w:cs="宋体"/>
          <w:kern w:val="0"/>
          <w:lang w:val="zh-CN" w:eastAsia="zh-CN"/>
        </w:rPr>
      </w:pPr>
      <w:r>
        <w:rPr>
          <w:rFonts w:hint="eastAsia" w:ascii="宋体" w:hAnsi="宋体" w:cs="宋体"/>
          <w:kern w:val="0"/>
        </w:rPr>
        <w:t>3</w:t>
      </w:r>
      <w:r>
        <w:rPr>
          <w:rFonts w:hint="eastAsia" w:ascii="宋体" w:hAnsi="宋体" w:cs="宋体"/>
          <w:kern w:val="0"/>
          <w:lang w:val="zh-CN"/>
        </w:rPr>
        <w:t>.3.付款方式：</w:t>
      </w:r>
      <w:r>
        <w:rPr>
          <w:rFonts w:hint="eastAsia" w:ascii="宋体" w:hAnsi="宋体" w:cs="宋体"/>
          <w:kern w:val="0"/>
          <w:lang w:eastAsia="zh-CN"/>
        </w:rPr>
        <w:t>按合同约定</w:t>
      </w:r>
    </w:p>
    <w:p>
      <w:pPr>
        <w:pStyle w:val="5"/>
        <w:ind w:firstLine="480" w:firstLineChars="200"/>
        <w:rPr>
          <w:rFonts w:hint="eastAsia" w:ascii="宋体" w:hAnsi="宋体" w:cs="宋体"/>
          <w:color w:val="0000FF"/>
        </w:rPr>
      </w:pPr>
      <w:r>
        <w:rPr>
          <w:rFonts w:hint="eastAsia" w:ascii="宋体" w:hAnsi="宋体" w:cs="宋体"/>
          <w:kern w:val="0"/>
        </w:rPr>
        <w:t>3</w:t>
      </w:r>
      <w:r>
        <w:rPr>
          <w:rFonts w:hint="eastAsia" w:ascii="宋体" w:hAnsi="宋体" w:cs="宋体"/>
          <w:kern w:val="0"/>
          <w:lang w:val="zh-CN"/>
        </w:rPr>
        <w:t>.4.免费质保期：主要设备</w:t>
      </w:r>
      <w:r>
        <w:rPr>
          <w:rFonts w:hint="eastAsia" w:ascii="宋体" w:hAnsi="宋体" w:cs="宋体"/>
          <w:color w:val="0000FF"/>
        </w:rPr>
        <w:t>消防车辆免费保修期5年。免费保修期的计算自中标内容验收合格交付</w:t>
      </w:r>
      <w:r>
        <w:rPr>
          <w:rFonts w:hint="eastAsia" w:ascii="宋体" w:hAnsi="宋体" w:cs="宋体"/>
          <w:color w:val="0000FF"/>
          <w:lang w:val="en-US" w:eastAsia="zh-CN"/>
        </w:rPr>
        <w:t>采购</w:t>
      </w:r>
      <w:r>
        <w:rPr>
          <w:rFonts w:hint="eastAsia" w:ascii="宋体" w:hAnsi="宋体" w:cs="宋体"/>
          <w:color w:val="0000FF"/>
        </w:rPr>
        <w:t>人使用之日起计算。保修期内出现的因产品设计、生产、加工、运输、安装、验收而产生的全部质量问题， 中标人必须及时免费提供维修服务。对于缺陷产品，必须实行终身召回制，免费负责维修和更换零部件。如有重大质量问题</w:t>
      </w:r>
      <w:r>
        <w:rPr>
          <w:rFonts w:hint="eastAsia" w:ascii="宋体" w:hAnsi="宋体" w:cs="宋体"/>
          <w:color w:val="0000FF"/>
          <w:lang w:eastAsia="zh-CN"/>
        </w:rPr>
        <w:t>，</w:t>
      </w:r>
      <w:r>
        <w:rPr>
          <w:rFonts w:hint="eastAsia" w:ascii="宋体" w:hAnsi="宋体" w:cs="宋体"/>
          <w:color w:val="0000FF"/>
        </w:rPr>
        <w:t>必须按照国内相关法律、商务合同规定的程序进行退换货。</w:t>
      </w:r>
    </w:p>
    <w:p>
      <w:pPr>
        <w:pStyle w:val="5"/>
        <w:rPr>
          <w:rFonts w:hint="eastAsia" w:ascii="宋体" w:hAnsi="宋体" w:cs="宋体"/>
          <w:color w:val="0000FF"/>
        </w:rPr>
      </w:pPr>
      <w:r>
        <w:rPr>
          <w:rFonts w:hint="eastAsia" w:ascii="宋体" w:hAnsi="宋体" w:cs="宋体"/>
          <w:color w:val="0000FF"/>
        </w:rPr>
        <w:t>消防车辆等大型装备需提供全寿命周期的主要耗损件、易损件及更换总成的目录和价格清单，投标文件中需就保证价格合理的按需及时供应作出书面承诺。</w:t>
      </w:r>
    </w:p>
    <w:p>
      <w:pPr>
        <w:pStyle w:val="5"/>
        <w:rPr>
          <w:rFonts w:hint="eastAsia" w:ascii="宋体" w:hAnsi="宋体" w:eastAsia="宋体" w:cs="宋体"/>
          <w:color w:val="0000FF"/>
          <w:lang w:eastAsia="zh-CN"/>
        </w:rPr>
      </w:pPr>
      <w:r>
        <w:rPr>
          <w:rFonts w:hint="eastAsia" w:ascii="宋体" w:hAnsi="宋体" w:cs="宋体"/>
          <w:color w:val="0000FF"/>
          <w:lang w:eastAsia="zh-CN"/>
        </w:rPr>
        <w:t>其他种类按甲乙双方签订合同约定执行。</w:t>
      </w:r>
    </w:p>
    <w:p>
      <w:pPr>
        <w:pStyle w:val="12"/>
        <w:numPr>
          <w:ilvl w:val="0"/>
          <w:numId w:val="0"/>
        </w:numPr>
        <w:spacing w:before="0" w:after="0" w:line="360" w:lineRule="auto"/>
        <w:jc w:val="both"/>
        <w:rPr>
          <w:rFonts w:hint="eastAsia" w:ascii="宋体" w:hAnsi="宋体" w:cs="宋体"/>
          <w:lang w:val="zh-CN"/>
        </w:rPr>
      </w:pPr>
      <w:bookmarkStart w:id="97" w:name="_Toc2437"/>
      <w:bookmarkStart w:id="98" w:name="_Toc28576"/>
    </w:p>
    <w:p>
      <w:pPr>
        <w:pStyle w:val="12"/>
        <w:numPr>
          <w:ilvl w:val="0"/>
          <w:numId w:val="10"/>
        </w:numPr>
        <w:spacing w:before="0" w:after="0" w:line="360" w:lineRule="auto"/>
        <w:rPr>
          <w:rFonts w:hint="eastAsia" w:ascii="宋体" w:hAnsi="宋体" w:cs="宋体"/>
          <w:lang w:val="zh-CN"/>
        </w:rPr>
      </w:pPr>
      <w:r>
        <w:rPr>
          <w:rFonts w:hint="eastAsia" w:ascii="宋体" w:hAnsi="宋体" w:cs="宋体"/>
          <w:lang w:val="zh-CN"/>
        </w:rPr>
        <w:t>项目概况及技术参数</w:t>
      </w:r>
      <w:bookmarkEnd w:id="97"/>
      <w:bookmarkEnd w:id="98"/>
    </w:p>
    <w:tbl>
      <w:tblPr>
        <w:tblStyle w:val="13"/>
        <w:tblW w:w="10758" w:type="dxa"/>
        <w:jc w:val="center"/>
        <w:tblLayout w:type="autofit"/>
        <w:tblCellMar>
          <w:top w:w="0" w:type="dxa"/>
          <w:left w:w="28" w:type="dxa"/>
          <w:bottom w:w="0" w:type="dxa"/>
          <w:right w:w="28" w:type="dxa"/>
        </w:tblCellMar>
      </w:tblPr>
      <w:tblGrid>
        <w:gridCol w:w="621"/>
        <w:gridCol w:w="1225"/>
        <w:gridCol w:w="7141"/>
        <w:gridCol w:w="537"/>
        <w:gridCol w:w="1234"/>
      </w:tblGrid>
      <w:tr>
        <w:tblPrEx>
          <w:tblCellMar>
            <w:top w:w="0" w:type="dxa"/>
            <w:left w:w="28" w:type="dxa"/>
            <w:bottom w:w="0" w:type="dxa"/>
            <w:right w:w="28" w:type="dxa"/>
          </w:tblCellMar>
        </w:tblPrEx>
        <w:trPr>
          <w:trHeight w:val="376" w:hRule="atLeast"/>
          <w:jc w:val="center"/>
        </w:trPr>
        <w:tc>
          <w:tcPr>
            <w:tcW w:w="621" w:type="dxa"/>
            <w:tcBorders>
              <w:top w:val="single" w:color="000000" w:sz="8" w:space="0"/>
              <w:left w:val="single" w:color="000000" w:sz="8"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序号</w:t>
            </w:r>
          </w:p>
        </w:tc>
        <w:tc>
          <w:tcPr>
            <w:tcW w:w="1225" w:type="dxa"/>
            <w:tcBorders>
              <w:top w:val="single" w:color="000000" w:sz="8"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标的名称</w:t>
            </w:r>
          </w:p>
        </w:tc>
        <w:tc>
          <w:tcPr>
            <w:tcW w:w="7141" w:type="dxa"/>
            <w:tcBorders>
              <w:top w:val="single" w:color="000000" w:sz="8"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规格型号</w:t>
            </w:r>
          </w:p>
        </w:tc>
        <w:tc>
          <w:tcPr>
            <w:tcW w:w="537" w:type="dxa"/>
            <w:tcBorders>
              <w:top w:val="single" w:color="000000" w:sz="8"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数量</w:t>
            </w:r>
          </w:p>
        </w:tc>
        <w:tc>
          <w:tcPr>
            <w:tcW w:w="1234" w:type="dxa"/>
            <w:tcBorders>
              <w:top w:val="single" w:color="000000" w:sz="8"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备注</w:t>
            </w:r>
          </w:p>
        </w:tc>
      </w:tr>
      <w:tr>
        <w:tblPrEx>
          <w:tblCellMar>
            <w:top w:w="0" w:type="dxa"/>
            <w:left w:w="28" w:type="dxa"/>
            <w:bottom w:w="0" w:type="dxa"/>
            <w:right w:w="28" w:type="dxa"/>
          </w:tblCellMar>
        </w:tblPrEx>
        <w:trPr>
          <w:trHeight w:val="528" w:hRule="exact"/>
          <w:jc w:val="center"/>
        </w:trPr>
        <w:tc>
          <w:tcPr>
            <w:tcW w:w="10758" w:type="dxa"/>
            <w:gridSpan w:val="5"/>
            <w:tcBorders>
              <w:top w:val="single" w:color="000000" w:sz="6" w:space="0"/>
              <w:left w:val="single" w:color="000000" w:sz="8" w:space="0"/>
              <w:bottom w:val="single" w:color="000000" w:sz="6" w:space="0"/>
              <w:right w:val="single" w:color="000000" w:sz="8" w:space="0"/>
            </w:tcBorders>
            <w:noWrap w:val="0"/>
            <w:vAlign w:val="center"/>
          </w:tcPr>
          <w:p>
            <w:pPr>
              <w:pStyle w:val="12"/>
              <w:numPr>
                <w:ilvl w:val="0"/>
                <w:numId w:val="0"/>
              </w:numPr>
              <w:spacing w:before="0" w:after="0" w:line="360" w:lineRule="auto"/>
              <w:jc w:val="center"/>
              <w:rPr>
                <w:rFonts w:hint="eastAsia" w:ascii="宋体" w:hAnsi="宋体" w:eastAsia="宋体" w:cs="宋体"/>
                <w:b w:val="0"/>
                <w:bCs w:val="0"/>
                <w:color w:val="auto"/>
                <w:kern w:val="0"/>
                <w:sz w:val="24"/>
                <w:szCs w:val="24"/>
                <w:lang w:val="zh-CN" w:eastAsia="zh-CN" w:bidi="ar-SA"/>
              </w:rPr>
            </w:pPr>
            <w:r>
              <w:rPr>
                <w:rFonts w:hint="eastAsia" w:ascii="宋体" w:hAnsi="宋体" w:eastAsia="宋体" w:cs="宋体"/>
                <w:b w:val="0"/>
                <w:bCs w:val="0"/>
                <w:color w:val="auto"/>
                <w:kern w:val="0"/>
                <w:sz w:val="24"/>
                <w:szCs w:val="24"/>
                <w:lang w:val="zh-CN" w:eastAsia="zh-CN" w:bidi="ar-SA"/>
              </w:rPr>
              <w:t>尕海镇--消防器材</w:t>
            </w:r>
          </w:p>
        </w:tc>
      </w:tr>
      <w:tr>
        <w:tblPrEx>
          <w:tblCellMar>
            <w:top w:w="0" w:type="dxa"/>
            <w:left w:w="28" w:type="dxa"/>
            <w:bottom w:w="0" w:type="dxa"/>
            <w:right w:w="28" w:type="dxa"/>
          </w:tblCellMar>
        </w:tblPrEx>
        <w:trPr>
          <w:trHeight w:val="3334" w:hRule="exac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越野型抢险救援车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皮卡抢险救援车辆，车厢 为箱体设计 </w:t>
            </w:r>
          </w:p>
          <w:p>
            <w:pPr>
              <w:keepNext w:val="0"/>
              <w:keepLines w:val="0"/>
              <w:widowControl/>
              <w:numPr>
                <w:ilvl w:val="0"/>
                <w:numId w:val="1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实现功能： 警灯警示、AC220V 发电供电、逆变电源、360 度可旋 转照明、自救、抢险等功能</w:t>
            </w:r>
          </w:p>
          <w:p>
            <w:pPr>
              <w:keepNext w:val="0"/>
              <w:keepLines w:val="0"/>
              <w:widowControl/>
              <w:numPr>
                <w:ilvl w:val="0"/>
                <w:numId w:val="1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发动机：</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238马力</w:t>
            </w:r>
          </w:p>
          <w:p>
            <w:pPr>
              <w:keepNext w:val="0"/>
              <w:keepLines w:val="0"/>
              <w:widowControl/>
              <w:numPr>
                <w:ilvl w:val="0"/>
                <w:numId w:val="1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燃油类型：汽油</w:t>
            </w:r>
          </w:p>
          <w:p>
            <w:pPr>
              <w:keepNext w:val="0"/>
              <w:keepLines w:val="0"/>
              <w:widowControl/>
              <w:numPr>
                <w:ilvl w:val="0"/>
                <w:numId w:val="1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功率：</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175KW，</w:t>
            </w:r>
          </w:p>
          <w:p>
            <w:pPr>
              <w:keepNext w:val="0"/>
              <w:keepLines w:val="0"/>
              <w:widowControl/>
              <w:numPr>
                <w:ilvl w:val="0"/>
                <w:numId w:val="1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轴距：3110mm，</w:t>
            </w:r>
          </w:p>
          <w:p>
            <w:pPr>
              <w:keepNext w:val="0"/>
              <w:keepLines w:val="0"/>
              <w:widowControl/>
              <w:numPr>
                <w:ilvl w:val="0"/>
                <w:numId w:val="1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轮胎：245/70R16</w:t>
            </w:r>
          </w:p>
          <w:p>
            <w:pPr>
              <w:keepNext w:val="0"/>
              <w:keepLines w:val="0"/>
              <w:widowControl/>
              <w:numPr>
                <w:ilvl w:val="0"/>
                <w:numId w:val="1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外形尺寸（mm）：长：5340，宽：1940，高：2090</w:t>
            </w:r>
          </w:p>
          <w:p>
            <w:pPr>
              <w:keepNext w:val="0"/>
              <w:keepLines w:val="0"/>
              <w:widowControl/>
              <w:numPr>
                <w:ilvl w:val="0"/>
                <w:numId w:val="1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驾驶室：双排座驾驶室，座位设置2+3人，</w:t>
            </w:r>
          </w:p>
          <w:p>
            <w:pPr>
              <w:keepNext w:val="0"/>
              <w:keepLines w:val="0"/>
              <w:widowControl/>
              <w:numPr>
                <w:ilvl w:val="0"/>
                <w:numId w:val="0"/>
              </w:numPr>
              <w:suppressLineNumbers w:val="0"/>
              <w:jc w:val="left"/>
              <w:textAlignment w:val="center"/>
              <w:rPr>
                <w:rFonts w:hint="default"/>
                <w:color w:val="auto"/>
                <w:lang w:val="en-US" w:eastAsia="zh-CN"/>
              </w:rPr>
            </w:pPr>
            <w:r>
              <w:rPr>
                <w:rFonts w:hint="eastAsia" w:ascii="宋体" w:hAnsi="宋体" w:eastAsia="宋体" w:cs="宋体"/>
                <w:i w:val="0"/>
                <w:iCs w:val="0"/>
                <w:color w:val="auto"/>
                <w:kern w:val="0"/>
                <w:sz w:val="18"/>
                <w:szCs w:val="18"/>
                <w:u w:val="none"/>
                <w:lang w:val="en-US" w:eastAsia="zh-CN" w:bidi="ar"/>
              </w:rPr>
              <w:t>10、配置设备：一键启动，前排普通三点式安全带，后排中间两点式两边三点式安全带，刹车辅助，倒车雷达，发动机防盗，定速巡航</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sz w:val="18"/>
                <w:szCs w:val="18"/>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辆</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8775" w:hRule="exac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rPr>
                <w:color w:val="auto"/>
              </w:rPr>
            </w:pPr>
            <w:r>
              <w:rPr>
                <w:rFonts w:hint="eastAsia" w:ascii="宋体" w:hAnsi="宋体" w:eastAsia="宋体" w:cs="宋体"/>
                <w:color w:val="auto"/>
                <w:kern w:val="0"/>
                <w:sz w:val="19"/>
                <w:szCs w:val="19"/>
                <w:lang w:val="en-US" w:eastAsia="zh-CN" w:bidi="ar"/>
              </w:rPr>
              <w:t>正压式空气呼吸器</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w:t>
            </w:r>
            <w:r>
              <w:rPr>
                <w:rFonts w:hint="eastAsia" w:ascii="宋体" w:hAnsi="宋体" w:eastAsia="宋体" w:cs="宋体"/>
                <w:i w:val="0"/>
                <w:iCs w:val="0"/>
                <w:color w:val="auto"/>
                <w:kern w:val="0"/>
                <w:sz w:val="18"/>
                <w:szCs w:val="18"/>
                <w:u w:val="none"/>
                <w:lang w:val="en-US" w:eastAsia="zh-CN" w:bidi="ar"/>
              </w:rPr>
              <w:t>产品符合XF 124-2013《正压式消防空气呼吸器》标准；</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2、背具、背具带、带扣、气瓶防护套、全面罩、导气管、供气阀以上配件的续燃时间均≤0s;整机气密性能：在气密性试验后压力表指示值在1min内的下降为0MPa；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*3、佩戴质量≤15kg；</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*4、动态呼吸阻力：气瓶压力在30MPa-2MPa呼吸量40*2.5L/min时；（1）吸气阻力≤450Pa；（2）呼气阻力≤900Pa；5、全面罩性能：（1）总视野保留率≥75%；（2）双目视野保留率≥ 65%；（3）下方视野≥ 35°；</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*6、机械压力表或电子压力表，外壳有橡胶防护套，黑暗条件下可读数，当从呼吸器上拆下压力表和连接管后，在20MPa压力下，压力表漏气量≤18L/min；</w:t>
            </w:r>
          </w:p>
          <w:p>
            <w:pPr>
              <w:keepNext w:val="0"/>
              <w:keepLines w:val="0"/>
              <w:widowControl/>
              <w:numPr>
                <w:ilvl w:val="0"/>
                <w:numId w:val="1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压力平视显示装置：HUD装置的开启和关闭可以通过气瓶阀的开启和关闭自动实现；显示装置气源指示灯≥3个，根据压力指示灯产生变化；防护等级：≥IP67；</w:t>
            </w:r>
          </w:p>
          <w:p>
            <w:pPr>
              <w:keepNext w:val="0"/>
              <w:keepLines w:val="0"/>
              <w:widowControl/>
              <w:numPr>
                <w:ilvl w:val="0"/>
                <w:numId w:val="1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供气阀与面罩可连接，面罩可去雾、除霜，面罩上设置传声装置，同时要求提供与甲方匹配的手持电台（包括但不限于海能达、摩托罗拉等）连接线；</w:t>
            </w:r>
          </w:p>
          <w:p>
            <w:pPr>
              <w:keepNext w:val="0"/>
              <w:keepLines w:val="0"/>
              <w:widowControl/>
              <w:numPr>
                <w:ilvl w:val="0"/>
                <w:numId w:val="1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头罩为凯夫拉材质或者同等材质；</w:t>
            </w:r>
          </w:p>
          <w:p>
            <w:pPr>
              <w:keepNext w:val="0"/>
              <w:keepLines w:val="0"/>
              <w:widowControl/>
              <w:numPr>
                <w:ilvl w:val="0"/>
                <w:numId w:val="1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气瓶阀开关侧置；</w:t>
            </w:r>
          </w:p>
          <w:p>
            <w:pPr>
              <w:keepNext w:val="0"/>
              <w:keepLines w:val="0"/>
              <w:widowControl/>
              <w:numPr>
                <w:ilvl w:val="0"/>
                <w:numId w:val="1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气瓶上有压力表；</w:t>
            </w:r>
          </w:p>
          <w:p>
            <w:pPr>
              <w:keepNext w:val="0"/>
              <w:keepLines w:val="0"/>
              <w:widowControl/>
              <w:numPr>
                <w:ilvl w:val="0"/>
                <w:numId w:val="1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气瓶保护罩按甲方要求印刷丝网印、单位名称；</w:t>
            </w:r>
          </w:p>
          <w:p>
            <w:pPr>
              <w:keepNext w:val="0"/>
              <w:keepLines w:val="0"/>
              <w:widowControl/>
              <w:numPr>
                <w:ilvl w:val="0"/>
                <w:numId w:val="1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颜色：藏蓝色；</w:t>
            </w:r>
          </w:p>
          <w:p>
            <w:pPr>
              <w:keepNext w:val="0"/>
              <w:keepLines w:val="0"/>
              <w:widowControl/>
              <w:numPr>
                <w:ilvl w:val="0"/>
                <w:numId w:val="1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碳纤维复合气瓶，容积9L，气瓶爆破压力≥102Mpa；瓶阀有防误关手轮；</w:t>
            </w:r>
          </w:p>
          <w:p>
            <w:pPr>
              <w:keepNext w:val="0"/>
              <w:keepLines w:val="0"/>
              <w:widowControl/>
              <w:numPr>
                <w:ilvl w:val="0"/>
                <w:numId w:val="1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配有快速充气装置：当相同公称容积的气瓶之间对充时，气瓶压力平衡时间≤1min；</w:t>
            </w:r>
          </w:p>
          <w:p>
            <w:pPr>
              <w:keepNext w:val="0"/>
              <w:keepLines w:val="0"/>
              <w:widowControl/>
              <w:numPr>
                <w:ilvl w:val="0"/>
                <w:numId w:val="1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远距离通话装置：在无障碍的情况下，通话距离≥1km；</w:t>
            </w:r>
          </w:p>
          <w:p>
            <w:pPr>
              <w:keepNext w:val="0"/>
              <w:keepLines w:val="0"/>
              <w:widowControl/>
              <w:numPr>
                <w:ilvl w:val="0"/>
                <w:numId w:val="0"/>
              </w:numPr>
              <w:suppressLineNumbers w:val="0"/>
              <w:ind w:leftChars="0"/>
              <w:jc w:val="left"/>
              <w:textAlignment w:val="center"/>
              <w:rPr>
                <w:rFonts w:hint="eastAsia"/>
                <w:color w:val="auto"/>
                <w:lang w:val="en-US" w:eastAsia="zh-CN"/>
              </w:rPr>
            </w:pPr>
            <w:r>
              <w:rPr>
                <w:rFonts w:hint="eastAsia" w:ascii="宋体" w:hAnsi="宋体" w:cs="宋体"/>
                <w:i w:val="0"/>
                <w:iCs w:val="0"/>
                <w:color w:val="auto"/>
                <w:kern w:val="0"/>
                <w:sz w:val="18"/>
                <w:szCs w:val="18"/>
                <w:u w:val="none"/>
                <w:lang w:val="en-US" w:eastAsia="zh-CN" w:bidi="ar"/>
              </w:rPr>
              <w:t>17、</w:t>
            </w:r>
            <w:r>
              <w:rPr>
                <w:rFonts w:hint="eastAsia" w:ascii="宋体" w:hAnsi="宋体" w:eastAsia="宋体" w:cs="宋体"/>
                <w:i w:val="0"/>
                <w:iCs w:val="0"/>
                <w:color w:val="auto"/>
                <w:kern w:val="0"/>
                <w:sz w:val="18"/>
                <w:szCs w:val="18"/>
                <w:u w:val="none"/>
                <w:lang w:val="en-US" w:eastAsia="zh-CN" w:bidi="ar"/>
              </w:rPr>
              <w:t>配有他救接管及快速充气接管，正压式空气呼吸器/快速充气接管配比数量:5/1（按照支队级单位购置数量进行配比，配比后剩余正压式空气呼吸器不足5具的，须补配一根）；</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18、具有永久性标志及产品数据标识；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color w:val="auto"/>
                <w:kern w:val="0"/>
                <w:sz w:val="18"/>
                <w:szCs w:val="18"/>
                <w:lang w:val="en-US"/>
              </w:rPr>
            </w:pPr>
            <w:r>
              <w:rPr>
                <w:rFonts w:hint="eastAsia" w:ascii="宋体" w:hAnsi="宋体" w:eastAsia="宋体" w:cs="宋体"/>
                <w:i w:val="0"/>
                <w:iCs w:val="0"/>
                <w:color w:val="auto"/>
                <w:kern w:val="0"/>
                <w:sz w:val="18"/>
                <w:szCs w:val="18"/>
                <w:u w:val="none"/>
                <w:lang w:val="en-US" w:eastAsia="zh-CN" w:bidi="ar"/>
              </w:rPr>
              <w:t>8具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4394" w:hRule="exac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手持对讲机</w:t>
            </w:r>
          </w:p>
          <w:p>
            <w:pPr>
              <w:keepNext w:val="0"/>
              <w:keepLines w:val="0"/>
              <w:widowControl/>
              <w:suppressLineNumbers w:val="0"/>
              <w:jc w:val="left"/>
              <w:textAlignment w:val="center"/>
              <w:rPr>
                <w:rFonts w:hint="eastAsia" w:ascii="宋体" w:hAnsi="宋体" w:cs="宋体"/>
                <w:color w:val="auto"/>
                <w:kern w:val="0"/>
                <w:sz w:val="18"/>
                <w:szCs w:val="18"/>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3"/>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产品组成：由锂电池组、壳体、按键、显示屏及内部电路板、天线等组成；</w:t>
            </w:r>
          </w:p>
          <w:p>
            <w:pPr>
              <w:keepNext w:val="0"/>
              <w:keepLines w:val="0"/>
              <w:widowControl/>
              <w:numPr>
                <w:ilvl w:val="0"/>
                <w:numId w:val="1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工作频率为：350MHz—400 MHz</w:t>
            </w:r>
          </w:p>
          <w:p>
            <w:pPr>
              <w:keepNext w:val="0"/>
              <w:keepLines w:val="0"/>
              <w:widowControl/>
              <w:numPr>
                <w:ilvl w:val="0"/>
                <w:numId w:val="1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3、锂电池组容量：≥3000 mAh；</w:t>
            </w:r>
          </w:p>
          <w:p>
            <w:pPr>
              <w:keepNext w:val="0"/>
              <w:keepLines w:val="0"/>
              <w:widowControl/>
              <w:numPr>
                <w:ilvl w:val="0"/>
                <w:numId w:val="1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防护等级≥IP68；</w:t>
            </w:r>
          </w:p>
          <w:p>
            <w:pPr>
              <w:keepNext w:val="0"/>
              <w:keepLines w:val="0"/>
              <w:widowControl/>
              <w:numPr>
                <w:ilvl w:val="0"/>
                <w:numId w:val="1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发射功率≤3.5 W；</w:t>
            </w:r>
          </w:p>
          <w:p>
            <w:pPr>
              <w:keepNext w:val="0"/>
              <w:keepLines w:val="0"/>
              <w:widowControl/>
              <w:numPr>
                <w:ilvl w:val="0"/>
                <w:numId w:val="1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误码率≤5%，重量≤400g;屏幕尺寸≥1.8In；信道容量≥1024个</w:t>
            </w:r>
          </w:p>
          <w:p>
            <w:pPr>
              <w:keepNext w:val="0"/>
              <w:keepLines w:val="0"/>
              <w:widowControl/>
              <w:numPr>
                <w:ilvl w:val="0"/>
                <w:numId w:val="1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带键盘、紧急报警按键，LCD彩色显示屏。支持数字集群、数字常规、模拟集群、模拟常规，DMR协议,AMBE++、NVOC声码器，带漫游和降噪功能。</w:t>
            </w:r>
          </w:p>
          <w:p>
            <w:pPr>
              <w:keepNext w:val="0"/>
              <w:keepLines w:val="0"/>
              <w:widowControl/>
              <w:numPr>
                <w:ilvl w:val="0"/>
                <w:numId w:val="1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配防爆锂电池1块，配套充电器、皮带夹、背夹、充电头；提供骨传导、喉部发生器、肩咪等多种外接设备接口。9、具有永久性标志及产品数据标识；</w:t>
            </w:r>
          </w:p>
          <w:p>
            <w:pPr>
              <w:keepNext w:val="0"/>
              <w:keepLines w:val="0"/>
              <w:widowControl/>
              <w:numPr>
                <w:ilvl w:val="0"/>
                <w:numId w:val="1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整机具有第三方出具的防爆合格证和防护等级报告。</w:t>
            </w:r>
          </w:p>
          <w:p>
            <w:pPr>
              <w:keepNext w:val="0"/>
              <w:keepLines w:val="0"/>
              <w:widowControl/>
              <w:numPr>
                <w:ilvl w:val="0"/>
                <w:numId w:val="13"/>
              </w:numPr>
              <w:suppressLineNumbers w:val="0"/>
              <w:ind w:left="0" w:leftChars="0" w:firstLine="0" w:firstLine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具有《无线电发射设备型号核准证》。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sz w:val="18"/>
                <w:szCs w:val="18"/>
                <w:lang w:val="en-US"/>
              </w:rPr>
            </w:pPr>
            <w:r>
              <w:rPr>
                <w:rFonts w:hint="eastAsia" w:ascii="宋体" w:hAnsi="宋体" w:eastAsia="宋体" w:cs="宋体"/>
                <w:i w:val="0"/>
                <w:iCs w:val="0"/>
                <w:color w:val="auto"/>
                <w:kern w:val="0"/>
                <w:sz w:val="18"/>
                <w:szCs w:val="18"/>
                <w:u w:val="none"/>
                <w:lang w:val="en-US" w:eastAsia="zh-CN" w:bidi="ar"/>
              </w:rPr>
              <w:t>5</w:t>
            </w:r>
            <w:r>
              <w:rPr>
                <w:rFonts w:hint="eastAsia" w:ascii="宋体" w:hAnsi="宋体" w:cs="宋体"/>
                <w:i w:val="0"/>
                <w:iCs w:val="0"/>
                <w:color w:val="auto"/>
                <w:kern w:val="0"/>
                <w:sz w:val="18"/>
                <w:szCs w:val="18"/>
                <w:u w:val="none"/>
                <w:lang w:val="en-US" w:eastAsia="zh-CN" w:bidi="ar"/>
              </w:rPr>
              <w:t>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r>
              <w:rPr>
                <w:rFonts w:hint="eastAsia" w:ascii="宋体" w:hAnsi="宋体" w:cs="宋体"/>
                <w:i w:val="0"/>
                <w:iCs w:val="0"/>
                <w:color w:val="FF0000"/>
                <w:kern w:val="0"/>
                <w:sz w:val="18"/>
                <w:szCs w:val="18"/>
                <w:u w:val="none"/>
                <w:lang w:val="en-US" w:eastAsia="zh-CN" w:bidi="ar"/>
              </w:rPr>
              <w:t>该项参数中要求的：第11项，投标时潜在供应商可不提供该项《无线电发射设备型号核准证》，若中标后，供货时必须提供该项要求，若不提供视为放弃中标资格还应承担相应的违约责任。</w:t>
            </w:r>
          </w:p>
        </w:tc>
      </w:tr>
      <w:tr>
        <w:tblPrEx>
          <w:tblCellMar>
            <w:top w:w="0" w:type="dxa"/>
            <w:left w:w="28" w:type="dxa"/>
            <w:bottom w:w="0" w:type="dxa"/>
            <w:right w:w="28" w:type="dxa"/>
          </w:tblCellMar>
        </w:tblPrEx>
        <w:trPr>
          <w:trHeight w:val="2046" w:hRule="exac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直流水枪</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符合GB8181-2005《消防水枪》标准要求；</w:t>
            </w:r>
          </w:p>
          <w:p>
            <w:pPr>
              <w:keepNext w:val="0"/>
              <w:keepLines w:val="0"/>
              <w:widowControl/>
              <w:numPr>
                <w:ilvl w:val="0"/>
                <w:numId w:val="1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材质：铝合金；</w:t>
            </w:r>
          </w:p>
          <w:p>
            <w:pPr>
              <w:keepNext w:val="0"/>
              <w:keepLines w:val="0"/>
              <w:widowControl/>
              <w:numPr>
                <w:ilvl w:val="0"/>
                <w:numId w:val="1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进水口口径65mm；（1）射程≥28m；（2）最大流量≥7L/s；（3）质量≤2Kg；</w:t>
            </w:r>
          </w:p>
          <w:p>
            <w:pPr>
              <w:keepNext w:val="0"/>
              <w:keepLines w:val="0"/>
              <w:widowControl/>
              <w:numPr>
                <w:ilvl w:val="0"/>
                <w:numId w:val="1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操作力矩≤8N.m；</w:t>
            </w:r>
          </w:p>
          <w:p>
            <w:pPr>
              <w:keepNext w:val="0"/>
              <w:keepLines w:val="0"/>
              <w:widowControl/>
              <w:numPr>
                <w:ilvl w:val="0"/>
                <w:numId w:val="1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卡口形式：卡式  </w:t>
            </w:r>
          </w:p>
          <w:p>
            <w:pPr>
              <w:keepNext w:val="0"/>
              <w:keepLines w:val="0"/>
              <w:widowControl/>
              <w:numPr>
                <w:ilvl w:val="0"/>
                <w:numId w:val="0"/>
              </w:numPr>
              <w:suppressLineNumbers w:val="0"/>
              <w:ind w:leftChars="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sz w:val="18"/>
                <w:szCs w:val="18"/>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3711" w:hRule="exac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水带（65）</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5"/>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水带口径：65mm±2.00mm；</w:t>
            </w:r>
          </w:p>
          <w:p>
            <w:pPr>
              <w:keepNext w:val="0"/>
              <w:keepLines w:val="0"/>
              <w:widowControl/>
              <w:numPr>
                <w:ilvl w:val="0"/>
                <w:numId w:val="1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工作压力：≥2.5MPa，爆破压力≥7.50MPa；</w:t>
            </w:r>
          </w:p>
          <w:p>
            <w:pPr>
              <w:keepNext w:val="0"/>
              <w:keepLines w:val="0"/>
              <w:widowControl/>
              <w:numPr>
                <w:ilvl w:val="0"/>
                <w:numId w:val="1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水带编织层与衬里之间的附着强度≥20N/25mm；</w:t>
            </w:r>
          </w:p>
          <w:p>
            <w:pPr>
              <w:keepNext w:val="0"/>
              <w:keepLines w:val="0"/>
              <w:widowControl/>
              <w:numPr>
                <w:ilvl w:val="0"/>
                <w:numId w:val="1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轴向延伸率≤8%；</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5、直径膨胀率≤8%；</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6、扯断伸长率≤280%；</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7、水带带有配套的KD65卡口式接口，采用铁丝绑扎≥4道*2道，并带有水带护套；</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8、单位长度质量：≤407g/m~420g/m；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9、水带护套长度≥20cm；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10、水带长度20m±0.5m；</w:t>
            </w:r>
          </w:p>
          <w:p>
            <w:pPr>
              <w:keepNext w:val="0"/>
              <w:keepLines w:val="0"/>
              <w:widowControl/>
              <w:numPr>
                <w:ilvl w:val="0"/>
                <w:numId w:val="0"/>
              </w:numPr>
              <w:suppressLineNumbers w:val="0"/>
              <w:ind w:leftChars="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11、应符合GB6246-2011《消防水带》标准要求；</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sz w:val="18"/>
                <w:szCs w:val="18"/>
                <w:lang w:val="en-US"/>
              </w:rPr>
            </w:pPr>
            <w:r>
              <w:rPr>
                <w:rFonts w:hint="eastAsia" w:ascii="宋体" w:hAnsi="宋体" w:eastAsia="宋体" w:cs="宋体"/>
                <w:i w:val="0"/>
                <w:iCs w:val="0"/>
                <w:color w:val="auto"/>
                <w:kern w:val="0"/>
                <w:sz w:val="18"/>
                <w:szCs w:val="18"/>
                <w:u w:val="none"/>
                <w:lang w:val="en-US" w:eastAsia="zh-CN" w:bidi="ar"/>
              </w:rPr>
              <w:t>20</w:t>
            </w:r>
            <w:r>
              <w:rPr>
                <w:rFonts w:hint="eastAsia" w:ascii="宋体" w:hAnsi="宋体" w:cs="宋体"/>
                <w:i w:val="0"/>
                <w:iCs w:val="0"/>
                <w:color w:val="auto"/>
                <w:kern w:val="0"/>
                <w:sz w:val="18"/>
                <w:szCs w:val="18"/>
                <w:u w:val="none"/>
                <w:lang w:val="en-US" w:eastAsia="zh-CN" w:bidi="ar"/>
              </w:rPr>
              <w:t>盘</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3074" w:hRule="exac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水带（80）</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 GB6246-2011《消防水带》标准；长度20m；</w:t>
            </w:r>
          </w:p>
          <w:p>
            <w:pPr>
              <w:keepNext w:val="0"/>
              <w:keepLines w:val="0"/>
              <w:widowControl/>
              <w:numPr>
                <w:ilvl w:val="0"/>
                <w:numId w:val="1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聚氨脂材料制成；水带接口：卡扣式或内扣式可选；接口材质：铝合金</w:t>
            </w:r>
          </w:p>
          <w:p>
            <w:pPr>
              <w:keepNext w:val="0"/>
              <w:keepLines w:val="0"/>
              <w:widowControl/>
              <w:numPr>
                <w:ilvl w:val="0"/>
                <w:numId w:val="1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设计工作压力2.5Mpa，爆破压力≥7.5Mpa；</w:t>
            </w:r>
          </w:p>
          <w:p>
            <w:pPr>
              <w:keepNext w:val="0"/>
              <w:keepLines w:val="0"/>
              <w:widowControl/>
              <w:numPr>
                <w:ilvl w:val="0"/>
                <w:numId w:val="1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内径51mm（公差0至﹢2mm）</w:t>
            </w:r>
          </w:p>
          <w:p>
            <w:pPr>
              <w:keepNext w:val="0"/>
              <w:keepLines w:val="0"/>
              <w:widowControl/>
              <w:numPr>
                <w:ilvl w:val="0"/>
                <w:numId w:val="1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5、水带编织层与衬里之间的附着强度≥48N/25mm；</w:t>
            </w:r>
          </w:p>
          <w:p>
            <w:pPr>
              <w:keepNext w:val="0"/>
              <w:keepLines w:val="0"/>
              <w:widowControl/>
              <w:numPr>
                <w:ilvl w:val="0"/>
                <w:numId w:val="1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轴向延伸率≤6%；</w:t>
            </w:r>
          </w:p>
          <w:p>
            <w:pPr>
              <w:keepNext w:val="0"/>
              <w:keepLines w:val="0"/>
              <w:widowControl/>
              <w:numPr>
                <w:ilvl w:val="0"/>
                <w:numId w:val="1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直径膨胀率≤5%；</w:t>
            </w:r>
          </w:p>
          <w:p>
            <w:pPr>
              <w:keepNext w:val="0"/>
              <w:keepLines w:val="0"/>
              <w:widowControl/>
              <w:numPr>
                <w:ilvl w:val="0"/>
                <w:numId w:val="1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可提供水带颜色白，红，黄，蓝，绿，橙，浅蓝；</w:t>
            </w:r>
          </w:p>
          <w:p>
            <w:pPr>
              <w:keepNext w:val="0"/>
              <w:keepLines w:val="0"/>
              <w:widowControl/>
              <w:numPr>
                <w:ilvl w:val="0"/>
                <w:numId w:val="0"/>
              </w:numPr>
              <w:suppressLineNumbers w:val="0"/>
              <w:ind w:leftChars="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10</w:t>
            </w:r>
            <w:r>
              <w:rPr>
                <w:rFonts w:hint="eastAsia" w:ascii="宋体" w:hAnsi="宋体" w:cs="宋体"/>
                <w:i w:val="0"/>
                <w:iCs w:val="0"/>
                <w:color w:val="auto"/>
                <w:kern w:val="0"/>
                <w:sz w:val="18"/>
                <w:szCs w:val="18"/>
                <w:u w:val="none"/>
                <w:lang w:val="en-US" w:eastAsia="zh-CN" w:bidi="ar"/>
              </w:rPr>
              <w:t>盘</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56" w:hRule="exac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吸水管</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1.吸水管</w:t>
            </w:r>
          </w:p>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sz w:val="18"/>
                <w:szCs w:val="18"/>
                <w:lang w:val="en-US"/>
              </w:rPr>
            </w:pPr>
            <w:r>
              <w:rPr>
                <w:rFonts w:hint="eastAsia" w:ascii="宋体" w:hAnsi="宋体" w:eastAsia="宋体" w:cs="宋体"/>
                <w:i w:val="0"/>
                <w:iCs w:val="0"/>
                <w:color w:val="auto"/>
                <w:kern w:val="0"/>
                <w:sz w:val="18"/>
                <w:szCs w:val="18"/>
                <w:u w:val="none"/>
                <w:lang w:val="en-US" w:eastAsia="zh-CN" w:bidi="ar"/>
              </w:rPr>
              <w:t>6</w:t>
            </w:r>
            <w:r>
              <w:rPr>
                <w:rFonts w:hint="eastAsia" w:ascii="宋体" w:hAnsi="宋体" w:cs="宋体"/>
                <w:i w:val="0"/>
                <w:iCs w:val="0"/>
                <w:color w:val="auto"/>
                <w:kern w:val="0"/>
                <w:sz w:val="18"/>
                <w:szCs w:val="18"/>
                <w:u w:val="none"/>
                <w:lang w:val="en-US" w:eastAsia="zh-CN" w:bidi="ar"/>
              </w:rPr>
              <w:t>m</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79" w:hRule="exac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吸水管扳手</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1.吸水管扳手</w:t>
            </w:r>
          </w:p>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742" w:hRule="exac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消火栓扳手</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1.消火栓扳手</w:t>
            </w:r>
          </w:p>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651" w:hRule="exac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10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单杠梯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7"/>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整体要求：符合XF137-2007《消防梯》标准要求，</w:t>
            </w:r>
          </w:p>
          <w:p>
            <w:pPr>
              <w:keepNext w:val="0"/>
              <w:keepLines w:val="0"/>
              <w:widowControl/>
              <w:numPr>
                <w:ilvl w:val="0"/>
                <w:numId w:val="1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材料检查：消防梯所用竹、木材料应符合XF137-2007附录A的要求，（侧板材质和梯蹬材质：竹粘合材料等相同材料或优于此材质的材料）；</w:t>
            </w:r>
          </w:p>
          <w:p>
            <w:pPr>
              <w:keepNext w:val="0"/>
              <w:keepLines w:val="0"/>
              <w:widowControl/>
              <w:numPr>
                <w:ilvl w:val="0"/>
                <w:numId w:val="1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、外形尺寸</w:t>
            </w:r>
          </w:p>
          <w:p>
            <w:pPr>
              <w:keepNext w:val="0"/>
              <w:keepLines w:val="0"/>
              <w:widowControl/>
              <w:numPr>
                <w:ilvl w:val="0"/>
                <w:numId w:val="0"/>
              </w:numPr>
              <w:suppressLineNumbers w:val="0"/>
              <w:ind w:leftChars="0" w:firstLine="36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2.1、工作长度：3010mm±20mm；</w:t>
            </w:r>
          </w:p>
          <w:p>
            <w:pPr>
              <w:keepNext w:val="0"/>
              <w:keepLines w:val="0"/>
              <w:widowControl/>
              <w:numPr>
                <w:ilvl w:val="0"/>
                <w:numId w:val="0"/>
              </w:numPr>
              <w:suppressLineNumbers w:val="0"/>
              <w:ind w:leftChars="0" w:firstLine="36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2.2、最小梯宽：250mm±10mm；</w:t>
            </w:r>
          </w:p>
          <w:p>
            <w:pPr>
              <w:keepNext w:val="0"/>
              <w:keepLines w:val="0"/>
              <w:widowControl/>
              <w:numPr>
                <w:ilvl w:val="0"/>
                <w:numId w:val="0"/>
              </w:numPr>
              <w:suppressLineNumbers w:val="0"/>
              <w:ind w:leftChars="0" w:firstLine="36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2.3、梯蹬间距：340mm±10mm；</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4</w:t>
            </w:r>
            <w:r>
              <w:rPr>
                <w:rFonts w:hint="eastAsia" w:ascii="宋体" w:hAnsi="宋体" w:eastAsia="宋体" w:cs="宋体"/>
                <w:i w:val="0"/>
                <w:iCs w:val="0"/>
                <w:color w:val="auto"/>
                <w:kern w:val="0"/>
                <w:sz w:val="18"/>
                <w:szCs w:val="18"/>
                <w:u w:val="none"/>
                <w:lang w:val="en-US" w:eastAsia="zh-CN" w:bidi="ar"/>
              </w:rPr>
              <w:t>、整梯质量：8.8kg±0.5kg；</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5、</w:t>
            </w:r>
            <w:r>
              <w:rPr>
                <w:rFonts w:hint="eastAsia" w:ascii="宋体" w:hAnsi="宋体" w:eastAsia="宋体" w:cs="宋体"/>
                <w:i w:val="0"/>
                <w:iCs w:val="0"/>
                <w:color w:val="auto"/>
                <w:kern w:val="0"/>
                <w:sz w:val="18"/>
                <w:szCs w:val="18"/>
                <w:u w:val="none"/>
                <w:lang w:val="en-US" w:eastAsia="zh-CN" w:bidi="ar"/>
              </w:rPr>
              <w:t>水平弯曲残余变形比值：≤0.12%；</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6</w:t>
            </w:r>
            <w:r>
              <w:rPr>
                <w:rFonts w:hint="eastAsia" w:ascii="宋体" w:hAnsi="宋体" w:eastAsia="宋体" w:cs="宋体"/>
                <w:i w:val="0"/>
                <w:iCs w:val="0"/>
                <w:color w:val="auto"/>
                <w:kern w:val="0"/>
                <w:sz w:val="18"/>
                <w:szCs w:val="18"/>
                <w:u w:val="none"/>
                <w:lang w:val="en-US" w:eastAsia="zh-CN" w:bidi="ar"/>
              </w:rPr>
              <w:t>、梯蹬弯曲残余变形比值：≤0.28%；</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7</w:t>
            </w:r>
            <w:r>
              <w:rPr>
                <w:rFonts w:hint="eastAsia" w:ascii="宋体" w:hAnsi="宋体" w:eastAsia="宋体" w:cs="宋体"/>
                <w:i w:val="0"/>
                <w:iCs w:val="0"/>
                <w:color w:val="auto"/>
                <w:kern w:val="0"/>
                <w:sz w:val="18"/>
                <w:szCs w:val="18"/>
                <w:u w:val="none"/>
                <w:lang w:val="en-US" w:eastAsia="zh-CN" w:bidi="ar"/>
              </w:rPr>
              <w:t>、梯蹬剪切强度试验：经梯蹬对侧板剪切试验后，梯蹬与侧板的连接处和梯蹬本身没有任何断裂迹象；</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8</w:t>
            </w:r>
            <w:r>
              <w:rPr>
                <w:rFonts w:hint="eastAsia" w:ascii="宋体" w:hAnsi="宋体" w:eastAsia="宋体" w:cs="宋体"/>
                <w:i w:val="0"/>
                <w:iCs w:val="0"/>
                <w:color w:val="auto"/>
                <w:kern w:val="0"/>
                <w:sz w:val="18"/>
                <w:szCs w:val="18"/>
                <w:u w:val="none"/>
                <w:lang w:val="en-US" w:eastAsia="zh-CN" w:bidi="ar"/>
              </w:rPr>
              <w:t>、翘曲试验：消防梯在进行翘曲试验时，任一梯脚均不离地；</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9</w:t>
            </w:r>
            <w:r>
              <w:rPr>
                <w:rFonts w:hint="eastAsia" w:ascii="宋体" w:hAnsi="宋体" w:eastAsia="宋体" w:cs="宋体"/>
                <w:i w:val="0"/>
                <w:iCs w:val="0"/>
                <w:color w:val="auto"/>
                <w:kern w:val="0"/>
                <w:sz w:val="18"/>
                <w:szCs w:val="18"/>
                <w:u w:val="none"/>
                <w:lang w:val="en-US" w:eastAsia="zh-CN" w:bidi="ar"/>
              </w:rPr>
              <w:t>、梯节扭转角：α顺：≥8.5°、α逆：≥8.5°；</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10</w:t>
            </w:r>
            <w:r>
              <w:rPr>
                <w:rFonts w:hint="eastAsia" w:ascii="宋体" w:hAnsi="宋体" w:eastAsia="宋体" w:cs="宋体"/>
                <w:i w:val="0"/>
                <w:iCs w:val="0"/>
                <w:color w:val="auto"/>
                <w:kern w:val="0"/>
                <w:sz w:val="18"/>
                <w:szCs w:val="18"/>
                <w:u w:val="none"/>
                <w:lang w:val="en-US" w:eastAsia="zh-CN" w:bidi="ar"/>
              </w:rPr>
              <w:t>、滑移试验：滑移试验时，各梯脚在整个试验表面上不出现位移；</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1</w:t>
            </w:r>
            <w:r>
              <w:rPr>
                <w:rFonts w:hint="eastAsia" w:ascii="宋体" w:hAnsi="宋体" w:eastAsia="宋体" w:cs="宋体"/>
                <w:i w:val="0"/>
                <w:iCs w:val="0"/>
                <w:color w:val="auto"/>
                <w:kern w:val="0"/>
                <w:sz w:val="18"/>
                <w:szCs w:val="18"/>
                <w:u w:val="none"/>
                <w:lang w:val="en-US" w:eastAsia="zh-CN" w:bidi="ar"/>
              </w:rPr>
              <w:t>、侧板悬臂弯曲最大变形值：内弯曲：≥1.0mm、≥外弯曲：1.0mm；</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2</w:t>
            </w:r>
            <w:r>
              <w:rPr>
                <w:rFonts w:hint="eastAsia" w:ascii="宋体" w:hAnsi="宋体" w:eastAsia="宋体" w:cs="宋体"/>
                <w:i w:val="0"/>
                <w:iCs w:val="0"/>
                <w:color w:val="auto"/>
                <w:kern w:val="0"/>
                <w:sz w:val="18"/>
                <w:szCs w:val="18"/>
                <w:u w:val="none"/>
                <w:lang w:val="en-US" w:eastAsia="zh-CN" w:bidi="ar"/>
              </w:rPr>
              <w:t>、侧摇摆曲残余变形比值：≤0.14%；</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、粘牢合度试验时，通过浸泡、恒温、低温试验后无脱胶现象；</w:t>
            </w:r>
          </w:p>
          <w:p>
            <w:pPr>
              <w:keepNext w:val="0"/>
              <w:keepLines w:val="0"/>
              <w:widowControl/>
              <w:numPr>
                <w:ilvl w:val="0"/>
                <w:numId w:val="0"/>
              </w:numPr>
              <w:suppressLineNumbers w:val="0"/>
              <w:jc w:val="left"/>
              <w:textAlignment w:val="center"/>
              <w:rPr>
                <w:rFonts w:hint="eastAsia" w:ascii="宋体" w:hAnsi="宋体" w:cs="宋体"/>
                <w:color w:val="auto"/>
                <w:kern w:val="0"/>
                <w:sz w:val="18"/>
                <w:szCs w:val="18"/>
                <w:lang w:val="zh-CN"/>
              </w:rPr>
            </w:pPr>
            <w:r>
              <w:rPr>
                <w:rFonts w:hint="eastAsia" w:ascii="宋体" w:hAnsi="宋体" w:cs="宋体"/>
                <w:i w:val="0"/>
                <w:iCs w:val="0"/>
                <w:color w:val="auto"/>
                <w:kern w:val="0"/>
                <w:sz w:val="18"/>
                <w:szCs w:val="18"/>
                <w:u w:val="none"/>
                <w:lang w:val="en-US" w:eastAsia="zh-CN" w:bidi="ar"/>
              </w:rPr>
              <w:t>14</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sz w:val="18"/>
                <w:szCs w:val="18"/>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93" w:hRule="exac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11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灭火器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w:t>
            </w:r>
            <w:r>
              <w:rPr>
                <w:rFonts w:hint="eastAsia" w:ascii="宋体" w:hAnsi="宋体" w:cs="宋体"/>
                <w:i w:val="0"/>
                <w:iCs w:val="0"/>
                <w:color w:val="auto"/>
                <w:kern w:val="0"/>
                <w:sz w:val="18"/>
                <w:szCs w:val="18"/>
                <w:u w:val="none"/>
                <w:lang w:val="en-US" w:eastAsia="zh-CN" w:bidi="ar"/>
              </w:rPr>
              <w:t>干粉</w:t>
            </w:r>
            <w:r>
              <w:rPr>
                <w:rFonts w:hint="eastAsia" w:ascii="宋体" w:hAnsi="宋体" w:eastAsia="宋体" w:cs="宋体"/>
                <w:i w:val="0"/>
                <w:iCs w:val="0"/>
                <w:color w:val="auto"/>
                <w:kern w:val="0"/>
                <w:sz w:val="18"/>
                <w:szCs w:val="18"/>
                <w:u w:val="none"/>
                <w:lang w:val="en-US" w:eastAsia="zh-CN" w:bidi="ar"/>
              </w:rPr>
              <w:t>灭火器</w:t>
            </w:r>
          </w:p>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2.规格:</w:t>
            </w:r>
            <w:r>
              <w:rPr>
                <w:rFonts w:hint="default" w:ascii="宋体" w:hAnsi="宋体" w:cs="宋体"/>
                <w:i w:val="0"/>
                <w:iCs w:val="0"/>
                <w:color w:val="auto"/>
                <w:kern w:val="0"/>
                <w:sz w:val="18"/>
                <w:szCs w:val="18"/>
                <w:u w:val="none"/>
                <w:lang w:val="en" w:eastAsia="zh-CN" w:bidi="ar"/>
              </w:rPr>
              <w:t>MF/ABC4</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6</w:t>
            </w:r>
            <w:r>
              <w:rPr>
                <w:rFonts w:hint="eastAsia" w:ascii="宋体" w:hAnsi="宋体" w:cs="宋体"/>
                <w:i w:val="0"/>
                <w:iCs w:val="0"/>
                <w:color w:val="auto"/>
                <w:kern w:val="0"/>
                <w:sz w:val="18"/>
                <w:szCs w:val="18"/>
                <w:u w:val="none"/>
                <w:lang w:val="en-US" w:eastAsia="zh-CN" w:bidi="ar"/>
              </w:rPr>
              <w:t>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3001" w:hRule="exac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12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扩音通话柱</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8"/>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扩音器外壳材质为ABS航空材质；</w:t>
            </w:r>
          </w:p>
          <w:p>
            <w:pPr>
              <w:keepNext w:val="0"/>
              <w:keepLines w:val="0"/>
              <w:widowControl/>
              <w:numPr>
                <w:ilvl w:val="0"/>
                <w:numId w:val="1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功率≥25 W；</w:t>
            </w:r>
          </w:p>
          <w:p>
            <w:pPr>
              <w:keepNext w:val="0"/>
              <w:keepLines w:val="0"/>
              <w:widowControl/>
              <w:numPr>
                <w:ilvl w:val="0"/>
                <w:numId w:val="1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电池容量≥2000mAh；</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4、1m内声强≥80dB；</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5、连续工作时间≥2h；</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6</w:t>
            </w:r>
            <w:r>
              <w:rPr>
                <w:rFonts w:hint="eastAsia" w:ascii="宋体" w:hAnsi="宋体" w:cs="宋体"/>
                <w:i w:val="0"/>
                <w:iCs w:val="0"/>
                <w:color w:val="auto"/>
                <w:kern w:val="0"/>
                <w:sz w:val="18"/>
                <w:szCs w:val="18"/>
                <w:u w:val="none"/>
                <w:lang w:val="en" w:eastAsia="zh-CN" w:bidi="ar"/>
              </w:rPr>
              <w:t>、</w:t>
            </w:r>
            <w:r>
              <w:rPr>
                <w:rFonts w:hint="eastAsia" w:ascii="宋体" w:hAnsi="宋体" w:eastAsia="宋体" w:cs="宋体"/>
                <w:i w:val="0"/>
                <w:iCs w:val="0"/>
                <w:color w:val="auto"/>
                <w:kern w:val="0"/>
                <w:sz w:val="18"/>
                <w:szCs w:val="18"/>
                <w:u w:val="none"/>
                <w:lang w:val="en-US" w:eastAsia="zh-CN" w:bidi="ar"/>
              </w:rPr>
              <w:t>传输距离≥500m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,7、质量≤2.5kg（含电池）；</w:t>
            </w:r>
          </w:p>
          <w:p>
            <w:pPr>
              <w:keepNext w:val="0"/>
              <w:keepLines w:val="0"/>
              <w:widowControl/>
              <w:numPr>
                <w:ilvl w:val="0"/>
                <w:numId w:val="1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插槽接口：USB接口/TF卡插槽/AUX音频；</w:t>
            </w:r>
          </w:p>
          <w:p>
            <w:pPr>
              <w:keepNext w:val="0"/>
              <w:keepLines w:val="0"/>
              <w:widowControl/>
              <w:numPr>
                <w:ilvl w:val="0"/>
                <w:numId w:val="0"/>
              </w:numPr>
              <w:suppressLineNumbers w:val="0"/>
              <w:ind w:leftChars="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sz w:val="18"/>
                <w:szCs w:val="18"/>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1407"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标志牌</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9"/>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合金钢材质，图案、文字、边框均为反光材料，可与标志杆配套使用；</w:t>
            </w:r>
          </w:p>
          <w:p>
            <w:pPr>
              <w:keepNext w:val="0"/>
              <w:keepLines w:val="0"/>
              <w:widowControl/>
              <w:numPr>
                <w:ilvl w:val="0"/>
                <w:numId w:val="1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每套含标志牌的数量≥2个；</w:t>
            </w:r>
          </w:p>
          <w:p>
            <w:pPr>
              <w:keepNext w:val="0"/>
              <w:keepLines w:val="0"/>
              <w:widowControl/>
              <w:numPr>
                <w:ilvl w:val="0"/>
                <w:numId w:val="1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质量≤5kg；</w:t>
            </w:r>
          </w:p>
          <w:p>
            <w:pPr>
              <w:keepNext w:val="0"/>
              <w:keepLines w:val="0"/>
              <w:widowControl/>
              <w:numPr>
                <w:ilvl w:val="0"/>
                <w:numId w:val="0"/>
              </w:numPr>
              <w:suppressLineNumbers w:val="0"/>
              <w:ind w:leftChars="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4、具有永久性标志及产品数据标识；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4139" w:hRule="exac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警示灯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2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符合GA/T 1256-2015《发光式道路交通指挥棒》标准。</w:t>
            </w:r>
          </w:p>
          <w:p>
            <w:pPr>
              <w:keepNext w:val="0"/>
              <w:keepLines w:val="0"/>
              <w:widowControl/>
              <w:numPr>
                <w:ilvl w:val="0"/>
                <w:numId w:val="2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频闪型，具有光线暗时自动闪亮功能：</w:t>
            </w:r>
          </w:p>
          <w:p>
            <w:pPr>
              <w:keepNext w:val="0"/>
              <w:keepLines w:val="0"/>
              <w:widowControl/>
              <w:numPr>
                <w:ilvl w:val="0"/>
                <w:numId w:val="2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（1）灯色闪烁≥2种；</w:t>
            </w:r>
          </w:p>
          <w:p>
            <w:pPr>
              <w:keepNext w:val="0"/>
              <w:keepLines w:val="0"/>
              <w:widowControl/>
              <w:numPr>
                <w:ilvl w:val="0"/>
                <w:numId w:val="21"/>
              </w:numPr>
              <w:suppressLineNumbers w:val="0"/>
              <w:ind w:left="27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灯色恒亮≥1种；</w:t>
            </w:r>
          </w:p>
          <w:p>
            <w:pPr>
              <w:keepNext w:val="0"/>
              <w:keepLines w:val="0"/>
              <w:widowControl/>
              <w:numPr>
                <w:ilvl w:val="0"/>
                <w:numId w:val="21"/>
              </w:numPr>
              <w:suppressLineNumbers w:val="0"/>
              <w:ind w:left="27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灯色交替闪烁≥2种；</w:t>
            </w:r>
          </w:p>
          <w:p>
            <w:pPr>
              <w:keepNext w:val="0"/>
              <w:keepLines w:val="0"/>
              <w:widowControl/>
              <w:numPr>
                <w:ilvl w:val="0"/>
                <w:numId w:val="21"/>
              </w:numPr>
              <w:suppressLineNumbers w:val="0"/>
              <w:ind w:left="27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有白灯照明；</w:t>
            </w:r>
          </w:p>
          <w:p>
            <w:pPr>
              <w:keepNext w:val="0"/>
              <w:keepLines w:val="0"/>
              <w:widowControl/>
              <w:numPr>
                <w:ilvl w:val="0"/>
                <w:numId w:val="2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工作时间≥2小时。</w:t>
            </w:r>
          </w:p>
          <w:p>
            <w:pPr>
              <w:keepNext w:val="0"/>
              <w:keepLines w:val="0"/>
              <w:widowControl/>
              <w:numPr>
                <w:ilvl w:val="0"/>
                <w:numId w:val="2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防尘防水≥IP55；</w:t>
            </w:r>
          </w:p>
          <w:p>
            <w:pPr>
              <w:keepNext w:val="0"/>
              <w:keepLines w:val="0"/>
              <w:widowControl/>
              <w:numPr>
                <w:ilvl w:val="0"/>
                <w:numId w:val="2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在黑暗时可视距离≥100m。</w:t>
            </w:r>
          </w:p>
          <w:p>
            <w:pPr>
              <w:keepNext w:val="0"/>
              <w:keepLines w:val="0"/>
              <w:widowControl/>
              <w:numPr>
                <w:ilvl w:val="0"/>
                <w:numId w:val="2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电池≥2500mA锂离子电池；</w:t>
            </w:r>
          </w:p>
          <w:p>
            <w:pPr>
              <w:keepNext w:val="0"/>
              <w:keepLines w:val="0"/>
              <w:widowControl/>
              <w:numPr>
                <w:ilvl w:val="0"/>
                <w:numId w:val="2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具有金属挂钩固定；</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2530"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绝缘剪断钳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2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由工作钳口、绝缘部分和握手部分组成；</w:t>
            </w:r>
          </w:p>
          <w:p>
            <w:pPr>
              <w:keepNext w:val="0"/>
              <w:keepLines w:val="0"/>
              <w:widowControl/>
              <w:numPr>
                <w:ilvl w:val="0"/>
                <w:numId w:val="2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剪刃口硬度≥HRC50，手柄为绝缘材质；</w:t>
            </w:r>
          </w:p>
          <w:p>
            <w:pPr>
              <w:keepNext w:val="0"/>
              <w:keepLines w:val="0"/>
              <w:widowControl/>
              <w:numPr>
                <w:ilvl w:val="0"/>
                <w:numId w:val="2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可剪断直径≥12mm内的电线、钢筋；</w:t>
            </w:r>
          </w:p>
          <w:p>
            <w:pPr>
              <w:keepNext w:val="0"/>
              <w:keepLines w:val="0"/>
              <w:widowControl/>
              <w:numPr>
                <w:ilvl w:val="0"/>
                <w:numId w:val="2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耐电压≥380 V；</w:t>
            </w:r>
          </w:p>
          <w:p>
            <w:pPr>
              <w:keepNext w:val="0"/>
              <w:keepLines w:val="0"/>
              <w:widowControl/>
              <w:numPr>
                <w:ilvl w:val="0"/>
                <w:numId w:val="2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尺寸≥25 寸；</w:t>
            </w:r>
          </w:p>
          <w:p>
            <w:pPr>
              <w:keepNext w:val="0"/>
              <w:keepLines w:val="0"/>
              <w:widowControl/>
              <w:numPr>
                <w:ilvl w:val="0"/>
                <w:numId w:val="2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重量≤8kg。</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7、是具有永久性标志及产品数据标识；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3528"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救生缓降器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23"/>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材质：救生绳内芯为钢丝等材质或优于该材质的材料，外包用尼龙线等材料或优于该材质的材料编织；</w:t>
            </w:r>
          </w:p>
          <w:p>
            <w:pPr>
              <w:keepNext w:val="0"/>
              <w:keepLines w:val="0"/>
              <w:widowControl/>
              <w:numPr>
                <w:ilvl w:val="0"/>
                <w:numId w:val="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救生绳长度≥30m；</w:t>
            </w:r>
          </w:p>
          <w:p>
            <w:pPr>
              <w:keepNext w:val="0"/>
              <w:keepLines w:val="0"/>
              <w:widowControl/>
              <w:numPr>
                <w:ilvl w:val="0"/>
                <w:numId w:val="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使用载荷重量：10kg~100kg；</w:t>
            </w:r>
          </w:p>
          <w:p>
            <w:pPr>
              <w:keepNext w:val="0"/>
              <w:keepLines w:val="0"/>
              <w:widowControl/>
              <w:numPr>
                <w:ilvl w:val="0"/>
                <w:numId w:val="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整机强度：≥3800N；</w:t>
            </w:r>
          </w:p>
          <w:p>
            <w:pPr>
              <w:keepNext w:val="0"/>
              <w:keepLines w:val="0"/>
              <w:widowControl/>
              <w:numPr>
                <w:ilvl w:val="0"/>
                <w:numId w:val="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安全带强度：＞6300N；</w:t>
            </w:r>
          </w:p>
          <w:p>
            <w:pPr>
              <w:keepNext w:val="0"/>
              <w:keepLines w:val="0"/>
              <w:widowControl/>
              <w:numPr>
                <w:ilvl w:val="0"/>
                <w:numId w:val="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安全钩强度：＞1000N；</w:t>
            </w:r>
          </w:p>
          <w:p>
            <w:pPr>
              <w:keepNext w:val="0"/>
              <w:keepLines w:val="0"/>
              <w:widowControl/>
              <w:numPr>
                <w:ilvl w:val="0"/>
                <w:numId w:val="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绳索强度：＞3800N；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8、100kg负荷下降次数：200次（15m高）；</w:t>
            </w:r>
          </w:p>
          <w:p>
            <w:pPr>
              <w:keepNext w:val="0"/>
              <w:keepLines w:val="0"/>
              <w:widowControl/>
              <w:numPr>
                <w:ilvl w:val="0"/>
                <w:numId w:val="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缓降速度：＜0.39m/s（负荷35kg）,＜0.52m/s（负荷65kg）,＜0.64m/s（负荷100kg）；</w:t>
            </w:r>
          </w:p>
          <w:p>
            <w:pPr>
              <w:keepNext w:val="0"/>
              <w:keepLines w:val="0"/>
              <w:widowControl/>
              <w:numPr>
                <w:ilvl w:val="0"/>
                <w:numId w:val="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10、符合GB 21976.2-2012《建筑火灾逃生避难器材 第2部分：逃生缓降器》标准，符合GA413-2003《救生缓降器》标准要求；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270"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消防过滤式自救呼吸器</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2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符合GB21976.7-2012《建筑火灾逃生避难器材第7部分过滤式消防自救呼吸器》标准要求；</w:t>
            </w:r>
          </w:p>
          <w:p>
            <w:pPr>
              <w:keepNext w:val="0"/>
              <w:keepLines w:val="0"/>
              <w:widowControl/>
              <w:numPr>
                <w:ilvl w:val="0"/>
                <w:numId w:val="2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具有耐高温、阻燃、绝缘、防腐、防水、重量轻、气密性好等性能；</w:t>
            </w:r>
          </w:p>
          <w:p>
            <w:pPr>
              <w:keepNext w:val="0"/>
              <w:keepLines w:val="0"/>
              <w:widowControl/>
              <w:numPr>
                <w:ilvl w:val="0"/>
                <w:numId w:val="2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呼吸器的佩戴质量≤1000g，视窗的透光率≥85%，防护时间＞40min，CO透过浓度≤70ml/m³；</w:t>
            </w:r>
          </w:p>
          <w:p>
            <w:pPr>
              <w:keepNext w:val="0"/>
              <w:keepLines w:val="0"/>
              <w:widowControl/>
              <w:numPr>
                <w:ilvl w:val="0"/>
                <w:numId w:val="2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烟雾透过防护性能≤5%；在防护时间内，HCN的透过浓度≤10ml/m³；在防护时间后，透过过滤装置的CO总累积≤200ml；</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5、配备液压管密封罐；</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10</w:t>
            </w:r>
            <w:r>
              <w:rPr>
                <w:rFonts w:hint="eastAsia" w:ascii="宋体" w:hAnsi="宋体" w:cs="宋体"/>
                <w:i w:val="0"/>
                <w:iCs w:val="0"/>
                <w:color w:val="auto"/>
                <w:kern w:val="0"/>
                <w:sz w:val="18"/>
                <w:szCs w:val="18"/>
                <w:u w:val="none"/>
                <w:lang w:val="en-US" w:eastAsia="zh-CN" w:bidi="ar"/>
              </w:rPr>
              <w:t>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设备支架</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25"/>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材质：铝合金或者高强度铝合金同等强度材质；</w:t>
            </w:r>
          </w:p>
          <w:p>
            <w:pPr>
              <w:keepNext w:val="0"/>
              <w:keepLines w:val="0"/>
              <w:widowControl/>
              <w:numPr>
                <w:ilvl w:val="0"/>
                <w:numId w:val="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展开最高工作高度：≥2m；</w:t>
            </w:r>
          </w:p>
          <w:p>
            <w:pPr>
              <w:keepNext w:val="0"/>
              <w:keepLines w:val="0"/>
              <w:widowControl/>
              <w:numPr>
                <w:ilvl w:val="0"/>
                <w:numId w:val="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最大工作负荷：≥160kg；</w:t>
            </w:r>
          </w:p>
          <w:p>
            <w:pPr>
              <w:keepNext w:val="0"/>
              <w:keepLines w:val="0"/>
              <w:widowControl/>
              <w:numPr>
                <w:ilvl w:val="0"/>
                <w:numId w:val="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重量：≤30kg（包含绞盘及附件）；</w:t>
            </w:r>
          </w:p>
          <w:p>
            <w:pPr>
              <w:keepNext w:val="0"/>
              <w:keepLines w:val="0"/>
              <w:widowControl/>
              <w:numPr>
                <w:ilvl w:val="0"/>
                <w:numId w:val="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安全载重：≥1T；</w:t>
            </w:r>
          </w:p>
          <w:p>
            <w:pPr>
              <w:keepNext w:val="0"/>
              <w:keepLines w:val="0"/>
              <w:widowControl/>
              <w:numPr>
                <w:ilvl w:val="0"/>
                <w:numId w:val="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钢缆（绞盘）：≥30M；</w:t>
            </w:r>
          </w:p>
          <w:p>
            <w:pPr>
              <w:keepNext w:val="0"/>
              <w:keepLines w:val="0"/>
              <w:widowControl/>
              <w:numPr>
                <w:ilvl w:val="0"/>
                <w:numId w:val="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完全展开：≥240cm；</w:t>
            </w:r>
          </w:p>
          <w:p>
            <w:pPr>
              <w:keepNext w:val="0"/>
              <w:keepLines w:val="0"/>
              <w:widowControl/>
              <w:numPr>
                <w:ilvl w:val="0"/>
                <w:numId w:val="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阻断力：≥500kg；</w:t>
            </w:r>
          </w:p>
          <w:p>
            <w:pPr>
              <w:keepNext w:val="0"/>
              <w:keepLines w:val="0"/>
              <w:widowControl/>
              <w:numPr>
                <w:ilvl w:val="0"/>
                <w:numId w:val="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完全收缩：≥137cm；</w:t>
            </w:r>
          </w:p>
          <w:p>
            <w:pPr>
              <w:keepNext w:val="0"/>
              <w:keepLines w:val="0"/>
              <w:widowControl/>
              <w:numPr>
                <w:ilvl w:val="0"/>
                <w:numId w:val="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11、符合救援三脚架 XF3009-2020标准。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医药急救箱</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含13cm丁字开口器，14cm止血钳、镊子、普通手术剪、电子体温计、注射针筒（50ml、20ml、5ml）各1个；纱布、绷带、医用胶带、棉签各2包；乳胶止血带、压舌板、听诊器、电子血压计、三角巾、烧伤敷料、急救毯各1个；、一次性乳胶手套5双；骨夹板1包（内含4块）；瞳孔笔1个。</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消防头盔</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26"/>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消防头盔应由帽壳、缓冲层、舒适衬垫、佩戴装置、面罩、披肩等组成，可含有头盔滑轨配置；具有永久性标志及产品数据标识；</w:t>
            </w:r>
          </w:p>
          <w:p>
            <w:pPr>
              <w:keepNext w:val="0"/>
              <w:keepLines w:val="0"/>
              <w:widowControl/>
              <w:numPr>
                <w:ilvl w:val="0"/>
                <w:numId w:val="2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应具备防砸、防尖锐物品冲击、耐热、耐燃烧、电绝缘等性能；</w:t>
            </w:r>
          </w:p>
          <w:p>
            <w:pPr>
              <w:keepNext w:val="0"/>
              <w:keepLines w:val="0"/>
              <w:widowControl/>
              <w:numPr>
                <w:ilvl w:val="0"/>
                <w:numId w:val="2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最大冲击力：≥3410.1N；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3.1、帽顶部：最大冲击速度≥129.8GN；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3.2、帽前部：最大冲击速度≥309.5GN；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3.3、加速度＞150GN，其持续时间≥5.1ms；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3.4、加速度＞200GN，其持续时间≥2.2ms；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3.5、帽侧部：最大冲击速度≥319.6GN；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3.6、加速度＞150GN，其持续时间≥5.0ms；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3.7、加速度＞200GN，其持续时间≥2.1ms；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3.8、帽后部最大冲击速度≥318.7GN；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3.9、加速度＞150GN，其持续时间≥5.2ms；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3.10、加速度＞200GN，其持续时间≥2.2ms；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4、损毁长度：≤8.4mm，无熔融滴落现象；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5、涂层附着牢度：连续洗涤≥10次无涂层脱离现象；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6、热稳定性：≥5min，260℃±6℃变化率：无明显变化；</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7、符合XF44-2015 《消防头盔》标准。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13</w:t>
            </w:r>
            <w:r>
              <w:rPr>
                <w:rFonts w:hint="eastAsia" w:ascii="宋体" w:hAnsi="宋体" w:cs="宋体"/>
                <w:i w:val="0"/>
                <w:iCs w:val="0"/>
                <w:color w:val="auto"/>
                <w:kern w:val="0"/>
                <w:sz w:val="18"/>
                <w:szCs w:val="18"/>
                <w:u w:val="none"/>
                <w:lang w:val="en-US" w:eastAsia="zh-CN" w:bidi="ar"/>
              </w:rPr>
              <w:t>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便携式防爆照明灯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27"/>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额定功率：≥3w；</w:t>
            </w:r>
          </w:p>
          <w:p>
            <w:pPr>
              <w:keepNext w:val="0"/>
              <w:keepLines w:val="0"/>
              <w:widowControl/>
              <w:numPr>
                <w:ilvl w:val="0"/>
                <w:numId w:val="2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电池额定容量≥1800mAh；</w:t>
            </w:r>
          </w:p>
          <w:p>
            <w:pPr>
              <w:keepNext w:val="0"/>
              <w:keepLines w:val="0"/>
              <w:widowControl/>
              <w:numPr>
                <w:ilvl w:val="0"/>
                <w:numId w:val="2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电池使用寿命≥1000循环次；</w:t>
            </w:r>
          </w:p>
          <w:p>
            <w:pPr>
              <w:keepNext w:val="0"/>
              <w:keepLines w:val="0"/>
              <w:widowControl/>
              <w:numPr>
                <w:ilvl w:val="0"/>
                <w:numId w:val="2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连续工作时间：强光≥5h，弱光≥10h；</w:t>
            </w:r>
          </w:p>
          <w:p>
            <w:pPr>
              <w:keepNext w:val="0"/>
              <w:keepLines w:val="0"/>
              <w:widowControl/>
              <w:numPr>
                <w:ilvl w:val="0"/>
                <w:numId w:val="2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充电时间（电池耗尽后）：≤6h；</w:t>
            </w:r>
          </w:p>
          <w:p>
            <w:pPr>
              <w:keepNext w:val="0"/>
              <w:keepLines w:val="0"/>
              <w:widowControl/>
              <w:numPr>
                <w:ilvl w:val="0"/>
                <w:numId w:val="2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直径：≤24mm；</w:t>
            </w:r>
          </w:p>
          <w:p>
            <w:pPr>
              <w:keepNext w:val="0"/>
              <w:keepLines w:val="0"/>
              <w:widowControl/>
              <w:numPr>
                <w:ilvl w:val="0"/>
                <w:numId w:val="2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长度：≤121mm；</w:t>
            </w:r>
          </w:p>
          <w:p>
            <w:pPr>
              <w:keepNext w:val="0"/>
              <w:keepLines w:val="0"/>
              <w:widowControl/>
              <w:numPr>
                <w:ilvl w:val="0"/>
                <w:numId w:val="2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强光亮度：≥500lux；</w:t>
            </w:r>
          </w:p>
          <w:p>
            <w:pPr>
              <w:keepNext w:val="0"/>
              <w:keepLines w:val="0"/>
              <w:widowControl/>
              <w:numPr>
                <w:ilvl w:val="0"/>
                <w:numId w:val="2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弱光亮度：≥250lux；</w:t>
            </w:r>
          </w:p>
          <w:p>
            <w:pPr>
              <w:keepNext w:val="0"/>
              <w:keepLines w:val="0"/>
              <w:widowControl/>
              <w:numPr>
                <w:ilvl w:val="0"/>
                <w:numId w:val="2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重量：≤120g；</w:t>
            </w:r>
          </w:p>
          <w:p>
            <w:pPr>
              <w:keepNext w:val="0"/>
              <w:keepLines w:val="0"/>
              <w:widowControl/>
              <w:numPr>
                <w:ilvl w:val="0"/>
                <w:numId w:val="2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应符合GB30734-2014《消防员照明灯具》标准要求；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12、防护等级：IP68。</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865"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消防安全腰带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28"/>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必须符合国家XF494-2004《消防用防坠落装备》标准要求；</w:t>
            </w:r>
          </w:p>
          <w:p>
            <w:pPr>
              <w:keepNext w:val="0"/>
              <w:keepLines w:val="0"/>
              <w:widowControl/>
              <w:numPr>
                <w:ilvl w:val="0"/>
                <w:numId w:val="2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由织带、带扣、D型环和移动板等组成；</w:t>
            </w:r>
          </w:p>
          <w:p>
            <w:pPr>
              <w:keepNext w:val="0"/>
              <w:keepLines w:val="0"/>
              <w:widowControl/>
              <w:numPr>
                <w:ilvl w:val="0"/>
                <w:numId w:val="2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织带：尼龙66等材质或优于该材质，织带为整根，不应有接缝，具有一定硬度，规格宽≥70mm*厚≥2.5mm，末端收尾为整烫圆弧型；具有永久性标志及产品数据标识；</w:t>
            </w:r>
          </w:p>
          <w:p>
            <w:pPr>
              <w:keepNext w:val="0"/>
              <w:keepLines w:val="0"/>
              <w:widowControl/>
              <w:numPr>
                <w:ilvl w:val="0"/>
                <w:numId w:val="2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设计负荷：≥1.3kN；</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5、重量：≤0.9kg；</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条</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护膝护肘</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29"/>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产品外层采用强度高、韧性好、耐磨的PVC、TPR（热塑性弹性材料）、TPU（热塑性聚氨酯弹性体材料）等高分子材料制成；</w:t>
            </w:r>
          </w:p>
          <w:p>
            <w:pPr>
              <w:keepNext w:val="0"/>
              <w:keepLines w:val="0"/>
              <w:widowControl/>
              <w:numPr>
                <w:ilvl w:val="0"/>
                <w:numId w:val="2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内层采用无毒、防水、抗冲击性好、轻便的缓冲材料；</w:t>
            </w:r>
          </w:p>
          <w:p>
            <w:pPr>
              <w:keepNext w:val="0"/>
              <w:keepLines w:val="0"/>
              <w:widowControl/>
              <w:numPr>
                <w:ilvl w:val="0"/>
                <w:numId w:val="2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固定装置可以调节。包括护膝1对、护肘1对；</w:t>
            </w:r>
          </w:p>
          <w:p>
            <w:pPr>
              <w:keepNext w:val="0"/>
              <w:keepLines w:val="0"/>
              <w:widowControl/>
              <w:numPr>
                <w:ilvl w:val="0"/>
                <w:numId w:val="2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固定装置卡扣式调节式，耐磨性能≥2000次；</w:t>
            </w:r>
          </w:p>
          <w:p>
            <w:pPr>
              <w:keepNext w:val="0"/>
              <w:keepLines w:val="0"/>
              <w:widowControl/>
              <w:numPr>
                <w:ilvl w:val="0"/>
                <w:numId w:val="2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颜色为黑色；</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10</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消防员呼救器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3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符合现行GB27900-2011《消防员呼救器》标准的要求，防爆性能符合GB3836.1标准的要求。</w:t>
            </w:r>
          </w:p>
          <w:p>
            <w:pPr>
              <w:keepNext w:val="0"/>
              <w:keepLines w:val="0"/>
              <w:widowControl/>
              <w:numPr>
                <w:ilvl w:val="0"/>
                <w:numId w:val="3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允许静止时间：30s±2s；预报警时间：15s±2s；</w:t>
            </w:r>
          </w:p>
          <w:p>
            <w:pPr>
              <w:keepNext w:val="0"/>
              <w:keepLines w:val="0"/>
              <w:widowControl/>
              <w:numPr>
                <w:ilvl w:val="0"/>
                <w:numId w:val="3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预报警声级强度：≥80dB；报警声级强度：≥100dB，低电压告警声级强度：≥65dB；</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4、连续工作时间：连续开机时间：≥24h，连续报警使用时间≥10h；</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5</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方位灯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3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技术性能符合GB27899-2011《消防员方位灯》要求；</w:t>
            </w:r>
          </w:p>
          <w:p>
            <w:pPr>
              <w:keepNext w:val="0"/>
              <w:keepLines w:val="0"/>
              <w:widowControl/>
              <w:numPr>
                <w:ilvl w:val="0"/>
                <w:numId w:val="3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肉眼可视距离为≥4800m，在300m~500m范围内对水及雨雾有极强的穿透能力；</w:t>
            </w:r>
          </w:p>
          <w:p>
            <w:pPr>
              <w:keepNext w:val="0"/>
              <w:keepLines w:val="0"/>
              <w:widowControl/>
              <w:numPr>
                <w:ilvl w:val="0"/>
                <w:numId w:val="3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连续工作时间达≥100h；</w:t>
            </w:r>
          </w:p>
          <w:p>
            <w:pPr>
              <w:keepNext w:val="0"/>
              <w:keepLines w:val="0"/>
              <w:widowControl/>
              <w:numPr>
                <w:ilvl w:val="0"/>
                <w:numId w:val="3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外壳防护等级：IP68；</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5、应具有防爆、防水、耐腐蚀等性能，防爆性能应符合GB3836.1的规定；</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90"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消防通用安全绳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3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符合XF494-2004《消防用防坠落装备》标准要求和应急管理部消防救援局统型标准要求，主承重部位由连续纤维等材料或优于该材质的材料制成，表面无任何机械损伤划痕，整绳粗细均匀，结构一致；</w:t>
            </w:r>
          </w:p>
          <w:p>
            <w:pPr>
              <w:keepNext w:val="0"/>
              <w:keepLines w:val="0"/>
              <w:widowControl/>
              <w:numPr>
                <w:ilvl w:val="0"/>
                <w:numId w:val="3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负载≥1.33kN，安全绳直径9.5mm~10.5mm，长度≥100m，破断强度≥20kN，延伸率不小于1%且不大于10%；经204℃±5℃的高温不出现融熔、焦化现象；</w:t>
            </w:r>
          </w:p>
          <w:p>
            <w:pPr>
              <w:keepNext w:val="0"/>
              <w:keepLines w:val="0"/>
              <w:widowControl/>
              <w:numPr>
                <w:ilvl w:val="0"/>
                <w:numId w:val="3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安全绳上标注长度、直径、抗拉强度等信息的固定标签；</w:t>
            </w:r>
          </w:p>
          <w:p>
            <w:pPr>
              <w:keepNext w:val="0"/>
              <w:keepLines w:val="0"/>
              <w:widowControl/>
              <w:numPr>
                <w:ilvl w:val="0"/>
                <w:numId w:val="3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绳索端部为绳环结构，缝线扎缝≥50mm，在扎缝处热封，并包以裹紧的橡胶或塑料套管；</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根</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消防轻型安全绳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33"/>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应符合国家XF494-2004《消防用防坠落装备》标准要求，具有国家消防装备质量监督检验中心的检验报告和应急管理部消防产品合格评定中心的认证证书；</w:t>
            </w:r>
          </w:p>
          <w:p>
            <w:pPr>
              <w:keepNext w:val="0"/>
              <w:keepLines w:val="0"/>
              <w:widowControl/>
              <w:numPr>
                <w:ilvl w:val="0"/>
                <w:numId w:val="3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直径：10mm~12mm；</w:t>
            </w:r>
          </w:p>
          <w:p>
            <w:pPr>
              <w:keepNext w:val="0"/>
              <w:keepLines w:val="0"/>
              <w:widowControl/>
              <w:numPr>
                <w:ilvl w:val="0"/>
                <w:numId w:val="3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长度：≤20m；</w:t>
            </w:r>
          </w:p>
          <w:p>
            <w:pPr>
              <w:keepNext w:val="0"/>
              <w:keepLines w:val="0"/>
              <w:widowControl/>
              <w:numPr>
                <w:ilvl w:val="0"/>
                <w:numId w:val="3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破断强度：≥24kN；</w:t>
            </w:r>
          </w:p>
          <w:p>
            <w:pPr>
              <w:keepNext w:val="0"/>
              <w:keepLines w:val="0"/>
              <w:widowControl/>
              <w:numPr>
                <w:ilvl w:val="0"/>
                <w:numId w:val="3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延伸率：当承重达到破断强度的≤10%时，安全绳的延伸率≤3%；</w:t>
            </w:r>
          </w:p>
          <w:p>
            <w:pPr>
              <w:keepNext w:val="0"/>
              <w:keepLines w:val="0"/>
              <w:widowControl/>
              <w:numPr>
                <w:ilvl w:val="0"/>
                <w:numId w:val="3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耐高温性能：经（204±5）℃耐高温性能试验后，未出现熔融、焦化现象；</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w:t>
            </w:r>
            <w:r>
              <w:rPr>
                <w:rFonts w:hint="eastAsia" w:ascii="宋体" w:hAnsi="宋体" w:cs="宋体"/>
                <w:i w:val="0"/>
                <w:iCs w:val="0"/>
                <w:color w:val="auto"/>
                <w:kern w:val="0"/>
                <w:sz w:val="18"/>
                <w:szCs w:val="18"/>
                <w:u w:val="none"/>
                <w:lang w:val="en-US" w:eastAsia="zh-CN" w:bidi="ar"/>
              </w:rPr>
              <w:t>根</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r>
              <w:rPr>
                <w:rFonts w:hint="eastAsia" w:ascii="宋体" w:hAnsi="宋体" w:cs="宋体"/>
                <w:i w:val="0"/>
                <w:iCs w:val="0"/>
                <w:color w:val="FF0000"/>
                <w:kern w:val="0"/>
                <w:sz w:val="18"/>
                <w:szCs w:val="18"/>
                <w:u w:val="none"/>
                <w:lang w:val="en-US" w:eastAsia="zh-CN" w:bidi="ar"/>
              </w:rPr>
              <w:t>该项参数中要求的：第1项，投标时潜在供应商可不提供该项（</w:t>
            </w:r>
            <w:r>
              <w:rPr>
                <w:rFonts w:hint="eastAsia" w:ascii="宋体" w:hAnsi="宋体" w:eastAsia="宋体" w:cs="宋体"/>
                <w:i w:val="0"/>
                <w:iCs w:val="0"/>
                <w:color w:val="FF0000"/>
                <w:kern w:val="0"/>
                <w:sz w:val="18"/>
                <w:szCs w:val="18"/>
                <w:u w:val="none"/>
                <w:lang w:val="en-US" w:eastAsia="zh-CN" w:bidi="ar"/>
              </w:rPr>
              <w:t>国家消防装备质量监督检验中心的检验报告和应急管理部消防产品合格评定中心的认证证书</w:t>
            </w:r>
            <w:r>
              <w:rPr>
                <w:rFonts w:hint="eastAsia" w:ascii="宋体" w:hAnsi="宋体" w:cs="宋体"/>
                <w:i w:val="0"/>
                <w:iCs w:val="0"/>
                <w:color w:val="FF0000"/>
                <w:kern w:val="0"/>
                <w:sz w:val="18"/>
                <w:szCs w:val="18"/>
                <w:u w:val="none"/>
                <w:lang w:val="en-US" w:eastAsia="zh-CN" w:bidi="ar"/>
              </w:rPr>
              <w:t>），若中标后，供货时必须提供该项要求，若不提供视为放弃中标资格还应承担相应的违约责任。</w:t>
            </w: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消防腰斧</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3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符合XF630-2006《消防腰斧》要求；</w:t>
            </w:r>
          </w:p>
          <w:p>
            <w:pPr>
              <w:keepNext w:val="0"/>
              <w:keepLines w:val="0"/>
              <w:widowControl/>
              <w:numPr>
                <w:ilvl w:val="0"/>
                <w:numId w:val="3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消防腰斧斧头连同斧柄应用整块金属材料制成。斧头一侧为斧刃，另一侧设有钳口，钳口上端为尖锥形，斧面上设有不同规格六方孔，斧刃内侧与斧颈呈倒U字形；</w:t>
            </w:r>
          </w:p>
          <w:p>
            <w:pPr>
              <w:keepNext w:val="0"/>
              <w:keepLines w:val="0"/>
              <w:widowControl/>
              <w:numPr>
                <w:ilvl w:val="0"/>
                <w:numId w:val="3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消防腰斧的平刃、柄刃和斧柄轴线须在同一水平平面上，各部分应对称于该平面；</w:t>
            </w:r>
          </w:p>
          <w:p>
            <w:pPr>
              <w:keepNext w:val="0"/>
              <w:keepLines w:val="0"/>
              <w:widowControl/>
              <w:numPr>
                <w:ilvl w:val="0"/>
                <w:numId w:val="3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斧柄外包裹绝缘层，斧柄套应热压在斧柄上，粘结应牢靠、不松动。斧柄下端安装有刀子、锯子、尺子；</w:t>
            </w:r>
          </w:p>
          <w:p>
            <w:pPr>
              <w:keepNext w:val="0"/>
              <w:keepLines w:val="0"/>
              <w:widowControl/>
              <w:numPr>
                <w:ilvl w:val="0"/>
                <w:numId w:val="3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具有锯、割、砍砸、钳、撬、量等多种功能，生产经过淬火；</w:t>
            </w:r>
          </w:p>
          <w:p>
            <w:pPr>
              <w:keepNext w:val="0"/>
              <w:keepLines w:val="0"/>
              <w:widowControl/>
              <w:numPr>
                <w:ilvl w:val="0"/>
                <w:numId w:val="3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外观：腰斧各刃部应抛光，其表面粗糙度Ra值≤7μm。腰斧金属表面平整光洁，无裂痕、毛刺、凹痕、缺损或有害杂质等缺陷，涂漆部分不应有流痕、气泡；具有永久性标志及产品数据标识；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7、质量：≤1.0kg；</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抢险救援头盔</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35"/>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应由帽壳、帽箍、头盔滑轨、佩戴装置及附件等构成；</w:t>
            </w:r>
          </w:p>
          <w:p>
            <w:pPr>
              <w:keepNext w:val="0"/>
              <w:keepLines w:val="0"/>
              <w:widowControl/>
              <w:numPr>
                <w:ilvl w:val="0"/>
                <w:numId w:val="3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要求具有防止冲击、锐物、热辐射、火焰以及防化学泡沫腐蚀等性能；还具有优异的防紫外线功能，良好的通风性能及高舒适性；</w:t>
            </w:r>
          </w:p>
          <w:p>
            <w:pPr>
              <w:keepNext w:val="0"/>
              <w:keepLines w:val="0"/>
              <w:widowControl/>
              <w:numPr>
                <w:ilvl w:val="0"/>
                <w:numId w:val="3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帽箍可在53cm~63cm范围内自由调节；</w:t>
            </w:r>
          </w:p>
          <w:p>
            <w:pPr>
              <w:keepNext w:val="0"/>
              <w:keepLines w:val="0"/>
              <w:widowControl/>
              <w:numPr>
                <w:ilvl w:val="0"/>
                <w:numId w:val="3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全封闭防雾护目镜，镜片有超硬涂层；</w:t>
            </w:r>
          </w:p>
          <w:p>
            <w:pPr>
              <w:keepNext w:val="0"/>
              <w:keepLines w:val="0"/>
              <w:widowControl/>
              <w:numPr>
                <w:ilvl w:val="0"/>
                <w:numId w:val="3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盔体整体为红色；</w:t>
            </w:r>
          </w:p>
          <w:p>
            <w:pPr>
              <w:keepNext w:val="0"/>
              <w:keepLines w:val="0"/>
              <w:widowControl/>
              <w:numPr>
                <w:ilvl w:val="0"/>
                <w:numId w:val="3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两侧印字根据用户需求粘贴；具有永久性标志及产品数据标识；</w:t>
            </w:r>
          </w:p>
          <w:p>
            <w:pPr>
              <w:keepNext w:val="0"/>
              <w:keepLines w:val="0"/>
              <w:widowControl/>
              <w:numPr>
                <w:ilvl w:val="0"/>
                <w:numId w:val="3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字体符合部消防局统型要求；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8、符合XF633-2006《消防员抢险救援防护服装》标准。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13</w:t>
            </w:r>
            <w:r>
              <w:rPr>
                <w:rFonts w:hint="eastAsia" w:ascii="宋体" w:hAnsi="宋体" w:cs="宋体"/>
                <w:i w:val="0"/>
                <w:iCs w:val="0"/>
                <w:color w:val="auto"/>
                <w:kern w:val="0"/>
                <w:sz w:val="18"/>
                <w:szCs w:val="18"/>
                <w:u w:val="none"/>
                <w:lang w:val="en-US" w:eastAsia="zh-CN" w:bidi="ar"/>
              </w:rPr>
              <w:t>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826"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消防员灭火防火头套</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36"/>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符合XF869-2010《消防员灭火防护头套》标准要求；</w:t>
            </w:r>
          </w:p>
          <w:p>
            <w:pPr>
              <w:keepNext w:val="0"/>
              <w:keepLines w:val="0"/>
              <w:widowControl/>
              <w:numPr>
                <w:ilvl w:val="0"/>
                <w:numId w:val="3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原色纤维针织物，不应使用后染色针织物；</w:t>
            </w:r>
          </w:p>
          <w:p>
            <w:pPr>
              <w:keepNext w:val="0"/>
              <w:keepLines w:val="0"/>
              <w:widowControl/>
              <w:numPr>
                <w:ilvl w:val="0"/>
                <w:numId w:val="3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头套前部和后部与防护服领口内重叠部分长度≥200mm，头套侧部与防护服领口内重叠部分长度≥130mm；面部开口与呼吸防护装具面罩边缘之间重叠部分长度≥10mm；</w:t>
            </w:r>
          </w:p>
          <w:p>
            <w:pPr>
              <w:keepNext w:val="0"/>
              <w:keepLines w:val="0"/>
              <w:widowControl/>
              <w:numPr>
                <w:ilvl w:val="0"/>
                <w:numId w:val="3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水洗后收缩率≤2.5%；</w:t>
            </w:r>
          </w:p>
          <w:p>
            <w:pPr>
              <w:keepNext w:val="0"/>
              <w:keepLines w:val="0"/>
              <w:widowControl/>
              <w:numPr>
                <w:ilvl w:val="0"/>
                <w:numId w:val="3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损毁长度：≤100mm，续燃时间：≤2s，无熔融、滴落现象；</w:t>
            </w:r>
          </w:p>
          <w:p>
            <w:pPr>
              <w:keepNext w:val="0"/>
              <w:keepLines w:val="0"/>
              <w:widowControl/>
              <w:numPr>
                <w:ilvl w:val="0"/>
                <w:numId w:val="3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抗起球性能：≥4级；</w:t>
            </w:r>
          </w:p>
          <w:p>
            <w:pPr>
              <w:keepNext w:val="0"/>
              <w:keepLines w:val="0"/>
              <w:widowControl/>
              <w:numPr>
                <w:ilvl w:val="0"/>
                <w:numId w:val="3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头套的质量：≤300g。≥经260℃热稳定性能试验后沿经、纬方向尺寸变化率≤10%，试样无变色、熔融和滴落现象；</w:t>
            </w:r>
          </w:p>
          <w:p>
            <w:pPr>
              <w:keepNext w:val="0"/>
              <w:keepLines w:val="0"/>
              <w:widowControl/>
              <w:numPr>
                <w:ilvl w:val="0"/>
                <w:numId w:val="3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8、面部开口处应具有松紧功能；</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15</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378"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消防全身式安全吊带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37"/>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吊带的承重：≥2.6kN；</w:t>
            </w:r>
          </w:p>
          <w:p>
            <w:pPr>
              <w:keepNext w:val="0"/>
              <w:keepLines w:val="0"/>
              <w:widowControl/>
              <w:numPr>
                <w:ilvl w:val="0"/>
                <w:numId w:val="3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织带宽度：45mm（±2mm)，织带厚度：1.5mm（±0.5mm)；</w:t>
            </w:r>
          </w:p>
          <w:p>
            <w:pPr>
              <w:keepNext w:val="0"/>
              <w:keepLines w:val="0"/>
              <w:widowControl/>
              <w:numPr>
                <w:ilvl w:val="0"/>
                <w:numId w:val="3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织带材料：高强涤纶丝或优于同等材质材料；</w:t>
            </w:r>
          </w:p>
          <w:p>
            <w:pPr>
              <w:keepNext w:val="0"/>
              <w:keepLines w:val="0"/>
              <w:widowControl/>
              <w:numPr>
                <w:ilvl w:val="0"/>
                <w:numId w:val="3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安全吊带应能调节尺寸大小以适合不同体型佩戴；</w:t>
            </w:r>
          </w:p>
          <w:p>
            <w:pPr>
              <w:keepNext w:val="0"/>
              <w:keepLines w:val="0"/>
              <w:widowControl/>
              <w:numPr>
                <w:ilvl w:val="0"/>
                <w:numId w:val="3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质量：≤2.2kg；</w:t>
            </w:r>
          </w:p>
          <w:p>
            <w:pPr>
              <w:keepNext w:val="0"/>
              <w:keepLines w:val="0"/>
              <w:widowControl/>
              <w:numPr>
                <w:ilvl w:val="0"/>
                <w:numId w:val="3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应符合XF494-2004《消防用防坠落装备》的标准要求；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手提式强光照明灯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38"/>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符合《GB30734-2014消防员照明灯具》标准。</w:t>
            </w:r>
          </w:p>
          <w:p>
            <w:pPr>
              <w:keepNext w:val="0"/>
              <w:keepLines w:val="0"/>
              <w:widowControl/>
              <w:numPr>
                <w:ilvl w:val="0"/>
                <w:numId w:val="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防护等级≥IP68；</w:t>
            </w:r>
          </w:p>
          <w:p>
            <w:pPr>
              <w:keepNext w:val="0"/>
              <w:keepLines w:val="0"/>
              <w:widowControl/>
              <w:numPr>
                <w:ilvl w:val="0"/>
                <w:numId w:val="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灯具光源为LED；</w:t>
            </w:r>
          </w:p>
          <w:p>
            <w:pPr>
              <w:keepNext w:val="0"/>
              <w:keepLines w:val="0"/>
              <w:widowControl/>
              <w:numPr>
                <w:ilvl w:val="0"/>
                <w:numId w:val="39"/>
              </w:numPr>
              <w:suppressLineNumbers w:val="0"/>
              <w:ind w:left="18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最大功率≥9W；</w:t>
            </w:r>
          </w:p>
          <w:p>
            <w:pPr>
              <w:keepNext w:val="0"/>
              <w:keepLines w:val="0"/>
              <w:widowControl/>
              <w:numPr>
                <w:ilvl w:val="0"/>
                <w:numId w:val="39"/>
              </w:numPr>
              <w:suppressLineNumbers w:val="0"/>
              <w:ind w:left="18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强光平均照度值≥750lx；</w:t>
            </w:r>
          </w:p>
          <w:p>
            <w:pPr>
              <w:keepNext w:val="0"/>
              <w:keepLines w:val="0"/>
              <w:widowControl/>
              <w:numPr>
                <w:ilvl w:val="0"/>
                <w:numId w:val="39"/>
              </w:numPr>
              <w:suppressLineNumbers w:val="0"/>
              <w:ind w:left="18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弱光平均照度值≥350lx；</w:t>
            </w:r>
          </w:p>
          <w:p>
            <w:pPr>
              <w:keepNext w:val="0"/>
              <w:keepLines w:val="0"/>
              <w:widowControl/>
              <w:numPr>
                <w:ilvl w:val="0"/>
                <w:numId w:val="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工作时间：</w:t>
            </w:r>
          </w:p>
          <w:p>
            <w:pPr>
              <w:keepNext w:val="0"/>
              <w:keepLines w:val="0"/>
              <w:widowControl/>
              <w:numPr>
                <w:ilvl w:val="0"/>
                <w:numId w:val="40"/>
              </w:numPr>
              <w:suppressLineNumbers w:val="0"/>
              <w:ind w:left="18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强光≥300 min；</w:t>
            </w:r>
          </w:p>
          <w:p>
            <w:pPr>
              <w:keepNext w:val="0"/>
              <w:keepLines w:val="0"/>
              <w:widowControl/>
              <w:numPr>
                <w:ilvl w:val="0"/>
                <w:numId w:val="40"/>
              </w:numPr>
              <w:suppressLineNumbers w:val="0"/>
              <w:ind w:left="18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弱光≥600min；</w:t>
            </w:r>
          </w:p>
          <w:p>
            <w:pPr>
              <w:keepNext w:val="0"/>
              <w:keepLines w:val="0"/>
              <w:widowControl/>
              <w:numPr>
                <w:ilvl w:val="0"/>
                <w:numId w:val="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经高低温性能、交变湿热性能、高低温贮存性能试验后，灯具能正常进行开、关和强、弱光切换；</w:t>
            </w:r>
          </w:p>
          <w:p>
            <w:pPr>
              <w:keepNext w:val="0"/>
              <w:keepLines w:val="0"/>
              <w:widowControl/>
              <w:numPr>
                <w:ilvl w:val="0"/>
                <w:numId w:val="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充电时间≤4h；</w:t>
            </w:r>
          </w:p>
          <w:p>
            <w:pPr>
              <w:keepNext w:val="0"/>
              <w:keepLines w:val="0"/>
              <w:widowControl/>
              <w:numPr>
                <w:ilvl w:val="0"/>
                <w:numId w:val="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灯具具有静止报警模式；</w:t>
            </w:r>
          </w:p>
          <w:p>
            <w:pPr>
              <w:keepNext w:val="0"/>
              <w:keepLines w:val="0"/>
              <w:widowControl/>
              <w:numPr>
                <w:ilvl w:val="0"/>
                <w:numId w:val="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质量≤1000 g；</w:t>
            </w:r>
          </w:p>
          <w:p>
            <w:pPr>
              <w:keepNext w:val="0"/>
              <w:keepLines w:val="0"/>
              <w:widowControl/>
              <w:numPr>
                <w:ilvl w:val="0"/>
                <w:numId w:val="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cs="宋体"/>
                <w:i w:val="0"/>
                <w:iCs w:val="0"/>
                <w:color w:val="auto"/>
                <w:kern w:val="0"/>
                <w:sz w:val="18"/>
                <w:szCs w:val="18"/>
                <w:u w:val="none"/>
                <w:lang w:val="en-US" w:eastAsia="zh-CN" w:bidi="ar"/>
              </w:rPr>
              <w:t>10</w:t>
            </w:r>
            <w:r>
              <w:rPr>
                <w:rFonts w:hint="eastAsia" w:ascii="宋体" w:hAnsi="宋体" w:eastAsia="宋体" w:cs="宋体"/>
                <w:i w:val="0"/>
                <w:iCs w:val="0"/>
                <w:color w:val="auto"/>
                <w:kern w:val="0"/>
                <w:sz w:val="18"/>
                <w:szCs w:val="18"/>
                <w:u w:val="none"/>
                <w:lang w:val="en-US" w:eastAsia="zh-CN" w:bidi="ar"/>
              </w:rPr>
              <w:t>、整机具有第三方出具的防爆合格证。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8</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r>
              <w:rPr>
                <w:rFonts w:hint="eastAsia" w:ascii="宋体" w:hAnsi="宋体" w:cs="宋体"/>
                <w:i w:val="0"/>
                <w:iCs w:val="0"/>
                <w:color w:val="FF0000"/>
                <w:kern w:val="0"/>
                <w:sz w:val="18"/>
                <w:szCs w:val="18"/>
                <w:u w:val="none"/>
                <w:lang w:val="en-US" w:eastAsia="zh-CN" w:bidi="ar"/>
              </w:rPr>
              <w:t>该项参数中要求的：第10项，投标时潜在供应商可不提供该项（</w:t>
            </w:r>
            <w:r>
              <w:rPr>
                <w:rFonts w:hint="eastAsia" w:ascii="宋体" w:hAnsi="宋体" w:eastAsia="宋体" w:cs="宋体"/>
                <w:i w:val="0"/>
                <w:iCs w:val="0"/>
                <w:color w:val="FF0000"/>
                <w:kern w:val="0"/>
                <w:sz w:val="18"/>
                <w:szCs w:val="18"/>
                <w:u w:val="none"/>
                <w:lang w:val="en-US" w:eastAsia="zh-CN" w:bidi="ar"/>
              </w:rPr>
              <w:t>防爆合格证</w:t>
            </w:r>
            <w:r>
              <w:rPr>
                <w:rFonts w:hint="eastAsia" w:ascii="宋体" w:hAnsi="宋体" w:cs="宋体"/>
                <w:i w:val="0"/>
                <w:iCs w:val="0"/>
                <w:color w:val="FF0000"/>
                <w:kern w:val="0"/>
                <w:sz w:val="18"/>
                <w:szCs w:val="18"/>
                <w:u w:val="none"/>
                <w:lang w:val="en-US" w:eastAsia="zh-CN" w:bidi="ar"/>
              </w:rPr>
              <w:t>），若中标后，供货时必须提供该项要求，若不提供视为放弃中标资格还应承担相应的违约责任。</w:t>
            </w: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消防员防蜂服</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4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符合XF3008-2020《消防员防蜂服》标准，由多层面料组成，连体式设计，密封性好，外层为白色；</w:t>
            </w:r>
          </w:p>
          <w:p>
            <w:pPr>
              <w:keepNext w:val="0"/>
              <w:keepLines w:val="0"/>
              <w:widowControl/>
              <w:numPr>
                <w:ilvl w:val="0"/>
                <w:numId w:val="4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包含救援头盔、头罩、护目镜、服装、手套、靴子和强制送风装置；</w:t>
            </w:r>
          </w:p>
          <w:p>
            <w:pPr>
              <w:keepNext w:val="0"/>
              <w:keepLines w:val="0"/>
              <w:widowControl/>
              <w:numPr>
                <w:ilvl w:val="0"/>
                <w:numId w:val="4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头罩面网由球型不锈钢网制成，头罩面纱视野大，头罩具有随头部运动而不影响安全性及视野的功能，包含头部固定和缓冲设计、眼面部防蜂蜇和蜂毒液侵袭设计、面部不碰触面罩设计，透气并视野良好；头罩面部回弹良好，连接牢固，无开裂；</w:t>
            </w:r>
          </w:p>
          <w:p>
            <w:pPr>
              <w:keepNext w:val="0"/>
              <w:keepLines w:val="0"/>
              <w:widowControl/>
              <w:numPr>
                <w:ilvl w:val="0"/>
                <w:numId w:val="4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靴子电绝缘性能：击穿电压≥5000V时，泄漏电流＜3mA；</w:t>
            </w:r>
          </w:p>
          <w:p>
            <w:pPr>
              <w:keepNext w:val="0"/>
              <w:keepLines w:val="0"/>
              <w:widowControl/>
              <w:numPr>
                <w:ilvl w:val="0"/>
                <w:numId w:val="4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整体抗穿刺性能：≥0.4N；外层面料撕破强力：≥60N；外层面料断裂强力：≥650N；</w:t>
            </w:r>
          </w:p>
          <w:p>
            <w:pPr>
              <w:keepNext w:val="0"/>
              <w:keepLines w:val="0"/>
              <w:widowControl/>
              <w:numPr>
                <w:ilvl w:val="0"/>
                <w:numId w:val="4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服装甲醛含量应符合GB18401-2010B类；</w:t>
            </w:r>
          </w:p>
          <w:p>
            <w:pPr>
              <w:keepNext w:val="0"/>
              <w:keepLines w:val="0"/>
              <w:widowControl/>
              <w:numPr>
                <w:ilvl w:val="0"/>
                <w:numId w:val="4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手套耐切割性能：≥2N；</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820"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铁扫把</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1.名称：铁扫把</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10</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风力灭火机</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4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发动机：二冲程发动机；佩戴方式：背负式；</w:t>
            </w:r>
          </w:p>
          <w:p>
            <w:pPr>
              <w:keepNext w:val="0"/>
              <w:keepLines w:val="0"/>
              <w:widowControl/>
              <w:numPr>
                <w:ilvl w:val="0"/>
                <w:numId w:val="4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功率≥3kw；</w:t>
            </w:r>
          </w:p>
          <w:p>
            <w:pPr>
              <w:keepNext w:val="0"/>
              <w:keepLines w:val="0"/>
              <w:widowControl/>
              <w:numPr>
                <w:ilvl w:val="0"/>
                <w:numId w:val="4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重量≤15kg；</w:t>
            </w:r>
          </w:p>
          <w:p>
            <w:pPr>
              <w:keepNext w:val="0"/>
              <w:keepLines w:val="0"/>
              <w:widowControl/>
              <w:numPr>
                <w:ilvl w:val="0"/>
                <w:numId w:val="4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最大排风量≥2000m³/h；</w:t>
            </w:r>
          </w:p>
          <w:p>
            <w:pPr>
              <w:keepNext w:val="0"/>
              <w:keepLines w:val="0"/>
              <w:widowControl/>
              <w:numPr>
                <w:ilvl w:val="0"/>
                <w:numId w:val="4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手持可调节油门；</w:t>
            </w:r>
          </w:p>
          <w:p>
            <w:pPr>
              <w:keepNext w:val="0"/>
              <w:keepLines w:val="0"/>
              <w:widowControl/>
              <w:numPr>
                <w:ilvl w:val="0"/>
                <w:numId w:val="4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油箱容量≥2L；</w:t>
            </w:r>
          </w:p>
          <w:p>
            <w:pPr>
              <w:keepNext w:val="0"/>
              <w:keepLines w:val="0"/>
              <w:widowControl/>
              <w:numPr>
                <w:ilvl w:val="0"/>
                <w:numId w:val="4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连续工作时间≥70min；</w:t>
            </w:r>
          </w:p>
          <w:p>
            <w:pPr>
              <w:keepNext w:val="0"/>
              <w:keepLines w:val="0"/>
              <w:widowControl/>
              <w:numPr>
                <w:ilvl w:val="0"/>
                <w:numId w:val="4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全封闭供油管。</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258" w:hRule="atLeast"/>
          <w:jc w:val="center"/>
        </w:trPr>
        <w:tc>
          <w:tcPr>
            <w:tcW w:w="9524" w:type="dxa"/>
            <w:gridSpan w:val="4"/>
            <w:tcBorders>
              <w:top w:val="single" w:color="000000" w:sz="6" w:space="0"/>
              <w:left w:val="single" w:color="000000" w:sz="8"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怀头他拉镇--消防器材</w:t>
            </w:r>
          </w:p>
        </w:tc>
        <w:tc>
          <w:tcPr>
            <w:tcW w:w="1234" w:type="dxa"/>
            <w:tcBorders>
              <w:top w:val="single" w:color="000000" w:sz="6" w:space="0"/>
              <w:left w:val="single" w:color="000000" w:sz="8"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59"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水罐消防车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w:t>
            </w:r>
            <w:r>
              <w:rPr>
                <w:rFonts w:hint="eastAsia" w:ascii="宋体" w:hAnsi="宋体" w:eastAsia="宋体" w:cs="宋体"/>
                <w:i w:val="0"/>
                <w:iCs w:val="0"/>
                <w:color w:val="auto"/>
                <w:kern w:val="0"/>
                <w:sz w:val="18"/>
                <w:szCs w:val="18"/>
                <w:u w:val="none"/>
                <w:lang w:val="en-US" w:eastAsia="zh-CN" w:bidi="ar"/>
              </w:rPr>
              <w:t>、底盘</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1.1</w:t>
            </w:r>
            <w:r>
              <w:rPr>
                <w:rFonts w:hint="eastAsia" w:ascii="宋体" w:hAnsi="宋体" w:eastAsia="宋体" w:cs="宋体"/>
                <w:i w:val="0"/>
                <w:iCs w:val="0"/>
                <w:color w:val="auto"/>
                <w:kern w:val="0"/>
                <w:sz w:val="18"/>
                <w:szCs w:val="18"/>
                <w:u w:val="none"/>
                <w:lang w:val="en-US" w:eastAsia="zh-CN" w:bidi="ar"/>
              </w:rPr>
              <w:t>全柴</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132马力；</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eastAsia" w:ascii="宋体" w:hAnsi="宋体" w:eastAsia="宋体" w:cs="宋体"/>
                <w:i w:val="0"/>
                <w:iCs w:val="0"/>
                <w:color w:val="auto"/>
                <w:kern w:val="0"/>
                <w:sz w:val="18"/>
                <w:szCs w:val="18"/>
                <w:u w:val="none"/>
                <w:lang w:val="en-US" w:eastAsia="zh-CN" w:bidi="ar"/>
              </w:rPr>
              <w:t>外形尺寸(mm):长:5990宽:1980高:2660；</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1.3</w:t>
            </w:r>
            <w:r>
              <w:rPr>
                <w:rFonts w:hint="eastAsia" w:ascii="宋体" w:hAnsi="宋体" w:eastAsia="宋体" w:cs="宋体"/>
                <w:i w:val="0"/>
                <w:iCs w:val="0"/>
                <w:color w:val="auto"/>
                <w:kern w:val="0"/>
                <w:sz w:val="18"/>
                <w:szCs w:val="18"/>
                <w:u w:val="none"/>
                <w:lang w:val="en-US" w:eastAsia="zh-CN" w:bidi="ar"/>
              </w:rPr>
              <w:t>排放标准:国六；</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1.4</w:t>
            </w:r>
            <w:r>
              <w:rPr>
                <w:rFonts w:hint="eastAsia" w:ascii="宋体" w:hAnsi="宋体" w:eastAsia="宋体" w:cs="宋体"/>
                <w:i w:val="0"/>
                <w:iCs w:val="0"/>
                <w:color w:val="auto"/>
                <w:kern w:val="0"/>
                <w:sz w:val="18"/>
                <w:szCs w:val="18"/>
                <w:u w:val="none"/>
                <w:lang w:val="en-US" w:eastAsia="zh-CN" w:bidi="ar"/>
              </w:rPr>
              <w:t>功率:</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97KW；</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1.5</w:t>
            </w:r>
            <w:r>
              <w:rPr>
                <w:rFonts w:hint="eastAsia" w:ascii="宋体" w:hAnsi="宋体" w:eastAsia="宋体" w:cs="宋体"/>
                <w:i w:val="0"/>
                <w:iCs w:val="0"/>
                <w:color w:val="auto"/>
                <w:kern w:val="0"/>
                <w:sz w:val="18"/>
                <w:szCs w:val="18"/>
                <w:u w:val="none"/>
                <w:lang w:val="en-US" w:eastAsia="zh-CN" w:bidi="ar"/>
              </w:rPr>
              <w:t>驱动型式:后轮驱动；轴距：3308mm</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2、</w:t>
            </w:r>
            <w:r>
              <w:rPr>
                <w:rFonts w:hint="default" w:ascii="宋体" w:hAnsi="宋体" w:eastAsia="宋体" w:cs="宋体"/>
                <w:i w:val="0"/>
                <w:iCs w:val="0"/>
                <w:color w:val="auto"/>
                <w:kern w:val="0"/>
                <w:sz w:val="18"/>
                <w:szCs w:val="18"/>
                <w:u w:val="none"/>
                <w:lang w:val="en-US" w:eastAsia="zh-CN" w:bidi="ar"/>
              </w:rPr>
              <w:t>容 罐</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1.1</w:t>
            </w:r>
            <w:r>
              <w:rPr>
                <w:rFonts w:hint="default" w:ascii="宋体" w:hAnsi="宋体" w:eastAsia="宋体" w:cs="宋体"/>
                <w:i w:val="0"/>
                <w:iCs w:val="0"/>
                <w:color w:val="auto"/>
                <w:kern w:val="0"/>
                <w:sz w:val="18"/>
                <w:szCs w:val="18"/>
                <w:u w:val="none"/>
                <w:lang w:val="en-US" w:eastAsia="zh-CN" w:bidi="ar"/>
              </w:rPr>
              <w:t>容量:水:2000Kg</w:t>
            </w:r>
            <w:r>
              <w:rPr>
                <w:rFonts w:hint="eastAsia" w:ascii="宋体" w:hAnsi="宋体" w:eastAsia="宋体" w:cs="宋体"/>
                <w:i w:val="0"/>
                <w:iCs w:val="0"/>
                <w:color w:val="auto"/>
                <w:kern w:val="0"/>
                <w:sz w:val="18"/>
                <w:szCs w:val="18"/>
                <w:u w:val="none"/>
                <w:lang w:val="en-US" w:eastAsia="zh-CN" w:bidi="ar"/>
              </w:rPr>
              <w:t>；</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default" w:ascii="宋体" w:hAnsi="宋体" w:eastAsia="宋体" w:cs="宋体"/>
                <w:i w:val="0"/>
                <w:iCs w:val="0"/>
                <w:color w:val="auto"/>
                <w:kern w:val="0"/>
                <w:sz w:val="18"/>
                <w:szCs w:val="18"/>
                <w:u w:val="none"/>
                <w:lang w:val="en-US" w:eastAsia="zh-CN" w:bidi="ar"/>
              </w:rPr>
              <w:t>材质:水罐:优质碳钢</w:t>
            </w:r>
            <w:r>
              <w:rPr>
                <w:rFonts w:hint="eastAsia" w:ascii="宋体" w:hAnsi="宋体" w:eastAsia="宋体" w:cs="宋体"/>
                <w:i w:val="0"/>
                <w:iCs w:val="0"/>
                <w:color w:val="auto"/>
                <w:kern w:val="0"/>
                <w:sz w:val="18"/>
                <w:szCs w:val="18"/>
                <w:u w:val="none"/>
                <w:lang w:val="en-US" w:eastAsia="zh-CN" w:bidi="ar"/>
              </w:rPr>
              <w:t>；</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1.3</w:t>
            </w:r>
            <w:r>
              <w:rPr>
                <w:rFonts w:hint="default" w:ascii="宋体" w:hAnsi="宋体" w:eastAsia="宋体" w:cs="宋体"/>
                <w:i w:val="0"/>
                <w:iCs w:val="0"/>
                <w:color w:val="auto"/>
                <w:kern w:val="0"/>
                <w:sz w:val="18"/>
                <w:szCs w:val="18"/>
                <w:u w:val="none"/>
                <w:lang w:val="en-US" w:eastAsia="zh-CN" w:bidi="ar"/>
              </w:rPr>
              <w:t>结构:框架焊接,内设防荡板</w:t>
            </w:r>
            <w:r>
              <w:rPr>
                <w:rFonts w:hint="eastAsia" w:ascii="宋体" w:hAnsi="宋体" w:eastAsia="宋体" w:cs="宋体"/>
                <w:i w:val="0"/>
                <w:iCs w:val="0"/>
                <w:color w:val="auto"/>
                <w:kern w:val="0"/>
                <w:sz w:val="18"/>
                <w:szCs w:val="18"/>
                <w:u w:val="none"/>
                <w:lang w:val="en-US" w:eastAsia="zh-CN" w:bidi="ar"/>
              </w:rPr>
              <w:t>；</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1.4</w:t>
            </w:r>
            <w:r>
              <w:rPr>
                <w:rFonts w:hint="default" w:ascii="宋体" w:hAnsi="宋体" w:eastAsia="宋体" w:cs="宋体"/>
                <w:i w:val="0"/>
                <w:iCs w:val="0"/>
                <w:color w:val="auto"/>
                <w:kern w:val="0"/>
                <w:sz w:val="18"/>
                <w:szCs w:val="18"/>
                <w:u w:val="none"/>
                <w:lang w:val="en-US" w:eastAsia="zh-CN" w:bidi="ar"/>
              </w:rPr>
              <w:t>设备:1个人口孔，带有快速锁紧及开启装置</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1个液位指示器</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1个排污口，带不锈钢球阀</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2个注水口(左右各一)</w:t>
            </w:r>
            <w:r>
              <w:rPr>
                <w:rFonts w:hint="eastAsia" w:ascii="宋体" w:hAnsi="宋体" w:eastAsia="宋体" w:cs="宋体"/>
                <w:i w:val="0"/>
                <w:iCs w:val="0"/>
                <w:color w:val="auto"/>
                <w:kern w:val="0"/>
                <w:sz w:val="18"/>
                <w:szCs w:val="18"/>
                <w:u w:val="none"/>
                <w:lang w:val="en-US" w:eastAsia="zh-CN" w:bidi="ar"/>
              </w:rPr>
              <w:t>。</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消防泵及管路系统</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1.1</w:t>
            </w:r>
            <w:r>
              <w:rPr>
                <w:rFonts w:hint="eastAsia" w:ascii="宋体" w:hAnsi="宋体" w:eastAsia="宋体" w:cs="宋体"/>
                <w:i w:val="0"/>
                <w:iCs w:val="0"/>
                <w:color w:val="auto"/>
                <w:kern w:val="0"/>
                <w:sz w:val="18"/>
                <w:szCs w:val="18"/>
                <w:u w:val="none"/>
                <w:lang w:val="en-US" w:eastAsia="zh-CN" w:bidi="ar"/>
              </w:rPr>
              <w:t>消防泵：CB10/20常压消防泵；</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eastAsia" w:ascii="宋体" w:hAnsi="宋体" w:eastAsia="宋体" w:cs="宋体"/>
                <w:i w:val="0"/>
                <w:iCs w:val="0"/>
                <w:color w:val="auto"/>
                <w:kern w:val="0"/>
                <w:sz w:val="18"/>
                <w:szCs w:val="18"/>
                <w:u w:val="none"/>
                <w:lang w:val="en-US" w:eastAsia="zh-CN" w:bidi="ar"/>
              </w:rPr>
              <w:t>流量:常压</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20L/s；</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1.3</w:t>
            </w:r>
            <w:r>
              <w:rPr>
                <w:rFonts w:hint="eastAsia" w:ascii="宋体" w:hAnsi="宋体" w:eastAsia="宋体" w:cs="宋体"/>
                <w:i w:val="0"/>
                <w:iCs w:val="0"/>
                <w:color w:val="auto"/>
                <w:kern w:val="0"/>
                <w:sz w:val="18"/>
                <w:szCs w:val="18"/>
                <w:u w:val="none"/>
                <w:lang w:val="en-US" w:eastAsia="zh-CN" w:bidi="ar"/>
              </w:rPr>
              <w:t>压力:常压</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1.0；</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1.4</w:t>
            </w:r>
            <w:r>
              <w:rPr>
                <w:rFonts w:hint="eastAsia" w:ascii="宋体" w:hAnsi="宋体" w:eastAsia="宋体" w:cs="宋体"/>
                <w:i w:val="0"/>
                <w:iCs w:val="0"/>
                <w:color w:val="auto"/>
                <w:kern w:val="0"/>
                <w:sz w:val="18"/>
                <w:szCs w:val="18"/>
                <w:u w:val="none"/>
                <w:lang w:val="en-US" w:eastAsia="zh-CN" w:bidi="ar"/>
              </w:rPr>
              <w:t>安装型式:后置 管路系统：</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1.5</w:t>
            </w:r>
            <w:r>
              <w:rPr>
                <w:rFonts w:hint="eastAsia" w:ascii="宋体" w:hAnsi="宋体" w:eastAsia="宋体" w:cs="宋体"/>
                <w:i w:val="0"/>
                <w:iCs w:val="0"/>
                <w:color w:val="auto"/>
                <w:kern w:val="0"/>
                <w:sz w:val="18"/>
                <w:szCs w:val="18"/>
                <w:u w:val="none"/>
                <w:lang w:val="en-US" w:eastAsia="zh-CN" w:bidi="ar"/>
              </w:rPr>
              <w:t>吸水管路:水泵设有</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Φ100mm 进水口，可从天然水源吸水或从液罐吸水。</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1.6</w:t>
            </w:r>
            <w:r>
              <w:rPr>
                <w:rFonts w:hint="eastAsia" w:ascii="宋体" w:hAnsi="宋体" w:eastAsia="宋体" w:cs="宋体"/>
                <w:i w:val="0"/>
                <w:iCs w:val="0"/>
                <w:color w:val="auto"/>
                <w:kern w:val="0"/>
                <w:sz w:val="18"/>
                <w:szCs w:val="18"/>
                <w:u w:val="none"/>
                <w:lang w:val="en-US" w:eastAsia="zh-CN" w:bidi="ar"/>
              </w:rPr>
              <w:t>出水管路:两侧各1个出水口;通过罐到罐顶部有1个直径≥89mm的水炮管路;</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1.7</w:t>
            </w:r>
            <w:r>
              <w:rPr>
                <w:rFonts w:hint="eastAsia" w:ascii="宋体" w:hAnsi="宋体" w:eastAsia="宋体" w:cs="宋体"/>
                <w:i w:val="0"/>
                <w:iCs w:val="0"/>
                <w:color w:val="auto"/>
                <w:kern w:val="0"/>
                <w:sz w:val="18"/>
                <w:szCs w:val="18"/>
                <w:u w:val="none"/>
                <w:lang w:val="en-US" w:eastAsia="zh-CN" w:bidi="ar"/>
              </w:rPr>
              <w:t>放余水管路:为保护水泵及各球阀，在管路中加装了放余水管路，并分别配有球阀。</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1.8</w:t>
            </w:r>
            <w:r>
              <w:rPr>
                <w:rFonts w:hint="eastAsia" w:ascii="宋体" w:hAnsi="宋体" w:eastAsia="宋体" w:cs="宋体"/>
                <w:i w:val="0"/>
                <w:iCs w:val="0"/>
                <w:color w:val="auto"/>
                <w:kern w:val="0"/>
                <w:sz w:val="18"/>
                <w:szCs w:val="18"/>
                <w:u w:val="none"/>
                <w:lang w:val="en-US" w:eastAsia="zh-CN" w:bidi="ar"/>
              </w:rPr>
              <w:t>冷却水管路:为使取力器在工作中应付各种复杂情况，管路中配有一冷却水管路进出水管路中配不锈钢球阀。</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4</w:t>
            </w:r>
            <w:r>
              <w:rPr>
                <w:rFonts w:hint="eastAsia" w:ascii="宋体" w:hAnsi="宋体" w:eastAsia="宋体" w:cs="宋体"/>
                <w:i w:val="0"/>
                <w:iCs w:val="0"/>
                <w:color w:val="auto"/>
                <w:kern w:val="0"/>
                <w:sz w:val="18"/>
                <w:szCs w:val="18"/>
                <w:u w:val="none"/>
                <w:lang w:val="en-US" w:eastAsia="zh-CN" w:bidi="ar"/>
              </w:rPr>
              <w:t>、消防炮</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1.1</w:t>
            </w:r>
            <w:r>
              <w:rPr>
                <w:rFonts w:hint="eastAsia" w:ascii="宋体" w:hAnsi="宋体" w:eastAsia="宋体" w:cs="宋体"/>
                <w:i w:val="0"/>
                <w:iCs w:val="0"/>
                <w:color w:val="auto"/>
                <w:kern w:val="0"/>
                <w:sz w:val="18"/>
                <w:szCs w:val="18"/>
                <w:u w:val="none"/>
                <w:lang w:val="en-US" w:eastAsia="zh-CN" w:bidi="ar"/>
              </w:rPr>
              <w:t>型消防炮；流量≥20 (L/s)，引水时间≤50s（吸深7m时）；</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eastAsia" w:ascii="宋体" w:hAnsi="宋体" w:eastAsia="宋体" w:cs="宋体"/>
                <w:i w:val="0"/>
                <w:iCs w:val="0"/>
                <w:color w:val="auto"/>
                <w:kern w:val="0"/>
                <w:sz w:val="18"/>
                <w:szCs w:val="18"/>
                <w:u w:val="none"/>
                <w:lang w:val="en-US" w:eastAsia="zh-CN" w:bidi="ar"/>
              </w:rPr>
              <w:t>射程:水≥48m；压力:1.0MPa</w:t>
            </w:r>
          </w:p>
          <w:p>
            <w:pPr>
              <w:keepNext w:val="0"/>
              <w:keepLines w:val="0"/>
              <w:widowControl/>
              <w:numPr>
                <w:ilvl w:val="0"/>
                <w:numId w:val="3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取力器</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1.1</w:t>
            </w:r>
            <w:r>
              <w:rPr>
                <w:rFonts w:hint="eastAsia" w:ascii="宋体" w:hAnsi="宋体" w:eastAsia="宋体" w:cs="宋体"/>
                <w:i w:val="0"/>
                <w:iCs w:val="0"/>
                <w:color w:val="auto"/>
                <w:kern w:val="0"/>
                <w:sz w:val="18"/>
                <w:szCs w:val="18"/>
                <w:u w:val="none"/>
                <w:lang w:val="en-US" w:eastAsia="zh-CN" w:bidi="ar"/>
              </w:rPr>
              <w:t>型式:全功率夹心取力器；</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eastAsia" w:ascii="宋体" w:hAnsi="宋体" w:eastAsia="宋体" w:cs="宋体"/>
                <w:i w:val="0"/>
                <w:iCs w:val="0"/>
                <w:color w:val="auto"/>
                <w:kern w:val="0"/>
                <w:sz w:val="18"/>
                <w:szCs w:val="18"/>
                <w:u w:val="none"/>
                <w:lang w:val="en-US" w:eastAsia="zh-CN" w:bidi="ar"/>
              </w:rPr>
              <w:t>冷却方式:强制式水冷；</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1.3</w:t>
            </w:r>
            <w:r>
              <w:rPr>
                <w:rFonts w:hint="eastAsia" w:ascii="宋体" w:hAnsi="宋体" w:eastAsia="宋体" w:cs="宋体"/>
                <w:i w:val="0"/>
                <w:iCs w:val="0"/>
                <w:color w:val="auto"/>
                <w:kern w:val="0"/>
                <w:sz w:val="18"/>
                <w:szCs w:val="18"/>
                <w:u w:val="none"/>
                <w:lang w:val="en-US" w:eastAsia="zh-CN" w:bidi="ar"/>
              </w:rPr>
              <w:t>润滑方式:飞溅式油润滑</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6</w:t>
            </w:r>
            <w:r>
              <w:rPr>
                <w:rFonts w:hint="eastAsia" w:ascii="宋体" w:hAnsi="宋体" w:eastAsia="宋体" w:cs="宋体"/>
                <w:i w:val="0"/>
                <w:iCs w:val="0"/>
                <w:color w:val="auto"/>
                <w:kern w:val="0"/>
                <w:sz w:val="18"/>
                <w:szCs w:val="18"/>
                <w:u w:val="none"/>
                <w:lang w:val="en-US" w:eastAsia="zh-CN" w:bidi="ar"/>
              </w:rPr>
              <w:t>、器材箱及泵房</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1.1</w:t>
            </w:r>
            <w:r>
              <w:rPr>
                <w:rFonts w:hint="eastAsia" w:ascii="宋体" w:hAnsi="宋体" w:eastAsia="宋体" w:cs="宋体"/>
                <w:i w:val="0"/>
                <w:iCs w:val="0"/>
                <w:color w:val="auto"/>
                <w:kern w:val="0"/>
                <w:sz w:val="18"/>
                <w:szCs w:val="18"/>
                <w:u w:val="none"/>
                <w:lang w:val="en-US" w:eastAsia="zh-CN" w:bidi="ar"/>
              </w:rPr>
              <w:t>材质:骨架为优质钢,蒙板为碳钢板焊接结构；</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eastAsia" w:ascii="宋体" w:hAnsi="宋体" w:eastAsia="宋体" w:cs="宋体"/>
                <w:i w:val="0"/>
                <w:iCs w:val="0"/>
                <w:color w:val="auto"/>
                <w:kern w:val="0"/>
                <w:sz w:val="18"/>
                <w:szCs w:val="18"/>
                <w:u w:val="none"/>
                <w:lang w:val="en-US" w:eastAsia="zh-CN" w:bidi="ar"/>
              </w:rPr>
              <w:t>结构:器材箱内分隔采用型钢结构，牢固可靠，提高空间利用率和可变性。</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1.3</w:t>
            </w:r>
            <w:r>
              <w:rPr>
                <w:rFonts w:hint="eastAsia" w:ascii="宋体" w:hAnsi="宋体" w:eastAsia="宋体" w:cs="宋体"/>
                <w:i w:val="0"/>
                <w:iCs w:val="0"/>
                <w:color w:val="auto"/>
                <w:kern w:val="0"/>
                <w:sz w:val="18"/>
                <w:szCs w:val="18"/>
                <w:u w:val="none"/>
                <w:lang w:val="en-US" w:eastAsia="zh-CN" w:bidi="ar"/>
              </w:rPr>
              <w:t>开门:器材箱左右两侧均有铝合金卷帘门，轻便可靠、噪音小。</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7</w:t>
            </w:r>
            <w:r>
              <w:rPr>
                <w:rFonts w:hint="default" w:ascii="宋体" w:hAnsi="宋体" w:eastAsia="宋体" w:cs="宋体"/>
                <w:i w:val="0"/>
                <w:iCs w:val="0"/>
                <w:color w:val="auto"/>
                <w:kern w:val="0"/>
                <w:sz w:val="18"/>
                <w:szCs w:val="18"/>
                <w:u w:val="none"/>
                <w:lang w:val="en-US" w:eastAsia="zh-CN" w:bidi="ar"/>
              </w:rPr>
              <w:t>、电器系统</w:t>
            </w:r>
            <w:r>
              <w:rPr>
                <w:rFonts w:hint="eastAsia" w:ascii="宋体" w:hAnsi="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车顶前面采用长排警灯(位于驾驶室前顶端);车顶后配有 24V、60W照明灯1只</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车辆两侧上方配有爆闪灯;下方安装侧标志灯</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警报器功率为100W:警报器、警灯、爆闪灯电路为独立式附加电路,控制器件安装在驾驶室内。</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8</w:t>
            </w:r>
            <w:r>
              <w:rPr>
                <w:rFonts w:hint="default" w:ascii="宋体" w:hAnsi="宋体" w:eastAsia="宋体" w:cs="宋体"/>
                <w:i w:val="0"/>
                <w:iCs w:val="0"/>
                <w:color w:val="auto"/>
                <w:kern w:val="0"/>
                <w:sz w:val="18"/>
                <w:szCs w:val="18"/>
                <w:u w:val="none"/>
                <w:lang w:val="en-US" w:eastAsia="zh-CN" w:bidi="ar"/>
              </w:rPr>
              <w:t>、总体技术要求</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default"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.1</w:t>
            </w:r>
            <w:r>
              <w:rPr>
                <w:rFonts w:hint="default" w:ascii="宋体" w:hAnsi="宋体" w:eastAsia="宋体" w:cs="宋体"/>
                <w:i w:val="0"/>
                <w:iCs w:val="0"/>
                <w:color w:val="auto"/>
                <w:kern w:val="0"/>
                <w:sz w:val="18"/>
                <w:szCs w:val="18"/>
                <w:u w:val="none"/>
                <w:lang w:val="en-US" w:eastAsia="zh-CN" w:bidi="ar"/>
              </w:rPr>
              <w:t>、整车性能符合 GB7956《消防车性能要求及试验方法》的规定。</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w:t>
            </w:r>
            <w:r>
              <w:rPr>
                <w:rFonts w:hint="default" w:ascii="宋体" w:hAnsi="宋体" w:eastAsia="宋体" w:cs="宋体"/>
                <w:i w:val="0"/>
                <w:iCs w:val="0"/>
                <w:color w:val="auto"/>
                <w:kern w:val="0"/>
                <w:sz w:val="18"/>
                <w:szCs w:val="18"/>
                <w:u w:val="none"/>
                <w:lang w:val="en-US" w:eastAsia="zh-CN" w:bidi="ar"/>
              </w:rPr>
              <w:t>2、整车外观保持一定的平整度，且符合有关规定。</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w:t>
            </w:r>
            <w:r>
              <w:rPr>
                <w:rFonts w:hint="default" w:ascii="宋体" w:hAnsi="宋体" w:eastAsia="宋体" w:cs="宋体"/>
                <w:i w:val="0"/>
                <w:iCs w:val="0"/>
                <w:color w:val="auto"/>
                <w:kern w:val="0"/>
                <w:sz w:val="18"/>
                <w:szCs w:val="18"/>
                <w:u w:val="none"/>
                <w:lang w:val="en-US" w:eastAsia="zh-CN" w:bidi="ar"/>
              </w:rPr>
              <w:t>3、所有铆接保持一定的密度，符合企标规定。</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w:t>
            </w:r>
            <w:r>
              <w:rPr>
                <w:rFonts w:hint="default" w:ascii="宋体" w:hAnsi="宋体" w:eastAsia="宋体" w:cs="宋体"/>
                <w:i w:val="0"/>
                <w:iCs w:val="0"/>
                <w:color w:val="auto"/>
                <w:kern w:val="0"/>
                <w:sz w:val="18"/>
                <w:szCs w:val="18"/>
                <w:u w:val="none"/>
                <w:lang w:val="en-US" w:eastAsia="zh-CN" w:bidi="ar"/>
              </w:rPr>
              <w:t>4、所有焊接牢固，光洁，平整，符合企标规定。</w:t>
            </w:r>
          </w:p>
          <w:p>
            <w:pPr>
              <w:keepNext w:val="0"/>
              <w:keepLines w:val="0"/>
              <w:widowControl/>
              <w:suppressLineNumbers w:val="0"/>
              <w:jc w:val="left"/>
              <w:textAlignment w:val="center"/>
              <w:rPr>
                <w:rFonts w:hint="eastAsia"/>
                <w:color w:val="auto"/>
                <w:lang w:val="zh-CN"/>
              </w:rPr>
            </w:pPr>
            <w:r>
              <w:rPr>
                <w:rFonts w:hint="eastAsia" w:ascii="宋体" w:hAnsi="宋体" w:cs="宋体"/>
                <w:i w:val="0"/>
                <w:iCs w:val="0"/>
                <w:color w:val="auto"/>
                <w:kern w:val="0"/>
                <w:sz w:val="18"/>
                <w:szCs w:val="18"/>
                <w:u w:val="none"/>
                <w:lang w:val="en-US" w:eastAsia="zh-CN" w:bidi="ar"/>
              </w:rPr>
              <w:t>1.</w:t>
            </w:r>
            <w:r>
              <w:rPr>
                <w:rFonts w:hint="default" w:ascii="宋体" w:hAnsi="宋体" w:eastAsia="宋体" w:cs="宋体"/>
                <w:i w:val="0"/>
                <w:iCs w:val="0"/>
                <w:color w:val="auto"/>
                <w:kern w:val="0"/>
                <w:sz w:val="18"/>
                <w:szCs w:val="18"/>
                <w:u w:val="none"/>
                <w:lang w:val="en-US" w:eastAsia="zh-CN" w:bidi="ar"/>
              </w:rPr>
              <w:t>5、所有操作开关、仪表、器材架及车辆均有符合规范的铭牌标志。</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辆</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2850"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越野型抢险救援车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w:t>
            </w:r>
            <w:r>
              <w:rPr>
                <w:rFonts w:hint="eastAsia" w:ascii="宋体" w:hAnsi="宋体" w:cs="宋体"/>
                <w:i w:val="0"/>
                <w:iCs w:val="0"/>
                <w:color w:val="auto"/>
                <w:kern w:val="0"/>
                <w:sz w:val="18"/>
                <w:szCs w:val="18"/>
                <w:highlight w:val="none"/>
                <w:u w:val="none"/>
                <w:lang w:val="en-US" w:eastAsia="zh-CN" w:bidi="ar"/>
              </w:rPr>
              <w:t>、</w:t>
            </w:r>
            <w:r>
              <w:rPr>
                <w:rFonts w:hint="eastAsia" w:ascii="宋体" w:hAnsi="宋体" w:eastAsia="宋体" w:cs="宋体"/>
                <w:i w:val="0"/>
                <w:iCs w:val="0"/>
                <w:color w:val="auto"/>
                <w:kern w:val="0"/>
                <w:sz w:val="18"/>
                <w:szCs w:val="18"/>
                <w:highlight w:val="none"/>
                <w:u w:val="none"/>
                <w:lang w:val="en-US" w:eastAsia="zh-CN" w:bidi="ar"/>
              </w:rPr>
              <w:t xml:space="preserve">皮卡抢险救援车辆，车厢 为箱体设计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w:t>
            </w:r>
            <w:r>
              <w:rPr>
                <w:rFonts w:hint="eastAsia" w:ascii="宋体" w:hAnsi="宋体" w:cs="宋体"/>
                <w:i w:val="0"/>
                <w:iCs w:val="0"/>
                <w:color w:val="auto"/>
                <w:kern w:val="0"/>
                <w:sz w:val="18"/>
                <w:szCs w:val="18"/>
                <w:highlight w:val="none"/>
                <w:u w:val="none"/>
                <w:lang w:val="en-US" w:eastAsia="zh-CN" w:bidi="ar"/>
              </w:rPr>
              <w:t>、</w:t>
            </w:r>
            <w:r>
              <w:rPr>
                <w:rFonts w:hint="eastAsia" w:ascii="宋体" w:hAnsi="宋体" w:eastAsia="宋体" w:cs="宋体"/>
                <w:i w:val="0"/>
                <w:iCs w:val="0"/>
                <w:color w:val="auto"/>
                <w:kern w:val="0"/>
                <w:sz w:val="18"/>
                <w:szCs w:val="18"/>
                <w:highlight w:val="none"/>
                <w:u w:val="none"/>
                <w:lang w:val="en-US" w:eastAsia="zh-CN" w:bidi="ar"/>
              </w:rPr>
              <w:t>实现功能： 警灯警示、AC220V 发电供电、逆变电源、360 度可旋 转照明、自救、抢险等功能</w:t>
            </w:r>
          </w:p>
          <w:p>
            <w:pPr>
              <w:keepNext w:val="0"/>
              <w:keepLines w:val="0"/>
              <w:widowControl/>
              <w:suppressLineNumbers w:val="0"/>
              <w:jc w:val="left"/>
              <w:textAlignment w:val="center"/>
              <w:rPr>
                <w:rFonts w:hint="eastAsia" w:ascii="宋体" w:hAnsi="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w:t>
            </w:r>
            <w:r>
              <w:rPr>
                <w:rFonts w:hint="eastAsia" w:ascii="宋体" w:hAnsi="宋体" w:cs="宋体"/>
                <w:i w:val="0"/>
                <w:iCs w:val="0"/>
                <w:color w:val="auto"/>
                <w:kern w:val="0"/>
                <w:sz w:val="18"/>
                <w:szCs w:val="18"/>
                <w:highlight w:val="none"/>
                <w:u w:val="none"/>
                <w:lang w:val="en-US" w:eastAsia="zh-CN" w:bidi="ar"/>
              </w:rPr>
              <w:t>、发动机：</w:t>
            </w:r>
            <w:r>
              <w:rPr>
                <w:rFonts w:hint="default" w:ascii="Arial" w:hAnsi="Arial" w:cs="Arial"/>
                <w:i w:val="0"/>
                <w:iCs w:val="0"/>
                <w:color w:val="auto"/>
                <w:kern w:val="0"/>
                <w:sz w:val="18"/>
                <w:szCs w:val="18"/>
                <w:highlight w:val="none"/>
                <w:u w:val="none"/>
                <w:lang w:val="en-US" w:eastAsia="zh-CN" w:bidi="ar"/>
              </w:rPr>
              <w:t>≥</w:t>
            </w:r>
            <w:r>
              <w:rPr>
                <w:rFonts w:hint="eastAsia" w:ascii="宋体" w:hAnsi="宋体" w:cs="宋体"/>
                <w:i w:val="0"/>
                <w:iCs w:val="0"/>
                <w:color w:val="auto"/>
                <w:kern w:val="0"/>
                <w:sz w:val="18"/>
                <w:szCs w:val="18"/>
                <w:highlight w:val="none"/>
                <w:u w:val="none"/>
                <w:lang w:val="en-US" w:eastAsia="zh-CN" w:bidi="ar"/>
              </w:rPr>
              <w:t>238马力</w:t>
            </w:r>
          </w:p>
          <w:p>
            <w:pPr>
              <w:keepNext w:val="0"/>
              <w:keepLines w:val="0"/>
              <w:widowControl/>
              <w:suppressLineNumbers w:val="0"/>
              <w:jc w:val="left"/>
              <w:textAlignment w:val="center"/>
              <w:rPr>
                <w:rFonts w:hint="eastAsia" w:ascii="宋体" w:hAnsi="宋体" w:cs="宋体"/>
                <w:i w:val="0"/>
                <w:iCs w:val="0"/>
                <w:color w:val="auto"/>
                <w:kern w:val="0"/>
                <w:sz w:val="18"/>
                <w:szCs w:val="18"/>
                <w:highlight w:val="none"/>
                <w:u w:val="none"/>
                <w:lang w:val="en-US" w:eastAsia="zh-CN" w:bidi="ar"/>
              </w:rPr>
            </w:pPr>
            <w:r>
              <w:rPr>
                <w:rFonts w:hint="eastAsia" w:ascii="宋体" w:hAnsi="宋体" w:cs="宋体"/>
                <w:i w:val="0"/>
                <w:iCs w:val="0"/>
                <w:color w:val="auto"/>
                <w:kern w:val="0"/>
                <w:sz w:val="18"/>
                <w:szCs w:val="18"/>
                <w:highlight w:val="none"/>
                <w:u w:val="none"/>
                <w:lang w:val="en-US" w:eastAsia="zh-CN" w:bidi="ar"/>
              </w:rPr>
              <w:t>4、燃油类型：汽油</w:t>
            </w:r>
          </w:p>
          <w:p>
            <w:pPr>
              <w:keepNext w:val="0"/>
              <w:keepLines w:val="0"/>
              <w:widowControl/>
              <w:suppressLineNumbers w:val="0"/>
              <w:jc w:val="left"/>
              <w:textAlignment w:val="center"/>
              <w:rPr>
                <w:rFonts w:hint="eastAsia" w:ascii="宋体" w:hAnsi="宋体" w:cs="宋体"/>
                <w:i w:val="0"/>
                <w:iCs w:val="0"/>
                <w:color w:val="auto"/>
                <w:kern w:val="0"/>
                <w:sz w:val="18"/>
                <w:szCs w:val="18"/>
                <w:highlight w:val="none"/>
                <w:u w:val="none"/>
                <w:lang w:val="en-US" w:eastAsia="zh-CN" w:bidi="ar"/>
              </w:rPr>
            </w:pPr>
            <w:r>
              <w:rPr>
                <w:rFonts w:hint="eastAsia" w:ascii="宋体" w:hAnsi="宋体" w:cs="宋体"/>
                <w:i w:val="0"/>
                <w:iCs w:val="0"/>
                <w:color w:val="auto"/>
                <w:kern w:val="0"/>
                <w:sz w:val="18"/>
                <w:szCs w:val="18"/>
                <w:highlight w:val="none"/>
                <w:u w:val="none"/>
                <w:lang w:val="en-US" w:eastAsia="zh-CN" w:bidi="ar"/>
              </w:rPr>
              <w:t>5、功率：</w:t>
            </w:r>
            <w:r>
              <w:rPr>
                <w:rFonts w:hint="default" w:ascii="Arial" w:hAnsi="Arial" w:cs="Arial"/>
                <w:i w:val="0"/>
                <w:iCs w:val="0"/>
                <w:color w:val="auto"/>
                <w:kern w:val="0"/>
                <w:sz w:val="18"/>
                <w:szCs w:val="18"/>
                <w:highlight w:val="none"/>
                <w:u w:val="none"/>
                <w:lang w:val="en-US" w:eastAsia="zh-CN" w:bidi="ar"/>
              </w:rPr>
              <w:t>≥</w:t>
            </w:r>
            <w:r>
              <w:rPr>
                <w:rFonts w:hint="eastAsia" w:ascii="宋体" w:hAnsi="宋体" w:cs="宋体"/>
                <w:i w:val="0"/>
                <w:iCs w:val="0"/>
                <w:color w:val="auto"/>
                <w:kern w:val="0"/>
                <w:sz w:val="18"/>
                <w:szCs w:val="18"/>
                <w:highlight w:val="none"/>
                <w:u w:val="none"/>
                <w:lang w:val="en-US" w:eastAsia="zh-CN" w:bidi="ar"/>
              </w:rPr>
              <w:t>175KW，</w:t>
            </w:r>
          </w:p>
          <w:p>
            <w:pPr>
              <w:keepNext w:val="0"/>
              <w:keepLines w:val="0"/>
              <w:widowControl/>
              <w:suppressLineNumbers w:val="0"/>
              <w:jc w:val="left"/>
              <w:textAlignment w:val="center"/>
              <w:rPr>
                <w:rFonts w:hint="eastAsia" w:ascii="宋体" w:hAnsi="宋体" w:cs="宋体"/>
                <w:i w:val="0"/>
                <w:iCs w:val="0"/>
                <w:color w:val="auto"/>
                <w:kern w:val="0"/>
                <w:sz w:val="18"/>
                <w:szCs w:val="18"/>
                <w:highlight w:val="none"/>
                <w:u w:val="none"/>
                <w:lang w:val="en-US" w:eastAsia="zh-CN" w:bidi="ar"/>
              </w:rPr>
            </w:pPr>
            <w:r>
              <w:rPr>
                <w:rFonts w:hint="eastAsia" w:ascii="宋体" w:hAnsi="宋体" w:cs="宋体"/>
                <w:i w:val="0"/>
                <w:iCs w:val="0"/>
                <w:color w:val="auto"/>
                <w:kern w:val="0"/>
                <w:sz w:val="18"/>
                <w:szCs w:val="18"/>
                <w:highlight w:val="none"/>
                <w:u w:val="none"/>
                <w:lang w:val="en-US" w:eastAsia="zh-CN" w:bidi="ar"/>
              </w:rPr>
              <w:t>6、轴距：3110mm，</w:t>
            </w:r>
          </w:p>
          <w:p>
            <w:pPr>
              <w:keepNext w:val="0"/>
              <w:keepLines w:val="0"/>
              <w:widowControl/>
              <w:suppressLineNumbers w:val="0"/>
              <w:jc w:val="left"/>
              <w:textAlignment w:val="center"/>
              <w:rPr>
                <w:rFonts w:hint="eastAsia" w:ascii="宋体" w:hAnsi="宋体" w:cs="宋体"/>
                <w:i w:val="0"/>
                <w:iCs w:val="0"/>
                <w:color w:val="auto"/>
                <w:kern w:val="0"/>
                <w:sz w:val="18"/>
                <w:szCs w:val="18"/>
                <w:highlight w:val="none"/>
                <w:u w:val="none"/>
                <w:lang w:val="en-US" w:eastAsia="zh-CN" w:bidi="ar"/>
              </w:rPr>
            </w:pPr>
            <w:r>
              <w:rPr>
                <w:rFonts w:hint="eastAsia" w:ascii="宋体" w:hAnsi="宋体" w:cs="宋体"/>
                <w:i w:val="0"/>
                <w:iCs w:val="0"/>
                <w:color w:val="auto"/>
                <w:kern w:val="0"/>
                <w:sz w:val="18"/>
                <w:szCs w:val="18"/>
                <w:highlight w:val="none"/>
                <w:u w:val="none"/>
                <w:lang w:val="en-US" w:eastAsia="zh-CN" w:bidi="ar"/>
              </w:rPr>
              <w:t>7、轮胎：245/70R16</w:t>
            </w:r>
          </w:p>
          <w:p>
            <w:pPr>
              <w:rPr>
                <w:rFonts w:hint="eastAsia" w:ascii="宋体" w:hAnsi="宋体" w:cs="宋体"/>
                <w:i w:val="0"/>
                <w:iCs w:val="0"/>
                <w:color w:val="auto"/>
                <w:kern w:val="0"/>
                <w:sz w:val="18"/>
                <w:szCs w:val="18"/>
                <w:highlight w:val="none"/>
                <w:u w:val="none"/>
                <w:lang w:val="en-US" w:eastAsia="zh-CN" w:bidi="ar"/>
              </w:rPr>
            </w:pPr>
            <w:r>
              <w:rPr>
                <w:rFonts w:hint="eastAsia" w:ascii="宋体" w:hAnsi="宋体" w:cs="宋体"/>
                <w:i w:val="0"/>
                <w:iCs w:val="0"/>
                <w:color w:val="auto"/>
                <w:kern w:val="0"/>
                <w:sz w:val="18"/>
                <w:szCs w:val="18"/>
                <w:highlight w:val="none"/>
                <w:u w:val="none"/>
                <w:lang w:val="en-US" w:eastAsia="zh-CN" w:bidi="ar"/>
              </w:rPr>
              <w:t>8、外形尺寸（mm）：长：5340，宽：1940，高：2090</w:t>
            </w:r>
          </w:p>
          <w:p>
            <w:pPr>
              <w:keepNext w:val="0"/>
              <w:keepLines w:val="0"/>
              <w:widowControl/>
              <w:suppressLineNumbers w:val="0"/>
              <w:jc w:val="left"/>
              <w:textAlignment w:val="center"/>
              <w:rPr>
                <w:rFonts w:hint="eastAsia" w:ascii="宋体" w:hAnsi="宋体" w:cs="宋体"/>
                <w:i w:val="0"/>
                <w:iCs w:val="0"/>
                <w:color w:val="auto"/>
                <w:kern w:val="0"/>
                <w:sz w:val="18"/>
                <w:szCs w:val="18"/>
                <w:highlight w:val="none"/>
                <w:u w:val="none"/>
                <w:lang w:val="en-US" w:eastAsia="zh-CN" w:bidi="ar"/>
              </w:rPr>
            </w:pPr>
            <w:r>
              <w:rPr>
                <w:rFonts w:hint="eastAsia" w:ascii="宋体" w:hAnsi="宋体" w:cs="宋体"/>
                <w:i w:val="0"/>
                <w:iCs w:val="0"/>
                <w:color w:val="auto"/>
                <w:kern w:val="0"/>
                <w:sz w:val="18"/>
                <w:szCs w:val="18"/>
                <w:highlight w:val="none"/>
                <w:u w:val="none"/>
                <w:lang w:val="en-US" w:eastAsia="zh-CN" w:bidi="ar"/>
              </w:rPr>
              <w:t>9、驾驶室：双排座驾驶室，座位设置2+3人，</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cs="宋体"/>
                <w:i w:val="0"/>
                <w:iCs w:val="0"/>
                <w:color w:val="auto"/>
                <w:kern w:val="0"/>
                <w:sz w:val="18"/>
                <w:szCs w:val="18"/>
                <w:highlight w:val="none"/>
                <w:u w:val="none"/>
                <w:lang w:val="en-US" w:eastAsia="zh-CN" w:bidi="ar"/>
              </w:rPr>
              <w:t>10、配置设备：一键启动，前排普通三点式安全带，后排中间两点式两边三点式安全带，刹车辅助，倒车雷达，发动机防盗，定速巡航</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辆</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322"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正压式空气呼吸器</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eastAsia="宋体" w:cs="宋体"/>
                <w:i w:val="0"/>
                <w:iCs w:val="0"/>
                <w:color w:val="auto"/>
                <w:kern w:val="0"/>
                <w:sz w:val="18"/>
                <w:szCs w:val="18"/>
                <w:u w:val="none"/>
                <w:lang w:val="en-US" w:eastAsia="zh-CN" w:bidi="ar"/>
              </w:rPr>
              <w:t>产品符合XF 124-2013《正压式消防空气呼吸器》标准；</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u w:val="none"/>
                <w:lang w:val="en-US" w:eastAsia="zh-CN" w:bidi="ar"/>
              </w:rPr>
              <w:t>背具、背具带、带扣、气瓶防护套、全面罩、导气管、供气阀以上配件的续燃时间均≤0s;整机气密性能：在气密性试验后压力表指示值在1min内的下降为0MPa；</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*3、佩戴质量≤15kg；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*4、动态呼吸阻力：气瓶压力在30MPa-2MPa呼吸量40*2.5L/min时；</w:t>
            </w:r>
          </w:p>
          <w:p>
            <w:pPr>
              <w:keepNext w:val="0"/>
              <w:keepLines w:val="0"/>
              <w:widowControl/>
              <w:numPr>
                <w:ilvl w:val="0"/>
                <w:numId w:val="43"/>
              </w:numPr>
              <w:suppressLineNumbers w:val="0"/>
              <w:ind w:left="180" w:leftChars="0" w:firstLine="0" w:firstLineChars="0"/>
              <w:jc w:val="left"/>
              <w:textAlignment w:val="center"/>
              <w:rPr>
                <w:rFonts w:hint="eastAsia" w:ascii="宋体" w:hAnsi="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吸气阻力≤450Pa；</w:t>
            </w:r>
            <w:r>
              <w:rPr>
                <w:rFonts w:hint="eastAsia" w:ascii="宋体" w:hAnsi="宋体" w:cs="宋体"/>
                <w:i w:val="0"/>
                <w:iCs w:val="0"/>
                <w:color w:val="auto"/>
                <w:kern w:val="0"/>
                <w:sz w:val="18"/>
                <w:szCs w:val="18"/>
                <w:u w:val="none"/>
                <w:lang w:val="en-US" w:eastAsia="zh-CN" w:bidi="ar"/>
              </w:rPr>
              <w:t xml:space="preserve">  </w:t>
            </w:r>
          </w:p>
          <w:p>
            <w:pPr>
              <w:keepNext w:val="0"/>
              <w:keepLines w:val="0"/>
              <w:widowControl/>
              <w:numPr>
                <w:ilvl w:val="0"/>
                <w:numId w:val="43"/>
              </w:numPr>
              <w:suppressLineNumbers w:val="0"/>
              <w:ind w:left="18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呼气阻力≤900Pa；</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5</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全面罩性能：（1）总视野保留率≥75%；（2）双目视野保留率≥ 65%；（3）下方视野≥ 35°；</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*6、机械压力表或电子压力表，外壳有橡胶防护套，黑暗条件下可读数，当从呼吸器上拆下压力表和连接管后，在20MPa压力下，压力表漏气量≤18L/min；</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7</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压力平视显示装置：HUD装置的开启和关闭可以通过气瓶阀的开启和关闭自动实现；显示装置气源指示灯≥3个，根据压力指示灯产生变化；防护等级：≥IP67；</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8</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供气阀与面罩可连接，面罩可去雾、除霜，面罩上设置传声装置，同时要求提供与甲方匹配的手持电台（包括但不限于海能达、摩托罗拉等）连接线；</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9</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头罩为凯夫拉材质或者同等材质；</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10</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气瓶阀开关侧置；</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11</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气瓶上有压力表；</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12</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气瓶保护罩按甲方要求印刷丝网印、单位名称；</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13</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颜色：藏蓝色；</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14</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碳纤维复合气瓶，容积9L，气瓶爆破压力≥102Mpa；瓶阀有防误关手轮；</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15</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配有快速充气装置：当相同公称容积的气瓶之间对充时，气瓶压力平衡时间≤1min；</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cs="宋体"/>
                <w:i w:val="0"/>
                <w:iCs w:val="0"/>
                <w:color w:val="auto"/>
                <w:kern w:val="0"/>
                <w:sz w:val="18"/>
                <w:szCs w:val="18"/>
                <w:lang w:val="en-US" w:eastAsia="zh-CN" w:bidi="ar"/>
              </w:rPr>
              <w:t>6</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远距离通话装置：在无障碍的情况下，通话距离≥1km；</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cs="宋体"/>
                <w:i w:val="0"/>
                <w:iCs w:val="0"/>
                <w:color w:val="auto"/>
                <w:kern w:val="0"/>
                <w:sz w:val="18"/>
                <w:szCs w:val="18"/>
                <w:lang w:val="en-US" w:eastAsia="zh-CN" w:bidi="ar"/>
              </w:rPr>
              <w:t>7</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配有他救接管及快速充气接管，正压式空气呼吸器/快速充气接管配比数量:5/1（按照支队级单位购置数量进行配比，配比后剩余正压式空气呼吸器不足5具的，须补配一根）；</w:t>
            </w:r>
          </w:p>
          <w:p>
            <w:pPr>
              <w:keepNext w:val="0"/>
              <w:keepLines w:val="0"/>
              <w:widowControl/>
              <w:numPr>
                <w:ilvl w:val="0"/>
                <w:numId w:val="0"/>
              </w:numPr>
              <w:suppressLineNumbers w:val="0"/>
              <w:ind w:leftChars="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18、具有永久性标志及产品数据标识；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8</w:t>
            </w:r>
            <w:r>
              <w:rPr>
                <w:rFonts w:hint="eastAsia" w:ascii="宋体" w:hAnsi="宋体" w:cs="宋体"/>
                <w:i w:val="0"/>
                <w:iCs w:val="0"/>
                <w:color w:val="auto"/>
                <w:kern w:val="0"/>
                <w:sz w:val="18"/>
                <w:szCs w:val="18"/>
                <w:u w:val="none"/>
                <w:lang w:val="en-US" w:eastAsia="zh-CN" w:bidi="ar"/>
              </w:rPr>
              <w:t>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826"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手持对讲机</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4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产品组成：由锂电池组、壳体、按键、显示屏及内部电路板、天线等组成；</w:t>
            </w:r>
          </w:p>
          <w:p>
            <w:pPr>
              <w:keepNext w:val="0"/>
              <w:keepLines w:val="0"/>
              <w:widowControl/>
              <w:numPr>
                <w:ilvl w:val="0"/>
                <w:numId w:val="4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工作频率为：350MHz—400 MHz</w:t>
            </w:r>
          </w:p>
          <w:p>
            <w:pPr>
              <w:keepNext w:val="0"/>
              <w:keepLines w:val="0"/>
              <w:widowControl/>
              <w:numPr>
                <w:ilvl w:val="0"/>
                <w:numId w:val="4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3、锂电池组容量：≥3000 mAh；</w:t>
            </w:r>
          </w:p>
          <w:p>
            <w:pPr>
              <w:keepNext w:val="0"/>
              <w:keepLines w:val="0"/>
              <w:widowControl/>
              <w:numPr>
                <w:ilvl w:val="0"/>
                <w:numId w:val="4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防护等级≥IP68；</w:t>
            </w:r>
          </w:p>
          <w:p>
            <w:pPr>
              <w:keepNext w:val="0"/>
              <w:keepLines w:val="0"/>
              <w:widowControl/>
              <w:numPr>
                <w:ilvl w:val="0"/>
                <w:numId w:val="4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发射功率≤3.5 W；</w:t>
            </w:r>
          </w:p>
          <w:p>
            <w:pPr>
              <w:keepNext w:val="0"/>
              <w:keepLines w:val="0"/>
              <w:widowControl/>
              <w:numPr>
                <w:ilvl w:val="0"/>
                <w:numId w:val="4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误码率≤5%，重量≤400g;屏幕尺寸≥1.8In；信道容量≥1024个</w:t>
            </w:r>
          </w:p>
          <w:p>
            <w:pPr>
              <w:keepNext w:val="0"/>
              <w:keepLines w:val="0"/>
              <w:widowControl/>
              <w:numPr>
                <w:ilvl w:val="0"/>
                <w:numId w:val="4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带键盘、紧急报警按键，LCD彩色显示屏。支持数字集群、数字常规、模拟集群、模拟常规，DMR协议,AMBE++、NVOC声码器，带漫游和降噪功能。</w:t>
            </w:r>
          </w:p>
          <w:p>
            <w:pPr>
              <w:keepNext w:val="0"/>
              <w:keepLines w:val="0"/>
              <w:widowControl/>
              <w:numPr>
                <w:ilvl w:val="0"/>
                <w:numId w:val="4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配防爆锂电池1块，配套充电器、皮带夹、背夹、充电头；提供骨传导、喉部发生器、肩咪等多种外接设备接口。</w:t>
            </w:r>
          </w:p>
          <w:p>
            <w:pPr>
              <w:keepNext w:val="0"/>
              <w:keepLines w:val="0"/>
              <w:widowControl/>
              <w:numPr>
                <w:ilvl w:val="0"/>
                <w:numId w:val="4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具有永久性标志及产品数据标识；</w:t>
            </w:r>
          </w:p>
          <w:p>
            <w:pPr>
              <w:keepNext w:val="0"/>
              <w:keepLines w:val="0"/>
              <w:widowControl/>
              <w:numPr>
                <w:ilvl w:val="0"/>
                <w:numId w:val="4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整机具有第三方出具的防爆合格证和防护等级报告。</w:t>
            </w:r>
          </w:p>
          <w:p>
            <w:pPr>
              <w:keepNext w:val="0"/>
              <w:keepLines w:val="0"/>
              <w:widowControl/>
              <w:numPr>
                <w:ilvl w:val="0"/>
                <w:numId w:val="0"/>
              </w:numPr>
              <w:suppressLineNumbers w:val="0"/>
              <w:ind w:leftChars="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11、具有《无线电发射设备型号核准证》。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7</w:t>
            </w:r>
            <w:r>
              <w:rPr>
                <w:rFonts w:hint="eastAsia" w:ascii="宋体" w:hAnsi="宋体" w:cs="宋体"/>
                <w:i w:val="0"/>
                <w:iCs w:val="0"/>
                <w:color w:val="auto"/>
                <w:kern w:val="0"/>
                <w:sz w:val="18"/>
                <w:szCs w:val="18"/>
                <w:u w:val="none"/>
                <w:lang w:val="en-US" w:eastAsia="zh-CN" w:bidi="ar"/>
              </w:rPr>
              <w:t>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FF0000"/>
                <w:kern w:val="0"/>
                <w:sz w:val="18"/>
                <w:szCs w:val="18"/>
                <w:u w:val="none"/>
                <w:lang w:val="en-US" w:eastAsia="zh-CN" w:bidi="ar"/>
              </w:rPr>
              <w:t>该项参数中要求的：第11项，投标时潜在供应商可不提供该项《无线电发射设备型号核准证》，若中标后，供货时必须提供该项要求，若不提供视为放弃中标资格还应承担相应的违约责任。</w:t>
            </w: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直流水枪</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45"/>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符合GB8181-2005《消防水枪》标准要求； </w:t>
            </w:r>
          </w:p>
          <w:p>
            <w:pPr>
              <w:keepNext w:val="0"/>
              <w:keepLines w:val="0"/>
              <w:widowControl/>
              <w:numPr>
                <w:ilvl w:val="0"/>
                <w:numId w:val="4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材质：铝合金；</w:t>
            </w:r>
          </w:p>
          <w:p>
            <w:pPr>
              <w:keepNext w:val="0"/>
              <w:keepLines w:val="0"/>
              <w:widowControl/>
              <w:numPr>
                <w:ilvl w:val="0"/>
                <w:numId w:val="4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进水口口径65mm；（1）射程≥28m；（2）最大流量≥7L/s；（3）质量≤2Kg； </w:t>
            </w:r>
          </w:p>
          <w:p>
            <w:pPr>
              <w:keepNext w:val="0"/>
              <w:keepLines w:val="0"/>
              <w:widowControl/>
              <w:numPr>
                <w:ilvl w:val="0"/>
                <w:numId w:val="4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操作力矩≤8N.m；</w:t>
            </w:r>
          </w:p>
          <w:p>
            <w:pPr>
              <w:keepNext w:val="0"/>
              <w:keepLines w:val="0"/>
              <w:widowControl/>
              <w:numPr>
                <w:ilvl w:val="0"/>
                <w:numId w:val="4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卡口形式：卡式  </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多功能水枪</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46"/>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符合GB 8181-2005《消防水枪》标准；</w:t>
            </w:r>
          </w:p>
          <w:p>
            <w:pPr>
              <w:keepNext w:val="0"/>
              <w:keepLines w:val="0"/>
              <w:widowControl/>
              <w:numPr>
                <w:ilvl w:val="0"/>
                <w:numId w:val="4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枪体为铝合金或同等质量以上材料，枪身及把手等位置具备阻燃、耐磨、无后坐力等功能；</w:t>
            </w:r>
          </w:p>
          <w:p>
            <w:pPr>
              <w:keepNext w:val="0"/>
              <w:keepLines w:val="0"/>
              <w:widowControl/>
              <w:numPr>
                <w:ilvl w:val="0"/>
                <w:numId w:val="4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具有直流、开花、喷雾等多种功能；</w:t>
            </w:r>
          </w:p>
          <w:p>
            <w:pPr>
              <w:keepNext w:val="0"/>
              <w:keepLines w:val="0"/>
              <w:widowControl/>
              <w:numPr>
                <w:ilvl w:val="0"/>
                <w:numId w:val="47"/>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操作力矩≤8N.m；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5、</w:t>
            </w:r>
            <w:r>
              <w:rPr>
                <w:rFonts w:hint="eastAsia" w:ascii="宋体" w:hAnsi="宋体" w:eastAsia="宋体" w:cs="宋体"/>
                <w:i w:val="0"/>
                <w:iCs w:val="0"/>
                <w:color w:val="auto"/>
                <w:kern w:val="0"/>
                <w:sz w:val="18"/>
                <w:szCs w:val="18"/>
                <w:u w:val="none"/>
                <w:lang w:val="en-US" w:eastAsia="zh-CN" w:bidi="ar"/>
              </w:rPr>
              <w:t>进水口直径：65mm；（1）质量≤2Kg；（2）档位≥4个；（3）射程≥32m；*（4）最大流量≥8L/s；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1710"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水带（65）</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48"/>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水带口径：65mm±2.00mm；</w:t>
            </w:r>
          </w:p>
          <w:p>
            <w:pPr>
              <w:keepNext w:val="0"/>
              <w:keepLines w:val="0"/>
              <w:widowControl/>
              <w:numPr>
                <w:ilvl w:val="0"/>
                <w:numId w:val="4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工作压力：≥2.5MPa，爆破压力≥7.50MPa；</w:t>
            </w:r>
          </w:p>
          <w:p>
            <w:pPr>
              <w:keepNext w:val="0"/>
              <w:keepLines w:val="0"/>
              <w:widowControl/>
              <w:numPr>
                <w:ilvl w:val="0"/>
                <w:numId w:val="4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水带编织层与衬里之间的附着强度≥20N/25mm；</w:t>
            </w:r>
          </w:p>
          <w:p>
            <w:pPr>
              <w:keepNext w:val="0"/>
              <w:keepLines w:val="0"/>
              <w:widowControl/>
              <w:numPr>
                <w:ilvl w:val="0"/>
                <w:numId w:val="4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轴向延伸率≤8%；</w:t>
            </w:r>
          </w:p>
          <w:p>
            <w:pPr>
              <w:keepNext w:val="0"/>
              <w:keepLines w:val="0"/>
              <w:widowControl/>
              <w:numPr>
                <w:ilvl w:val="0"/>
                <w:numId w:val="4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直径膨胀率≤8%；</w:t>
            </w:r>
          </w:p>
          <w:p>
            <w:pPr>
              <w:keepNext w:val="0"/>
              <w:keepLines w:val="0"/>
              <w:widowControl/>
              <w:numPr>
                <w:ilvl w:val="0"/>
                <w:numId w:val="4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扯断伸长率≤280%；</w:t>
            </w:r>
          </w:p>
          <w:p>
            <w:pPr>
              <w:keepNext w:val="0"/>
              <w:keepLines w:val="0"/>
              <w:widowControl/>
              <w:numPr>
                <w:ilvl w:val="0"/>
                <w:numId w:val="4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水带带有配套的KD65卡口式接口，采用铁丝绑扎≥4道*2道，并带有水带护套；</w:t>
            </w:r>
          </w:p>
          <w:p>
            <w:pPr>
              <w:keepNext w:val="0"/>
              <w:keepLines w:val="0"/>
              <w:widowControl/>
              <w:numPr>
                <w:ilvl w:val="0"/>
                <w:numId w:val="4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单位长度质量：≤407g/m~420g/m；</w:t>
            </w:r>
          </w:p>
          <w:p>
            <w:pPr>
              <w:keepNext w:val="0"/>
              <w:keepLines w:val="0"/>
              <w:widowControl/>
              <w:numPr>
                <w:ilvl w:val="0"/>
                <w:numId w:val="4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水带护套长度≥20cm；</w:t>
            </w:r>
          </w:p>
          <w:p>
            <w:pPr>
              <w:keepNext w:val="0"/>
              <w:keepLines w:val="0"/>
              <w:widowControl/>
              <w:numPr>
                <w:ilvl w:val="0"/>
                <w:numId w:val="4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水带长度20m±0.5m；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11、应符合GB6246-2011《消防水带》标准要求；</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20</w:t>
            </w:r>
            <w:r>
              <w:rPr>
                <w:rFonts w:hint="eastAsia" w:ascii="宋体" w:hAnsi="宋体" w:cs="宋体"/>
                <w:i w:val="0"/>
                <w:iCs w:val="0"/>
                <w:color w:val="auto"/>
                <w:kern w:val="0"/>
                <w:sz w:val="18"/>
                <w:szCs w:val="18"/>
                <w:u w:val="none"/>
                <w:lang w:val="en-US" w:eastAsia="zh-CN" w:bidi="ar"/>
              </w:rPr>
              <w:t>盘</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水带（80）</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49"/>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 GB6246-2011《消防水带》标准；长度20m；</w:t>
            </w:r>
          </w:p>
          <w:p>
            <w:pPr>
              <w:keepNext w:val="0"/>
              <w:keepLines w:val="0"/>
              <w:widowControl/>
              <w:numPr>
                <w:ilvl w:val="0"/>
                <w:numId w:val="4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聚氨脂材料制成；水带接口：卡扣式或内扣式可选；接口材质：铝合金</w:t>
            </w:r>
          </w:p>
          <w:p>
            <w:pPr>
              <w:keepNext w:val="0"/>
              <w:keepLines w:val="0"/>
              <w:widowControl/>
              <w:numPr>
                <w:ilvl w:val="0"/>
                <w:numId w:val="4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设计工作压力2.5Mpa，爆破压力≥7.5Mpa；</w:t>
            </w:r>
          </w:p>
          <w:p>
            <w:pPr>
              <w:keepNext w:val="0"/>
              <w:keepLines w:val="0"/>
              <w:widowControl/>
              <w:numPr>
                <w:ilvl w:val="0"/>
                <w:numId w:val="4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内径51mm（公差0至﹢2mm）</w:t>
            </w:r>
          </w:p>
          <w:p>
            <w:pPr>
              <w:keepNext w:val="0"/>
              <w:keepLines w:val="0"/>
              <w:widowControl/>
              <w:numPr>
                <w:ilvl w:val="0"/>
                <w:numId w:val="4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5、水带编织层与衬里之间的附着强度≥48N/25mm；</w:t>
            </w:r>
          </w:p>
          <w:p>
            <w:pPr>
              <w:keepNext w:val="0"/>
              <w:keepLines w:val="0"/>
              <w:widowControl/>
              <w:numPr>
                <w:ilvl w:val="0"/>
                <w:numId w:val="4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轴向延伸率≤6%；</w:t>
            </w:r>
          </w:p>
          <w:p>
            <w:pPr>
              <w:keepNext w:val="0"/>
              <w:keepLines w:val="0"/>
              <w:widowControl/>
              <w:numPr>
                <w:ilvl w:val="0"/>
                <w:numId w:val="4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直径膨胀率≤5%；</w:t>
            </w:r>
          </w:p>
          <w:p>
            <w:pPr>
              <w:keepNext w:val="0"/>
              <w:keepLines w:val="0"/>
              <w:widowControl/>
              <w:numPr>
                <w:ilvl w:val="0"/>
                <w:numId w:val="4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可提供水带颜色白，红，黄，蓝，绿，橙，浅蓝；</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10</w:t>
            </w:r>
            <w:r>
              <w:rPr>
                <w:rFonts w:hint="eastAsia" w:ascii="宋体" w:hAnsi="宋体" w:cs="宋体"/>
                <w:i w:val="0"/>
                <w:iCs w:val="0"/>
                <w:color w:val="auto"/>
                <w:kern w:val="0"/>
                <w:sz w:val="18"/>
                <w:szCs w:val="18"/>
                <w:u w:val="none"/>
                <w:lang w:val="en-US" w:eastAsia="zh-CN" w:bidi="ar"/>
              </w:rPr>
              <w:t>盘</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水带挂钩</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50"/>
              </w:numPr>
              <w:suppressLineNumbers w:val="0"/>
              <w:jc w:val="left"/>
              <w:textAlignment w:val="center"/>
              <w:rPr>
                <w:rStyle w:val="21"/>
                <w:rFonts w:hint="eastAsia" w:ascii="宋体" w:hAnsi="宋体" w:eastAsia="宋体" w:cs="宋体"/>
                <w:color w:val="auto"/>
                <w:sz w:val="18"/>
                <w:szCs w:val="18"/>
                <w:lang w:val="en-US" w:eastAsia="zh-CN" w:bidi="ar"/>
              </w:rPr>
            </w:pPr>
            <w:r>
              <w:rPr>
                <w:rStyle w:val="21"/>
                <w:rFonts w:hint="eastAsia" w:ascii="宋体" w:hAnsi="宋体" w:eastAsia="宋体" w:cs="宋体"/>
                <w:color w:val="auto"/>
                <w:sz w:val="18"/>
                <w:szCs w:val="18"/>
                <w:lang w:val="en-US" w:eastAsia="zh-CN" w:bidi="ar"/>
              </w:rPr>
              <w:t>将水带挂在梯子或其它物体上；</w:t>
            </w:r>
          </w:p>
          <w:p>
            <w:pPr>
              <w:keepNext w:val="0"/>
              <w:keepLines w:val="0"/>
              <w:widowControl/>
              <w:numPr>
                <w:ilvl w:val="0"/>
                <w:numId w:val="50"/>
              </w:numPr>
              <w:suppressLineNumbers w:val="0"/>
              <w:ind w:left="0" w:leftChars="0" w:firstLine="0" w:firstLineChars="0"/>
              <w:jc w:val="left"/>
              <w:textAlignment w:val="center"/>
              <w:rPr>
                <w:rStyle w:val="21"/>
                <w:rFonts w:hint="eastAsia" w:ascii="宋体" w:hAnsi="宋体" w:eastAsia="宋体" w:cs="宋体"/>
                <w:color w:val="auto"/>
                <w:sz w:val="18"/>
                <w:szCs w:val="18"/>
                <w:lang w:val="en-US" w:eastAsia="zh-CN" w:bidi="ar"/>
              </w:rPr>
            </w:pPr>
            <w:r>
              <w:rPr>
                <w:rStyle w:val="21"/>
                <w:rFonts w:hint="eastAsia" w:ascii="宋体" w:hAnsi="宋体" w:eastAsia="宋体" w:cs="宋体"/>
                <w:color w:val="auto"/>
                <w:sz w:val="18"/>
                <w:szCs w:val="18"/>
                <w:lang w:val="en-US" w:eastAsia="zh-CN" w:bidi="ar"/>
              </w:rPr>
              <w:t>铁件为铸钢,带料为高强尼龙织制；</w:t>
            </w:r>
          </w:p>
          <w:p>
            <w:pPr>
              <w:keepNext w:val="0"/>
              <w:keepLines w:val="0"/>
              <w:widowControl/>
              <w:numPr>
                <w:ilvl w:val="0"/>
                <w:numId w:val="50"/>
              </w:numPr>
              <w:suppressLineNumbers w:val="0"/>
              <w:ind w:left="0" w:leftChars="0" w:firstLine="0" w:firstLineChars="0"/>
              <w:jc w:val="left"/>
              <w:textAlignment w:val="center"/>
              <w:rPr>
                <w:rStyle w:val="21"/>
                <w:rFonts w:hint="eastAsia" w:ascii="宋体" w:hAnsi="宋体" w:eastAsia="宋体" w:cs="宋体"/>
                <w:color w:val="auto"/>
                <w:sz w:val="18"/>
                <w:szCs w:val="18"/>
                <w:lang w:val="en-US" w:eastAsia="zh-CN" w:bidi="ar"/>
              </w:rPr>
            </w:pPr>
            <w:r>
              <w:rPr>
                <w:rStyle w:val="21"/>
                <w:rFonts w:hint="eastAsia" w:ascii="宋体" w:hAnsi="宋体" w:eastAsia="宋体" w:cs="宋体"/>
                <w:color w:val="auto"/>
                <w:sz w:val="18"/>
                <w:szCs w:val="18"/>
                <w:lang w:val="en-US" w:eastAsia="zh-CN" w:bidi="ar"/>
              </w:rPr>
              <w:t>工作长≥500mm,</w:t>
            </w:r>
          </w:p>
          <w:p>
            <w:pPr>
              <w:keepNext w:val="0"/>
              <w:keepLines w:val="0"/>
              <w:widowControl/>
              <w:numPr>
                <w:ilvl w:val="0"/>
                <w:numId w:val="50"/>
              </w:numPr>
              <w:suppressLineNumbers w:val="0"/>
              <w:ind w:left="0" w:leftChars="0" w:firstLine="0" w:firstLineChars="0"/>
              <w:jc w:val="left"/>
              <w:textAlignment w:val="center"/>
              <w:rPr>
                <w:rStyle w:val="21"/>
                <w:rFonts w:hint="eastAsia" w:ascii="宋体" w:hAnsi="宋体" w:eastAsia="宋体" w:cs="宋体"/>
                <w:color w:val="auto"/>
                <w:sz w:val="18"/>
                <w:szCs w:val="18"/>
                <w:lang w:val="en-US" w:eastAsia="zh-CN" w:bidi="ar"/>
              </w:rPr>
            </w:pPr>
            <w:r>
              <w:rPr>
                <w:rStyle w:val="21"/>
                <w:rFonts w:hint="eastAsia" w:ascii="宋体" w:hAnsi="宋体" w:eastAsia="宋体" w:cs="宋体"/>
                <w:color w:val="auto"/>
                <w:sz w:val="18"/>
                <w:szCs w:val="18"/>
                <w:lang w:val="en-US" w:eastAsia="zh-CN" w:bidi="ar"/>
              </w:rPr>
              <w:t>带宽≥30mm；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Style w:val="21"/>
                <w:rFonts w:hint="eastAsia" w:ascii="宋体" w:hAnsi="宋体" w:eastAsia="宋体" w:cs="宋体"/>
                <w:color w:val="auto"/>
                <w:sz w:val="18"/>
                <w:szCs w:val="18"/>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6</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水带包布</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5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用于包裹消防水带破漏处，由帆布带和金属夹钳等零件组成。</w:t>
            </w:r>
          </w:p>
          <w:p>
            <w:pPr>
              <w:keepNext w:val="0"/>
              <w:keepLines w:val="0"/>
              <w:widowControl/>
              <w:numPr>
                <w:ilvl w:val="0"/>
                <w:numId w:val="5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铁件为铸钢,带料为高强尼龙织制</w:t>
            </w:r>
          </w:p>
          <w:p>
            <w:pPr>
              <w:keepNext w:val="0"/>
              <w:keepLines w:val="0"/>
              <w:widowControl/>
              <w:numPr>
                <w:ilvl w:val="0"/>
                <w:numId w:val="5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3、工作长≥480mm,</w:t>
            </w:r>
          </w:p>
          <w:p>
            <w:pPr>
              <w:keepNext w:val="0"/>
              <w:keepLines w:val="0"/>
              <w:widowControl/>
              <w:numPr>
                <w:ilvl w:val="0"/>
                <w:numId w:val="51"/>
              </w:numPr>
              <w:suppressLineNumbers w:val="0"/>
              <w:ind w:left="0" w:leftChars="0" w:firstLine="0" w:firstLineChars="0"/>
              <w:jc w:val="left"/>
              <w:textAlignment w:val="center"/>
              <w:rPr>
                <w:rFonts w:hint="eastAsia" w:ascii="宋体" w:hAnsi="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带宽≥80 mm</w:t>
            </w:r>
            <w:r>
              <w:rPr>
                <w:rFonts w:hint="eastAsia" w:ascii="宋体" w:hAnsi="宋体" w:cs="宋体"/>
                <w:i w:val="0"/>
                <w:iCs w:val="0"/>
                <w:color w:val="auto"/>
                <w:kern w:val="0"/>
                <w:sz w:val="18"/>
                <w:szCs w:val="18"/>
                <w:u w:val="none"/>
                <w:lang w:val="en-US" w:eastAsia="zh-CN" w:bidi="ar"/>
              </w:rPr>
              <w:t>，</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水带护桥</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5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用于保护水带不受挤压；</w:t>
            </w:r>
          </w:p>
          <w:p>
            <w:pPr>
              <w:keepNext w:val="0"/>
              <w:keepLines w:val="0"/>
              <w:widowControl/>
              <w:numPr>
                <w:ilvl w:val="0"/>
                <w:numId w:val="5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采用橡胶材质</w:t>
            </w:r>
          </w:p>
          <w:p>
            <w:pPr>
              <w:keepNext w:val="0"/>
              <w:keepLines w:val="0"/>
              <w:widowControl/>
              <w:numPr>
                <w:ilvl w:val="0"/>
                <w:numId w:val="5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长≥830mm，宽≥570mm，高≥75mm，</w:t>
            </w:r>
          </w:p>
          <w:p>
            <w:pPr>
              <w:keepNext w:val="0"/>
              <w:keepLines w:val="0"/>
              <w:widowControl/>
              <w:numPr>
                <w:ilvl w:val="0"/>
                <w:numId w:val="5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重量≤20Kg，</w:t>
            </w:r>
          </w:p>
          <w:p>
            <w:pPr>
              <w:keepNext w:val="0"/>
              <w:keepLines w:val="0"/>
              <w:widowControl/>
              <w:numPr>
                <w:ilvl w:val="0"/>
                <w:numId w:val="5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5、能承受≥50T，</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组</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集水器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53"/>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工作压力：≥1.6MPa；</w:t>
            </w:r>
          </w:p>
          <w:p>
            <w:pPr>
              <w:keepNext w:val="0"/>
              <w:keepLines w:val="0"/>
              <w:widowControl/>
              <w:numPr>
                <w:ilvl w:val="0"/>
                <w:numId w:val="5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进水口径：80mm±2mm；</w:t>
            </w:r>
          </w:p>
          <w:p>
            <w:pPr>
              <w:keepNext w:val="0"/>
              <w:keepLines w:val="0"/>
              <w:widowControl/>
              <w:numPr>
                <w:ilvl w:val="0"/>
                <w:numId w:val="5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出水口径：3*65mm±2mm；</w:t>
            </w:r>
          </w:p>
          <w:p>
            <w:pPr>
              <w:keepNext w:val="0"/>
              <w:keepLines w:val="0"/>
              <w:widowControl/>
              <w:numPr>
                <w:ilvl w:val="0"/>
                <w:numId w:val="5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重量：≤6.5kg；</w:t>
            </w:r>
          </w:p>
          <w:p>
            <w:pPr>
              <w:keepNext w:val="0"/>
              <w:keepLines w:val="0"/>
              <w:widowControl/>
              <w:numPr>
                <w:ilvl w:val="0"/>
                <w:numId w:val="5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5、符合分水器和集水器 XF868-2010标准；</w:t>
            </w:r>
          </w:p>
          <w:p>
            <w:pPr>
              <w:keepNext w:val="0"/>
              <w:keepLines w:val="0"/>
              <w:widowControl/>
              <w:numPr>
                <w:ilvl w:val="0"/>
                <w:numId w:val="5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配备快开式把手开关；</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异径接口</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5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密封性能：水带接口在0.3MPa~4.0MPa时无渗漏现象；</w:t>
            </w:r>
          </w:p>
          <w:p>
            <w:pPr>
              <w:keepNext w:val="0"/>
              <w:keepLines w:val="0"/>
              <w:widowControl/>
              <w:numPr>
                <w:ilvl w:val="0"/>
                <w:numId w:val="5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耐压性能：水带接口在≥2.4MPa时无断裂或变形现象；</w:t>
            </w:r>
          </w:p>
          <w:p>
            <w:pPr>
              <w:keepNext w:val="0"/>
              <w:keepLines w:val="0"/>
              <w:widowControl/>
              <w:numPr>
                <w:ilvl w:val="0"/>
                <w:numId w:val="5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接口公称通径：65mm雄卡/80mm雌卡和65mm雌卡/80mm雄卡；</w:t>
            </w:r>
          </w:p>
          <w:p>
            <w:pPr>
              <w:keepNext w:val="0"/>
              <w:keepLines w:val="0"/>
              <w:widowControl/>
              <w:numPr>
                <w:ilvl w:val="0"/>
                <w:numId w:val="5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弹簧疲劳寿命：≥10000次；</w:t>
            </w:r>
          </w:p>
          <w:p>
            <w:pPr>
              <w:keepNext w:val="0"/>
              <w:keepLines w:val="0"/>
              <w:widowControl/>
              <w:numPr>
                <w:ilvl w:val="0"/>
                <w:numId w:val="5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适用介质：水、水和泡沫混合液；</w:t>
            </w:r>
          </w:p>
          <w:p>
            <w:pPr>
              <w:keepNext w:val="0"/>
              <w:keepLines w:val="0"/>
              <w:widowControl/>
              <w:numPr>
                <w:ilvl w:val="0"/>
                <w:numId w:val="5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跌落性能：接口从≥1.5m高处自由落下≥5次，均无损坏并能正常操作使用。</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346"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异型接口</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55"/>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密封性能：水带接口在0.3MPa~4.0MPa时无渗漏现象；</w:t>
            </w:r>
          </w:p>
          <w:p>
            <w:pPr>
              <w:keepNext w:val="0"/>
              <w:keepLines w:val="0"/>
              <w:widowControl/>
              <w:numPr>
                <w:ilvl w:val="0"/>
                <w:numId w:val="5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耐压性能：水带接口在≥2.4MPa时无断裂或变形现象；</w:t>
            </w:r>
          </w:p>
          <w:p>
            <w:pPr>
              <w:keepNext w:val="0"/>
              <w:keepLines w:val="0"/>
              <w:widowControl/>
              <w:numPr>
                <w:ilvl w:val="0"/>
                <w:numId w:val="5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弹簧疲劳寿命：≥10000次；</w:t>
            </w:r>
          </w:p>
          <w:p>
            <w:pPr>
              <w:keepNext w:val="0"/>
              <w:keepLines w:val="0"/>
              <w:widowControl/>
              <w:numPr>
                <w:ilvl w:val="0"/>
                <w:numId w:val="5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适用介质：水、水和泡沫混合液；</w:t>
            </w:r>
          </w:p>
          <w:p>
            <w:pPr>
              <w:keepNext w:val="0"/>
              <w:keepLines w:val="0"/>
              <w:widowControl/>
              <w:numPr>
                <w:ilvl w:val="0"/>
                <w:numId w:val="5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跌落性能：接口从≥1.5m高处自由落下≥5次，均无损坏并能正常操作使用；</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手抬机动泵</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eastAsia="宋体" w:cs="宋体"/>
                <w:i w:val="0"/>
                <w:iCs w:val="0"/>
                <w:color w:val="auto"/>
                <w:kern w:val="0"/>
                <w:sz w:val="18"/>
                <w:szCs w:val="18"/>
                <w:u w:val="none"/>
                <w:lang w:val="en-US" w:eastAsia="zh-CN" w:bidi="ar"/>
              </w:rPr>
              <w:t>符合消防泵 GB6245-2006标准；</w:t>
            </w:r>
          </w:p>
          <w:p>
            <w:pPr>
              <w:keepNext w:val="0"/>
              <w:keepLines w:val="0"/>
              <w:widowControl/>
              <w:numPr>
                <w:ilvl w:val="0"/>
                <w:numId w:val="0"/>
              </w:numPr>
              <w:suppressLineNumbers w:val="0"/>
              <w:ind w:left="0" w:leftChars="0" w:firstLine="0" w:firstLineChars="0"/>
              <w:jc w:val="left"/>
              <w:textAlignment w:val="center"/>
              <w:rPr>
                <w:rFonts w:hint="eastAsia" w:ascii="宋体" w:hAnsi="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2、</w:t>
            </w:r>
            <w:r>
              <w:rPr>
                <w:rFonts w:hint="eastAsia" w:ascii="宋体" w:hAnsi="宋体" w:cs="宋体"/>
                <w:i w:val="0"/>
                <w:iCs w:val="0"/>
                <w:color w:val="auto"/>
                <w:kern w:val="0"/>
                <w:sz w:val="18"/>
                <w:szCs w:val="18"/>
                <w:u w:val="none"/>
                <w:lang w:val="en-US" w:eastAsia="zh-CN" w:bidi="ar"/>
              </w:rPr>
              <w:t>重量</w:t>
            </w: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58kg，</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3、</w:t>
            </w:r>
            <w:r>
              <w:rPr>
                <w:rFonts w:hint="eastAsia" w:ascii="宋体" w:hAnsi="宋体" w:eastAsia="宋体" w:cs="宋体"/>
                <w:i w:val="0"/>
                <w:iCs w:val="0"/>
                <w:color w:val="auto"/>
                <w:kern w:val="0"/>
                <w:sz w:val="18"/>
                <w:szCs w:val="18"/>
                <w:u w:val="none"/>
                <w:lang w:val="en-US" w:eastAsia="zh-CN" w:bidi="ar"/>
              </w:rPr>
              <w:t>额定流量：≥1200L/min；</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4、</w:t>
            </w:r>
            <w:r>
              <w:rPr>
                <w:rFonts w:hint="eastAsia" w:ascii="宋体" w:hAnsi="宋体" w:eastAsia="宋体" w:cs="宋体"/>
                <w:i w:val="0"/>
                <w:iCs w:val="0"/>
                <w:color w:val="auto"/>
                <w:kern w:val="0"/>
                <w:sz w:val="18"/>
                <w:szCs w:val="18"/>
                <w:u w:val="none"/>
                <w:lang w:val="en-US" w:eastAsia="zh-CN" w:bidi="ar"/>
              </w:rPr>
              <w:t>扬程：≥55m；</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5、</w:t>
            </w:r>
            <w:r>
              <w:rPr>
                <w:rFonts w:hint="eastAsia" w:ascii="宋体" w:hAnsi="宋体" w:eastAsia="宋体" w:cs="宋体"/>
                <w:i w:val="0"/>
                <w:iCs w:val="0"/>
                <w:color w:val="auto"/>
                <w:kern w:val="0"/>
                <w:sz w:val="18"/>
                <w:szCs w:val="18"/>
                <w:u w:val="none"/>
                <w:lang w:val="en-US" w:eastAsia="zh-CN" w:bidi="ar"/>
              </w:rPr>
              <w:t>额定压力：≥0.55MPa；</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6、</w:t>
            </w:r>
            <w:r>
              <w:rPr>
                <w:rFonts w:hint="eastAsia" w:ascii="宋体" w:hAnsi="宋体" w:eastAsia="宋体" w:cs="宋体"/>
                <w:i w:val="0"/>
                <w:iCs w:val="0"/>
                <w:color w:val="auto"/>
                <w:kern w:val="0"/>
                <w:sz w:val="18"/>
                <w:szCs w:val="18"/>
                <w:u w:val="none"/>
                <w:lang w:val="en-US" w:eastAsia="zh-CN" w:bidi="ar"/>
              </w:rPr>
              <w:t>进水管口径：65mm（±0.1mm）；</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7、</w:t>
            </w:r>
            <w:r>
              <w:rPr>
                <w:rFonts w:hint="eastAsia" w:ascii="宋体" w:hAnsi="宋体" w:eastAsia="宋体" w:cs="宋体"/>
                <w:i w:val="0"/>
                <w:iCs w:val="0"/>
                <w:color w:val="auto"/>
                <w:kern w:val="0"/>
                <w:sz w:val="18"/>
                <w:szCs w:val="18"/>
                <w:u w:val="none"/>
                <w:lang w:val="en-US" w:eastAsia="zh-CN" w:bidi="ar"/>
              </w:rPr>
              <w:t>出水管口径：65mm（±0.1mm）；</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8、</w:t>
            </w:r>
            <w:r>
              <w:rPr>
                <w:rFonts w:hint="eastAsia" w:ascii="宋体" w:hAnsi="宋体" w:eastAsia="宋体" w:cs="宋体"/>
                <w:i w:val="0"/>
                <w:iCs w:val="0"/>
                <w:color w:val="auto"/>
                <w:kern w:val="0"/>
                <w:sz w:val="18"/>
                <w:szCs w:val="18"/>
                <w:u w:val="none"/>
                <w:lang w:val="en-US" w:eastAsia="zh-CN" w:bidi="ar"/>
              </w:rPr>
              <w:t>水枪口径：19mm（±0.1mm）；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★9、最大吸水深度：≥7m；</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10</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引水时间：≤20s；</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11</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启动方式：手/电启动；</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油箱容量：≥18L；</w:t>
            </w:r>
          </w:p>
          <w:p>
            <w:pPr>
              <w:keepNext w:val="0"/>
              <w:keepLines w:val="0"/>
              <w:widowControl/>
              <w:numPr>
                <w:ilvl w:val="0"/>
                <w:numId w:val="0"/>
              </w:numPr>
              <w:suppressLineNumbers w:val="0"/>
              <w:ind w:leftChars="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集水器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1.集水器</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2.防回流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吸水管</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1.吸水管</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8</w:t>
            </w:r>
            <w:r>
              <w:rPr>
                <w:rFonts w:hint="eastAsia" w:ascii="宋体" w:hAnsi="宋体" w:cs="宋体"/>
                <w:i w:val="0"/>
                <w:iCs w:val="0"/>
                <w:color w:val="auto"/>
                <w:kern w:val="0"/>
                <w:sz w:val="18"/>
                <w:szCs w:val="18"/>
                <w:u w:val="none"/>
                <w:lang w:val="en-US" w:eastAsia="zh-CN" w:bidi="ar"/>
              </w:rPr>
              <w:t>m</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吸水管扳手</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1.吸水管扳手</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消火栓扳手</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1.消火栓扳手</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多功能挠钩</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56"/>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消防剪≥1件：对灾害现场电线，树枝，连接线进行剪切；</w:t>
            </w:r>
          </w:p>
          <w:p>
            <w:pPr>
              <w:keepNext w:val="0"/>
              <w:keepLines w:val="0"/>
              <w:widowControl/>
              <w:numPr>
                <w:ilvl w:val="0"/>
                <w:numId w:val="5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撑顶器（Y头叉）≥1件：用于易坍塌的危险场所的临时支撑，列如门框，窗户和其他构件的支撑；</w:t>
            </w:r>
          </w:p>
          <w:p>
            <w:pPr>
              <w:keepNext w:val="0"/>
              <w:keepLines w:val="0"/>
              <w:widowControl/>
              <w:numPr>
                <w:ilvl w:val="0"/>
                <w:numId w:val="5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爪耙≥1件：用于现场倒塌物，有毒物质的清理及灾后南垃圾的清理；</w:t>
            </w:r>
          </w:p>
          <w:p>
            <w:pPr>
              <w:keepNext w:val="0"/>
              <w:keepLines w:val="0"/>
              <w:widowControl/>
              <w:numPr>
                <w:ilvl w:val="0"/>
                <w:numId w:val="5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木榔头≥1件：敲碎建筑物门窗玻璃，进行排烟，透气；</w:t>
            </w:r>
          </w:p>
          <w:p>
            <w:pPr>
              <w:keepNext w:val="0"/>
              <w:keepLines w:val="0"/>
              <w:widowControl/>
              <w:numPr>
                <w:ilvl w:val="0"/>
                <w:numId w:val="5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消防锯≥1件：可锯断一定高度的树枝及木质易坠物，易坍塌物和构件；</w:t>
            </w:r>
          </w:p>
          <w:p>
            <w:pPr>
              <w:keepNext w:val="0"/>
              <w:keepLines w:val="0"/>
              <w:widowControl/>
              <w:numPr>
                <w:ilvl w:val="0"/>
                <w:numId w:val="5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工兵铲≥1件：现场清理杂物；</w:t>
            </w:r>
          </w:p>
          <w:p>
            <w:pPr>
              <w:keepNext w:val="0"/>
              <w:keepLines w:val="0"/>
              <w:widowControl/>
              <w:numPr>
                <w:ilvl w:val="0"/>
                <w:numId w:val="5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单头挠钩≥1件：破折吊顶，钩拉电线等；</w:t>
            </w:r>
          </w:p>
          <w:p>
            <w:pPr>
              <w:keepNext w:val="0"/>
              <w:keepLines w:val="0"/>
              <w:widowControl/>
              <w:numPr>
                <w:ilvl w:val="0"/>
                <w:numId w:val="5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双头挠钩≥1件：破折吊顶,钩拉电线等；</w:t>
            </w:r>
          </w:p>
          <w:p>
            <w:pPr>
              <w:keepNext w:val="0"/>
              <w:keepLines w:val="0"/>
              <w:widowControl/>
              <w:numPr>
                <w:ilvl w:val="0"/>
                <w:numId w:val="5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登高钩（攀登钩）≥1件：攀爬，登高用；</w:t>
            </w:r>
          </w:p>
          <w:p>
            <w:pPr>
              <w:keepNext w:val="0"/>
              <w:keepLines w:val="0"/>
              <w:widowControl/>
              <w:numPr>
                <w:ilvl w:val="0"/>
                <w:numId w:val="5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组合连接杆：通过杆头螺纹口延长连接，可在现场灵活组合相配套的破折工具使用；</w:t>
            </w:r>
          </w:p>
          <w:p>
            <w:pPr>
              <w:keepNext w:val="0"/>
              <w:keepLines w:val="0"/>
              <w:widowControl/>
              <w:numPr>
                <w:ilvl w:val="0"/>
                <w:numId w:val="5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组合连接杆（带刻度）：通过组合连接，可以在现场迅速的量水平距离、标高、测坑或涵洞深度,便于操作人员作出科学决策和救援行动；也可以作为火灾、浓烟、洼池、水坑等场所灭火救援的探路工具；</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12、≥10种杆头、≥2根杆柄，≥10个缩节组成；</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强光照明灯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1、名称：消防特种强光照明灯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2、光源功率：≥36W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3、电池容量：≥5.6Ah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4、防护等级：IP67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5、充电时间：≤2.5h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6、灯具重量：≤2kg </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7、外形尺寸：≤220mm*85mm</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消防斧</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1.消防斧</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单杠梯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★1、整体要求：符合XF137-2007《消防梯》标准要求，</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材料检查：消防梯所用竹、木材料应符合XF137-2007附录A的要求，（侧板材质和梯蹬材质：竹粘合材料等相同材料或优于此材质的材料）；</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、外形尺寸</w:t>
            </w:r>
          </w:p>
          <w:p>
            <w:pPr>
              <w:keepNext w:val="0"/>
              <w:keepLines w:val="0"/>
              <w:widowControl/>
              <w:numPr>
                <w:ilvl w:val="1"/>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3</w:t>
            </w:r>
            <w:r>
              <w:rPr>
                <w:rFonts w:hint="default" w:ascii="宋体" w:hAnsi="宋体" w:eastAsia="宋体" w:cs="宋体"/>
                <w:i w:val="0"/>
                <w:iCs w:val="0"/>
                <w:color w:val="auto"/>
                <w:kern w:val="0"/>
                <w:sz w:val="18"/>
                <w:szCs w:val="18"/>
                <w:lang w:val="en-US" w:eastAsia="zh-CN" w:bidi="ar"/>
              </w:rPr>
              <w:t>.1、</w:t>
            </w:r>
            <w:r>
              <w:rPr>
                <w:rFonts w:hint="eastAsia" w:ascii="宋体" w:hAnsi="宋体" w:eastAsia="宋体" w:cs="宋体"/>
                <w:i w:val="0"/>
                <w:iCs w:val="0"/>
                <w:color w:val="auto"/>
                <w:kern w:val="0"/>
                <w:sz w:val="18"/>
                <w:szCs w:val="18"/>
                <w:u w:val="none"/>
                <w:lang w:val="en-US" w:eastAsia="zh-CN" w:bidi="ar"/>
              </w:rPr>
              <w:t>工作长度：3010mm±20mm；</w:t>
            </w:r>
          </w:p>
          <w:p>
            <w:pPr>
              <w:keepNext w:val="0"/>
              <w:keepLines w:val="0"/>
              <w:widowControl/>
              <w:numPr>
                <w:ilvl w:val="1"/>
                <w:numId w:val="0"/>
              </w:numPr>
              <w:suppressLineNumbers w:val="0"/>
              <w:ind w:left="0" w:leftChars="0" w:firstLine="0" w:firstLine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cs="宋体"/>
                <w:i w:val="0"/>
                <w:iCs w:val="0"/>
                <w:color w:val="auto"/>
                <w:kern w:val="2"/>
                <w:sz w:val="18"/>
                <w:szCs w:val="18"/>
                <w:lang w:val="en-US" w:eastAsia="zh-CN" w:bidi="ar-SA"/>
              </w:rPr>
              <w:t>3</w:t>
            </w:r>
            <w:r>
              <w:rPr>
                <w:rFonts w:hint="default" w:ascii="宋体" w:hAnsi="宋体" w:eastAsia="宋体" w:cs="宋体"/>
                <w:i w:val="0"/>
                <w:iCs w:val="0"/>
                <w:color w:val="auto"/>
                <w:kern w:val="2"/>
                <w:sz w:val="18"/>
                <w:szCs w:val="18"/>
                <w:lang w:val="zh-CN" w:eastAsia="zh-CN" w:bidi="ar-SA"/>
              </w:rPr>
              <w:t>.2、</w:t>
            </w:r>
            <w:r>
              <w:rPr>
                <w:rFonts w:hint="eastAsia" w:ascii="宋体" w:hAnsi="宋体" w:eastAsia="宋体" w:cs="宋体"/>
                <w:i w:val="0"/>
                <w:iCs w:val="0"/>
                <w:color w:val="auto"/>
                <w:kern w:val="0"/>
                <w:sz w:val="18"/>
                <w:szCs w:val="18"/>
                <w:u w:val="none"/>
                <w:lang w:val="en-US" w:eastAsia="zh-CN" w:bidi="ar"/>
              </w:rPr>
              <w:t>最小梯宽：250mm±10mm；</w:t>
            </w:r>
          </w:p>
          <w:p>
            <w:pPr>
              <w:keepNext w:val="0"/>
              <w:keepLines w:val="0"/>
              <w:widowControl/>
              <w:numPr>
                <w:ilvl w:val="1"/>
                <w:numId w:val="0"/>
              </w:numPr>
              <w:suppressLineNumbers w:val="0"/>
              <w:ind w:left="0" w:leftChars="0" w:firstLine="0" w:firstLine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cs="宋体"/>
                <w:i w:val="0"/>
                <w:iCs w:val="0"/>
                <w:color w:val="auto"/>
                <w:kern w:val="2"/>
                <w:sz w:val="18"/>
                <w:szCs w:val="18"/>
                <w:lang w:val="en-US" w:eastAsia="zh-CN" w:bidi="ar-SA"/>
              </w:rPr>
              <w:t>3</w:t>
            </w:r>
            <w:r>
              <w:rPr>
                <w:rFonts w:hint="default" w:ascii="宋体" w:hAnsi="宋体" w:eastAsia="宋体" w:cs="宋体"/>
                <w:i w:val="0"/>
                <w:iCs w:val="0"/>
                <w:color w:val="auto"/>
                <w:kern w:val="2"/>
                <w:sz w:val="18"/>
                <w:szCs w:val="18"/>
                <w:lang w:val="zh-CN" w:eastAsia="zh-CN" w:bidi="ar-SA"/>
              </w:rPr>
              <w:t>.3、</w:t>
            </w:r>
            <w:r>
              <w:rPr>
                <w:rFonts w:hint="eastAsia" w:ascii="宋体" w:hAnsi="宋体" w:eastAsia="宋体" w:cs="宋体"/>
                <w:i w:val="0"/>
                <w:iCs w:val="0"/>
                <w:color w:val="auto"/>
                <w:kern w:val="0"/>
                <w:sz w:val="18"/>
                <w:szCs w:val="18"/>
                <w:u w:val="none"/>
                <w:lang w:val="en-US" w:eastAsia="zh-CN" w:bidi="ar"/>
              </w:rPr>
              <w:t>梯蹬间距：340mm±10mm；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4、</w:t>
            </w:r>
            <w:r>
              <w:rPr>
                <w:rFonts w:hint="eastAsia" w:ascii="宋体" w:hAnsi="宋体" w:eastAsia="宋体" w:cs="宋体"/>
                <w:i w:val="0"/>
                <w:iCs w:val="0"/>
                <w:color w:val="auto"/>
                <w:kern w:val="0"/>
                <w:sz w:val="18"/>
                <w:szCs w:val="18"/>
                <w:u w:val="none"/>
                <w:lang w:val="en-US" w:eastAsia="zh-CN" w:bidi="ar"/>
              </w:rPr>
              <w:t>整梯质量：8.8kg±0.5kg；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5</w:t>
            </w:r>
            <w:r>
              <w:rPr>
                <w:rFonts w:hint="eastAsia" w:ascii="宋体" w:hAnsi="宋体" w:eastAsia="宋体" w:cs="宋体"/>
                <w:i w:val="0"/>
                <w:iCs w:val="0"/>
                <w:color w:val="auto"/>
                <w:kern w:val="0"/>
                <w:sz w:val="18"/>
                <w:szCs w:val="18"/>
                <w:u w:val="none"/>
                <w:lang w:val="en-US" w:eastAsia="zh-CN" w:bidi="ar"/>
              </w:rPr>
              <w:t>、水平弯曲残余变形比值：≤0.12%；</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6</w:t>
            </w:r>
            <w:r>
              <w:rPr>
                <w:rFonts w:hint="eastAsia" w:ascii="宋体" w:hAnsi="宋体" w:eastAsia="宋体" w:cs="宋体"/>
                <w:i w:val="0"/>
                <w:iCs w:val="0"/>
                <w:color w:val="auto"/>
                <w:kern w:val="0"/>
                <w:sz w:val="18"/>
                <w:szCs w:val="18"/>
                <w:u w:val="none"/>
                <w:lang w:val="en-US" w:eastAsia="zh-CN" w:bidi="ar"/>
              </w:rPr>
              <w:t>、梯蹬弯曲残余变形比值：≤0.28%；</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7</w:t>
            </w:r>
            <w:r>
              <w:rPr>
                <w:rFonts w:hint="eastAsia" w:ascii="宋体" w:hAnsi="宋体" w:eastAsia="宋体" w:cs="宋体"/>
                <w:i w:val="0"/>
                <w:iCs w:val="0"/>
                <w:color w:val="auto"/>
                <w:kern w:val="0"/>
                <w:sz w:val="18"/>
                <w:szCs w:val="18"/>
                <w:u w:val="none"/>
                <w:lang w:val="en-US" w:eastAsia="zh-CN" w:bidi="ar"/>
              </w:rPr>
              <w:t>、梯蹬剪切强度试验：经梯蹬对侧板剪切试验后，梯蹬与侧板的连接处和梯蹬本身没有任何断裂迹象；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8</w:t>
            </w:r>
            <w:r>
              <w:rPr>
                <w:rFonts w:hint="eastAsia" w:ascii="宋体" w:hAnsi="宋体" w:eastAsia="宋体" w:cs="宋体"/>
                <w:i w:val="0"/>
                <w:iCs w:val="0"/>
                <w:color w:val="auto"/>
                <w:kern w:val="0"/>
                <w:sz w:val="18"/>
                <w:szCs w:val="18"/>
                <w:u w:val="none"/>
                <w:lang w:val="en-US" w:eastAsia="zh-CN" w:bidi="ar"/>
              </w:rPr>
              <w:t>、翘曲试验：消防梯在进行翘曲试验时，任一梯脚均不离地；</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9</w:t>
            </w:r>
            <w:r>
              <w:rPr>
                <w:rFonts w:hint="eastAsia" w:ascii="宋体" w:hAnsi="宋体" w:eastAsia="宋体" w:cs="宋体"/>
                <w:i w:val="0"/>
                <w:iCs w:val="0"/>
                <w:color w:val="auto"/>
                <w:kern w:val="0"/>
                <w:sz w:val="18"/>
                <w:szCs w:val="18"/>
                <w:u w:val="none"/>
                <w:lang w:val="en-US" w:eastAsia="zh-CN" w:bidi="ar"/>
              </w:rPr>
              <w:t>、梯节扭转角：α顺：≥8.5°、α逆：≥8.5°；</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10</w:t>
            </w:r>
            <w:r>
              <w:rPr>
                <w:rFonts w:hint="eastAsia" w:ascii="宋体" w:hAnsi="宋体" w:eastAsia="宋体" w:cs="宋体"/>
                <w:i w:val="0"/>
                <w:iCs w:val="0"/>
                <w:color w:val="auto"/>
                <w:kern w:val="0"/>
                <w:sz w:val="18"/>
                <w:szCs w:val="18"/>
                <w:u w:val="none"/>
                <w:lang w:val="en-US" w:eastAsia="zh-CN" w:bidi="ar"/>
              </w:rPr>
              <w:t>、滑移试验：滑移试验时，各梯脚在整个试验表面上不出现位移；</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1</w:t>
            </w:r>
            <w:r>
              <w:rPr>
                <w:rFonts w:hint="eastAsia" w:ascii="宋体" w:hAnsi="宋体" w:eastAsia="宋体" w:cs="宋体"/>
                <w:i w:val="0"/>
                <w:iCs w:val="0"/>
                <w:color w:val="auto"/>
                <w:kern w:val="0"/>
                <w:sz w:val="18"/>
                <w:szCs w:val="18"/>
                <w:u w:val="none"/>
                <w:lang w:val="en-US" w:eastAsia="zh-CN" w:bidi="ar"/>
              </w:rPr>
              <w:t>、侧板悬臂弯曲最大变形值：内弯曲：≥1.0mm、≥外弯曲：1.0mm；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2</w:t>
            </w:r>
            <w:r>
              <w:rPr>
                <w:rFonts w:hint="eastAsia" w:ascii="宋体" w:hAnsi="宋体" w:eastAsia="宋体" w:cs="宋体"/>
                <w:i w:val="0"/>
                <w:iCs w:val="0"/>
                <w:color w:val="auto"/>
                <w:kern w:val="0"/>
                <w:sz w:val="18"/>
                <w:szCs w:val="18"/>
                <w:u w:val="none"/>
                <w:lang w:val="en-US" w:eastAsia="zh-CN" w:bidi="ar"/>
              </w:rPr>
              <w:t>、侧摇摆曲残余变形比值：≤0.14%；</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、粘牢合度试验时，通过浸泡、恒温、低温试验后无脱胶现象；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4</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两节拉梯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57"/>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外形尺寸：工作长度：6m±0.2m，梯蹬间距：280mm±10mm；</w:t>
            </w:r>
          </w:p>
          <w:p>
            <w:pPr>
              <w:keepNext w:val="0"/>
              <w:keepLines w:val="0"/>
              <w:widowControl/>
              <w:numPr>
                <w:ilvl w:val="0"/>
                <w:numId w:val="5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整梯质量：≤35kg；</w:t>
            </w:r>
          </w:p>
          <w:p>
            <w:pPr>
              <w:keepNext w:val="0"/>
              <w:keepLines w:val="0"/>
              <w:widowControl/>
              <w:numPr>
                <w:ilvl w:val="0"/>
                <w:numId w:val="5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水平弯曲残余变形比值：≤0.3%；</w:t>
            </w:r>
          </w:p>
          <w:p>
            <w:pPr>
              <w:keepNext w:val="0"/>
              <w:keepLines w:val="0"/>
              <w:widowControl/>
              <w:numPr>
                <w:ilvl w:val="0"/>
                <w:numId w:val="5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梯蹬弯曲残余变形比值：≤0.5%；</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5</w:t>
            </w:r>
            <w:r>
              <w:rPr>
                <w:rFonts w:hint="eastAsia" w:ascii="宋体" w:hAnsi="宋体" w:eastAsia="宋体" w:cs="宋体"/>
                <w:i w:val="0"/>
                <w:iCs w:val="0"/>
                <w:color w:val="auto"/>
                <w:kern w:val="0"/>
                <w:sz w:val="18"/>
                <w:szCs w:val="18"/>
                <w:u w:val="none"/>
                <w:lang w:val="en-US" w:eastAsia="zh-CN" w:bidi="ar"/>
              </w:rPr>
              <w:t>、整体要求：符合XF137-2007《消防梯》标准要求；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cs="宋体"/>
                <w:i w:val="0"/>
                <w:iCs w:val="0"/>
                <w:color w:val="auto"/>
                <w:kern w:val="0"/>
                <w:sz w:val="18"/>
                <w:szCs w:val="18"/>
                <w:u w:val="none"/>
                <w:lang w:val="en-US" w:eastAsia="zh-CN" w:bidi="ar"/>
              </w:rPr>
              <w:t>6</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手动破拆工具组</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58"/>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 GB 32459-2015《消防应急救援装备手动破拆工具通用技术条件》的标准要求。</w:t>
            </w:r>
          </w:p>
          <w:p>
            <w:pPr>
              <w:keepNext w:val="0"/>
              <w:keepLines w:val="0"/>
              <w:widowControl/>
              <w:numPr>
                <w:ilvl w:val="0"/>
                <w:numId w:val="5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由冲击杆、拆锁器、金属切断器、凿子、钎子 及各类撬斧工具等部件组成，由耐磨、防锈、便携等性能。</w:t>
            </w:r>
          </w:p>
          <w:p>
            <w:pPr>
              <w:keepNext w:val="0"/>
              <w:keepLines w:val="0"/>
              <w:widowControl/>
              <w:numPr>
                <w:ilvl w:val="0"/>
                <w:numId w:val="5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冲击行程≥300mm；</w:t>
            </w:r>
          </w:p>
          <w:p>
            <w:pPr>
              <w:keepNext w:val="0"/>
              <w:keepLines w:val="0"/>
              <w:widowControl/>
              <w:numPr>
                <w:ilvl w:val="0"/>
                <w:numId w:val="5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整备质量≤25kg；</w:t>
            </w:r>
          </w:p>
          <w:p>
            <w:pPr>
              <w:keepNext w:val="0"/>
              <w:keepLines w:val="0"/>
              <w:widowControl/>
              <w:numPr>
                <w:ilvl w:val="0"/>
                <w:numId w:val="5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可切割、打凿Q235型钢板厚度≥1mm；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highlight w:val="none"/>
                <w:lang w:val="zh-CN"/>
              </w:rPr>
            </w:pPr>
            <w:r>
              <w:rPr>
                <w:rFonts w:hint="eastAsia" w:ascii="宋体" w:hAnsi="宋体" w:eastAsia="宋体" w:cs="宋体"/>
                <w:i w:val="0"/>
                <w:iCs w:val="0"/>
                <w:color w:val="auto"/>
                <w:kern w:val="0"/>
                <w:sz w:val="18"/>
                <w:szCs w:val="18"/>
                <w:highlight w:val="none"/>
                <w:u w:val="none"/>
                <w:lang w:val="en-US" w:eastAsia="zh-CN" w:bidi="ar"/>
              </w:rPr>
              <w:t>26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highlight w:val="none"/>
                <w:lang w:val="zh-CN"/>
              </w:rPr>
            </w:pPr>
            <w:r>
              <w:rPr>
                <w:rFonts w:hint="eastAsia" w:ascii="宋体" w:hAnsi="宋体" w:eastAsia="宋体" w:cs="宋体"/>
                <w:i w:val="0"/>
                <w:iCs w:val="0"/>
                <w:color w:val="auto"/>
                <w:kern w:val="0"/>
                <w:sz w:val="18"/>
                <w:szCs w:val="18"/>
                <w:highlight w:val="none"/>
                <w:u w:val="none"/>
                <w:lang w:val="en-US" w:eastAsia="zh-CN" w:bidi="ar"/>
              </w:rPr>
              <w:t>灭火器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1.名称:</w:t>
            </w:r>
            <w:r>
              <w:rPr>
                <w:rFonts w:hint="eastAsia" w:ascii="宋体" w:hAnsi="宋体" w:cs="宋体"/>
                <w:i w:val="0"/>
                <w:iCs w:val="0"/>
                <w:color w:val="auto"/>
                <w:kern w:val="0"/>
                <w:sz w:val="18"/>
                <w:szCs w:val="18"/>
                <w:highlight w:val="none"/>
                <w:u w:val="none"/>
                <w:lang w:val="en-US" w:eastAsia="zh-CN" w:bidi="ar"/>
              </w:rPr>
              <w:t>干粉</w:t>
            </w:r>
            <w:r>
              <w:rPr>
                <w:rFonts w:hint="eastAsia" w:ascii="宋体" w:hAnsi="宋体" w:eastAsia="宋体" w:cs="宋体"/>
                <w:i w:val="0"/>
                <w:iCs w:val="0"/>
                <w:color w:val="auto"/>
                <w:kern w:val="0"/>
                <w:sz w:val="18"/>
                <w:szCs w:val="18"/>
                <w:highlight w:val="none"/>
                <w:u w:val="none"/>
                <w:lang w:val="en-US" w:eastAsia="zh-CN" w:bidi="ar"/>
              </w:rPr>
              <w:t>灭火器</w:t>
            </w:r>
          </w:p>
          <w:p>
            <w:pPr>
              <w:keepNext w:val="0"/>
              <w:keepLines w:val="0"/>
              <w:widowControl/>
              <w:suppressLineNumbers w:val="0"/>
              <w:jc w:val="left"/>
              <w:textAlignment w:val="center"/>
              <w:rPr>
                <w:rFonts w:hint="eastAsia" w:ascii="宋体" w:hAnsi="宋体" w:eastAsia="宋体" w:cs="宋体"/>
                <w:color w:val="auto"/>
                <w:kern w:val="0"/>
                <w:sz w:val="18"/>
                <w:szCs w:val="18"/>
                <w:highlight w:val="none"/>
                <w:lang w:val="zh-CN"/>
              </w:rPr>
            </w:pPr>
            <w:r>
              <w:rPr>
                <w:rFonts w:hint="eastAsia" w:ascii="宋体" w:hAnsi="宋体" w:eastAsia="宋体" w:cs="宋体"/>
                <w:i w:val="0"/>
                <w:iCs w:val="0"/>
                <w:color w:val="auto"/>
                <w:kern w:val="0"/>
                <w:sz w:val="18"/>
                <w:szCs w:val="18"/>
                <w:highlight w:val="none"/>
                <w:u w:val="none"/>
                <w:lang w:val="en-US" w:eastAsia="zh-CN" w:bidi="ar"/>
              </w:rPr>
              <w:t>2.规格、型号:</w:t>
            </w:r>
            <w:r>
              <w:rPr>
                <w:rFonts w:hint="default" w:ascii="宋体" w:hAnsi="宋体" w:cs="宋体"/>
                <w:i w:val="0"/>
                <w:iCs w:val="0"/>
                <w:color w:val="auto"/>
                <w:kern w:val="0"/>
                <w:sz w:val="18"/>
                <w:szCs w:val="18"/>
                <w:highlight w:val="none"/>
                <w:u w:val="none"/>
                <w:lang w:val="en" w:eastAsia="zh-CN" w:bidi="ar"/>
              </w:rPr>
              <w:t>MF/ABC4</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highlight w:val="none"/>
                <w:lang w:val="en-US"/>
              </w:rPr>
            </w:pPr>
            <w:r>
              <w:rPr>
                <w:rFonts w:hint="eastAsia" w:ascii="宋体" w:hAnsi="宋体" w:eastAsia="宋体" w:cs="宋体"/>
                <w:i w:val="0"/>
                <w:iCs w:val="0"/>
                <w:color w:val="auto"/>
                <w:kern w:val="0"/>
                <w:sz w:val="18"/>
                <w:szCs w:val="18"/>
                <w:highlight w:val="none"/>
                <w:u w:val="none"/>
                <w:lang w:val="en-US" w:eastAsia="zh-CN" w:bidi="ar"/>
              </w:rPr>
              <w:t>20</w:t>
            </w:r>
            <w:r>
              <w:rPr>
                <w:rFonts w:hint="eastAsia" w:ascii="宋体" w:hAnsi="宋体" w:cs="宋体"/>
                <w:i w:val="0"/>
                <w:iCs w:val="0"/>
                <w:color w:val="auto"/>
                <w:kern w:val="0"/>
                <w:sz w:val="18"/>
                <w:szCs w:val="18"/>
                <w:highlight w:val="none"/>
                <w:u w:val="none"/>
                <w:lang w:val="en-US" w:eastAsia="zh-CN" w:bidi="ar"/>
              </w:rPr>
              <w:t>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highlight w:val="none"/>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手持扩音器</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59"/>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扩音器外壳材质为ABS航空材质；</w:t>
            </w:r>
          </w:p>
          <w:p>
            <w:pPr>
              <w:keepNext w:val="0"/>
              <w:keepLines w:val="0"/>
              <w:widowControl/>
              <w:numPr>
                <w:ilvl w:val="0"/>
                <w:numId w:val="5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功率≥25 W；</w:t>
            </w:r>
          </w:p>
          <w:p>
            <w:pPr>
              <w:keepNext w:val="0"/>
              <w:keepLines w:val="0"/>
              <w:widowControl/>
              <w:numPr>
                <w:ilvl w:val="0"/>
                <w:numId w:val="5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电池容量≥2000mAh；</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4、1m内声强≥80dB；</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5、连续工作时间≥2h；</w:t>
            </w:r>
          </w:p>
          <w:p>
            <w:pPr>
              <w:keepNext w:val="0"/>
              <w:keepLines w:val="0"/>
              <w:widowControl/>
              <w:numPr>
                <w:ilvl w:val="0"/>
                <w:numId w:val="5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传输距离≥500m,</w:t>
            </w:r>
          </w:p>
          <w:p>
            <w:pPr>
              <w:keepNext w:val="0"/>
              <w:keepLines w:val="0"/>
              <w:widowControl/>
              <w:numPr>
                <w:ilvl w:val="0"/>
                <w:numId w:val="5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质量≤2.5kg（含电池）；</w:t>
            </w:r>
          </w:p>
          <w:p>
            <w:pPr>
              <w:keepNext w:val="0"/>
              <w:keepLines w:val="0"/>
              <w:widowControl/>
              <w:numPr>
                <w:ilvl w:val="0"/>
                <w:numId w:val="5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插槽接口：USB接口/TF卡插槽/AUX音频；</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 xml:space="preserve">个 </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jc w:val="left"/>
              <w:rPr>
                <w:rFonts w:hint="eastAsia" w:ascii="宋体" w:hAnsi="宋体" w:eastAsia="宋体" w:cs="宋体"/>
                <w:i w:val="0"/>
                <w:iCs w:val="0"/>
                <w:color w:val="auto"/>
                <w:kern w:val="0"/>
                <w:sz w:val="18"/>
                <w:szCs w:val="18"/>
                <w:highlight w:val="none"/>
                <w:u w:val="none"/>
                <w:lang w:val="en-US" w:eastAsia="zh-CN" w:bidi="ar"/>
              </w:rPr>
            </w:pPr>
          </w:p>
          <w:p>
            <w:pPr>
              <w:pStyle w:val="11"/>
              <w:keepNext w:val="0"/>
              <w:keepLines w:val="0"/>
              <w:widowControl/>
              <w:suppressLineNumbers w:val="0"/>
              <w:spacing w:before="0" w:beforeAutospacing="0" w:after="0" w:afterAutospacing="0"/>
              <w:ind w:left="0" w:right="0" w:firstLine="0"/>
              <w:jc w:val="left"/>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警示牌</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6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合金钢材质，图案、文字、边框均为反光材料，可与标志杆配套使用；</w:t>
            </w:r>
          </w:p>
          <w:p>
            <w:pPr>
              <w:keepNext w:val="0"/>
              <w:keepLines w:val="0"/>
              <w:widowControl/>
              <w:numPr>
                <w:ilvl w:val="0"/>
                <w:numId w:val="6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每套含标志牌的数量≥2个；</w:t>
            </w:r>
          </w:p>
          <w:p>
            <w:pPr>
              <w:keepNext w:val="0"/>
              <w:keepLines w:val="0"/>
              <w:widowControl/>
              <w:numPr>
                <w:ilvl w:val="0"/>
                <w:numId w:val="6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质量≤5kg；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4、具有永久性标志及产品数据标识；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jc w:val="left"/>
              <w:rPr>
                <w:rFonts w:hint="eastAsia" w:ascii="宋体" w:hAnsi="宋体" w:eastAsia="宋体" w:cs="宋体"/>
                <w:i w:val="0"/>
                <w:iCs w:val="0"/>
                <w:color w:val="auto"/>
                <w:kern w:val="0"/>
                <w:sz w:val="18"/>
                <w:szCs w:val="18"/>
                <w:highlight w:val="none"/>
                <w:u w:val="none"/>
                <w:lang w:val="en-US" w:eastAsia="zh-CN" w:bidi="ar"/>
              </w:rPr>
            </w:pPr>
          </w:p>
          <w:p>
            <w:pPr>
              <w:pStyle w:val="11"/>
              <w:keepNext w:val="0"/>
              <w:keepLines w:val="0"/>
              <w:widowControl/>
              <w:suppressLineNumbers w:val="0"/>
              <w:spacing w:before="0" w:beforeAutospacing="0" w:after="0" w:afterAutospacing="0"/>
              <w:ind w:left="0" w:right="0" w:firstLine="0"/>
              <w:jc w:val="left"/>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闪亮警示灯</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6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符合GA/T 1256-2015《发光式道路交通指挥棒》标准。</w:t>
            </w:r>
          </w:p>
          <w:p>
            <w:pPr>
              <w:keepNext w:val="0"/>
              <w:keepLines w:val="0"/>
              <w:widowControl/>
              <w:numPr>
                <w:ilvl w:val="0"/>
                <w:numId w:val="6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频闪型，具有光线暗时自动闪亮功能：</w:t>
            </w:r>
          </w:p>
          <w:p>
            <w:pPr>
              <w:keepNext w:val="0"/>
              <w:keepLines w:val="0"/>
              <w:widowControl/>
              <w:numPr>
                <w:ilvl w:val="0"/>
                <w:numId w:val="6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（1）灯色闪烁≥2种；（2）灯色恒亮≥1种；（3）灯色交替闪烁≥2种；（4）有白灯照明；</w:t>
            </w:r>
          </w:p>
          <w:p>
            <w:pPr>
              <w:keepNext w:val="0"/>
              <w:keepLines w:val="0"/>
              <w:widowControl/>
              <w:numPr>
                <w:ilvl w:val="0"/>
                <w:numId w:val="6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工作时间≥2小时。</w:t>
            </w:r>
          </w:p>
          <w:p>
            <w:pPr>
              <w:keepNext w:val="0"/>
              <w:keepLines w:val="0"/>
              <w:widowControl/>
              <w:numPr>
                <w:ilvl w:val="0"/>
                <w:numId w:val="6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防尘防水≥IP55；</w:t>
            </w:r>
          </w:p>
          <w:p>
            <w:pPr>
              <w:keepNext w:val="0"/>
              <w:keepLines w:val="0"/>
              <w:widowControl/>
              <w:numPr>
                <w:ilvl w:val="0"/>
                <w:numId w:val="6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在黑暗时可视距离≥100m。</w:t>
            </w:r>
          </w:p>
          <w:p>
            <w:pPr>
              <w:keepNext w:val="0"/>
              <w:keepLines w:val="0"/>
              <w:widowControl/>
              <w:numPr>
                <w:ilvl w:val="0"/>
                <w:numId w:val="61"/>
              </w:numPr>
              <w:suppressLineNumbers w:val="0"/>
              <w:ind w:left="0" w:leftChars="0" w:firstLine="0" w:firstLine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电池≥2500mA锂离子电池；</w:t>
            </w:r>
          </w:p>
          <w:p>
            <w:pPr>
              <w:keepNext w:val="0"/>
              <w:keepLines w:val="0"/>
              <w:widowControl/>
              <w:numPr>
                <w:ilvl w:val="0"/>
                <w:numId w:val="6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具有金属挂钩固定；</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8、具有永久性标志及产品数据标识；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警戒带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6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用于灾害或事故现场的警戒。具备收放、反光、耐磨等性能，由纤维编制而成，外壳为塑料材质，双面反光,防水；</w:t>
            </w:r>
          </w:p>
          <w:p>
            <w:pPr>
              <w:keepNext w:val="0"/>
              <w:keepLines w:val="0"/>
              <w:widowControl/>
              <w:numPr>
                <w:ilvl w:val="0"/>
                <w:numId w:val="6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警示带尺寸：（1）宽度≥5cm；（2）长度≥100m。</w:t>
            </w:r>
          </w:p>
          <w:p>
            <w:pPr>
              <w:keepNext w:val="0"/>
              <w:keepLines w:val="0"/>
              <w:widowControl/>
              <w:numPr>
                <w:ilvl w:val="0"/>
                <w:numId w:val="6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质量：≤2500g。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4、具有永久性标志及产品数据标识；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5</w:t>
            </w:r>
            <w:r>
              <w:rPr>
                <w:rFonts w:hint="eastAsia" w:ascii="宋体" w:hAnsi="宋体" w:cs="宋体"/>
                <w:i w:val="0"/>
                <w:iCs w:val="0"/>
                <w:color w:val="auto"/>
                <w:kern w:val="0"/>
                <w:sz w:val="18"/>
                <w:szCs w:val="18"/>
                <w:u w:val="none"/>
                <w:lang w:val="en-US" w:eastAsia="zh-CN" w:bidi="ar"/>
              </w:rPr>
              <w:t>盘</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机动链锯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★1、功率：≥2.4kW；</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eastAsia="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u w:val="none"/>
                <w:lang w:val="en-US" w:eastAsia="zh-CN" w:bidi="ar"/>
              </w:rPr>
              <w:t>怠速：≥2700rpm；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★3、最高功率转速：≥9600rpm；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4、</w:t>
            </w:r>
            <w:r>
              <w:rPr>
                <w:rFonts w:hint="eastAsia" w:ascii="宋体" w:hAnsi="宋体" w:eastAsia="宋体" w:cs="宋体"/>
                <w:i w:val="0"/>
                <w:iCs w:val="0"/>
                <w:color w:val="auto"/>
                <w:kern w:val="0"/>
                <w:sz w:val="18"/>
                <w:szCs w:val="18"/>
                <w:u w:val="none"/>
                <w:lang w:val="en-US" w:eastAsia="zh-CN" w:bidi="ar"/>
              </w:rPr>
              <w:t>燃油箱容量：≥0.45升；</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5、链条润滑油箱容量：≥0.25L；</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6、使用导板长度：33cm-50cm；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7、重量（不含燃油、机油、导板和链条）：≤6kg；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8、配备备用链条、维修工具和润滑油比例壶等；</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9、火花塞电极间隙：≤0.5mm；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11、符合消防应急救援装备破拆机具通用技术条件 GB32460-2015标准。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无齿锯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eastAsia="宋体" w:cs="宋体"/>
                <w:i w:val="0"/>
                <w:iCs w:val="0"/>
                <w:color w:val="auto"/>
                <w:kern w:val="0"/>
                <w:sz w:val="18"/>
                <w:szCs w:val="18"/>
                <w:u w:val="none"/>
                <w:lang w:val="en-US" w:eastAsia="zh-CN" w:bidi="ar"/>
              </w:rPr>
              <w:t>应配置锯片：≥2片，专用工具箱，护目镜、防护手套、专用工具；汽缸排量：≥74cc；</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u w:val="none"/>
                <w:lang w:val="en-US" w:eastAsia="zh-CN" w:bidi="ar"/>
              </w:rPr>
              <w:t>汽缸缸管内径：≥51mm；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★3、空转速度：≥2700rpm；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★4、功率：≥4.8kW；</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5、</w:t>
            </w:r>
            <w:r>
              <w:rPr>
                <w:rFonts w:hint="eastAsia" w:ascii="宋体" w:hAnsi="宋体" w:eastAsia="宋体" w:cs="宋体"/>
                <w:i w:val="0"/>
                <w:iCs w:val="0"/>
                <w:color w:val="auto"/>
                <w:kern w:val="0"/>
                <w:sz w:val="18"/>
                <w:szCs w:val="18"/>
                <w:u w:val="none"/>
                <w:lang w:val="en-US" w:eastAsia="zh-CN" w:bidi="ar"/>
              </w:rPr>
              <w:t>跳火间距：≤0.5mm；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6、油箱容量：≥1.8L；</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7、重量：≤11.6kg；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8、切割深度：≥125mm；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9、配置锯片：≥2片，专用工具箱，护目镜、防护手套、专用工具；</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10、符合GB32460-2015《消防应急救援装备 破拆机具通用技术条件》标准要求；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11、具有永久性标志及产品数据标识。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绝缘剪断钳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eastAsia="宋体" w:cs="宋体"/>
                <w:i w:val="0"/>
                <w:iCs w:val="0"/>
                <w:color w:val="auto"/>
                <w:kern w:val="0"/>
                <w:sz w:val="18"/>
                <w:szCs w:val="18"/>
                <w:u w:val="none"/>
                <w:lang w:val="en-US" w:eastAsia="zh-CN" w:bidi="ar"/>
              </w:rPr>
              <w:t>由工作钳口、绝缘部分和握手部分组成；</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u w:val="none"/>
                <w:lang w:val="en-US" w:eastAsia="zh-CN" w:bidi="ar"/>
              </w:rPr>
              <w:t>剪刃口硬度≥HRC50，手柄为绝缘材质；</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3、</w:t>
            </w:r>
            <w:r>
              <w:rPr>
                <w:rFonts w:hint="eastAsia" w:ascii="宋体" w:hAnsi="宋体" w:eastAsia="宋体" w:cs="宋体"/>
                <w:i w:val="0"/>
                <w:iCs w:val="0"/>
                <w:color w:val="auto"/>
                <w:kern w:val="0"/>
                <w:sz w:val="18"/>
                <w:szCs w:val="18"/>
                <w:u w:val="none"/>
                <w:lang w:val="en-US" w:eastAsia="zh-CN" w:bidi="ar"/>
              </w:rPr>
              <w:t>可剪断直径≥12mm内的电线、钢筋；</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4、</w:t>
            </w:r>
            <w:r>
              <w:rPr>
                <w:rFonts w:hint="eastAsia" w:ascii="宋体" w:hAnsi="宋体" w:eastAsia="宋体" w:cs="宋体"/>
                <w:i w:val="0"/>
                <w:iCs w:val="0"/>
                <w:color w:val="auto"/>
                <w:kern w:val="0"/>
                <w:sz w:val="18"/>
                <w:szCs w:val="18"/>
                <w:u w:val="none"/>
                <w:lang w:val="en-US" w:eastAsia="zh-CN" w:bidi="ar"/>
              </w:rPr>
              <w:t>耐电压≥380 V；</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5、</w:t>
            </w:r>
            <w:r>
              <w:rPr>
                <w:rFonts w:hint="eastAsia" w:ascii="宋体" w:hAnsi="宋体" w:eastAsia="宋体" w:cs="宋体"/>
                <w:i w:val="0"/>
                <w:iCs w:val="0"/>
                <w:color w:val="auto"/>
                <w:kern w:val="0"/>
                <w:sz w:val="18"/>
                <w:szCs w:val="18"/>
                <w:u w:val="none"/>
                <w:lang w:val="en-US" w:eastAsia="zh-CN" w:bidi="ar"/>
              </w:rPr>
              <w:t>尺寸≥25 寸；</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6、</w:t>
            </w:r>
            <w:r>
              <w:rPr>
                <w:rFonts w:hint="eastAsia" w:ascii="宋体" w:hAnsi="宋体" w:eastAsia="宋体" w:cs="宋体"/>
                <w:i w:val="0"/>
                <w:iCs w:val="0"/>
                <w:color w:val="auto"/>
                <w:kern w:val="0"/>
                <w:sz w:val="18"/>
                <w:szCs w:val="18"/>
                <w:u w:val="none"/>
                <w:lang w:val="en-US" w:eastAsia="zh-CN" w:bidi="ar"/>
              </w:rPr>
              <w:t>重量≤8kg。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7、是具有永久性标志及产品数据标识；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救生缓降器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63"/>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材质：救生绳内芯为钢丝等材质或优于该材质的材料，外包用尼龙线等材料或优于该材质的材料编织；</w:t>
            </w:r>
          </w:p>
          <w:p>
            <w:pPr>
              <w:keepNext w:val="0"/>
              <w:keepLines w:val="0"/>
              <w:widowControl/>
              <w:numPr>
                <w:ilvl w:val="0"/>
                <w:numId w:val="6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救生绳长度≥30m；</w:t>
            </w:r>
          </w:p>
          <w:p>
            <w:pPr>
              <w:keepNext w:val="0"/>
              <w:keepLines w:val="0"/>
              <w:widowControl/>
              <w:numPr>
                <w:ilvl w:val="0"/>
                <w:numId w:val="6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使用载荷重量：10kg~100kg；</w:t>
            </w:r>
          </w:p>
          <w:p>
            <w:pPr>
              <w:keepNext w:val="0"/>
              <w:keepLines w:val="0"/>
              <w:widowControl/>
              <w:numPr>
                <w:ilvl w:val="0"/>
                <w:numId w:val="6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整机强度：≥3800N；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★5、安全带强度：＞6300N；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★6、安全钩强度：＞1000N；</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7、</w:t>
            </w:r>
            <w:r>
              <w:rPr>
                <w:rFonts w:hint="eastAsia" w:ascii="宋体" w:hAnsi="宋体" w:eastAsia="宋体" w:cs="宋体"/>
                <w:i w:val="0"/>
                <w:iCs w:val="0"/>
                <w:color w:val="auto"/>
                <w:kern w:val="0"/>
                <w:sz w:val="18"/>
                <w:szCs w:val="18"/>
                <w:u w:val="none"/>
                <w:lang w:val="en-US" w:eastAsia="zh-CN" w:bidi="ar"/>
              </w:rPr>
              <w:t>绳索强度：＞3800N；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8、100kg负荷下降次数：200次（15m高）；</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★9、缓降速度：＜0.39m/s（负荷35kg）,＜0.52m/s（负荷65kg）,＜0.64m/s（负荷100kg）；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10、符合GB 21976.2-2012《建筑火灾逃生避难器材 第2部分：逃生缓降器》标准，符合GA413-2003《救生缓降器》标准要求；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11、具有永久性标志及产品数据标识。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消防过滤式自救呼吸器</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6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符合GB21976.7-2012《建筑火灾逃生避难器材第7部分过滤式消防自救呼吸器》标准要求；</w:t>
            </w:r>
          </w:p>
          <w:p>
            <w:pPr>
              <w:keepNext w:val="0"/>
              <w:keepLines w:val="0"/>
              <w:widowControl/>
              <w:numPr>
                <w:ilvl w:val="0"/>
                <w:numId w:val="6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具有耐高温、阻燃、绝缘、防腐、防水、重量轻、气密性好等性能；</w:t>
            </w:r>
          </w:p>
          <w:p>
            <w:pPr>
              <w:keepNext w:val="0"/>
              <w:keepLines w:val="0"/>
              <w:widowControl/>
              <w:numPr>
                <w:ilvl w:val="0"/>
                <w:numId w:val="6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呼吸器的佩戴质量≤1000g，视窗的透光率≥85%，防护时间＞40min，CO透过浓度≤70ml/m³；</w:t>
            </w:r>
          </w:p>
          <w:p>
            <w:pPr>
              <w:keepNext w:val="0"/>
              <w:keepLines w:val="0"/>
              <w:widowControl/>
              <w:numPr>
                <w:ilvl w:val="0"/>
                <w:numId w:val="6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烟雾透过防护性能≤5%；在防护时间内，HCN的透过浓度≤10ml/m³；在防护时间后，透过过滤装置的CO总累积≤200ml；</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5、配备液压管密封罐；</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10</w:t>
            </w:r>
            <w:r>
              <w:rPr>
                <w:rFonts w:hint="eastAsia" w:ascii="宋体" w:hAnsi="宋体" w:cs="宋体"/>
                <w:i w:val="0"/>
                <w:iCs w:val="0"/>
                <w:color w:val="auto"/>
                <w:kern w:val="0"/>
                <w:sz w:val="18"/>
                <w:szCs w:val="18"/>
                <w:u w:val="none"/>
                <w:lang w:val="en-US" w:eastAsia="zh-CN" w:bidi="ar"/>
              </w:rPr>
              <w:t>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设备支架</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eastAsia="宋体" w:cs="宋体"/>
                <w:i w:val="0"/>
                <w:iCs w:val="0"/>
                <w:color w:val="auto"/>
                <w:kern w:val="0"/>
                <w:sz w:val="18"/>
                <w:szCs w:val="18"/>
                <w:u w:val="none"/>
                <w:lang w:val="en-US" w:eastAsia="zh-CN" w:bidi="ar"/>
              </w:rPr>
              <w:t>材质：铝合金或者高强度铝合金同等强度材质；</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u w:val="none"/>
                <w:lang w:val="en-US" w:eastAsia="zh-CN" w:bidi="ar"/>
              </w:rPr>
              <w:t>展开最高工作高度：≥2m；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★3、最大工作负荷：≥160kg；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4、</w:t>
            </w:r>
            <w:r>
              <w:rPr>
                <w:rFonts w:hint="eastAsia" w:ascii="宋体" w:hAnsi="宋体" w:eastAsia="宋体" w:cs="宋体"/>
                <w:i w:val="0"/>
                <w:iCs w:val="0"/>
                <w:color w:val="auto"/>
                <w:kern w:val="0"/>
                <w:sz w:val="18"/>
                <w:szCs w:val="18"/>
                <w:u w:val="none"/>
                <w:lang w:val="en-US" w:eastAsia="zh-CN" w:bidi="ar"/>
              </w:rPr>
              <w:t>重量：≤30kg（包含绞盘及附件）；</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5、安全载重：≥1T；</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6、钢缆（绞盘）：≥30M；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7、完全展开：≥240cm；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8、阻断力：≥500kg；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9、完全收缩：≥137cm；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11、符合救援三脚架 XF3009-2020标准。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医药急救箱</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65"/>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含13cm丁字开口器，14cm止血钳、镊子、普通手术剪、电子体温计、注射针筒（50ml、20ml、5ml）各1个；纱布、绷带、医用胶带、棉签各</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2包；乳胶止血带、压舌板、听诊器、电子血压计、三角巾、烧伤敷料、急救毯各1个；、一次性乳胶手套5双；骨夹板1包（内含4块）；瞳孔笔1个。</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消防专用救生衣</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eastAsia="宋体" w:cs="宋体"/>
                <w:i w:val="0"/>
                <w:iCs w:val="0"/>
                <w:color w:val="auto"/>
                <w:kern w:val="0"/>
                <w:sz w:val="18"/>
                <w:szCs w:val="18"/>
                <w:u w:val="none"/>
                <w:lang w:val="en-US" w:eastAsia="zh-CN" w:bidi="ar"/>
              </w:rPr>
              <w:t>腰部两侧设计≥2组梯型扣，尼龙织带调整松紧≥2cm，底部尼龙带≥4cm加固；</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u w:val="none"/>
                <w:lang w:val="en-US" w:eastAsia="zh-CN" w:bidi="ar"/>
              </w:rPr>
              <w:t>面料采用同等或优于方形针织压力点和1680D材质的尼龙面料；</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3、</w:t>
            </w:r>
            <w:r>
              <w:rPr>
                <w:rFonts w:hint="eastAsia" w:ascii="宋体" w:hAnsi="宋体" w:eastAsia="宋体" w:cs="宋体"/>
                <w:i w:val="0"/>
                <w:iCs w:val="0"/>
                <w:color w:val="auto"/>
                <w:kern w:val="0"/>
                <w:sz w:val="18"/>
                <w:szCs w:val="18"/>
                <w:u w:val="none"/>
                <w:lang w:val="en-US" w:eastAsia="zh-CN" w:bidi="ar"/>
              </w:rPr>
              <w:t>采用背心式设计，胸襟采用塑钢开口拉链，并使用塑料拉头浮力片固定于布料夹层内，后领口增加手提式松紧提拉带设计，方便于携带；</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4、环绕胸部设置一条多功能腰带，前胸是设置PFD自救装置，后背部设有牵引绳连接拉环，拉环拉绳破断力≥1200kg；</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5</w:t>
            </w:r>
            <w:r>
              <w:rPr>
                <w:rFonts w:hint="eastAsia" w:ascii="宋体" w:hAnsi="宋体" w:eastAsia="宋体" w:cs="宋体"/>
                <w:i w:val="0"/>
                <w:iCs w:val="0"/>
                <w:color w:val="auto"/>
                <w:kern w:val="0"/>
                <w:sz w:val="18"/>
                <w:szCs w:val="18"/>
                <w:u w:val="none"/>
                <w:lang w:val="en-US" w:eastAsia="zh-CN" w:bidi="ar"/>
              </w:rPr>
              <w:t>、强度：救生衣衣身能承受≥3250N的作用力≥30min而不损坏。肩部能承受≥900N的作用力≥30min而不损坏，裆带与救生衣衣体之间能承受≥900N的作用力而不发生脱离或损坏；</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6</w:t>
            </w:r>
            <w:r>
              <w:rPr>
                <w:rFonts w:hint="eastAsia" w:ascii="宋体" w:hAnsi="宋体" w:eastAsia="宋体" w:cs="宋体"/>
                <w:i w:val="0"/>
                <w:iCs w:val="0"/>
                <w:color w:val="auto"/>
                <w:kern w:val="0"/>
                <w:sz w:val="18"/>
                <w:szCs w:val="18"/>
                <w:u w:val="none"/>
                <w:lang w:val="en-US" w:eastAsia="zh-CN" w:bidi="ar"/>
              </w:rPr>
              <w:t>、面料断裂强度：经向≥3400N，纬向≥2700N。缚带断裂强度≥9000N，快脱带断裂强度≥4000N；</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7</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活饵快卸系统：环绕胸部腰带一条，宽5~6cm的尼龙或优于该材质的织带，使用不锈钢日型环或优于该材质的材料及塑钢或优于该材质的材料固定，拉环上配置一根快速牵引绳，可以固定于肩部，不影响救援动作；</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8</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正面配置2个大容量排水网布构成的置物袋（可拆卸式），肩部配置一个对讲机口袋（可拆卸式），后背同时也增加一个大容量置物袋（可拆卸式）；</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9</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多个前置挂点的设计方便使用者在使用和固定刀、口哨时都方便快捷；</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10</w:t>
            </w:r>
            <w:r>
              <w:rPr>
                <w:rFonts w:hint="eastAsia" w:ascii="宋体" w:hAnsi="宋体" w:eastAsia="宋体" w:cs="宋体"/>
                <w:i w:val="0"/>
                <w:iCs w:val="0"/>
                <w:color w:val="auto"/>
                <w:kern w:val="0"/>
                <w:sz w:val="18"/>
                <w:szCs w:val="18"/>
                <w:u w:val="none"/>
                <w:lang w:val="en-US" w:eastAsia="zh-CN" w:bidi="ar"/>
              </w:rPr>
              <w:t>、前后面缝制≥1m的3m反光条，下摆部带有连接点，用于连接腿带固定带，以防水流水浪将救生衣冲脱；</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11</w:t>
            </w:r>
            <w:r>
              <w:rPr>
                <w:rFonts w:hint="eastAsia" w:ascii="宋体" w:hAnsi="宋体" w:eastAsia="宋体" w:cs="宋体"/>
                <w:i w:val="0"/>
                <w:iCs w:val="0"/>
                <w:color w:val="auto"/>
                <w:kern w:val="0"/>
                <w:sz w:val="18"/>
                <w:szCs w:val="18"/>
                <w:u w:val="none"/>
                <w:lang w:val="en-US" w:eastAsia="zh-CN" w:bidi="ar"/>
              </w:rPr>
              <w:t>、为急流救援型救生衣浮力≥205N，浮力损失≤0.95%；</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eastAsia" w:ascii="宋体" w:hAnsi="宋体" w:eastAsia="宋体" w:cs="宋体"/>
                <w:i w:val="0"/>
                <w:iCs w:val="0"/>
                <w:color w:val="auto"/>
                <w:kern w:val="0"/>
                <w:sz w:val="18"/>
                <w:szCs w:val="18"/>
                <w:u w:val="none"/>
                <w:lang w:val="en-US" w:eastAsia="zh-CN" w:bidi="ar"/>
              </w:rPr>
              <w:t>每件救生衣配有细索系牢的示位灯≥1只；</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、救生衣所有金属附件经≥48h中性盐雾试验后，无明显腐蚀现象；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14</w:t>
            </w:r>
            <w:r>
              <w:rPr>
                <w:rFonts w:hint="eastAsia" w:ascii="宋体" w:hAnsi="宋体" w:eastAsia="宋体" w:cs="宋体"/>
                <w:i w:val="0"/>
                <w:iCs w:val="0"/>
                <w:color w:val="auto"/>
                <w:kern w:val="0"/>
                <w:sz w:val="18"/>
                <w:szCs w:val="18"/>
                <w:u w:val="none"/>
                <w:lang w:val="en-US" w:eastAsia="zh-CN" w:bidi="ar"/>
              </w:rPr>
              <w:t>、水中姿态：人员穿着救生衣以任意方式下水后，在自由漂浮状态下，人嘴能高出面≥180mm以上；</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cs="宋体"/>
                <w:i w:val="0"/>
                <w:iCs w:val="0"/>
                <w:color w:val="auto"/>
                <w:kern w:val="0"/>
                <w:sz w:val="18"/>
                <w:szCs w:val="18"/>
                <w:u w:val="none"/>
                <w:lang w:val="en-US" w:eastAsia="zh-CN" w:bidi="ar"/>
              </w:rPr>
              <w:t>15</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6</w:t>
            </w:r>
            <w:r>
              <w:rPr>
                <w:rFonts w:hint="eastAsia" w:ascii="宋体" w:hAnsi="宋体" w:cs="宋体"/>
                <w:i w:val="0"/>
                <w:iCs w:val="0"/>
                <w:color w:val="auto"/>
                <w:kern w:val="0"/>
                <w:sz w:val="18"/>
                <w:szCs w:val="18"/>
                <w:u w:val="none"/>
                <w:lang w:val="en-US" w:eastAsia="zh-CN" w:bidi="ar"/>
              </w:rPr>
              <w:t>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消防头盔</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66"/>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消防头盔应由帽壳、缓冲层、舒适衬垫、佩戴装置、面罩、披肩等组成，可含有头盔滑轨配置；具有永久性标志及产品数据标识；</w:t>
            </w:r>
          </w:p>
          <w:p>
            <w:pPr>
              <w:keepNext w:val="0"/>
              <w:keepLines w:val="0"/>
              <w:widowControl/>
              <w:numPr>
                <w:ilvl w:val="0"/>
                <w:numId w:val="6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应具备防砸、防尖锐物品冲击、耐热、耐燃烧、电绝缘等性能；</w:t>
            </w:r>
          </w:p>
          <w:p>
            <w:pPr>
              <w:keepNext w:val="0"/>
              <w:keepLines w:val="0"/>
              <w:widowControl/>
              <w:numPr>
                <w:ilvl w:val="0"/>
                <w:numId w:val="6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最大冲击力：≥3410.1N；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3.1、帽顶部：最大冲击速度≥129.8GN；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3.2、帽前部：最大冲击速度≥309.5GN；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3.3、加速度＞150GN，其持续时间≥5.1ms；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3.4、加速度＞200GN，其持续时间≥2.2ms；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3.5、帽侧部：最大冲击速度≥319.6GN；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3.6、加速度＞150GN，其持续时间≥5.0ms；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3.7、加速度＞200GN，其持续时间≥2.1ms；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3.8、帽后部最大冲击速度≥318.7GN；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 xml:space="preserve">  </w:t>
            </w:r>
            <w:r>
              <w:rPr>
                <w:rFonts w:hint="eastAsia" w:ascii="宋体" w:hAnsi="宋体" w:eastAsia="宋体" w:cs="宋体"/>
                <w:i w:val="0"/>
                <w:iCs w:val="0"/>
                <w:color w:val="auto"/>
                <w:kern w:val="0"/>
                <w:sz w:val="18"/>
                <w:szCs w:val="18"/>
                <w:u w:val="none"/>
                <w:lang w:val="en-US" w:eastAsia="zh-CN" w:bidi="ar"/>
              </w:rPr>
              <w:t>3.9、加速度＞150GN，其持续时间≥5.2ms；3.10、加速度＞200GN，其持续时间≥2.2ms；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4、损毁长度：≤8.4mm，无熔融滴落现象；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5、涂层附着牢度：连续洗涤≥10次无涂层脱离现象；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6、热稳定性：≥5min，260℃±6℃变化率：无明显变化；</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7、符合XF44-2015 《消防头盔》标准。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13</w:t>
            </w:r>
            <w:r>
              <w:rPr>
                <w:rFonts w:hint="eastAsia" w:ascii="宋体" w:hAnsi="宋体" w:cs="宋体"/>
                <w:i w:val="0"/>
                <w:iCs w:val="0"/>
                <w:color w:val="auto"/>
                <w:kern w:val="0"/>
                <w:sz w:val="18"/>
                <w:szCs w:val="18"/>
                <w:u w:val="none"/>
                <w:lang w:val="en-US" w:eastAsia="zh-CN" w:bidi="ar"/>
              </w:rPr>
              <w:t>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便携式防爆照明灯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67"/>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额定功率：≥3w；</w:t>
            </w:r>
          </w:p>
          <w:p>
            <w:pPr>
              <w:keepNext w:val="0"/>
              <w:keepLines w:val="0"/>
              <w:widowControl/>
              <w:numPr>
                <w:ilvl w:val="0"/>
                <w:numId w:val="6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电池额定容量≥1800mAh；</w:t>
            </w:r>
          </w:p>
          <w:p>
            <w:pPr>
              <w:keepNext w:val="0"/>
              <w:keepLines w:val="0"/>
              <w:widowControl/>
              <w:numPr>
                <w:ilvl w:val="0"/>
                <w:numId w:val="6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电池使用寿命≥1000循环次；</w:t>
            </w:r>
          </w:p>
          <w:p>
            <w:pPr>
              <w:keepNext w:val="0"/>
              <w:keepLines w:val="0"/>
              <w:widowControl/>
              <w:numPr>
                <w:ilvl w:val="0"/>
                <w:numId w:val="6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连续工作时间：强光≥5h，弱光≥10h；</w:t>
            </w:r>
          </w:p>
          <w:p>
            <w:pPr>
              <w:keepNext w:val="0"/>
              <w:keepLines w:val="0"/>
              <w:widowControl/>
              <w:numPr>
                <w:ilvl w:val="0"/>
                <w:numId w:val="6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充电时间（电池耗尽后）：≤6h；</w:t>
            </w:r>
          </w:p>
          <w:p>
            <w:pPr>
              <w:keepNext w:val="0"/>
              <w:keepLines w:val="0"/>
              <w:widowControl/>
              <w:numPr>
                <w:ilvl w:val="0"/>
                <w:numId w:val="6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直径：≤24mm；</w:t>
            </w:r>
          </w:p>
          <w:p>
            <w:pPr>
              <w:keepNext w:val="0"/>
              <w:keepLines w:val="0"/>
              <w:widowControl/>
              <w:numPr>
                <w:ilvl w:val="0"/>
                <w:numId w:val="6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长度：≤121mm；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★8、强光亮度：≥500lux；</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9、</w:t>
            </w:r>
            <w:r>
              <w:rPr>
                <w:rFonts w:hint="eastAsia" w:ascii="宋体" w:hAnsi="宋体" w:eastAsia="宋体" w:cs="宋体"/>
                <w:i w:val="0"/>
                <w:iCs w:val="0"/>
                <w:color w:val="auto"/>
                <w:kern w:val="0"/>
                <w:sz w:val="18"/>
                <w:szCs w:val="18"/>
                <w:u w:val="none"/>
                <w:lang w:val="en-US" w:eastAsia="zh-CN" w:bidi="ar"/>
              </w:rPr>
              <w:t>弱光亮度：≥250lux；</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10、重量：≤120g；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★11、应符合GB30734-2014《消防员照明灯具》标准要求；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12、防护等级：IP68。</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12</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438"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消防安全腰带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★1、必须符合国家XF494-2004《消防用防坠落装备》标准要求；</w:t>
            </w:r>
          </w:p>
          <w:p>
            <w:pPr>
              <w:keepNext w:val="0"/>
              <w:keepLines w:val="0"/>
              <w:widowControl/>
              <w:numPr>
                <w:ilvl w:val="0"/>
                <w:numId w:val="6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由织带、带扣、D型环和移动板等组成；</w:t>
            </w:r>
          </w:p>
          <w:p>
            <w:pPr>
              <w:keepNext w:val="0"/>
              <w:keepLines w:val="0"/>
              <w:widowControl/>
              <w:numPr>
                <w:ilvl w:val="0"/>
                <w:numId w:val="6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织带：尼龙66等材质或优于该材质，织带为整根，不应有接缝，具有一定硬度，规格宽≥70mm*厚≥2.5mm，末端收尾为整烫圆弧型；具有永久性标志及产品数据标识；</w:t>
            </w:r>
          </w:p>
          <w:p>
            <w:pPr>
              <w:keepNext w:val="0"/>
              <w:keepLines w:val="0"/>
              <w:widowControl/>
              <w:numPr>
                <w:ilvl w:val="0"/>
                <w:numId w:val="6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设计负荷：≥1.3kN；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5、重量：≤0.9kg；</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10</w:t>
            </w:r>
            <w:r>
              <w:rPr>
                <w:rFonts w:hint="eastAsia" w:ascii="宋体" w:hAnsi="宋体" w:cs="宋体"/>
                <w:i w:val="0"/>
                <w:iCs w:val="0"/>
                <w:color w:val="auto"/>
                <w:kern w:val="0"/>
                <w:sz w:val="18"/>
                <w:szCs w:val="18"/>
                <w:u w:val="none"/>
                <w:lang w:val="en-US" w:eastAsia="zh-CN" w:bidi="ar"/>
              </w:rPr>
              <w:t>条</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护膝护肘</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68"/>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产品外层采用强度高、韧性好、耐磨的PVC、TPR（热塑性弹性材料）、TPU（热塑性聚氨酯弹性体材料）等高分子材料制成；</w:t>
            </w:r>
          </w:p>
          <w:p>
            <w:pPr>
              <w:keepNext w:val="0"/>
              <w:keepLines w:val="0"/>
              <w:widowControl/>
              <w:numPr>
                <w:ilvl w:val="0"/>
                <w:numId w:val="6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内层采用无毒、防水、抗冲击性好、轻便的缓冲材料；</w:t>
            </w:r>
          </w:p>
          <w:p>
            <w:pPr>
              <w:keepNext w:val="0"/>
              <w:keepLines w:val="0"/>
              <w:widowControl/>
              <w:numPr>
                <w:ilvl w:val="0"/>
                <w:numId w:val="6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固定装置可以调节。包括护膝1对、护肘1对；</w:t>
            </w:r>
          </w:p>
          <w:p>
            <w:pPr>
              <w:keepNext w:val="0"/>
              <w:keepLines w:val="0"/>
              <w:widowControl/>
              <w:numPr>
                <w:ilvl w:val="0"/>
                <w:numId w:val="6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固定装置卡扣式调节式，耐磨性能≥2000次；</w:t>
            </w:r>
          </w:p>
          <w:p>
            <w:pPr>
              <w:keepNext w:val="0"/>
              <w:keepLines w:val="0"/>
              <w:widowControl/>
              <w:numPr>
                <w:ilvl w:val="0"/>
                <w:numId w:val="6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颜色为黑色；</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10</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309"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消防员呼救器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★1、符合现行GB27900-2011《消防员呼救器》标准的要求，防爆性能符合GB3836.1标准的要求。</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允许静止时间：30s±2s；预报警时间：15s±2s；</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3</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预报警声级强度：≥80dB；报警声级强度：≥100dB，低电压告警声级强度：≥65dB；</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4、连续工作时间：连续开机时间：≥24h，连续报警使用时间≥10h；</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13</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方位灯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★1、技术性能符合GB27899-2011《消防员方位灯》要求；</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肉眼可视距离为≥4800m，在300m~500m范围内对水及雨雾有极强的穿透能力；</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3</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连续工作时间达≥100h；</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4</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外壳防护等级：IP68；</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5、应具有防爆、防水、耐腐蚀等性能，防爆性能应符合GB3836.1的规定；</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13</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消防通用安全绳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★1、符合XF494-2004《消防用防坠落装备》标准要求和应急管理部消防救援局统型标准要求，主承重部位由连续纤维等材料或优于该材质的材料制成，表面无任何机械损伤划痕，整绳粗细均匀，结构一致；</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2、负载≥1.33kN，安全绳直径9.5mm~10.5mm，长度≥100m，破断强度≥20kN，延伸率不小于1%且不大于10%；经204℃±5℃的高温不出现融熔、焦化现象；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安全绳上标注长度、直径、抗拉强度等信息的固定标签；</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4、绳索端部为绳环结构，缝线扎缝≥50mm，在扎缝处热封，并包以裹紧的橡胶或塑料套管；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根</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消防轻型安全绳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★1、应符合国家XF494-2004《消防用防坠落装备》标准要求，具有国家消防装备质量监督检验中心的检验报告和应急管理部消防产品合格评定中心的认证证书；</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2、</w:t>
            </w:r>
            <w:r>
              <w:rPr>
                <w:rFonts w:hint="eastAsia" w:ascii="宋体" w:hAnsi="宋体" w:eastAsia="宋体" w:cs="宋体"/>
                <w:i w:val="0"/>
                <w:iCs w:val="0"/>
                <w:color w:val="auto"/>
                <w:kern w:val="0"/>
                <w:sz w:val="18"/>
                <w:szCs w:val="18"/>
                <w:u w:val="none"/>
                <w:lang w:val="en-US" w:eastAsia="zh-CN" w:bidi="ar"/>
              </w:rPr>
              <w:t>直径：10mm~12mm；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长度：≤20m；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4、</w:t>
            </w:r>
            <w:r>
              <w:rPr>
                <w:rFonts w:hint="eastAsia" w:ascii="宋体" w:hAnsi="宋体" w:eastAsia="宋体" w:cs="宋体"/>
                <w:i w:val="0"/>
                <w:iCs w:val="0"/>
                <w:color w:val="auto"/>
                <w:kern w:val="0"/>
                <w:sz w:val="18"/>
                <w:szCs w:val="18"/>
                <w:u w:val="none"/>
                <w:lang w:val="en-US" w:eastAsia="zh-CN" w:bidi="ar"/>
              </w:rPr>
              <w:t>破断强度：≥24kN；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5</w:t>
            </w:r>
            <w:r>
              <w:rPr>
                <w:rFonts w:hint="eastAsia" w:ascii="宋体" w:hAnsi="宋体" w:eastAsia="宋体" w:cs="宋体"/>
                <w:i w:val="0"/>
                <w:iCs w:val="0"/>
                <w:color w:val="auto"/>
                <w:kern w:val="0"/>
                <w:sz w:val="18"/>
                <w:szCs w:val="18"/>
                <w:u w:val="none"/>
                <w:lang w:val="en-US" w:eastAsia="zh-CN" w:bidi="ar"/>
              </w:rPr>
              <w:t>、延伸率：当承重达到破断强度的≤10%时，安全绳的延伸率≤3%；</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6、耐高温性能：经（204±5）℃耐高温性能试验后，未出现熔融、焦化现象；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13</w:t>
            </w:r>
            <w:r>
              <w:rPr>
                <w:rFonts w:hint="eastAsia" w:ascii="宋体" w:hAnsi="宋体" w:cs="宋体"/>
                <w:i w:val="0"/>
                <w:iCs w:val="0"/>
                <w:color w:val="auto"/>
                <w:kern w:val="0"/>
                <w:sz w:val="18"/>
                <w:szCs w:val="18"/>
                <w:u w:val="none"/>
                <w:lang w:val="en-US" w:eastAsia="zh-CN" w:bidi="ar"/>
              </w:rPr>
              <w:t>根</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r>
              <w:rPr>
                <w:rFonts w:hint="eastAsia" w:ascii="宋体" w:hAnsi="宋体" w:cs="宋体"/>
                <w:i w:val="0"/>
                <w:iCs w:val="0"/>
                <w:color w:val="FF0000"/>
                <w:kern w:val="0"/>
                <w:sz w:val="18"/>
                <w:szCs w:val="18"/>
                <w:u w:val="none"/>
                <w:lang w:val="en-US" w:eastAsia="zh-CN" w:bidi="ar"/>
              </w:rPr>
              <w:t>该项参数中要求的：第1项，投标时潜在供应商可不提供该项（</w:t>
            </w:r>
            <w:r>
              <w:rPr>
                <w:rFonts w:hint="eastAsia" w:ascii="宋体" w:hAnsi="宋体" w:eastAsia="宋体" w:cs="宋体"/>
                <w:i w:val="0"/>
                <w:iCs w:val="0"/>
                <w:color w:val="FF0000"/>
                <w:kern w:val="0"/>
                <w:sz w:val="18"/>
                <w:szCs w:val="18"/>
                <w:u w:val="none"/>
                <w:lang w:val="en-US" w:eastAsia="zh-CN" w:bidi="ar"/>
              </w:rPr>
              <w:t>国家消防装备质量监督检验中心的检验报告和应急管理部消防产品合格评定中心的认证证书</w:t>
            </w:r>
            <w:r>
              <w:rPr>
                <w:rFonts w:hint="eastAsia" w:ascii="宋体" w:hAnsi="宋体" w:cs="宋体"/>
                <w:i w:val="0"/>
                <w:iCs w:val="0"/>
                <w:color w:val="FF0000"/>
                <w:kern w:val="0"/>
                <w:sz w:val="18"/>
                <w:szCs w:val="18"/>
                <w:u w:val="none"/>
                <w:lang w:val="en-US" w:eastAsia="zh-CN" w:bidi="ar"/>
              </w:rPr>
              <w:t>），若中标后，供货时必须提供该项要求，若不提供视为放弃中标资格还应承担相应的违约责任。</w:t>
            </w: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消防腰斧</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★1、符合XF630-2006《消防腰斧》要求；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2、</w:t>
            </w:r>
            <w:r>
              <w:rPr>
                <w:rFonts w:hint="eastAsia" w:ascii="宋体" w:hAnsi="宋体" w:eastAsia="宋体" w:cs="宋体"/>
                <w:i w:val="0"/>
                <w:iCs w:val="0"/>
                <w:color w:val="auto"/>
                <w:kern w:val="0"/>
                <w:sz w:val="18"/>
                <w:szCs w:val="18"/>
                <w:u w:val="none"/>
                <w:lang w:val="en-US" w:eastAsia="zh-CN" w:bidi="ar"/>
              </w:rPr>
              <w:t>消防腰斧斧头连同斧柄应用整块金属材料制成。斧头一侧为斧刃，另一侧设有钳口，钳口上端为尖锥形，斧面上设有不同规格六方孔，斧刃内侧与斧颈呈倒U字形；</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3、消防腰斧的平刃、柄刃和斧柄轴线须在同一水平平面上，各部分应对称于该平面；</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4、斧柄外包裹绝缘层，斧柄套应热压在斧柄上，粘结应牢靠、不松动。斧柄下端安装有刀子、锯子、尺子；</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★5、具有锯、割、砍砸、钳、撬、量等多种功能，生产经过淬火；</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6、</w:t>
            </w:r>
            <w:r>
              <w:rPr>
                <w:rFonts w:hint="eastAsia" w:ascii="宋体" w:hAnsi="宋体" w:eastAsia="宋体" w:cs="宋体"/>
                <w:i w:val="0"/>
                <w:iCs w:val="0"/>
                <w:color w:val="auto"/>
                <w:kern w:val="0"/>
                <w:sz w:val="18"/>
                <w:szCs w:val="18"/>
                <w:u w:val="none"/>
                <w:lang w:val="en-US" w:eastAsia="zh-CN" w:bidi="ar"/>
              </w:rPr>
              <w:t>外观：腰斧各刃部应抛光，其表面粗糙度Ra值≤7μm。腰斧金属表面平整光洁，无裂痕、毛刺、凹痕、缺损或有害杂质等缺陷，涂漆部分不应有流痕、气泡；具有永久性标志及产品数据标识；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7、质量：≤1.0kg；</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309"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抢险救援头盔</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69"/>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应由帽壳、帽箍、头盔滑轨、佩戴装置及附件等构成；</w:t>
            </w:r>
          </w:p>
          <w:p>
            <w:pPr>
              <w:keepNext w:val="0"/>
              <w:keepLines w:val="0"/>
              <w:widowControl/>
              <w:numPr>
                <w:ilvl w:val="0"/>
                <w:numId w:val="6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要求具有防止冲击、锐物、热辐射、火焰以及防化学泡沫腐蚀等性能；还具有优异的防紫外线功能，良好的通风性能及高舒适性；</w:t>
            </w:r>
          </w:p>
          <w:p>
            <w:pPr>
              <w:keepNext w:val="0"/>
              <w:keepLines w:val="0"/>
              <w:widowControl/>
              <w:numPr>
                <w:ilvl w:val="0"/>
                <w:numId w:val="6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帽箍可在53cm~63cm范围内自由调节；</w:t>
            </w:r>
          </w:p>
          <w:p>
            <w:pPr>
              <w:keepNext w:val="0"/>
              <w:keepLines w:val="0"/>
              <w:widowControl/>
              <w:numPr>
                <w:ilvl w:val="0"/>
                <w:numId w:val="6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全封闭防雾护目镜，镜片有超硬涂层；</w:t>
            </w:r>
          </w:p>
          <w:p>
            <w:pPr>
              <w:keepNext w:val="0"/>
              <w:keepLines w:val="0"/>
              <w:widowControl/>
              <w:numPr>
                <w:ilvl w:val="0"/>
                <w:numId w:val="6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盔体整体为红色；</w:t>
            </w:r>
          </w:p>
          <w:p>
            <w:pPr>
              <w:keepNext w:val="0"/>
              <w:keepLines w:val="0"/>
              <w:widowControl/>
              <w:numPr>
                <w:ilvl w:val="0"/>
                <w:numId w:val="6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两侧印字根据用户需求粘贴；具有永久性标志及产品数据标识；</w:t>
            </w:r>
          </w:p>
          <w:p>
            <w:pPr>
              <w:keepNext w:val="0"/>
              <w:keepLines w:val="0"/>
              <w:widowControl/>
              <w:numPr>
                <w:ilvl w:val="0"/>
                <w:numId w:val="6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字体符合部消防局统型要求；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8、符合XF633-2006《消防员抢险救援防护服装》标准。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13</w:t>
            </w:r>
            <w:r>
              <w:rPr>
                <w:rFonts w:hint="eastAsia" w:ascii="宋体" w:hAnsi="宋体" w:cs="宋体"/>
                <w:i w:val="0"/>
                <w:iCs w:val="0"/>
                <w:color w:val="auto"/>
                <w:kern w:val="0"/>
                <w:sz w:val="18"/>
                <w:szCs w:val="18"/>
                <w:u w:val="none"/>
                <w:lang w:val="en-US" w:eastAsia="zh-CN" w:bidi="ar"/>
              </w:rPr>
              <w:t>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826"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消防员灭火防火头套</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★1、符合XF869-2010《消防员灭火防护头套》标准要求；</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★2、原色纤维针织物，不应使用后染色针织物；</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头套前部和后部与防护服领口内重叠部分长度≥200mm，头套侧部与防护服领口内重叠部分长度≥130mm；面部开口与呼吸防护装具面罩边缘之间重叠部分长度≥10mm；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4、水洗后收缩率≤2.5%；</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5、损毁长度：≤100mm，续燃时间：≤2s，无熔融、滴落现象；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6、抗起球性能：≥4级；</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7、头套的质量：≤300g。≥经260℃热稳定性能试验后沿经、纬方向尺寸变化率≤10%，试样无变色、熔融和滴落现象；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8、面部开口处应具有松紧功能；</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15</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16"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消防全身式安全吊带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★1、吊带的承重：≥2.6kN；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2、</w:t>
            </w:r>
            <w:r>
              <w:rPr>
                <w:rFonts w:hint="eastAsia" w:ascii="宋体" w:hAnsi="宋体" w:eastAsia="宋体" w:cs="宋体"/>
                <w:i w:val="0"/>
                <w:iCs w:val="0"/>
                <w:color w:val="auto"/>
                <w:kern w:val="0"/>
                <w:sz w:val="18"/>
                <w:szCs w:val="18"/>
                <w:u w:val="none"/>
                <w:lang w:val="en-US" w:eastAsia="zh-CN" w:bidi="ar"/>
              </w:rPr>
              <w:t>织带宽度：45mm（±2mm)，织带厚度：1.5mm（±0.5mm)；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3、织带材料：高强涤纶丝或优于同等材质材料；</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4、安全吊带应能调节尺寸大小以适合不同体型佩戴；</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5、质量：≤2.2kg；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6、应符合XF494-2004《消防用防坠落装备》的标准要求；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手提式强光照明灯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7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符合《GB30734-2014消防员照明灯具》标准。</w:t>
            </w:r>
          </w:p>
          <w:p>
            <w:pPr>
              <w:keepNext w:val="0"/>
              <w:keepLines w:val="0"/>
              <w:widowControl/>
              <w:numPr>
                <w:ilvl w:val="0"/>
                <w:numId w:val="7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防护等级≥IP68；</w:t>
            </w:r>
          </w:p>
          <w:p>
            <w:pPr>
              <w:keepNext w:val="0"/>
              <w:keepLines w:val="0"/>
              <w:widowControl/>
              <w:numPr>
                <w:ilvl w:val="0"/>
                <w:numId w:val="7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灯具光源为LED；（1）最大功率≥9W；（2）强光平均照度值≥750lx；（3）弱光平均照度值≥350lx；</w:t>
            </w:r>
          </w:p>
          <w:p>
            <w:pPr>
              <w:keepNext w:val="0"/>
              <w:keepLines w:val="0"/>
              <w:widowControl/>
              <w:numPr>
                <w:ilvl w:val="0"/>
                <w:numId w:val="7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工作时间：（1）强光≥300 min；（2）弱光≥600min；</w:t>
            </w:r>
          </w:p>
          <w:p>
            <w:pPr>
              <w:keepNext w:val="0"/>
              <w:keepLines w:val="0"/>
              <w:widowControl/>
              <w:numPr>
                <w:ilvl w:val="0"/>
                <w:numId w:val="7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经高低温性能、交变湿热性能、高低温贮存性能试验后，灯具能正常进行开、关和强、弱光切换；</w:t>
            </w:r>
          </w:p>
          <w:p>
            <w:pPr>
              <w:keepNext w:val="0"/>
              <w:keepLines w:val="0"/>
              <w:widowControl/>
              <w:numPr>
                <w:ilvl w:val="0"/>
                <w:numId w:val="7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充电时间≤4h；</w:t>
            </w:r>
          </w:p>
          <w:p>
            <w:pPr>
              <w:keepNext w:val="0"/>
              <w:keepLines w:val="0"/>
              <w:widowControl/>
              <w:numPr>
                <w:ilvl w:val="0"/>
                <w:numId w:val="7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灯具具有静止报警模式；</w:t>
            </w:r>
          </w:p>
          <w:p>
            <w:pPr>
              <w:keepNext w:val="0"/>
              <w:keepLines w:val="0"/>
              <w:widowControl/>
              <w:numPr>
                <w:ilvl w:val="0"/>
                <w:numId w:val="7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质量≤1000 g；</w:t>
            </w:r>
          </w:p>
          <w:p>
            <w:pPr>
              <w:keepNext w:val="0"/>
              <w:keepLines w:val="0"/>
              <w:widowControl/>
              <w:numPr>
                <w:ilvl w:val="0"/>
                <w:numId w:val="7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cs="宋体"/>
                <w:i w:val="0"/>
                <w:iCs w:val="0"/>
                <w:color w:val="auto"/>
                <w:kern w:val="0"/>
                <w:sz w:val="18"/>
                <w:szCs w:val="18"/>
                <w:u w:val="none"/>
                <w:lang w:val="en-US" w:eastAsia="zh-CN" w:bidi="ar"/>
              </w:rPr>
              <w:t>10</w:t>
            </w:r>
            <w:r>
              <w:rPr>
                <w:rFonts w:hint="eastAsia" w:ascii="宋体" w:hAnsi="宋体" w:eastAsia="宋体" w:cs="宋体"/>
                <w:i w:val="0"/>
                <w:iCs w:val="0"/>
                <w:color w:val="auto"/>
                <w:kern w:val="0"/>
                <w:sz w:val="18"/>
                <w:szCs w:val="18"/>
                <w:u w:val="none"/>
                <w:lang w:val="en-US" w:eastAsia="zh-CN" w:bidi="ar"/>
              </w:rPr>
              <w:t>、整机具有第三方出具的防爆合格证。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r>
              <w:rPr>
                <w:rFonts w:hint="eastAsia" w:ascii="宋体" w:hAnsi="宋体" w:cs="宋体"/>
                <w:i w:val="0"/>
                <w:iCs w:val="0"/>
                <w:color w:val="FF0000"/>
                <w:kern w:val="0"/>
                <w:sz w:val="18"/>
                <w:szCs w:val="18"/>
                <w:u w:val="none"/>
                <w:lang w:val="en-US" w:eastAsia="zh-CN" w:bidi="ar"/>
              </w:rPr>
              <w:t>该项参数中要求的：第10项，投标时潜在供应商可不提供该项（</w:t>
            </w:r>
            <w:r>
              <w:rPr>
                <w:rFonts w:hint="eastAsia" w:ascii="宋体" w:hAnsi="宋体" w:eastAsia="宋体" w:cs="宋体"/>
                <w:i w:val="0"/>
                <w:iCs w:val="0"/>
                <w:color w:val="FF0000"/>
                <w:kern w:val="0"/>
                <w:sz w:val="18"/>
                <w:szCs w:val="18"/>
                <w:u w:val="none"/>
                <w:lang w:val="en-US" w:eastAsia="zh-CN" w:bidi="ar"/>
              </w:rPr>
              <w:t>防爆合格证</w:t>
            </w:r>
            <w:r>
              <w:rPr>
                <w:rFonts w:hint="eastAsia" w:ascii="宋体" w:hAnsi="宋体" w:cs="宋体"/>
                <w:i w:val="0"/>
                <w:iCs w:val="0"/>
                <w:color w:val="FF0000"/>
                <w:kern w:val="0"/>
                <w:sz w:val="18"/>
                <w:szCs w:val="18"/>
                <w:u w:val="none"/>
                <w:lang w:val="en-US" w:eastAsia="zh-CN" w:bidi="ar"/>
              </w:rPr>
              <w:t>），若中标后，供货时必须提供该项要求，若不提供视为放弃中标资格还应承担相应的违约责任。</w:t>
            </w:r>
          </w:p>
        </w:tc>
      </w:tr>
      <w:tr>
        <w:tblPrEx>
          <w:tblCellMar>
            <w:top w:w="0" w:type="dxa"/>
            <w:left w:w="28" w:type="dxa"/>
            <w:bottom w:w="0" w:type="dxa"/>
            <w:right w:w="28" w:type="dxa"/>
          </w:tblCellMar>
        </w:tblPrEx>
        <w:trPr>
          <w:trHeight w:val="322"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消防员防蜂服</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★1、符合XF3008-2020《消防员防蜂服》标准，由多层面料组成，连体式设计，密封性好，外层为白色；</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2、</w:t>
            </w:r>
            <w:r>
              <w:rPr>
                <w:rFonts w:hint="eastAsia" w:ascii="宋体" w:hAnsi="宋体" w:eastAsia="宋体" w:cs="宋体"/>
                <w:i w:val="0"/>
                <w:iCs w:val="0"/>
                <w:color w:val="auto"/>
                <w:kern w:val="0"/>
                <w:sz w:val="18"/>
                <w:szCs w:val="18"/>
                <w:u w:val="none"/>
                <w:lang w:val="en-US" w:eastAsia="zh-CN" w:bidi="ar"/>
              </w:rPr>
              <w:t>包含救援头盔、头罩、护目镜、服装、手套、靴子和强制送风装置；</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头罩面网由球型不锈钢网制成，头罩面纱视野大，头罩具有随头部运动而不影响安全性及视野的功能，包含头部固定和缓冲设计、眼面部防蜂蜇和蜂毒液侵袭设计、面部不碰触面罩设计，透气并视野良好；头罩面部回弹良好，连接牢固，无开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4、</w:t>
            </w:r>
            <w:r>
              <w:rPr>
                <w:rFonts w:hint="eastAsia" w:ascii="宋体" w:hAnsi="宋体" w:eastAsia="宋体" w:cs="宋体"/>
                <w:i w:val="0"/>
                <w:iCs w:val="0"/>
                <w:color w:val="auto"/>
                <w:kern w:val="0"/>
                <w:sz w:val="18"/>
                <w:szCs w:val="18"/>
                <w:u w:val="none"/>
                <w:lang w:val="en-US" w:eastAsia="zh-CN" w:bidi="ar"/>
              </w:rPr>
              <w:t>靴子电绝缘性能：击穿电压≥5000V时，泄漏电流＜3mA；</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5、整体抗穿刺性能：≥0.4N；外层面料撕破强力：≥60N；外层面料断裂强力：≥650N；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6、服装甲醛含量应符合GB18401-2010B类；</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7、手套耐切割性能：≥2N；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8、具有永久性标志及产品数据标识。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1213"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担架</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7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载重：≥120kg；</w:t>
            </w:r>
          </w:p>
          <w:p>
            <w:pPr>
              <w:keepNext w:val="0"/>
              <w:keepLines w:val="0"/>
              <w:widowControl/>
              <w:numPr>
                <w:ilvl w:val="0"/>
                <w:numId w:val="7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耐温：-20℃~45℃；</w:t>
            </w:r>
          </w:p>
          <w:p>
            <w:pPr>
              <w:keepNext w:val="0"/>
              <w:keepLines w:val="0"/>
              <w:widowControl/>
              <w:numPr>
                <w:ilvl w:val="0"/>
                <w:numId w:val="7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重量：≤11kg；</w:t>
            </w:r>
          </w:p>
          <w:p>
            <w:pPr>
              <w:keepNext w:val="0"/>
              <w:keepLines w:val="0"/>
              <w:widowControl/>
              <w:numPr>
                <w:ilvl w:val="0"/>
                <w:numId w:val="7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尺寸：2440mm*920mm（±10mm）；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5、材料：多功能担架采用特殊塑料或优于本材质；</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569"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阻车器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1.名称：阻车器</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2.材质：铝合金条活动支座</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529"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火钩</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1.名称：火钩</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止水器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7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采用有铝合金等材质制造而成；</w:t>
            </w:r>
          </w:p>
          <w:p>
            <w:pPr>
              <w:keepNext w:val="0"/>
              <w:keepLines w:val="0"/>
              <w:widowControl/>
              <w:numPr>
                <w:ilvl w:val="0"/>
                <w:numId w:val="7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工作压力：≥1.6MPa；</w:t>
            </w:r>
          </w:p>
          <w:p>
            <w:pPr>
              <w:keepNext w:val="0"/>
              <w:keepLines w:val="0"/>
              <w:widowControl/>
              <w:numPr>
                <w:ilvl w:val="0"/>
                <w:numId w:val="7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质量：≤3kg（65mm止水器）。</w:t>
            </w:r>
          </w:p>
          <w:p>
            <w:pPr>
              <w:keepNext w:val="0"/>
              <w:keepLines w:val="0"/>
              <w:widowControl/>
              <w:numPr>
                <w:ilvl w:val="0"/>
                <w:numId w:val="7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接口：应采用锻造工艺等同等工艺或优于该工艺；</w:t>
            </w:r>
          </w:p>
          <w:p>
            <w:pPr>
              <w:keepNext w:val="0"/>
              <w:keepLines w:val="0"/>
              <w:widowControl/>
              <w:numPr>
                <w:ilvl w:val="0"/>
                <w:numId w:val="7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适用介质：水、水和泡沫混合液；</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3</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409"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扳手</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cs="宋体"/>
                <w:i w:val="0"/>
                <w:iCs w:val="0"/>
                <w:color w:val="auto"/>
                <w:kern w:val="0"/>
                <w:sz w:val="18"/>
                <w:szCs w:val="18"/>
                <w:u w:val="none"/>
                <w:lang w:val="en-US" w:eastAsia="zh-CN" w:bidi="ar"/>
              </w:rPr>
              <w:t>1</w:t>
            </w:r>
            <w:r>
              <w:rPr>
                <w:rFonts w:hint="eastAsia" w:ascii="宋体" w:hAnsi="宋体" w:eastAsia="宋体" w:cs="宋体"/>
                <w:i w:val="0"/>
                <w:iCs w:val="0"/>
                <w:color w:val="auto"/>
                <w:kern w:val="0"/>
                <w:sz w:val="18"/>
                <w:szCs w:val="18"/>
                <w:u w:val="none"/>
                <w:lang w:val="en-US" w:eastAsia="zh-CN" w:bidi="ar"/>
              </w:rPr>
              <w:t>.成品采购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救生圈</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73"/>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材质：外部PE等材质，内部PU泡沫等材质；</w:t>
            </w:r>
          </w:p>
          <w:p>
            <w:pPr>
              <w:keepNext w:val="0"/>
              <w:keepLines w:val="0"/>
              <w:widowControl/>
              <w:numPr>
                <w:ilvl w:val="0"/>
                <w:numId w:val="7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外径：≥720mm；</w:t>
            </w:r>
          </w:p>
          <w:p>
            <w:pPr>
              <w:keepNext w:val="0"/>
              <w:keepLines w:val="0"/>
              <w:widowControl/>
              <w:numPr>
                <w:ilvl w:val="0"/>
                <w:numId w:val="7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内径：≥440mm；</w:t>
            </w:r>
          </w:p>
          <w:p>
            <w:pPr>
              <w:keepNext w:val="0"/>
              <w:keepLines w:val="0"/>
              <w:widowControl/>
              <w:numPr>
                <w:ilvl w:val="0"/>
                <w:numId w:val="7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厚度：≥105mm；</w:t>
            </w:r>
          </w:p>
          <w:p>
            <w:pPr>
              <w:keepNext w:val="0"/>
              <w:keepLines w:val="0"/>
              <w:widowControl/>
              <w:numPr>
                <w:ilvl w:val="0"/>
                <w:numId w:val="7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浮力：≥14.5kg；</w:t>
            </w:r>
          </w:p>
          <w:p>
            <w:pPr>
              <w:keepNext w:val="0"/>
              <w:keepLines w:val="0"/>
              <w:widowControl/>
              <w:numPr>
                <w:ilvl w:val="0"/>
                <w:numId w:val="7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重量：≤2.6kg；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铁扫把</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1.名称：铁扫把</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10</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铁艇</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eastAsia="宋体" w:cs="宋体"/>
                <w:i w:val="0"/>
                <w:iCs w:val="0"/>
                <w:color w:val="auto"/>
                <w:kern w:val="0"/>
                <w:sz w:val="18"/>
                <w:szCs w:val="18"/>
                <w:u w:val="none"/>
                <w:lang w:val="en-US" w:eastAsia="zh-CN" w:bidi="ar"/>
              </w:rPr>
              <w:t>应采用45#钢或优于本材质锻打而成，表面采用亮化处理；</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u w:val="none"/>
                <w:lang w:val="en-US" w:eastAsia="zh-CN" w:bidi="ar"/>
              </w:rPr>
              <w:t>单个净重：≤6kg；</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3、</w:t>
            </w:r>
            <w:r>
              <w:rPr>
                <w:rFonts w:hint="eastAsia" w:ascii="宋体" w:hAnsi="宋体" w:eastAsia="宋体" w:cs="宋体"/>
                <w:i w:val="0"/>
                <w:iCs w:val="0"/>
                <w:color w:val="auto"/>
                <w:kern w:val="0"/>
                <w:sz w:val="18"/>
                <w:szCs w:val="18"/>
                <w:u w:val="none"/>
                <w:lang w:val="en-US" w:eastAsia="zh-CN" w:bidi="ar"/>
              </w:rPr>
              <w:t>全长：≥900mm；</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4、</w:t>
            </w:r>
            <w:r>
              <w:rPr>
                <w:rFonts w:hint="eastAsia" w:ascii="宋体" w:hAnsi="宋体" w:eastAsia="宋体" w:cs="宋体"/>
                <w:i w:val="0"/>
                <w:iCs w:val="0"/>
                <w:color w:val="auto"/>
                <w:kern w:val="0"/>
                <w:sz w:val="18"/>
                <w:szCs w:val="18"/>
                <w:u w:val="none"/>
                <w:lang w:val="en-US" w:eastAsia="zh-CN" w:bidi="ar"/>
              </w:rPr>
              <w:t>杆体直径：≥25mm；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cs="宋体"/>
                <w:i w:val="0"/>
                <w:iCs w:val="0"/>
                <w:color w:val="auto"/>
                <w:kern w:val="0"/>
                <w:sz w:val="18"/>
                <w:szCs w:val="18"/>
                <w:u w:val="none"/>
                <w:lang w:val="en-US" w:eastAsia="zh-CN" w:bidi="ar"/>
              </w:rPr>
              <w:t>2根</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风力灭火机</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7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发动机：二冲程发动机；佩戴方式：背负式；</w:t>
            </w:r>
          </w:p>
          <w:p>
            <w:pPr>
              <w:keepNext w:val="0"/>
              <w:keepLines w:val="0"/>
              <w:widowControl/>
              <w:numPr>
                <w:ilvl w:val="0"/>
                <w:numId w:val="7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功率≥3kw；</w:t>
            </w:r>
          </w:p>
          <w:p>
            <w:pPr>
              <w:keepNext w:val="0"/>
              <w:keepLines w:val="0"/>
              <w:widowControl/>
              <w:numPr>
                <w:ilvl w:val="0"/>
                <w:numId w:val="7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重量≤15kg；</w:t>
            </w:r>
          </w:p>
          <w:p>
            <w:pPr>
              <w:keepNext w:val="0"/>
              <w:keepLines w:val="0"/>
              <w:widowControl/>
              <w:numPr>
                <w:ilvl w:val="0"/>
                <w:numId w:val="7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最大排风量≥2000m³/h；</w:t>
            </w:r>
          </w:p>
          <w:p>
            <w:pPr>
              <w:keepNext w:val="0"/>
              <w:keepLines w:val="0"/>
              <w:widowControl/>
              <w:numPr>
                <w:ilvl w:val="0"/>
                <w:numId w:val="7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手持可调节油门；</w:t>
            </w:r>
          </w:p>
          <w:p>
            <w:pPr>
              <w:keepNext w:val="0"/>
              <w:keepLines w:val="0"/>
              <w:widowControl/>
              <w:numPr>
                <w:ilvl w:val="0"/>
                <w:numId w:val="7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油箱容量≥2L；</w:t>
            </w:r>
          </w:p>
          <w:p>
            <w:pPr>
              <w:keepNext w:val="0"/>
              <w:keepLines w:val="0"/>
              <w:widowControl/>
              <w:numPr>
                <w:ilvl w:val="0"/>
                <w:numId w:val="7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连续工作时间≥70min；</w:t>
            </w:r>
          </w:p>
          <w:p>
            <w:pPr>
              <w:keepNext w:val="0"/>
              <w:keepLines w:val="0"/>
              <w:widowControl/>
              <w:numPr>
                <w:ilvl w:val="0"/>
                <w:numId w:val="7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全封闭供油管。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544" w:hRule="atLeast"/>
          <w:jc w:val="center"/>
        </w:trPr>
        <w:tc>
          <w:tcPr>
            <w:tcW w:w="9524" w:type="dxa"/>
            <w:gridSpan w:val="4"/>
            <w:tcBorders>
              <w:top w:val="single" w:color="000000" w:sz="6" w:space="0"/>
              <w:left w:val="single" w:color="000000" w:sz="8"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怀头他拉镇--基础设施维修</w:t>
            </w:r>
          </w:p>
        </w:tc>
        <w:tc>
          <w:tcPr>
            <w:tcW w:w="1234" w:type="dxa"/>
            <w:tcBorders>
              <w:top w:val="single" w:color="000000" w:sz="6" w:space="0"/>
              <w:left w:val="single" w:color="000000" w:sz="8"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屋面卷材防水</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1.SBS 改性沥青防水卷材（4mm，热熔满铺）</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2.20厚1:3水泥砂浆找平层</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auto"/>
                <w:kern w:val="0"/>
                <w:sz w:val="18"/>
                <w:szCs w:val="18"/>
                <w:lang w:val="en-US" w:eastAsia="zh-CN"/>
              </w:rPr>
            </w:pPr>
            <w:r>
              <w:rPr>
                <w:rFonts w:hint="eastAsia" w:ascii="宋体" w:hAnsi="宋体" w:eastAsia="宋体" w:cs="宋体"/>
                <w:color w:val="auto"/>
                <w:kern w:val="0"/>
                <w:sz w:val="18"/>
                <w:szCs w:val="18"/>
                <w:lang w:val="en-US" w:eastAsia="zh-CN"/>
              </w:rPr>
              <w:t>100m²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FF0000"/>
                <w:kern w:val="0"/>
                <w:sz w:val="18"/>
                <w:szCs w:val="18"/>
                <w:lang w:val="en-US" w:eastAsia="zh-CN"/>
              </w:rPr>
            </w:pPr>
          </w:p>
        </w:tc>
      </w:tr>
      <w:tr>
        <w:tblPrEx>
          <w:tblCellMar>
            <w:top w:w="0" w:type="dxa"/>
            <w:left w:w="28" w:type="dxa"/>
            <w:bottom w:w="0" w:type="dxa"/>
            <w:right w:w="28" w:type="dxa"/>
          </w:tblCellMar>
        </w:tblPrEx>
        <w:trPr>
          <w:trHeight w:val="459"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保温隔热屋面</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1.100厚BS改性防火保温板(A级)</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auto"/>
                <w:kern w:val="0"/>
                <w:sz w:val="18"/>
                <w:szCs w:val="18"/>
                <w:lang w:val="en-US" w:eastAsia="zh-CN"/>
              </w:rPr>
            </w:pPr>
            <w:r>
              <w:rPr>
                <w:rFonts w:hint="eastAsia" w:ascii="宋体" w:hAnsi="宋体" w:eastAsia="宋体" w:cs="宋体"/>
                <w:color w:val="auto"/>
                <w:kern w:val="0"/>
                <w:sz w:val="18"/>
                <w:szCs w:val="18"/>
                <w:lang w:val="en-US" w:eastAsia="zh-CN"/>
              </w:rPr>
              <w:t>100m²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FF0000"/>
                <w:kern w:val="0"/>
                <w:sz w:val="18"/>
                <w:szCs w:val="18"/>
                <w:lang w:val="en-US" w:eastAsia="zh-CN"/>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墙面一般抹灰</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青19J2-130-内38/39</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1.刷素水泥浆一道</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2.9厚1：3水泥砂浆打底扫毛</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3.5厚1：2.5水泥砂浆找平</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4.局部腻子找平</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auto"/>
                <w:kern w:val="0"/>
                <w:sz w:val="18"/>
                <w:szCs w:val="18"/>
                <w:lang w:val="zh-CN"/>
              </w:rPr>
            </w:pPr>
            <w:r>
              <w:rPr>
                <w:rFonts w:hint="eastAsia" w:ascii="宋体" w:hAnsi="宋体" w:eastAsia="宋体" w:cs="宋体"/>
                <w:color w:val="auto"/>
                <w:kern w:val="0"/>
                <w:sz w:val="18"/>
                <w:szCs w:val="18"/>
                <w:lang w:val="en-US" w:eastAsia="zh-CN"/>
              </w:rPr>
              <w:t>800m²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FF0000"/>
                <w:kern w:val="0"/>
                <w:sz w:val="18"/>
                <w:szCs w:val="18"/>
                <w:lang w:val="en-US" w:eastAsia="zh-CN"/>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抹灰面油漆</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1.喷刷涂料部位:内墙</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2.腻子种类:2遍</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3.涂料品种、喷刷遍数:乳胶漆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auto"/>
                <w:kern w:val="0"/>
                <w:sz w:val="18"/>
                <w:szCs w:val="18"/>
                <w:lang w:val="zh-CN"/>
              </w:rPr>
            </w:pPr>
            <w:r>
              <w:rPr>
                <w:rFonts w:hint="eastAsia" w:ascii="宋体" w:hAnsi="宋体" w:eastAsia="宋体" w:cs="宋体"/>
                <w:color w:val="auto"/>
                <w:kern w:val="0"/>
                <w:sz w:val="18"/>
                <w:szCs w:val="18"/>
                <w:lang w:val="en-US" w:eastAsia="zh-CN"/>
              </w:rPr>
              <w:t>800m²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FF0000"/>
                <w:kern w:val="0"/>
                <w:sz w:val="18"/>
                <w:szCs w:val="18"/>
                <w:lang w:val="en-US" w:eastAsia="zh-CN"/>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室外地坪</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1.地坪厚度:200mm厚C30混凝土</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2.基层:200mm厚水泥稳定碎石</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auto"/>
                <w:kern w:val="0"/>
                <w:sz w:val="18"/>
                <w:szCs w:val="18"/>
                <w:lang w:val="zh-CN"/>
              </w:rPr>
            </w:pPr>
            <w:r>
              <w:rPr>
                <w:rFonts w:hint="eastAsia" w:ascii="宋体" w:hAnsi="宋体" w:eastAsia="宋体" w:cs="宋体"/>
                <w:color w:val="auto"/>
                <w:kern w:val="0"/>
                <w:sz w:val="18"/>
                <w:szCs w:val="18"/>
                <w:lang w:val="en-US" w:eastAsia="zh-CN"/>
              </w:rPr>
              <w:t>500m²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FF0000"/>
                <w:kern w:val="0"/>
                <w:sz w:val="18"/>
                <w:szCs w:val="18"/>
                <w:lang w:val="en-US" w:eastAsia="zh-CN"/>
              </w:rPr>
            </w:pPr>
          </w:p>
        </w:tc>
      </w:tr>
      <w:tr>
        <w:tblPrEx>
          <w:tblCellMar>
            <w:top w:w="0" w:type="dxa"/>
            <w:left w:w="28" w:type="dxa"/>
            <w:bottom w:w="0" w:type="dxa"/>
            <w:right w:w="28" w:type="dxa"/>
          </w:tblCellMar>
        </w:tblPrEx>
        <w:trPr>
          <w:trHeight w:val="303" w:hRule="atLeast"/>
          <w:jc w:val="center"/>
        </w:trPr>
        <w:tc>
          <w:tcPr>
            <w:tcW w:w="9524" w:type="dxa"/>
            <w:gridSpan w:val="4"/>
            <w:tcBorders>
              <w:top w:val="single" w:color="000000" w:sz="6" w:space="0"/>
              <w:left w:val="single" w:color="000000" w:sz="8"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柯鲁柯镇--消防器材</w:t>
            </w:r>
          </w:p>
        </w:tc>
        <w:tc>
          <w:tcPr>
            <w:tcW w:w="1234" w:type="dxa"/>
            <w:tcBorders>
              <w:top w:val="single" w:color="000000" w:sz="6" w:space="0"/>
              <w:left w:val="single" w:color="000000" w:sz="8"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113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水罐消防车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w:t>
            </w:r>
            <w:r>
              <w:rPr>
                <w:rFonts w:hint="eastAsia" w:ascii="宋体" w:hAnsi="宋体" w:eastAsia="宋体" w:cs="宋体"/>
                <w:i w:val="0"/>
                <w:iCs w:val="0"/>
                <w:color w:val="auto"/>
                <w:kern w:val="0"/>
                <w:sz w:val="18"/>
                <w:szCs w:val="18"/>
                <w:u w:val="none"/>
                <w:lang w:val="en-US" w:eastAsia="zh-CN" w:bidi="ar"/>
              </w:rPr>
              <w:t>、底盘</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1.1</w:t>
            </w:r>
            <w:r>
              <w:rPr>
                <w:rFonts w:hint="eastAsia" w:ascii="宋体" w:hAnsi="宋体" w:eastAsia="宋体" w:cs="宋体"/>
                <w:i w:val="0"/>
                <w:iCs w:val="0"/>
                <w:color w:val="auto"/>
                <w:kern w:val="0"/>
                <w:sz w:val="18"/>
                <w:szCs w:val="18"/>
                <w:u w:val="none"/>
                <w:lang w:val="en-US" w:eastAsia="zh-CN" w:bidi="ar"/>
              </w:rPr>
              <w:t>全柴</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132马力；</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eastAsia" w:ascii="宋体" w:hAnsi="宋体" w:eastAsia="宋体" w:cs="宋体"/>
                <w:i w:val="0"/>
                <w:iCs w:val="0"/>
                <w:color w:val="auto"/>
                <w:kern w:val="0"/>
                <w:sz w:val="18"/>
                <w:szCs w:val="18"/>
                <w:u w:val="none"/>
                <w:lang w:val="en-US" w:eastAsia="zh-CN" w:bidi="ar"/>
              </w:rPr>
              <w:t>外形尺寸(mm):长:5990宽:1980高:2660；</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1.3</w:t>
            </w:r>
            <w:r>
              <w:rPr>
                <w:rFonts w:hint="eastAsia" w:ascii="宋体" w:hAnsi="宋体" w:eastAsia="宋体" w:cs="宋体"/>
                <w:i w:val="0"/>
                <w:iCs w:val="0"/>
                <w:color w:val="auto"/>
                <w:kern w:val="0"/>
                <w:sz w:val="18"/>
                <w:szCs w:val="18"/>
                <w:u w:val="none"/>
                <w:lang w:val="en-US" w:eastAsia="zh-CN" w:bidi="ar"/>
              </w:rPr>
              <w:t>排放标准:国六；</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1.4</w:t>
            </w:r>
            <w:r>
              <w:rPr>
                <w:rFonts w:hint="eastAsia" w:ascii="宋体" w:hAnsi="宋体" w:eastAsia="宋体" w:cs="宋体"/>
                <w:i w:val="0"/>
                <w:iCs w:val="0"/>
                <w:color w:val="auto"/>
                <w:kern w:val="0"/>
                <w:sz w:val="18"/>
                <w:szCs w:val="18"/>
                <w:u w:val="none"/>
                <w:lang w:val="en-US" w:eastAsia="zh-CN" w:bidi="ar"/>
              </w:rPr>
              <w:t>功率:</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97KW；</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1.5</w:t>
            </w:r>
            <w:r>
              <w:rPr>
                <w:rFonts w:hint="eastAsia" w:ascii="宋体" w:hAnsi="宋体" w:eastAsia="宋体" w:cs="宋体"/>
                <w:i w:val="0"/>
                <w:iCs w:val="0"/>
                <w:color w:val="auto"/>
                <w:kern w:val="0"/>
                <w:sz w:val="18"/>
                <w:szCs w:val="18"/>
                <w:u w:val="none"/>
                <w:lang w:val="en-US" w:eastAsia="zh-CN" w:bidi="ar"/>
              </w:rPr>
              <w:t>驱动型式:后轮驱动；轴距：3308mm</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2、</w:t>
            </w:r>
            <w:r>
              <w:rPr>
                <w:rFonts w:hint="default" w:ascii="宋体" w:hAnsi="宋体" w:eastAsia="宋体" w:cs="宋体"/>
                <w:i w:val="0"/>
                <w:iCs w:val="0"/>
                <w:color w:val="auto"/>
                <w:kern w:val="0"/>
                <w:sz w:val="18"/>
                <w:szCs w:val="18"/>
                <w:u w:val="none"/>
                <w:lang w:val="en-US" w:eastAsia="zh-CN" w:bidi="ar"/>
              </w:rPr>
              <w:t>容 罐</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1.1</w:t>
            </w:r>
            <w:r>
              <w:rPr>
                <w:rFonts w:hint="default" w:ascii="宋体" w:hAnsi="宋体" w:eastAsia="宋体" w:cs="宋体"/>
                <w:i w:val="0"/>
                <w:iCs w:val="0"/>
                <w:color w:val="auto"/>
                <w:kern w:val="0"/>
                <w:sz w:val="18"/>
                <w:szCs w:val="18"/>
                <w:u w:val="none"/>
                <w:lang w:val="en-US" w:eastAsia="zh-CN" w:bidi="ar"/>
              </w:rPr>
              <w:t>容量:水:2000Kg</w:t>
            </w:r>
            <w:r>
              <w:rPr>
                <w:rFonts w:hint="eastAsia" w:ascii="宋体" w:hAnsi="宋体" w:eastAsia="宋体" w:cs="宋体"/>
                <w:i w:val="0"/>
                <w:iCs w:val="0"/>
                <w:color w:val="auto"/>
                <w:kern w:val="0"/>
                <w:sz w:val="18"/>
                <w:szCs w:val="18"/>
                <w:u w:val="none"/>
                <w:lang w:val="en-US" w:eastAsia="zh-CN" w:bidi="ar"/>
              </w:rPr>
              <w:t>；</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default" w:ascii="宋体" w:hAnsi="宋体" w:eastAsia="宋体" w:cs="宋体"/>
                <w:i w:val="0"/>
                <w:iCs w:val="0"/>
                <w:color w:val="auto"/>
                <w:kern w:val="0"/>
                <w:sz w:val="18"/>
                <w:szCs w:val="18"/>
                <w:u w:val="none"/>
                <w:lang w:val="en-US" w:eastAsia="zh-CN" w:bidi="ar"/>
              </w:rPr>
              <w:t>材质:水罐:优质碳钢</w:t>
            </w:r>
            <w:r>
              <w:rPr>
                <w:rFonts w:hint="eastAsia" w:ascii="宋体" w:hAnsi="宋体" w:eastAsia="宋体" w:cs="宋体"/>
                <w:i w:val="0"/>
                <w:iCs w:val="0"/>
                <w:color w:val="auto"/>
                <w:kern w:val="0"/>
                <w:sz w:val="18"/>
                <w:szCs w:val="18"/>
                <w:u w:val="none"/>
                <w:lang w:val="en-US" w:eastAsia="zh-CN" w:bidi="ar"/>
              </w:rPr>
              <w:t>；</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1.3</w:t>
            </w:r>
            <w:r>
              <w:rPr>
                <w:rFonts w:hint="default" w:ascii="宋体" w:hAnsi="宋体" w:eastAsia="宋体" w:cs="宋体"/>
                <w:i w:val="0"/>
                <w:iCs w:val="0"/>
                <w:color w:val="auto"/>
                <w:kern w:val="0"/>
                <w:sz w:val="18"/>
                <w:szCs w:val="18"/>
                <w:u w:val="none"/>
                <w:lang w:val="en-US" w:eastAsia="zh-CN" w:bidi="ar"/>
              </w:rPr>
              <w:t>结构:框架焊接,内设防荡板</w:t>
            </w:r>
            <w:r>
              <w:rPr>
                <w:rFonts w:hint="eastAsia" w:ascii="宋体" w:hAnsi="宋体" w:eastAsia="宋体" w:cs="宋体"/>
                <w:i w:val="0"/>
                <w:iCs w:val="0"/>
                <w:color w:val="auto"/>
                <w:kern w:val="0"/>
                <w:sz w:val="18"/>
                <w:szCs w:val="18"/>
                <w:u w:val="none"/>
                <w:lang w:val="en-US" w:eastAsia="zh-CN" w:bidi="ar"/>
              </w:rPr>
              <w:t>；</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1.4</w:t>
            </w:r>
            <w:r>
              <w:rPr>
                <w:rFonts w:hint="default" w:ascii="宋体" w:hAnsi="宋体" w:eastAsia="宋体" w:cs="宋体"/>
                <w:i w:val="0"/>
                <w:iCs w:val="0"/>
                <w:color w:val="auto"/>
                <w:kern w:val="0"/>
                <w:sz w:val="18"/>
                <w:szCs w:val="18"/>
                <w:u w:val="none"/>
                <w:lang w:val="en-US" w:eastAsia="zh-CN" w:bidi="ar"/>
              </w:rPr>
              <w:t>设备:1个人口孔，带有快速锁紧及开启装置</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1个液位指示器</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1个排污口，带不锈钢球阀</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2个注水口(左右各一)</w:t>
            </w:r>
            <w:r>
              <w:rPr>
                <w:rFonts w:hint="eastAsia" w:ascii="宋体" w:hAnsi="宋体" w:eastAsia="宋体" w:cs="宋体"/>
                <w:i w:val="0"/>
                <w:iCs w:val="0"/>
                <w:color w:val="auto"/>
                <w:kern w:val="0"/>
                <w:sz w:val="18"/>
                <w:szCs w:val="18"/>
                <w:u w:val="none"/>
                <w:lang w:val="en-US" w:eastAsia="zh-CN" w:bidi="ar"/>
              </w:rPr>
              <w:t>。</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消防泵及管路系统</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1.1</w:t>
            </w:r>
            <w:r>
              <w:rPr>
                <w:rFonts w:hint="eastAsia" w:ascii="宋体" w:hAnsi="宋体" w:eastAsia="宋体" w:cs="宋体"/>
                <w:i w:val="0"/>
                <w:iCs w:val="0"/>
                <w:color w:val="auto"/>
                <w:kern w:val="0"/>
                <w:sz w:val="18"/>
                <w:szCs w:val="18"/>
                <w:u w:val="none"/>
                <w:lang w:val="en-US" w:eastAsia="zh-CN" w:bidi="ar"/>
              </w:rPr>
              <w:t>消防泵：CB10/20常压消防泵；</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eastAsia" w:ascii="宋体" w:hAnsi="宋体" w:eastAsia="宋体" w:cs="宋体"/>
                <w:i w:val="0"/>
                <w:iCs w:val="0"/>
                <w:color w:val="auto"/>
                <w:kern w:val="0"/>
                <w:sz w:val="18"/>
                <w:szCs w:val="18"/>
                <w:u w:val="none"/>
                <w:lang w:val="en-US" w:eastAsia="zh-CN" w:bidi="ar"/>
              </w:rPr>
              <w:t>流量:常压</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20L/s；</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1.3</w:t>
            </w:r>
            <w:r>
              <w:rPr>
                <w:rFonts w:hint="eastAsia" w:ascii="宋体" w:hAnsi="宋体" w:eastAsia="宋体" w:cs="宋体"/>
                <w:i w:val="0"/>
                <w:iCs w:val="0"/>
                <w:color w:val="auto"/>
                <w:kern w:val="0"/>
                <w:sz w:val="18"/>
                <w:szCs w:val="18"/>
                <w:u w:val="none"/>
                <w:lang w:val="en-US" w:eastAsia="zh-CN" w:bidi="ar"/>
              </w:rPr>
              <w:t>压力:常压</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1.0；</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1.4</w:t>
            </w:r>
            <w:r>
              <w:rPr>
                <w:rFonts w:hint="eastAsia" w:ascii="宋体" w:hAnsi="宋体" w:eastAsia="宋体" w:cs="宋体"/>
                <w:i w:val="0"/>
                <w:iCs w:val="0"/>
                <w:color w:val="auto"/>
                <w:kern w:val="0"/>
                <w:sz w:val="18"/>
                <w:szCs w:val="18"/>
                <w:u w:val="none"/>
                <w:lang w:val="en-US" w:eastAsia="zh-CN" w:bidi="ar"/>
              </w:rPr>
              <w:t>安装型式:后置 管路系统：</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1.5</w:t>
            </w:r>
            <w:r>
              <w:rPr>
                <w:rFonts w:hint="eastAsia" w:ascii="宋体" w:hAnsi="宋体" w:eastAsia="宋体" w:cs="宋体"/>
                <w:i w:val="0"/>
                <w:iCs w:val="0"/>
                <w:color w:val="auto"/>
                <w:kern w:val="0"/>
                <w:sz w:val="18"/>
                <w:szCs w:val="18"/>
                <w:u w:val="none"/>
                <w:lang w:val="en-US" w:eastAsia="zh-CN" w:bidi="ar"/>
              </w:rPr>
              <w:t>吸水管路:水泵设有</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Φ100mm 进水口，可从天然水源吸水或从液罐吸水。</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1.6</w:t>
            </w:r>
            <w:r>
              <w:rPr>
                <w:rFonts w:hint="eastAsia" w:ascii="宋体" w:hAnsi="宋体" w:eastAsia="宋体" w:cs="宋体"/>
                <w:i w:val="0"/>
                <w:iCs w:val="0"/>
                <w:color w:val="auto"/>
                <w:kern w:val="0"/>
                <w:sz w:val="18"/>
                <w:szCs w:val="18"/>
                <w:u w:val="none"/>
                <w:lang w:val="en-US" w:eastAsia="zh-CN" w:bidi="ar"/>
              </w:rPr>
              <w:t>出水管路:两侧各1个出水口;通过罐到罐顶部有1个直径≥89mm的水炮管路;</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1.7</w:t>
            </w:r>
            <w:r>
              <w:rPr>
                <w:rFonts w:hint="eastAsia" w:ascii="宋体" w:hAnsi="宋体" w:eastAsia="宋体" w:cs="宋体"/>
                <w:i w:val="0"/>
                <w:iCs w:val="0"/>
                <w:color w:val="auto"/>
                <w:kern w:val="0"/>
                <w:sz w:val="18"/>
                <w:szCs w:val="18"/>
                <w:u w:val="none"/>
                <w:lang w:val="en-US" w:eastAsia="zh-CN" w:bidi="ar"/>
              </w:rPr>
              <w:t>放余水管路:为保护水泵及各球阀，在管路中加装了放余水管路，并分别配有球阀。</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1.8</w:t>
            </w:r>
            <w:r>
              <w:rPr>
                <w:rFonts w:hint="eastAsia" w:ascii="宋体" w:hAnsi="宋体" w:eastAsia="宋体" w:cs="宋体"/>
                <w:i w:val="0"/>
                <w:iCs w:val="0"/>
                <w:color w:val="auto"/>
                <w:kern w:val="0"/>
                <w:sz w:val="18"/>
                <w:szCs w:val="18"/>
                <w:u w:val="none"/>
                <w:lang w:val="en-US" w:eastAsia="zh-CN" w:bidi="ar"/>
              </w:rPr>
              <w:t>冷却水管路:为使取力器在工作中应付各种复杂情况，管路中配有一冷却水管路进出水管路中配不锈钢球阀。</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4</w:t>
            </w:r>
            <w:r>
              <w:rPr>
                <w:rFonts w:hint="eastAsia" w:ascii="宋体" w:hAnsi="宋体" w:eastAsia="宋体" w:cs="宋体"/>
                <w:i w:val="0"/>
                <w:iCs w:val="0"/>
                <w:color w:val="auto"/>
                <w:kern w:val="0"/>
                <w:sz w:val="18"/>
                <w:szCs w:val="18"/>
                <w:u w:val="none"/>
                <w:lang w:val="en-US" w:eastAsia="zh-CN" w:bidi="ar"/>
              </w:rPr>
              <w:t>、消防炮</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1.1</w:t>
            </w:r>
            <w:r>
              <w:rPr>
                <w:rFonts w:hint="eastAsia" w:ascii="宋体" w:hAnsi="宋体" w:eastAsia="宋体" w:cs="宋体"/>
                <w:i w:val="0"/>
                <w:iCs w:val="0"/>
                <w:color w:val="auto"/>
                <w:kern w:val="0"/>
                <w:sz w:val="18"/>
                <w:szCs w:val="18"/>
                <w:u w:val="none"/>
                <w:lang w:val="en-US" w:eastAsia="zh-CN" w:bidi="ar"/>
              </w:rPr>
              <w:t>型消防炮；流量≥20 (L/s)，引水时间≤50s（吸深7m时）；</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eastAsia" w:ascii="宋体" w:hAnsi="宋体" w:eastAsia="宋体" w:cs="宋体"/>
                <w:i w:val="0"/>
                <w:iCs w:val="0"/>
                <w:color w:val="auto"/>
                <w:kern w:val="0"/>
                <w:sz w:val="18"/>
                <w:szCs w:val="18"/>
                <w:u w:val="none"/>
                <w:lang w:val="en-US" w:eastAsia="zh-CN" w:bidi="ar"/>
              </w:rPr>
              <w:t>射程:水≥48m；压力:1.0MPa</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14、</w:t>
            </w:r>
            <w:r>
              <w:rPr>
                <w:rFonts w:hint="eastAsia" w:ascii="宋体" w:hAnsi="宋体" w:eastAsia="宋体" w:cs="宋体"/>
                <w:i w:val="0"/>
                <w:iCs w:val="0"/>
                <w:color w:val="auto"/>
                <w:kern w:val="0"/>
                <w:sz w:val="18"/>
                <w:szCs w:val="18"/>
                <w:u w:val="none"/>
                <w:lang w:val="en-US" w:eastAsia="zh-CN" w:bidi="ar"/>
              </w:rPr>
              <w:t>取力器</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1.1</w:t>
            </w:r>
            <w:r>
              <w:rPr>
                <w:rFonts w:hint="eastAsia" w:ascii="宋体" w:hAnsi="宋体" w:eastAsia="宋体" w:cs="宋体"/>
                <w:i w:val="0"/>
                <w:iCs w:val="0"/>
                <w:color w:val="auto"/>
                <w:kern w:val="0"/>
                <w:sz w:val="18"/>
                <w:szCs w:val="18"/>
                <w:u w:val="none"/>
                <w:lang w:val="en-US" w:eastAsia="zh-CN" w:bidi="ar"/>
              </w:rPr>
              <w:t>型式:全功率夹心取力器；</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eastAsia" w:ascii="宋体" w:hAnsi="宋体" w:eastAsia="宋体" w:cs="宋体"/>
                <w:i w:val="0"/>
                <w:iCs w:val="0"/>
                <w:color w:val="auto"/>
                <w:kern w:val="0"/>
                <w:sz w:val="18"/>
                <w:szCs w:val="18"/>
                <w:u w:val="none"/>
                <w:lang w:val="en-US" w:eastAsia="zh-CN" w:bidi="ar"/>
              </w:rPr>
              <w:t>冷却方式:强制式水冷；</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1.3</w:t>
            </w:r>
            <w:r>
              <w:rPr>
                <w:rFonts w:hint="eastAsia" w:ascii="宋体" w:hAnsi="宋体" w:eastAsia="宋体" w:cs="宋体"/>
                <w:i w:val="0"/>
                <w:iCs w:val="0"/>
                <w:color w:val="auto"/>
                <w:kern w:val="0"/>
                <w:sz w:val="18"/>
                <w:szCs w:val="18"/>
                <w:u w:val="none"/>
                <w:lang w:val="en-US" w:eastAsia="zh-CN" w:bidi="ar"/>
              </w:rPr>
              <w:t>润滑方式:飞溅式油润滑</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5</w:t>
            </w:r>
            <w:r>
              <w:rPr>
                <w:rFonts w:hint="eastAsia" w:ascii="宋体" w:hAnsi="宋体" w:eastAsia="宋体" w:cs="宋体"/>
                <w:i w:val="0"/>
                <w:iCs w:val="0"/>
                <w:color w:val="auto"/>
                <w:kern w:val="0"/>
                <w:sz w:val="18"/>
                <w:szCs w:val="18"/>
                <w:u w:val="none"/>
                <w:lang w:val="en-US" w:eastAsia="zh-CN" w:bidi="ar"/>
              </w:rPr>
              <w:t>、器材箱及泵房</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1.1</w:t>
            </w:r>
            <w:r>
              <w:rPr>
                <w:rFonts w:hint="eastAsia" w:ascii="宋体" w:hAnsi="宋体" w:eastAsia="宋体" w:cs="宋体"/>
                <w:i w:val="0"/>
                <w:iCs w:val="0"/>
                <w:color w:val="auto"/>
                <w:kern w:val="0"/>
                <w:sz w:val="18"/>
                <w:szCs w:val="18"/>
                <w:u w:val="none"/>
                <w:lang w:val="en-US" w:eastAsia="zh-CN" w:bidi="ar"/>
              </w:rPr>
              <w:t>材质:骨架为优质钢,蒙板为碳钢板焊接结构；</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eastAsia" w:ascii="宋体" w:hAnsi="宋体" w:eastAsia="宋体" w:cs="宋体"/>
                <w:i w:val="0"/>
                <w:iCs w:val="0"/>
                <w:color w:val="auto"/>
                <w:kern w:val="0"/>
                <w:sz w:val="18"/>
                <w:szCs w:val="18"/>
                <w:u w:val="none"/>
                <w:lang w:val="en-US" w:eastAsia="zh-CN" w:bidi="ar"/>
              </w:rPr>
              <w:t>结构:器材箱内分隔采用型钢结构，牢固可靠，提高空间利用率和可变性。</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1.3</w:t>
            </w:r>
            <w:r>
              <w:rPr>
                <w:rFonts w:hint="eastAsia" w:ascii="宋体" w:hAnsi="宋体" w:eastAsia="宋体" w:cs="宋体"/>
                <w:i w:val="0"/>
                <w:iCs w:val="0"/>
                <w:color w:val="auto"/>
                <w:kern w:val="0"/>
                <w:sz w:val="18"/>
                <w:szCs w:val="18"/>
                <w:u w:val="none"/>
                <w:lang w:val="en-US" w:eastAsia="zh-CN" w:bidi="ar"/>
              </w:rPr>
              <w:t>开门:器材箱左右两侧均有铝合金卷帘门，轻便可靠、噪音小。</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6</w:t>
            </w:r>
            <w:r>
              <w:rPr>
                <w:rFonts w:hint="default" w:ascii="宋体" w:hAnsi="宋体" w:eastAsia="宋体" w:cs="宋体"/>
                <w:i w:val="0"/>
                <w:iCs w:val="0"/>
                <w:color w:val="auto"/>
                <w:kern w:val="0"/>
                <w:sz w:val="18"/>
                <w:szCs w:val="18"/>
                <w:u w:val="none"/>
                <w:lang w:val="en-US" w:eastAsia="zh-CN" w:bidi="ar"/>
              </w:rPr>
              <w:t>、电器系统</w:t>
            </w:r>
            <w:r>
              <w:rPr>
                <w:rFonts w:hint="eastAsia" w:ascii="宋体" w:hAnsi="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车顶前面采用长排警灯(位于驾驶室前顶端);车顶后配有 24V、60W照明灯1只</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车辆两侧上方配有爆闪灯;下方安装侧标志灯</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警报器功率为100W:警报器、警灯、爆闪灯电路为独立式附加电路,控制器件安装在驾驶室内。</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7</w:t>
            </w:r>
            <w:r>
              <w:rPr>
                <w:rFonts w:hint="default" w:ascii="宋体" w:hAnsi="宋体" w:eastAsia="宋体" w:cs="宋体"/>
                <w:i w:val="0"/>
                <w:iCs w:val="0"/>
                <w:color w:val="auto"/>
                <w:kern w:val="0"/>
                <w:sz w:val="18"/>
                <w:szCs w:val="18"/>
                <w:u w:val="none"/>
                <w:lang w:val="en-US" w:eastAsia="zh-CN" w:bidi="ar"/>
              </w:rPr>
              <w:t>、总体技术要求</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default"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.1</w:t>
            </w:r>
            <w:r>
              <w:rPr>
                <w:rFonts w:hint="default" w:ascii="宋体" w:hAnsi="宋体" w:eastAsia="宋体" w:cs="宋体"/>
                <w:i w:val="0"/>
                <w:iCs w:val="0"/>
                <w:color w:val="auto"/>
                <w:kern w:val="0"/>
                <w:sz w:val="18"/>
                <w:szCs w:val="18"/>
                <w:u w:val="none"/>
                <w:lang w:val="en-US" w:eastAsia="zh-CN" w:bidi="ar"/>
              </w:rPr>
              <w:t>、整车性能符合 GB7956《消防车性能要求及试验方法》的规定。</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w:t>
            </w:r>
            <w:r>
              <w:rPr>
                <w:rFonts w:hint="default" w:ascii="宋体" w:hAnsi="宋体" w:eastAsia="宋体" w:cs="宋体"/>
                <w:i w:val="0"/>
                <w:iCs w:val="0"/>
                <w:color w:val="auto"/>
                <w:kern w:val="0"/>
                <w:sz w:val="18"/>
                <w:szCs w:val="18"/>
                <w:u w:val="none"/>
                <w:lang w:val="en-US" w:eastAsia="zh-CN" w:bidi="ar"/>
              </w:rPr>
              <w:t>2、整车外观保持一定的平整度，且符合有关规定。</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w:t>
            </w:r>
            <w:r>
              <w:rPr>
                <w:rFonts w:hint="default" w:ascii="宋体" w:hAnsi="宋体" w:eastAsia="宋体" w:cs="宋体"/>
                <w:i w:val="0"/>
                <w:iCs w:val="0"/>
                <w:color w:val="auto"/>
                <w:kern w:val="0"/>
                <w:sz w:val="18"/>
                <w:szCs w:val="18"/>
                <w:u w:val="none"/>
                <w:lang w:val="en-US" w:eastAsia="zh-CN" w:bidi="ar"/>
              </w:rPr>
              <w:t>3、所有铆接保持一定的密度，符合企标规定。</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w:t>
            </w:r>
            <w:r>
              <w:rPr>
                <w:rFonts w:hint="default" w:ascii="宋体" w:hAnsi="宋体" w:eastAsia="宋体" w:cs="宋体"/>
                <w:i w:val="0"/>
                <w:iCs w:val="0"/>
                <w:color w:val="auto"/>
                <w:kern w:val="0"/>
                <w:sz w:val="18"/>
                <w:szCs w:val="18"/>
                <w:u w:val="none"/>
                <w:lang w:val="en-US" w:eastAsia="zh-CN" w:bidi="ar"/>
              </w:rPr>
              <w:t>4、所有焊接牢固，光洁，平整，符合企标规定。</w:t>
            </w:r>
          </w:p>
          <w:p>
            <w:pPr>
              <w:keepNext w:val="0"/>
              <w:keepLines w:val="0"/>
              <w:widowControl/>
              <w:suppressLineNumbers w:val="0"/>
              <w:jc w:val="left"/>
              <w:textAlignment w:val="center"/>
              <w:rPr>
                <w:rFonts w:hint="eastAsia"/>
                <w:color w:val="auto"/>
                <w:lang w:val="zh-CN"/>
              </w:rPr>
            </w:pPr>
            <w:r>
              <w:rPr>
                <w:rFonts w:hint="eastAsia" w:ascii="宋体" w:hAnsi="宋体" w:cs="宋体"/>
                <w:i w:val="0"/>
                <w:iCs w:val="0"/>
                <w:color w:val="auto"/>
                <w:kern w:val="0"/>
                <w:sz w:val="18"/>
                <w:szCs w:val="18"/>
                <w:u w:val="none"/>
                <w:lang w:val="en-US" w:eastAsia="zh-CN" w:bidi="ar"/>
              </w:rPr>
              <w:t>1.</w:t>
            </w:r>
            <w:r>
              <w:rPr>
                <w:rFonts w:hint="default" w:ascii="宋体" w:hAnsi="宋体" w:eastAsia="宋体" w:cs="宋体"/>
                <w:i w:val="0"/>
                <w:iCs w:val="0"/>
                <w:color w:val="auto"/>
                <w:kern w:val="0"/>
                <w:sz w:val="18"/>
                <w:szCs w:val="18"/>
                <w:u w:val="none"/>
                <w:lang w:val="en-US" w:eastAsia="zh-CN" w:bidi="ar"/>
              </w:rPr>
              <w:t>5、所有操作开关、仪表、器材架及车辆均有符合规范的铭牌标志。</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1辆</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越野型抢险救援车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1.皮卡抢险救援车辆，车厢 为箱体设计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2.实现功能： 警灯警示、AC220V 发电供电、逆变电源、360 度可旋 转照明、自救、抢险等功能</w:t>
            </w:r>
          </w:p>
          <w:p>
            <w:pPr>
              <w:keepNext w:val="0"/>
              <w:keepLines w:val="0"/>
              <w:widowControl/>
              <w:suppressLineNumbers w:val="0"/>
              <w:jc w:val="left"/>
              <w:textAlignment w:val="center"/>
              <w:rPr>
                <w:rFonts w:hint="eastAsia" w:ascii="宋体" w:hAnsi="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w:t>
            </w:r>
            <w:r>
              <w:rPr>
                <w:rFonts w:hint="eastAsia" w:ascii="宋体" w:hAnsi="宋体" w:cs="宋体"/>
                <w:i w:val="0"/>
                <w:iCs w:val="0"/>
                <w:color w:val="auto"/>
                <w:kern w:val="0"/>
                <w:sz w:val="18"/>
                <w:szCs w:val="18"/>
                <w:u w:val="none"/>
                <w:lang w:val="en-US" w:eastAsia="zh-CN" w:bidi="ar"/>
              </w:rPr>
              <w:t>发动机：</w:t>
            </w:r>
            <w:r>
              <w:rPr>
                <w:rFonts w:hint="default" w:ascii="Arial" w:hAnsi="Arial" w:cs="Arial"/>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238马力</w:t>
            </w:r>
          </w:p>
          <w:p>
            <w:pPr>
              <w:keepNext w:val="0"/>
              <w:keepLines w:val="0"/>
              <w:widowControl/>
              <w:suppressLineNumbers w:val="0"/>
              <w:jc w:val="left"/>
              <w:textAlignment w:val="center"/>
              <w:rPr>
                <w:rFonts w:hint="eastAsia"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4.燃油类型：汽油</w:t>
            </w:r>
          </w:p>
          <w:p>
            <w:pPr>
              <w:keepNext w:val="0"/>
              <w:keepLines w:val="0"/>
              <w:widowControl/>
              <w:suppressLineNumbers w:val="0"/>
              <w:jc w:val="left"/>
              <w:textAlignment w:val="center"/>
              <w:rPr>
                <w:rFonts w:hint="eastAsia"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5.功率：</w:t>
            </w:r>
            <w:r>
              <w:rPr>
                <w:rFonts w:hint="default" w:ascii="Arial" w:hAnsi="Arial" w:cs="Arial"/>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175KW，轴距：3110mm，轮胎：245/70R16</w:t>
            </w:r>
          </w:p>
          <w:p>
            <w:pPr>
              <w:rPr>
                <w:rFonts w:hint="eastAsia"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6.外形尺寸（mm）：长：5340，宽：1940，高：2090</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cs="宋体"/>
                <w:i w:val="0"/>
                <w:iCs w:val="0"/>
                <w:color w:val="auto"/>
                <w:kern w:val="0"/>
                <w:sz w:val="18"/>
                <w:szCs w:val="18"/>
                <w:u w:val="none"/>
                <w:lang w:val="en-US" w:eastAsia="zh-CN" w:bidi="ar"/>
              </w:rPr>
              <w:t>7.驾驶室：双排座驾驶室，座位设置2+3人，配置设备：一键启动，前排普通三点式安全带，后排中间两点式两边三点式安全带，刹车辅助，倒车雷达，发动机防盗，定速巡航</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1辆</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180" w:firstLineChars="100"/>
              <w:jc w:val="left"/>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180" w:firstLineChars="100"/>
              <w:jc w:val="left"/>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right="0"/>
              <w:jc w:val="left"/>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正压式空气呼吸器</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75"/>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产品符合XF 124-2013《正压式消防空气呼吸器》标准；</w:t>
            </w:r>
          </w:p>
          <w:p>
            <w:pPr>
              <w:keepNext w:val="0"/>
              <w:keepLines w:val="0"/>
              <w:widowControl/>
              <w:numPr>
                <w:ilvl w:val="0"/>
                <w:numId w:val="7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背具、背具带、带扣、气瓶防护套、全面罩、导气管、供气阀以上配件的续燃时间均≤0s;整机气密性能：在气密性试验后压力表指示值在1min内的下降为0MPa；</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*3、佩戴质量≤15kg；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*4、动态呼吸阻力：气瓶压力在30MPa-2MPa呼吸量40*2.5L/min时；（1）吸气阻力≤450Pa；（2）呼气阻力≤900Pa；</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5、</w:t>
            </w:r>
            <w:r>
              <w:rPr>
                <w:rFonts w:hint="eastAsia" w:ascii="宋体" w:hAnsi="宋体" w:eastAsia="宋体" w:cs="宋体"/>
                <w:i w:val="0"/>
                <w:iCs w:val="0"/>
                <w:color w:val="auto"/>
                <w:kern w:val="0"/>
                <w:sz w:val="18"/>
                <w:szCs w:val="18"/>
                <w:u w:val="none"/>
                <w:lang w:val="en-US" w:eastAsia="zh-CN" w:bidi="ar"/>
              </w:rPr>
              <w:t>全面罩性能：（1）总视野保留率≥75%；（2）双目视野保留率≥ 65%；（3）下方视野≥ 35°；</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*6、机械压力表或电子压力表，外壳有橡胶防护套，黑暗条件下可读数，当从呼吸器上拆下压力表和连接管后，在20MPa压力下，压力表漏气量≤18L/min；</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7、</w:t>
            </w:r>
            <w:r>
              <w:rPr>
                <w:rFonts w:hint="eastAsia" w:ascii="宋体" w:hAnsi="宋体" w:eastAsia="宋体" w:cs="宋体"/>
                <w:i w:val="0"/>
                <w:iCs w:val="0"/>
                <w:color w:val="auto"/>
                <w:kern w:val="0"/>
                <w:sz w:val="18"/>
                <w:szCs w:val="18"/>
                <w:u w:val="none"/>
                <w:lang w:val="en-US" w:eastAsia="zh-CN" w:bidi="ar"/>
              </w:rPr>
              <w:t>压力平视显示装置：HUD装置的开启和关闭可以通过气瓶阀的开启和关闭自动实现；显示装置气源指示灯≥3个，根据压力指示灯产生变化；防护等级：≥IP67；</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8、</w:t>
            </w:r>
            <w:r>
              <w:rPr>
                <w:rFonts w:hint="eastAsia" w:ascii="宋体" w:hAnsi="宋体" w:eastAsia="宋体" w:cs="宋体"/>
                <w:i w:val="0"/>
                <w:iCs w:val="0"/>
                <w:color w:val="auto"/>
                <w:kern w:val="0"/>
                <w:sz w:val="18"/>
                <w:szCs w:val="18"/>
                <w:u w:val="none"/>
                <w:lang w:val="en-US" w:eastAsia="zh-CN" w:bidi="ar"/>
              </w:rPr>
              <w:t>供气阀与面罩可连接，面罩可去雾、除霜，面罩上设置传声装置，同时要求提供与甲方匹配的手持电台（包括但不限于海能达、摩托罗拉等）连接线；</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9、</w:t>
            </w:r>
            <w:r>
              <w:rPr>
                <w:rFonts w:hint="eastAsia" w:ascii="宋体" w:hAnsi="宋体" w:eastAsia="宋体" w:cs="宋体"/>
                <w:i w:val="0"/>
                <w:iCs w:val="0"/>
                <w:color w:val="auto"/>
                <w:kern w:val="0"/>
                <w:sz w:val="18"/>
                <w:szCs w:val="18"/>
                <w:u w:val="none"/>
                <w:lang w:val="en-US" w:eastAsia="zh-CN" w:bidi="ar"/>
              </w:rPr>
              <w:t>头罩为凯夫拉材质或者同等材质；</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10、</w:t>
            </w:r>
            <w:r>
              <w:rPr>
                <w:rFonts w:hint="eastAsia" w:ascii="宋体" w:hAnsi="宋体" w:eastAsia="宋体" w:cs="宋体"/>
                <w:i w:val="0"/>
                <w:iCs w:val="0"/>
                <w:color w:val="auto"/>
                <w:kern w:val="0"/>
                <w:sz w:val="18"/>
                <w:szCs w:val="18"/>
                <w:u w:val="none"/>
                <w:lang w:val="en-US" w:eastAsia="zh-CN" w:bidi="ar"/>
              </w:rPr>
              <w:t>气瓶阀开关侧置；</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11、</w:t>
            </w:r>
            <w:r>
              <w:rPr>
                <w:rFonts w:hint="eastAsia" w:ascii="宋体" w:hAnsi="宋体" w:eastAsia="宋体" w:cs="宋体"/>
                <w:i w:val="0"/>
                <w:iCs w:val="0"/>
                <w:color w:val="auto"/>
                <w:kern w:val="0"/>
                <w:sz w:val="18"/>
                <w:szCs w:val="18"/>
                <w:u w:val="none"/>
                <w:lang w:val="en-US" w:eastAsia="zh-CN" w:bidi="ar"/>
              </w:rPr>
              <w:t>气瓶上有压力表；</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12、</w:t>
            </w:r>
            <w:r>
              <w:rPr>
                <w:rFonts w:hint="eastAsia" w:ascii="宋体" w:hAnsi="宋体" w:eastAsia="宋体" w:cs="宋体"/>
                <w:i w:val="0"/>
                <w:iCs w:val="0"/>
                <w:color w:val="auto"/>
                <w:kern w:val="0"/>
                <w:sz w:val="18"/>
                <w:szCs w:val="18"/>
                <w:u w:val="none"/>
                <w:lang w:val="en-US" w:eastAsia="zh-CN" w:bidi="ar"/>
              </w:rPr>
              <w:t>气瓶保护罩按甲方要求印刷丝网印、单位名称；</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13、</w:t>
            </w:r>
            <w:r>
              <w:rPr>
                <w:rFonts w:hint="eastAsia" w:ascii="宋体" w:hAnsi="宋体" w:eastAsia="宋体" w:cs="宋体"/>
                <w:i w:val="0"/>
                <w:iCs w:val="0"/>
                <w:color w:val="auto"/>
                <w:kern w:val="0"/>
                <w:sz w:val="18"/>
                <w:szCs w:val="18"/>
                <w:u w:val="none"/>
                <w:lang w:val="en-US" w:eastAsia="zh-CN" w:bidi="ar"/>
              </w:rPr>
              <w:t>颜色：藏蓝色；</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14、</w:t>
            </w:r>
            <w:r>
              <w:rPr>
                <w:rFonts w:hint="eastAsia" w:ascii="宋体" w:hAnsi="宋体" w:eastAsia="宋体" w:cs="宋体"/>
                <w:i w:val="0"/>
                <w:iCs w:val="0"/>
                <w:color w:val="auto"/>
                <w:kern w:val="0"/>
                <w:sz w:val="18"/>
                <w:szCs w:val="18"/>
                <w:u w:val="none"/>
                <w:lang w:val="en-US" w:eastAsia="zh-CN" w:bidi="ar"/>
              </w:rPr>
              <w:t>碳纤维复合气瓶，容积9L，气瓶爆破压力≥102Mpa；瓶阀有防误关手轮；</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15、</w:t>
            </w:r>
            <w:r>
              <w:rPr>
                <w:rFonts w:hint="eastAsia" w:ascii="宋体" w:hAnsi="宋体" w:eastAsia="宋体" w:cs="宋体"/>
                <w:i w:val="0"/>
                <w:iCs w:val="0"/>
                <w:color w:val="auto"/>
                <w:kern w:val="0"/>
                <w:sz w:val="18"/>
                <w:szCs w:val="18"/>
                <w:u w:val="none"/>
                <w:lang w:val="en-US" w:eastAsia="zh-CN" w:bidi="ar"/>
              </w:rPr>
              <w:t>配有快速充气装置：当相同公称容积的气瓶之间对充时，气瓶压力平衡时间≤1min；</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16、</w:t>
            </w:r>
            <w:r>
              <w:rPr>
                <w:rFonts w:hint="eastAsia" w:ascii="宋体" w:hAnsi="宋体" w:eastAsia="宋体" w:cs="宋体"/>
                <w:i w:val="0"/>
                <w:iCs w:val="0"/>
                <w:color w:val="auto"/>
                <w:kern w:val="0"/>
                <w:sz w:val="18"/>
                <w:szCs w:val="18"/>
                <w:u w:val="none"/>
                <w:lang w:val="en-US" w:eastAsia="zh-CN" w:bidi="ar"/>
              </w:rPr>
              <w:t>远距离通话装置：在无障碍的情况下，通话距离≥1km；</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17、</w:t>
            </w:r>
            <w:r>
              <w:rPr>
                <w:rFonts w:hint="eastAsia" w:ascii="宋体" w:hAnsi="宋体" w:eastAsia="宋体" w:cs="宋体"/>
                <w:i w:val="0"/>
                <w:iCs w:val="0"/>
                <w:color w:val="auto"/>
                <w:kern w:val="0"/>
                <w:sz w:val="18"/>
                <w:szCs w:val="18"/>
                <w:u w:val="none"/>
                <w:lang w:val="en-US" w:eastAsia="zh-CN" w:bidi="ar"/>
              </w:rPr>
              <w:t>配有他救接管及快速充气接管，正压式空气呼吸器/快速充气接管配比数量:5/1（按照支队级单位购置数量进行配比，配比后剩余正压式空气呼吸器不足5具的，须补配一根）；</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18、具有永久性标志及产品数据标识；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6</w:t>
            </w:r>
            <w:r>
              <w:rPr>
                <w:rFonts w:hint="eastAsia" w:ascii="宋体" w:hAnsi="宋体" w:cs="宋体"/>
                <w:i w:val="0"/>
                <w:iCs w:val="0"/>
                <w:color w:val="auto"/>
                <w:kern w:val="0"/>
                <w:sz w:val="18"/>
                <w:szCs w:val="18"/>
                <w:u w:val="none"/>
                <w:lang w:val="en-US" w:eastAsia="zh-CN" w:bidi="ar"/>
              </w:rPr>
              <w:t>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right="0"/>
              <w:jc w:val="left"/>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right="0"/>
              <w:jc w:val="left"/>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手持对讲机</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76"/>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产品组成：由锂电池组、壳体、按键、显示屏及内部电路板、天线等组成；</w:t>
            </w:r>
          </w:p>
          <w:p>
            <w:pPr>
              <w:keepNext w:val="0"/>
              <w:keepLines w:val="0"/>
              <w:widowControl/>
              <w:numPr>
                <w:ilvl w:val="0"/>
                <w:numId w:val="7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工作频率为：350MHz—400 MHz</w:t>
            </w:r>
          </w:p>
          <w:p>
            <w:pPr>
              <w:keepNext w:val="0"/>
              <w:keepLines w:val="0"/>
              <w:widowControl/>
              <w:numPr>
                <w:ilvl w:val="0"/>
                <w:numId w:val="7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3、锂电池组容量：≥3000 mAh；</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4、</w:t>
            </w:r>
            <w:r>
              <w:rPr>
                <w:rFonts w:hint="eastAsia" w:ascii="宋体" w:hAnsi="宋体" w:eastAsia="宋体" w:cs="宋体"/>
                <w:i w:val="0"/>
                <w:iCs w:val="0"/>
                <w:color w:val="auto"/>
                <w:kern w:val="0"/>
                <w:sz w:val="18"/>
                <w:szCs w:val="18"/>
                <w:u w:val="none"/>
                <w:lang w:val="en-US" w:eastAsia="zh-CN" w:bidi="ar"/>
              </w:rPr>
              <w:t>防护等级≥IP68；</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5、发射功率≤3.5 W；</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6、误码率≤5%，重量≤400g;屏幕尺寸≥1.8In；信道容量≥1024个</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 带键盘、紧急报警按键，LCD彩色显示屏。支持数字集群、数字常规、模拟集群、模拟常规，DMR协议,AMBE++、NVOC声码器，带漫游和降噪功能。</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8、配防爆锂电池1块，配套充电器、皮带夹、背夹、充电头；提供骨传导、喉部发生器、肩咪等多种外接设备接口。</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10、整机具有第三方出具的防爆合格证和防护等级报告。</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11、具有《无线电发射设备型号核准证》。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10</w:t>
            </w:r>
            <w:r>
              <w:rPr>
                <w:rFonts w:hint="eastAsia" w:ascii="宋体" w:hAnsi="宋体" w:cs="宋体"/>
                <w:i w:val="0"/>
                <w:iCs w:val="0"/>
                <w:color w:val="auto"/>
                <w:kern w:val="0"/>
                <w:sz w:val="18"/>
                <w:szCs w:val="18"/>
                <w:u w:val="none"/>
                <w:lang w:val="en-US" w:eastAsia="zh-CN" w:bidi="ar"/>
              </w:rPr>
              <w:t>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r>
              <w:rPr>
                <w:rFonts w:hint="eastAsia" w:ascii="宋体" w:hAnsi="宋体" w:cs="宋体"/>
                <w:i w:val="0"/>
                <w:iCs w:val="0"/>
                <w:color w:val="FF0000"/>
                <w:kern w:val="0"/>
                <w:sz w:val="18"/>
                <w:szCs w:val="18"/>
                <w:u w:val="none"/>
                <w:lang w:val="en-US" w:eastAsia="zh-CN" w:bidi="ar"/>
              </w:rPr>
              <w:t>该项参数中要求的：第11项，投标时潜在供应商可不提供该项《无线电发射设备型号核准证》，若中标后，供货时必须提供该项要求，若不提供视为放弃中标资格还应承担相应的违约责任。</w:t>
            </w: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直流水枪</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77"/>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符合GB8181-2005《消防水枪》标准要求； </w:t>
            </w:r>
          </w:p>
          <w:p>
            <w:pPr>
              <w:keepNext w:val="0"/>
              <w:keepLines w:val="0"/>
              <w:widowControl/>
              <w:numPr>
                <w:ilvl w:val="0"/>
                <w:numId w:val="7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材质：铝合金；</w:t>
            </w:r>
          </w:p>
          <w:p>
            <w:pPr>
              <w:keepNext w:val="0"/>
              <w:keepLines w:val="0"/>
              <w:widowControl/>
              <w:numPr>
                <w:ilvl w:val="0"/>
                <w:numId w:val="7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进水口口径65mm；（1）射程≥28m；（2）最大流量≥7L/s；（3）质量≤2Kg； </w:t>
            </w:r>
          </w:p>
          <w:p>
            <w:pPr>
              <w:keepNext w:val="0"/>
              <w:keepLines w:val="0"/>
              <w:widowControl/>
              <w:numPr>
                <w:ilvl w:val="0"/>
                <w:numId w:val="7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操作力矩≤8N.m；</w:t>
            </w:r>
          </w:p>
          <w:p>
            <w:pPr>
              <w:keepNext w:val="0"/>
              <w:keepLines w:val="0"/>
              <w:widowControl/>
              <w:numPr>
                <w:ilvl w:val="0"/>
                <w:numId w:val="7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卡口形式：卡式  </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多功能水枪</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78"/>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符合GB 8181-2005《消防水枪》标准；</w:t>
            </w:r>
          </w:p>
          <w:p>
            <w:pPr>
              <w:keepNext w:val="0"/>
              <w:keepLines w:val="0"/>
              <w:widowControl/>
              <w:numPr>
                <w:ilvl w:val="0"/>
                <w:numId w:val="7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枪体为铝合金或同等质量以上材料，枪身及把手等位置具备阻燃、耐磨、无后坐力等功能；</w:t>
            </w:r>
          </w:p>
          <w:p>
            <w:pPr>
              <w:keepNext w:val="0"/>
              <w:keepLines w:val="0"/>
              <w:widowControl/>
              <w:numPr>
                <w:ilvl w:val="0"/>
                <w:numId w:val="7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具有直流、开花、喷雾等多种功能；</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4、</w:t>
            </w:r>
            <w:r>
              <w:rPr>
                <w:rFonts w:hint="eastAsia" w:ascii="宋体" w:hAnsi="宋体" w:eastAsia="宋体" w:cs="宋体"/>
                <w:i w:val="0"/>
                <w:iCs w:val="0"/>
                <w:color w:val="auto"/>
                <w:kern w:val="0"/>
                <w:sz w:val="18"/>
                <w:szCs w:val="18"/>
                <w:u w:val="none"/>
                <w:lang w:val="en-US" w:eastAsia="zh-CN" w:bidi="ar"/>
              </w:rPr>
              <w:t>操作力矩≤8N.m；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5、</w:t>
            </w:r>
            <w:r>
              <w:rPr>
                <w:rFonts w:hint="eastAsia" w:ascii="宋体" w:hAnsi="宋体" w:eastAsia="宋体" w:cs="宋体"/>
                <w:i w:val="0"/>
                <w:iCs w:val="0"/>
                <w:color w:val="auto"/>
                <w:kern w:val="0"/>
                <w:sz w:val="18"/>
                <w:szCs w:val="18"/>
                <w:u w:val="none"/>
                <w:lang w:val="en-US" w:eastAsia="zh-CN" w:bidi="ar"/>
              </w:rPr>
              <w:t>进水口直径：65mm；（1）质量≤2Kg；（2）档位≥4个；（3）射程≥32m；*（4）最大流量≥8L/s；</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水带（65）</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79"/>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水带口径：65mm±2.00mm；</w:t>
            </w:r>
          </w:p>
          <w:p>
            <w:pPr>
              <w:keepNext w:val="0"/>
              <w:keepLines w:val="0"/>
              <w:widowControl/>
              <w:numPr>
                <w:ilvl w:val="0"/>
                <w:numId w:val="7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工作压力：≥2.5MPa，爆破压力≥7.50MPa；</w:t>
            </w:r>
          </w:p>
          <w:p>
            <w:pPr>
              <w:keepNext w:val="0"/>
              <w:keepLines w:val="0"/>
              <w:widowControl/>
              <w:numPr>
                <w:ilvl w:val="0"/>
                <w:numId w:val="7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水带编织层与衬里之间的附着强度≥20N/25mm；</w:t>
            </w:r>
          </w:p>
          <w:p>
            <w:pPr>
              <w:keepNext w:val="0"/>
              <w:keepLines w:val="0"/>
              <w:widowControl/>
              <w:numPr>
                <w:ilvl w:val="0"/>
                <w:numId w:val="7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轴向延伸率≤8%；</w:t>
            </w:r>
          </w:p>
          <w:p>
            <w:pPr>
              <w:keepNext w:val="0"/>
              <w:keepLines w:val="0"/>
              <w:widowControl/>
              <w:numPr>
                <w:ilvl w:val="0"/>
                <w:numId w:val="7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直径膨胀率≤8%；</w:t>
            </w:r>
          </w:p>
          <w:p>
            <w:pPr>
              <w:keepNext w:val="0"/>
              <w:keepLines w:val="0"/>
              <w:widowControl/>
              <w:numPr>
                <w:ilvl w:val="0"/>
                <w:numId w:val="7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扯断伸长率≤280%；</w:t>
            </w:r>
          </w:p>
          <w:p>
            <w:pPr>
              <w:keepNext w:val="0"/>
              <w:keepLines w:val="0"/>
              <w:widowControl/>
              <w:numPr>
                <w:ilvl w:val="0"/>
                <w:numId w:val="7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水带带有配套的KD65卡口式接口，采用铁丝绑扎≥4道*2道，并带有水带护套；</w:t>
            </w:r>
          </w:p>
          <w:p>
            <w:pPr>
              <w:keepNext w:val="0"/>
              <w:keepLines w:val="0"/>
              <w:widowControl/>
              <w:numPr>
                <w:ilvl w:val="0"/>
                <w:numId w:val="7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单位长度质量：≤407g/m~420g/m；</w:t>
            </w:r>
          </w:p>
          <w:p>
            <w:pPr>
              <w:keepNext w:val="0"/>
              <w:keepLines w:val="0"/>
              <w:widowControl/>
              <w:numPr>
                <w:ilvl w:val="0"/>
                <w:numId w:val="7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水带护套长度≥20cm；</w:t>
            </w:r>
          </w:p>
          <w:p>
            <w:pPr>
              <w:keepNext w:val="0"/>
              <w:keepLines w:val="0"/>
              <w:widowControl/>
              <w:numPr>
                <w:ilvl w:val="0"/>
                <w:numId w:val="7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水带长度20m±0.5m；</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11、应符合GB6246-2011《消防水带》标准要求；</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20</w:t>
            </w:r>
            <w:r>
              <w:rPr>
                <w:rFonts w:hint="eastAsia" w:ascii="宋体" w:hAnsi="宋体" w:cs="宋体"/>
                <w:i w:val="0"/>
                <w:iCs w:val="0"/>
                <w:color w:val="auto"/>
                <w:kern w:val="0"/>
                <w:sz w:val="18"/>
                <w:szCs w:val="18"/>
                <w:u w:val="none"/>
                <w:lang w:val="en-US" w:eastAsia="zh-CN" w:bidi="ar"/>
              </w:rPr>
              <w:t>盘</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水带（80）</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8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 GB6246-2011《消防水带》标准；长度20m；</w:t>
            </w:r>
          </w:p>
          <w:p>
            <w:pPr>
              <w:keepNext w:val="0"/>
              <w:keepLines w:val="0"/>
              <w:widowControl/>
              <w:numPr>
                <w:ilvl w:val="0"/>
                <w:numId w:val="8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聚氨脂材料制成；水带接口：卡扣式或内扣式可选；接口材质：铝合金</w:t>
            </w:r>
          </w:p>
          <w:p>
            <w:pPr>
              <w:keepNext w:val="0"/>
              <w:keepLines w:val="0"/>
              <w:widowControl/>
              <w:numPr>
                <w:ilvl w:val="0"/>
                <w:numId w:val="8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设计工作压力2.5Mpa，爆破压力≥7.5Mpa；</w:t>
            </w:r>
          </w:p>
          <w:p>
            <w:pPr>
              <w:keepNext w:val="0"/>
              <w:keepLines w:val="0"/>
              <w:widowControl/>
              <w:numPr>
                <w:ilvl w:val="0"/>
                <w:numId w:val="8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内径51mm（公差0至﹢2mm）</w:t>
            </w:r>
          </w:p>
          <w:p>
            <w:pPr>
              <w:keepNext w:val="0"/>
              <w:keepLines w:val="0"/>
              <w:widowControl/>
              <w:numPr>
                <w:ilvl w:val="0"/>
                <w:numId w:val="8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5、水带编织层与衬里之间的附着强度≥48N/25mm；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6、</w:t>
            </w:r>
            <w:r>
              <w:rPr>
                <w:rFonts w:hint="eastAsia" w:ascii="宋体" w:hAnsi="宋体" w:eastAsia="宋体" w:cs="宋体"/>
                <w:i w:val="0"/>
                <w:iCs w:val="0"/>
                <w:color w:val="auto"/>
                <w:kern w:val="0"/>
                <w:sz w:val="18"/>
                <w:szCs w:val="18"/>
                <w:u w:val="none"/>
                <w:lang w:val="en-US" w:eastAsia="zh-CN" w:bidi="ar"/>
              </w:rPr>
              <w:t>轴向延伸率≤6%；</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7、直径膨胀率≤5%；</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8、可提供水带颜色白，红，黄，蓝，绿，橙，浅蓝；</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10</w:t>
            </w:r>
            <w:r>
              <w:rPr>
                <w:rFonts w:hint="eastAsia" w:ascii="宋体" w:hAnsi="宋体" w:cs="宋体"/>
                <w:i w:val="0"/>
                <w:iCs w:val="0"/>
                <w:color w:val="auto"/>
                <w:kern w:val="0"/>
                <w:sz w:val="18"/>
                <w:szCs w:val="18"/>
                <w:u w:val="none"/>
                <w:lang w:val="en-US" w:eastAsia="zh-CN" w:bidi="ar"/>
              </w:rPr>
              <w:t>盘</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水带挂钩</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81"/>
              </w:numPr>
              <w:suppressLineNumbers w:val="0"/>
              <w:jc w:val="left"/>
              <w:textAlignment w:val="center"/>
              <w:rPr>
                <w:rStyle w:val="21"/>
                <w:rFonts w:hint="eastAsia" w:ascii="宋体" w:hAnsi="宋体" w:eastAsia="宋体" w:cs="宋体"/>
                <w:color w:val="auto"/>
                <w:sz w:val="18"/>
                <w:szCs w:val="18"/>
                <w:lang w:val="en-US" w:eastAsia="zh-CN" w:bidi="ar"/>
              </w:rPr>
            </w:pPr>
            <w:r>
              <w:rPr>
                <w:rStyle w:val="21"/>
                <w:rFonts w:hint="eastAsia" w:ascii="宋体" w:hAnsi="宋体" w:eastAsia="宋体" w:cs="宋体"/>
                <w:color w:val="auto"/>
                <w:sz w:val="18"/>
                <w:szCs w:val="18"/>
                <w:lang w:val="en-US" w:eastAsia="zh-CN" w:bidi="ar"/>
              </w:rPr>
              <w:t>将水带挂在梯子或其它物体上；</w:t>
            </w:r>
          </w:p>
          <w:p>
            <w:pPr>
              <w:keepNext w:val="0"/>
              <w:keepLines w:val="0"/>
              <w:widowControl/>
              <w:numPr>
                <w:ilvl w:val="0"/>
                <w:numId w:val="81"/>
              </w:numPr>
              <w:suppressLineNumbers w:val="0"/>
              <w:ind w:left="0" w:leftChars="0" w:firstLine="0" w:firstLineChars="0"/>
              <w:jc w:val="left"/>
              <w:textAlignment w:val="center"/>
              <w:rPr>
                <w:rStyle w:val="21"/>
                <w:rFonts w:hint="eastAsia" w:ascii="宋体" w:hAnsi="宋体" w:eastAsia="宋体" w:cs="宋体"/>
                <w:color w:val="auto"/>
                <w:sz w:val="18"/>
                <w:szCs w:val="18"/>
                <w:lang w:val="en-US" w:eastAsia="zh-CN" w:bidi="ar"/>
              </w:rPr>
            </w:pPr>
            <w:r>
              <w:rPr>
                <w:rStyle w:val="21"/>
                <w:rFonts w:hint="eastAsia" w:ascii="宋体" w:hAnsi="宋体" w:eastAsia="宋体" w:cs="宋体"/>
                <w:color w:val="auto"/>
                <w:sz w:val="18"/>
                <w:szCs w:val="18"/>
                <w:lang w:val="en-US" w:eastAsia="zh-CN" w:bidi="ar"/>
              </w:rPr>
              <w:t>铁件为铸钢,带料为高强尼龙织制；</w:t>
            </w:r>
          </w:p>
          <w:p>
            <w:pPr>
              <w:keepNext w:val="0"/>
              <w:keepLines w:val="0"/>
              <w:widowControl/>
              <w:numPr>
                <w:ilvl w:val="0"/>
                <w:numId w:val="81"/>
              </w:numPr>
              <w:suppressLineNumbers w:val="0"/>
              <w:ind w:left="0" w:leftChars="0" w:firstLine="0" w:firstLineChars="0"/>
              <w:jc w:val="left"/>
              <w:textAlignment w:val="center"/>
              <w:rPr>
                <w:rStyle w:val="21"/>
                <w:rFonts w:hint="eastAsia" w:ascii="宋体" w:hAnsi="宋体" w:eastAsia="宋体" w:cs="宋体"/>
                <w:color w:val="auto"/>
                <w:sz w:val="18"/>
                <w:szCs w:val="18"/>
                <w:lang w:val="en-US" w:eastAsia="zh-CN" w:bidi="ar"/>
              </w:rPr>
            </w:pPr>
            <w:r>
              <w:rPr>
                <w:rStyle w:val="21"/>
                <w:rFonts w:hint="eastAsia" w:ascii="宋体" w:hAnsi="宋体" w:eastAsia="宋体" w:cs="宋体"/>
                <w:color w:val="auto"/>
                <w:sz w:val="18"/>
                <w:szCs w:val="18"/>
                <w:lang w:val="en-US" w:eastAsia="zh-CN" w:bidi="ar"/>
              </w:rPr>
              <w:t>工作长≥500mm,</w:t>
            </w:r>
          </w:p>
          <w:p>
            <w:pPr>
              <w:keepNext w:val="0"/>
              <w:keepLines w:val="0"/>
              <w:widowControl/>
              <w:numPr>
                <w:ilvl w:val="0"/>
                <w:numId w:val="81"/>
              </w:numPr>
              <w:suppressLineNumbers w:val="0"/>
              <w:ind w:left="0" w:leftChars="0" w:firstLine="0" w:firstLineChars="0"/>
              <w:jc w:val="left"/>
              <w:textAlignment w:val="center"/>
              <w:rPr>
                <w:rStyle w:val="21"/>
                <w:rFonts w:hint="eastAsia" w:ascii="宋体" w:hAnsi="宋体" w:eastAsia="宋体" w:cs="宋体"/>
                <w:color w:val="auto"/>
                <w:sz w:val="18"/>
                <w:szCs w:val="18"/>
                <w:lang w:val="en-US" w:eastAsia="zh-CN" w:bidi="ar"/>
              </w:rPr>
            </w:pPr>
            <w:r>
              <w:rPr>
                <w:rStyle w:val="21"/>
                <w:rFonts w:hint="eastAsia" w:ascii="宋体" w:hAnsi="宋体" w:eastAsia="宋体" w:cs="宋体"/>
                <w:color w:val="auto"/>
                <w:sz w:val="18"/>
                <w:szCs w:val="18"/>
                <w:lang w:val="en-US" w:eastAsia="zh-CN" w:bidi="ar"/>
              </w:rPr>
              <w:t>带宽≥30mm；</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Style w:val="21"/>
                <w:rFonts w:hint="eastAsia" w:ascii="宋体" w:hAnsi="宋体" w:eastAsia="宋体" w:cs="宋体"/>
                <w:color w:val="auto"/>
                <w:sz w:val="18"/>
                <w:szCs w:val="18"/>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6</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水带包布</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eastAsia="宋体" w:cs="宋体"/>
                <w:i w:val="0"/>
                <w:iCs w:val="0"/>
                <w:color w:val="auto"/>
                <w:kern w:val="0"/>
                <w:sz w:val="18"/>
                <w:szCs w:val="18"/>
                <w:u w:val="none"/>
                <w:lang w:val="en-US" w:eastAsia="zh-CN" w:bidi="ar"/>
              </w:rPr>
              <w:t>用于包裹消防水带破漏处，由帆布带和金属夹钳等零件组成。</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u w:val="none"/>
                <w:lang w:val="en-US" w:eastAsia="zh-CN" w:bidi="ar"/>
              </w:rPr>
              <w:t>铁件为铸钢,带料为高强尼龙织制</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3、</w:t>
            </w:r>
            <w:r>
              <w:rPr>
                <w:rFonts w:hint="eastAsia" w:ascii="宋体" w:hAnsi="宋体" w:eastAsia="宋体" w:cs="宋体"/>
                <w:i w:val="0"/>
                <w:iCs w:val="0"/>
                <w:color w:val="auto"/>
                <w:kern w:val="0"/>
                <w:sz w:val="18"/>
                <w:szCs w:val="18"/>
                <w:u w:val="none"/>
                <w:lang w:val="en-US" w:eastAsia="zh-CN" w:bidi="ar"/>
              </w:rPr>
              <w:t>工作长≥480mm,</w:t>
            </w:r>
          </w:p>
          <w:p>
            <w:pPr>
              <w:keepNext w:val="0"/>
              <w:keepLines w:val="0"/>
              <w:widowControl/>
              <w:numPr>
                <w:ilvl w:val="0"/>
                <w:numId w:val="0"/>
              </w:numPr>
              <w:suppressLineNumbers w:val="0"/>
              <w:ind w:leftChars="0"/>
              <w:jc w:val="left"/>
              <w:textAlignment w:val="center"/>
              <w:rPr>
                <w:rFonts w:hint="eastAsia" w:ascii="宋体" w:hAnsi="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4、</w:t>
            </w:r>
            <w:r>
              <w:rPr>
                <w:rFonts w:hint="eastAsia" w:ascii="宋体" w:hAnsi="宋体" w:eastAsia="宋体" w:cs="宋体"/>
                <w:i w:val="0"/>
                <w:iCs w:val="0"/>
                <w:color w:val="auto"/>
                <w:kern w:val="0"/>
                <w:sz w:val="18"/>
                <w:szCs w:val="18"/>
                <w:u w:val="none"/>
                <w:lang w:val="en-US" w:eastAsia="zh-CN" w:bidi="ar"/>
              </w:rPr>
              <w:t>带宽≥80 mm</w:t>
            </w:r>
            <w:r>
              <w:rPr>
                <w:rFonts w:hint="eastAsia" w:ascii="宋体" w:hAnsi="宋体" w:cs="宋体"/>
                <w:i w:val="0"/>
                <w:iCs w:val="0"/>
                <w:color w:val="auto"/>
                <w:kern w:val="0"/>
                <w:sz w:val="18"/>
                <w:szCs w:val="18"/>
                <w:u w:val="none"/>
                <w:lang w:val="en-US" w:eastAsia="zh-CN" w:bidi="ar"/>
              </w:rPr>
              <w:t>，</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水带护桥</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8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用于保护水带不受挤压；</w:t>
            </w:r>
          </w:p>
          <w:p>
            <w:pPr>
              <w:keepNext w:val="0"/>
              <w:keepLines w:val="0"/>
              <w:widowControl/>
              <w:numPr>
                <w:ilvl w:val="0"/>
                <w:numId w:val="8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采用橡胶材质</w:t>
            </w:r>
          </w:p>
          <w:p>
            <w:pPr>
              <w:keepNext w:val="0"/>
              <w:keepLines w:val="0"/>
              <w:widowControl/>
              <w:numPr>
                <w:ilvl w:val="0"/>
                <w:numId w:val="8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长≥830mm，宽≥570mm，高≥75mm，</w:t>
            </w:r>
          </w:p>
          <w:p>
            <w:pPr>
              <w:keepNext w:val="0"/>
              <w:keepLines w:val="0"/>
              <w:widowControl/>
              <w:numPr>
                <w:ilvl w:val="0"/>
                <w:numId w:val="8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重量≤20Kg，</w:t>
            </w:r>
          </w:p>
          <w:p>
            <w:pPr>
              <w:keepNext w:val="0"/>
              <w:keepLines w:val="0"/>
              <w:widowControl/>
              <w:numPr>
                <w:ilvl w:val="0"/>
                <w:numId w:val="8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能承受≥50T，</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组</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集水器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83"/>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工作压力：≥1.6MPa；</w:t>
            </w:r>
          </w:p>
          <w:p>
            <w:pPr>
              <w:keepNext w:val="0"/>
              <w:keepLines w:val="0"/>
              <w:widowControl/>
              <w:numPr>
                <w:ilvl w:val="0"/>
                <w:numId w:val="8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进水口径：80mm±2mm；</w:t>
            </w:r>
          </w:p>
          <w:p>
            <w:pPr>
              <w:keepNext w:val="0"/>
              <w:keepLines w:val="0"/>
              <w:widowControl/>
              <w:numPr>
                <w:ilvl w:val="0"/>
                <w:numId w:val="8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出水口径：3*65mm±2mm；</w:t>
            </w:r>
          </w:p>
          <w:p>
            <w:pPr>
              <w:keepNext w:val="0"/>
              <w:keepLines w:val="0"/>
              <w:widowControl/>
              <w:numPr>
                <w:ilvl w:val="0"/>
                <w:numId w:val="8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重量：≤6.5kg；</w:t>
            </w:r>
          </w:p>
          <w:p>
            <w:pPr>
              <w:keepNext w:val="0"/>
              <w:keepLines w:val="0"/>
              <w:widowControl/>
              <w:numPr>
                <w:ilvl w:val="0"/>
                <w:numId w:val="8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符合分水器和集水器 XF868-2010标准；</w:t>
            </w:r>
          </w:p>
          <w:p>
            <w:pPr>
              <w:keepNext w:val="0"/>
              <w:keepLines w:val="0"/>
              <w:widowControl/>
              <w:numPr>
                <w:ilvl w:val="0"/>
                <w:numId w:val="8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配备快开式把手开关；</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异径接口</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8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密封性能：水带接口在0.3MPa~4.0MPa时无渗漏现象；</w:t>
            </w:r>
          </w:p>
          <w:p>
            <w:pPr>
              <w:keepNext w:val="0"/>
              <w:keepLines w:val="0"/>
              <w:widowControl/>
              <w:numPr>
                <w:ilvl w:val="0"/>
                <w:numId w:val="8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耐压性能：水带接口在≥2.4MPa时无断裂或变形现象；</w:t>
            </w:r>
          </w:p>
          <w:p>
            <w:pPr>
              <w:keepNext w:val="0"/>
              <w:keepLines w:val="0"/>
              <w:widowControl/>
              <w:numPr>
                <w:ilvl w:val="0"/>
                <w:numId w:val="8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接口公称通径：65mm雄卡/80mm雌卡和65mm雌卡/80mm雄卡；</w:t>
            </w:r>
          </w:p>
          <w:p>
            <w:pPr>
              <w:keepNext w:val="0"/>
              <w:keepLines w:val="0"/>
              <w:widowControl/>
              <w:numPr>
                <w:ilvl w:val="0"/>
                <w:numId w:val="8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弹簧疲劳寿命：≥10000次；</w:t>
            </w:r>
          </w:p>
          <w:p>
            <w:pPr>
              <w:keepNext w:val="0"/>
              <w:keepLines w:val="0"/>
              <w:widowControl/>
              <w:numPr>
                <w:ilvl w:val="0"/>
                <w:numId w:val="8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适用介质：水、水和泡沫混合液；</w:t>
            </w:r>
          </w:p>
          <w:p>
            <w:pPr>
              <w:keepNext w:val="0"/>
              <w:keepLines w:val="0"/>
              <w:widowControl/>
              <w:numPr>
                <w:ilvl w:val="0"/>
                <w:numId w:val="8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跌落性能：接口从≥1.5m高处自由落下≥5次，均无损坏并能正常操作使用。</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异型接口</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85"/>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密封性能：水带接口在0.3MPa~4.0MPa时无渗漏现象；</w:t>
            </w:r>
          </w:p>
          <w:p>
            <w:pPr>
              <w:keepNext w:val="0"/>
              <w:keepLines w:val="0"/>
              <w:widowControl/>
              <w:numPr>
                <w:ilvl w:val="0"/>
                <w:numId w:val="8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耐压性能：水带接口在≥2.4MPa时无断裂或变形现象；</w:t>
            </w:r>
          </w:p>
          <w:p>
            <w:pPr>
              <w:keepNext w:val="0"/>
              <w:keepLines w:val="0"/>
              <w:widowControl/>
              <w:numPr>
                <w:ilvl w:val="0"/>
                <w:numId w:val="8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弹簧疲劳寿命：≥10000次；</w:t>
            </w:r>
          </w:p>
          <w:p>
            <w:pPr>
              <w:keepNext w:val="0"/>
              <w:keepLines w:val="0"/>
              <w:widowControl/>
              <w:numPr>
                <w:ilvl w:val="0"/>
                <w:numId w:val="8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适用介质：水、水和泡沫混合液；</w:t>
            </w:r>
          </w:p>
          <w:p>
            <w:pPr>
              <w:keepNext w:val="0"/>
              <w:keepLines w:val="0"/>
              <w:widowControl/>
              <w:numPr>
                <w:ilvl w:val="0"/>
                <w:numId w:val="8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跌落性能：接口从≥1.5m高处自由落下≥5次，均无损坏并能正常操作使用；</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right="0"/>
              <w:jc w:val="left"/>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right="0"/>
              <w:jc w:val="left"/>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手抬机动泵</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86"/>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符合消防泵 GB6245-2006标准；</w:t>
            </w:r>
          </w:p>
          <w:p>
            <w:pPr>
              <w:keepNext w:val="0"/>
              <w:keepLines w:val="0"/>
              <w:widowControl/>
              <w:numPr>
                <w:ilvl w:val="0"/>
                <w:numId w:val="86"/>
              </w:numPr>
              <w:suppressLineNumbers w:val="0"/>
              <w:ind w:left="0" w:leftChars="0" w:firstLine="0" w:firstLineChars="0"/>
              <w:jc w:val="left"/>
              <w:textAlignment w:val="center"/>
              <w:rPr>
                <w:rFonts w:hint="eastAsia"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重量</w:t>
            </w: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58kg，</w:t>
            </w:r>
          </w:p>
          <w:p>
            <w:pPr>
              <w:keepNext w:val="0"/>
              <w:keepLines w:val="0"/>
              <w:widowControl/>
              <w:numPr>
                <w:ilvl w:val="0"/>
                <w:numId w:val="8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额定流量：≥1200L/min；</w:t>
            </w:r>
          </w:p>
          <w:p>
            <w:pPr>
              <w:keepNext w:val="0"/>
              <w:keepLines w:val="0"/>
              <w:widowControl/>
              <w:numPr>
                <w:ilvl w:val="0"/>
                <w:numId w:val="8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扬程：≥55m；</w:t>
            </w:r>
          </w:p>
          <w:p>
            <w:pPr>
              <w:keepNext w:val="0"/>
              <w:keepLines w:val="0"/>
              <w:widowControl/>
              <w:numPr>
                <w:ilvl w:val="0"/>
                <w:numId w:val="8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额定压力：≥0.55MPa；</w:t>
            </w:r>
          </w:p>
          <w:p>
            <w:pPr>
              <w:keepNext w:val="0"/>
              <w:keepLines w:val="0"/>
              <w:widowControl/>
              <w:numPr>
                <w:ilvl w:val="0"/>
                <w:numId w:val="8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进水管口径：65mm（±0.1mm）；</w:t>
            </w:r>
          </w:p>
          <w:p>
            <w:pPr>
              <w:keepNext w:val="0"/>
              <w:keepLines w:val="0"/>
              <w:widowControl/>
              <w:numPr>
                <w:ilvl w:val="0"/>
                <w:numId w:val="8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出水管口径：65mm（±0.1mm）；</w:t>
            </w:r>
          </w:p>
          <w:p>
            <w:pPr>
              <w:keepNext w:val="0"/>
              <w:keepLines w:val="0"/>
              <w:widowControl/>
              <w:numPr>
                <w:ilvl w:val="0"/>
                <w:numId w:val="8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水枪口径：19mm（±0.1mm）；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★9、最大吸水深度：≥7m；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10、</w:t>
            </w:r>
            <w:r>
              <w:rPr>
                <w:rFonts w:hint="eastAsia" w:ascii="宋体" w:hAnsi="宋体" w:eastAsia="宋体" w:cs="宋体"/>
                <w:i w:val="0"/>
                <w:iCs w:val="0"/>
                <w:color w:val="auto"/>
                <w:kern w:val="0"/>
                <w:sz w:val="18"/>
                <w:szCs w:val="18"/>
                <w:u w:val="none"/>
                <w:lang w:val="en-US" w:eastAsia="zh-CN" w:bidi="ar"/>
              </w:rPr>
              <w:t>引水时间：≤20s；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11、</w:t>
            </w:r>
            <w:r>
              <w:rPr>
                <w:rFonts w:hint="eastAsia" w:ascii="宋体" w:hAnsi="宋体" w:eastAsia="宋体" w:cs="宋体"/>
                <w:i w:val="0"/>
                <w:iCs w:val="0"/>
                <w:color w:val="auto"/>
                <w:kern w:val="0"/>
                <w:sz w:val="18"/>
                <w:szCs w:val="18"/>
                <w:u w:val="none"/>
                <w:lang w:val="en-US" w:eastAsia="zh-CN" w:bidi="ar"/>
              </w:rPr>
              <w:t>启动方式：手/电启动；</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12、</w:t>
            </w:r>
            <w:r>
              <w:rPr>
                <w:rFonts w:hint="eastAsia" w:ascii="宋体" w:hAnsi="宋体" w:eastAsia="宋体" w:cs="宋体"/>
                <w:i w:val="0"/>
                <w:iCs w:val="0"/>
                <w:color w:val="auto"/>
                <w:kern w:val="0"/>
                <w:sz w:val="18"/>
                <w:szCs w:val="18"/>
                <w:u w:val="none"/>
                <w:lang w:val="en-US" w:eastAsia="zh-CN" w:bidi="ar"/>
              </w:rPr>
              <w:t>油箱容量：≥18L；</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集水器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1.集水器</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2.防回流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吸水管</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1.吸水管</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8</w:t>
            </w:r>
            <w:r>
              <w:rPr>
                <w:rFonts w:hint="eastAsia" w:ascii="宋体" w:hAnsi="宋体" w:cs="宋体"/>
                <w:i w:val="0"/>
                <w:iCs w:val="0"/>
                <w:color w:val="auto"/>
                <w:kern w:val="0"/>
                <w:sz w:val="18"/>
                <w:szCs w:val="18"/>
                <w:u w:val="none"/>
                <w:lang w:val="en-US" w:eastAsia="zh-CN" w:bidi="ar"/>
              </w:rPr>
              <w:t>m</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吸水管扳手</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1.吸水管扳手</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消火栓扳手</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1.消火栓扳手</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多功能挠钩</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87"/>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消防剪≥1件：对灾害现场电线，树枝，连接线进行剪切；</w:t>
            </w:r>
          </w:p>
          <w:p>
            <w:pPr>
              <w:keepNext w:val="0"/>
              <w:keepLines w:val="0"/>
              <w:widowControl/>
              <w:numPr>
                <w:ilvl w:val="0"/>
                <w:numId w:val="8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撑顶器（Y头叉）≥1件：用于易坍塌的危险场所的临时支撑，列如门框，窗户和其他构件的支撑；</w:t>
            </w:r>
          </w:p>
          <w:p>
            <w:pPr>
              <w:keepNext w:val="0"/>
              <w:keepLines w:val="0"/>
              <w:widowControl/>
              <w:numPr>
                <w:ilvl w:val="0"/>
                <w:numId w:val="8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爪耙≥1件：用于现场倒塌物，有毒物质的清理及灾后南垃圾的清理；</w:t>
            </w:r>
          </w:p>
          <w:p>
            <w:pPr>
              <w:keepNext w:val="0"/>
              <w:keepLines w:val="0"/>
              <w:widowControl/>
              <w:numPr>
                <w:ilvl w:val="0"/>
                <w:numId w:val="8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木榔头≥1件：敲碎建筑物门窗玻璃，进行排烟，透气；</w:t>
            </w:r>
          </w:p>
          <w:p>
            <w:pPr>
              <w:keepNext w:val="0"/>
              <w:keepLines w:val="0"/>
              <w:widowControl/>
              <w:numPr>
                <w:ilvl w:val="0"/>
                <w:numId w:val="8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消防锯≥1件：可锯断一定高度的树枝及木质易坠物，易坍塌物和构件；</w:t>
            </w:r>
          </w:p>
          <w:p>
            <w:pPr>
              <w:keepNext w:val="0"/>
              <w:keepLines w:val="0"/>
              <w:widowControl/>
              <w:numPr>
                <w:ilvl w:val="0"/>
                <w:numId w:val="8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工兵铲≥1件：现场清理杂物；</w:t>
            </w:r>
          </w:p>
          <w:p>
            <w:pPr>
              <w:keepNext w:val="0"/>
              <w:keepLines w:val="0"/>
              <w:widowControl/>
              <w:numPr>
                <w:ilvl w:val="0"/>
                <w:numId w:val="8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7、单头挠钩≥1件：破折吊顶，钩拉电线等；</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8、</w:t>
            </w:r>
            <w:r>
              <w:rPr>
                <w:rFonts w:hint="eastAsia" w:ascii="宋体" w:hAnsi="宋体" w:eastAsia="宋体" w:cs="宋体"/>
                <w:i w:val="0"/>
                <w:iCs w:val="0"/>
                <w:color w:val="auto"/>
                <w:kern w:val="0"/>
                <w:sz w:val="18"/>
                <w:szCs w:val="18"/>
                <w:u w:val="none"/>
                <w:lang w:val="en-US" w:eastAsia="zh-CN" w:bidi="ar"/>
              </w:rPr>
              <w:t>双头挠钩≥1件：破折吊顶,钩拉电线等；</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9、</w:t>
            </w:r>
            <w:r>
              <w:rPr>
                <w:rFonts w:hint="eastAsia" w:ascii="宋体" w:hAnsi="宋体" w:eastAsia="宋体" w:cs="宋体"/>
                <w:i w:val="0"/>
                <w:iCs w:val="0"/>
                <w:color w:val="auto"/>
                <w:kern w:val="0"/>
                <w:sz w:val="18"/>
                <w:szCs w:val="18"/>
                <w:u w:val="none"/>
                <w:lang w:val="en-US" w:eastAsia="zh-CN" w:bidi="ar"/>
              </w:rPr>
              <w:t>登高钩（攀登钩）≥1件：攀爬，登高用；</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10、</w:t>
            </w:r>
            <w:r>
              <w:rPr>
                <w:rFonts w:hint="eastAsia" w:ascii="宋体" w:hAnsi="宋体" w:eastAsia="宋体" w:cs="宋体"/>
                <w:i w:val="0"/>
                <w:iCs w:val="0"/>
                <w:color w:val="auto"/>
                <w:kern w:val="0"/>
                <w:sz w:val="18"/>
                <w:szCs w:val="18"/>
                <w:u w:val="none"/>
                <w:lang w:val="en-US" w:eastAsia="zh-CN" w:bidi="ar"/>
              </w:rPr>
              <w:t>组合连接杆：通过杆头螺纹口延长连接，可在现场灵活组合相配套的破折工具使用；</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11、组合连接杆（带刻度）：通过组合连接，可以在现场迅速的量水平距离、标高、测坑或涵洞深度,便于操作人员作出科学决策和救援行动；也可以作为火灾、浓烟、洼池、水坑等场所灭火救援的探路工具；</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12、≥10种杆头、≥2根杆柄，≥10个缩节组成；</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强光照明灯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1、名称：消防特种强光照明灯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2、光源功率：≥36W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3、电池容量：≥5.6Ah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4、防护等级：IP67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5、充电时间：≤2.5h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6、灯具重量：≤2kg </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7、外形尺寸：≤220mm*85mm</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消防斧</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1.消防斧</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单杠梯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★1、整体要求：符合XF137-2007《消防梯》标准要求，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材料检查：消防梯所用竹、木材料应符合XF137-2007附录A的要求，（侧板材质和梯蹬材质：竹粘合材料等相同材料或优于此材质的材料）；</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3、</w:t>
            </w:r>
            <w:r>
              <w:rPr>
                <w:rFonts w:hint="eastAsia" w:ascii="宋体" w:hAnsi="宋体" w:eastAsia="宋体" w:cs="宋体"/>
                <w:i w:val="0"/>
                <w:iCs w:val="0"/>
                <w:color w:val="auto"/>
                <w:kern w:val="0"/>
                <w:sz w:val="18"/>
                <w:szCs w:val="18"/>
                <w:u w:val="none"/>
                <w:lang w:val="en-US" w:eastAsia="zh-CN" w:bidi="ar"/>
              </w:rPr>
              <w:t>外形尺寸</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.1、工作长度：3010mm±20mm；</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.2、最小梯宽：250mm±10mm；</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.3、梯蹬间距：340mm±10mm；</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4、</w:t>
            </w:r>
            <w:r>
              <w:rPr>
                <w:rFonts w:hint="eastAsia" w:ascii="宋体" w:hAnsi="宋体" w:eastAsia="宋体" w:cs="宋体"/>
                <w:i w:val="0"/>
                <w:iCs w:val="0"/>
                <w:color w:val="auto"/>
                <w:kern w:val="0"/>
                <w:sz w:val="18"/>
                <w:szCs w:val="18"/>
                <w:u w:val="none"/>
                <w:lang w:val="en-US" w:eastAsia="zh-CN" w:bidi="ar"/>
              </w:rPr>
              <w:t>整梯质量：8.8kg±0.5kg；</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5、</w:t>
            </w:r>
            <w:r>
              <w:rPr>
                <w:rFonts w:hint="eastAsia" w:ascii="宋体" w:hAnsi="宋体" w:eastAsia="宋体" w:cs="宋体"/>
                <w:i w:val="0"/>
                <w:iCs w:val="0"/>
                <w:color w:val="auto"/>
                <w:kern w:val="0"/>
                <w:sz w:val="18"/>
                <w:szCs w:val="18"/>
                <w:u w:val="none"/>
                <w:lang w:val="en-US" w:eastAsia="zh-CN" w:bidi="ar"/>
              </w:rPr>
              <w:t>水平弯曲残余变形比值：≤0.12%；</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6、</w:t>
            </w:r>
            <w:r>
              <w:rPr>
                <w:rFonts w:hint="eastAsia" w:ascii="宋体" w:hAnsi="宋体" w:eastAsia="宋体" w:cs="宋体"/>
                <w:i w:val="0"/>
                <w:iCs w:val="0"/>
                <w:color w:val="auto"/>
                <w:kern w:val="0"/>
                <w:sz w:val="18"/>
                <w:szCs w:val="18"/>
                <w:u w:val="none"/>
                <w:lang w:val="en-US" w:eastAsia="zh-CN" w:bidi="ar"/>
              </w:rPr>
              <w:t>梯蹬弯曲残余变形比值：≤0.28%；</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7、</w:t>
            </w:r>
            <w:r>
              <w:rPr>
                <w:rFonts w:hint="eastAsia" w:ascii="宋体" w:hAnsi="宋体" w:eastAsia="宋体" w:cs="宋体"/>
                <w:i w:val="0"/>
                <w:iCs w:val="0"/>
                <w:color w:val="auto"/>
                <w:kern w:val="0"/>
                <w:sz w:val="18"/>
                <w:szCs w:val="18"/>
                <w:u w:val="none"/>
                <w:lang w:val="en-US" w:eastAsia="zh-CN" w:bidi="ar"/>
              </w:rPr>
              <w:t>梯蹬剪切强度试验：经梯蹬对侧板剪切试验后，梯蹬与侧板的连接处和梯蹬本身没有任何断裂迹象；</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8、</w:t>
            </w:r>
            <w:r>
              <w:rPr>
                <w:rFonts w:hint="eastAsia" w:ascii="宋体" w:hAnsi="宋体" w:eastAsia="宋体" w:cs="宋体"/>
                <w:i w:val="0"/>
                <w:iCs w:val="0"/>
                <w:color w:val="auto"/>
                <w:kern w:val="0"/>
                <w:sz w:val="18"/>
                <w:szCs w:val="18"/>
                <w:u w:val="none"/>
                <w:lang w:val="en-US" w:eastAsia="zh-CN" w:bidi="ar"/>
              </w:rPr>
              <w:t>翘曲试验：消防梯在进行翘曲试验时，任一梯脚均不离地；</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9、</w:t>
            </w:r>
            <w:r>
              <w:rPr>
                <w:rFonts w:hint="eastAsia" w:ascii="宋体" w:hAnsi="宋体" w:eastAsia="宋体" w:cs="宋体"/>
                <w:i w:val="0"/>
                <w:iCs w:val="0"/>
                <w:color w:val="auto"/>
                <w:kern w:val="0"/>
                <w:sz w:val="18"/>
                <w:szCs w:val="18"/>
                <w:u w:val="none"/>
                <w:lang w:val="en-US" w:eastAsia="zh-CN" w:bidi="ar"/>
              </w:rPr>
              <w:t>梯节扭转角：α顺：≥8.5°、α逆：≥8.5°；</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10、</w:t>
            </w:r>
            <w:r>
              <w:rPr>
                <w:rFonts w:hint="eastAsia" w:ascii="宋体" w:hAnsi="宋体" w:eastAsia="宋体" w:cs="宋体"/>
                <w:i w:val="0"/>
                <w:iCs w:val="0"/>
                <w:color w:val="auto"/>
                <w:kern w:val="0"/>
                <w:sz w:val="18"/>
                <w:szCs w:val="18"/>
                <w:u w:val="none"/>
                <w:lang w:val="en-US" w:eastAsia="zh-CN" w:bidi="ar"/>
              </w:rPr>
              <w:t>滑移试验：滑移试验时，各梯脚在整个试验表面上不出现位移；</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11、</w:t>
            </w:r>
            <w:r>
              <w:rPr>
                <w:rFonts w:hint="eastAsia" w:ascii="宋体" w:hAnsi="宋体" w:eastAsia="宋体" w:cs="宋体"/>
                <w:i w:val="0"/>
                <w:iCs w:val="0"/>
                <w:color w:val="auto"/>
                <w:kern w:val="0"/>
                <w:sz w:val="18"/>
                <w:szCs w:val="18"/>
                <w:u w:val="none"/>
                <w:lang w:val="en-US" w:eastAsia="zh-CN" w:bidi="ar"/>
              </w:rPr>
              <w:t>侧板悬臂弯曲最大变形值：内弯曲：≥1.0mm、≥外弯曲：1.0mm；</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12、</w:t>
            </w:r>
            <w:r>
              <w:rPr>
                <w:rFonts w:hint="eastAsia" w:ascii="宋体" w:hAnsi="宋体" w:eastAsia="宋体" w:cs="宋体"/>
                <w:i w:val="0"/>
                <w:iCs w:val="0"/>
                <w:color w:val="auto"/>
                <w:kern w:val="0"/>
                <w:sz w:val="18"/>
                <w:szCs w:val="18"/>
                <w:u w:val="none"/>
                <w:lang w:val="en-US" w:eastAsia="zh-CN" w:bidi="ar"/>
              </w:rPr>
              <w:t>侧摇摆曲残余变形比值：≤0.14%；</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13、</w:t>
            </w:r>
            <w:r>
              <w:rPr>
                <w:rFonts w:hint="eastAsia" w:ascii="宋体" w:hAnsi="宋体" w:eastAsia="宋体" w:cs="宋体"/>
                <w:i w:val="0"/>
                <w:iCs w:val="0"/>
                <w:color w:val="auto"/>
                <w:kern w:val="0"/>
                <w:sz w:val="18"/>
                <w:szCs w:val="18"/>
                <w:u w:val="none"/>
                <w:lang w:val="en-US" w:eastAsia="zh-CN" w:bidi="ar"/>
              </w:rPr>
              <w:t>粘牢合度试验时，通过浸泡、恒温、低温试验后无脱胶现象；</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4</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两节拉梯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88"/>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外形尺寸：工作长度：6m±0.2m，梯蹬间距：280mm±10mm；</w:t>
            </w:r>
          </w:p>
          <w:p>
            <w:pPr>
              <w:keepNext w:val="0"/>
              <w:keepLines w:val="0"/>
              <w:widowControl/>
              <w:numPr>
                <w:ilvl w:val="0"/>
                <w:numId w:val="8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整梯质量：≤35kg；</w:t>
            </w:r>
          </w:p>
          <w:p>
            <w:pPr>
              <w:keepNext w:val="0"/>
              <w:keepLines w:val="0"/>
              <w:widowControl/>
              <w:numPr>
                <w:ilvl w:val="0"/>
                <w:numId w:val="8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水平弯曲残余变形比值：≤0.3%；</w:t>
            </w:r>
          </w:p>
          <w:p>
            <w:pPr>
              <w:keepNext w:val="0"/>
              <w:keepLines w:val="0"/>
              <w:widowControl/>
              <w:numPr>
                <w:ilvl w:val="0"/>
                <w:numId w:val="8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梯蹬弯曲残余变形比值：≤0.5%；</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5</w:t>
            </w:r>
            <w:r>
              <w:rPr>
                <w:rFonts w:hint="eastAsia" w:ascii="宋体" w:hAnsi="宋体" w:eastAsia="宋体" w:cs="宋体"/>
                <w:i w:val="0"/>
                <w:iCs w:val="0"/>
                <w:color w:val="auto"/>
                <w:kern w:val="0"/>
                <w:sz w:val="18"/>
                <w:szCs w:val="18"/>
                <w:u w:val="none"/>
                <w:lang w:val="en-US" w:eastAsia="zh-CN" w:bidi="ar"/>
              </w:rPr>
              <w:t>、整体要求：符合XF137-2007《消防梯》标准要求；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cs="宋体"/>
                <w:i w:val="0"/>
                <w:iCs w:val="0"/>
                <w:color w:val="auto"/>
                <w:kern w:val="0"/>
                <w:sz w:val="18"/>
                <w:szCs w:val="18"/>
                <w:u w:val="none"/>
                <w:lang w:val="en-US" w:eastAsia="zh-CN" w:bidi="ar"/>
              </w:rPr>
              <w:t>6</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手动破拆工具组</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89"/>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 GB 32459-2015《消防应急救援装备手动破拆工具通用技术条件》的标准要求。</w:t>
            </w:r>
          </w:p>
          <w:p>
            <w:pPr>
              <w:keepNext w:val="0"/>
              <w:keepLines w:val="0"/>
              <w:widowControl/>
              <w:numPr>
                <w:ilvl w:val="0"/>
                <w:numId w:val="8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由冲击杆、拆锁器、金属切断器、凿子、钎子 及各类撬斧工具等部件组成，由耐磨、防锈、便携等性能。</w:t>
            </w:r>
          </w:p>
          <w:p>
            <w:pPr>
              <w:keepNext w:val="0"/>
              <w:keepLines w:val="0"/>
              <w:widowControl/>
              <w:numPr>
                <w:ilvl w:val="0"/>
                <w:numId w:val="8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冲击行程≥300mm；</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default" w:ascii="宋体" w:hAnsi="宋体" w:cs="宋体"/>
                <w:i w:val="0"/>
                <w:iCs w:val="0"/>
                <w:color w:val="auto"/>
                <w:kern w:val="0"/>
                <w:sz w:val="18"/>
                <w:szCs w:val="18"/>
                <w:u w:val="none"/>
                <w:lang w:val="en" w:eastAsia="zh-CN" w:bidi="ar"/>
              </w:rPr>
              <w:t>4、</w:t>
            </w:r>
            <w:r>
              <w:rPr>
                <w:rFonts w:hint="eastAsia" w:ascii="宋体" w:hAnsi="宋体" w:eastAsia="宋体" w:cs="宋体"/>
                <w:i w:val="0"/>
                <w:iCs w:val="0"/>
                <w:color w:val="auto"/>
                <w:kern w:val="0"/>
                <w:sz w:val="18"/>
                <w:szCs w:val="18"/>
                <w:u w:val="none"/>
                <w:lang w:val="en-US" w:eastAsia="zh-CN" w:bidi="ar"/>
              </w:rPr>
              <w:t>整备质量≤25kg；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5、可切割、打凿Q235型钢板厚度≥1mm；</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灭火器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w:t>
            </w:r>
            <w:r>
              <w:rPr>
                <w:rFonts w:hint="eastAsia" w:ascii="宋体" w:hAnsi="宋体" w:cs="宋体"/>
                <w:i w:val="0"/>
                <w:iCs w:val="0"/>
                <w:color w:val="auto"/>
                <w:kern w:val="0"/>
                <w:sz w:val="18"/>
                <w:szCs w:val="18"/>
                <w:u w:val="none"/>
                <w:lang w:val="en-US" w:eastAsia="zh-CN" w:bidi="ar"/>
              </w:rPr>
              <w:t>干粉</w:t>
            </w:r>
            <w:r>
              <w:rPr>
                <w:rFonts w:hint="eastAsia" w:ascii="宋体" w:hAnsi="宋体" w:eastAsia="宋体" w:cs="宋体"/>
                <w:i w:val="0"/>
                <w:iCs w:val="0"/>
                <w:color w:val="auto"/>
                <w:kern w:val="0"/>
                <w:sz w:val="18"/>
                <w:szCs w:val="18"/>
                <w:u w:val="none"/>
                <w:lang w:val="en-US" w:eastAsia="zh-CN" w:bidi="ar"/>
              </w:rPr>
              <w:t>灭火器</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2.规格、型号:</w:t>
            </w:r>
            <w:r>
              <w:rPr>
                <w:rFonts w:hint="default" w:ascii="宋体" w:hAnsi="宋体" w:cs="宋体"/>
                <w:i w:val="0"/>
                <w:iCs w:val="0"/>
                <w:color w:val="auto"/>
                <w:kern w:val="0"/>
                <w:sz w:val="18"/>
                <w:szCs w:val="18"/>
                <w:u w:val="none"/>
                <w:lang w:val="en" w:eastAsia="zh-CN" w:bidi="ar"/>
              </w:rPr>
              <w:t>MF/ABC4</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6</w:t>
            </w:r>
            <w:r>
              <w:rPr>
                <w:rFonts w:hint="eastAsia" w:ascii="宋体" w:hAnsi="宋体" w:cs="宋体"/>
                <w:i w:val="0"/>
                <w:iCs w:val="0"/>
                <w:color w:val="auto"/>
                <w:kern w:val="0"/>
                <w:sz w:val="18"/>
                <w:szCs w:val="18"/>
                <w:u w:val="none"/>
                <w:lang w:val="en-US" w:eastAsia="zh-CN" w:bidi="ar"/>
              </w:rPr>
              <w:t>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手持扩音器</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9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扩音器外壳材质为ABS航空材质；</w:t>
            </w:r>
          </w:p>
          <w:p>
            <w:pPr>
              <w:keepNext w:val="0"/>
              <w:keepLines w:val="0"/>
              <w:widowControl/>
              <w:numPr>
                <w:ilvl w:val="0"/>
                <w:numId w:val="9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功率≥25 W；</w:t>
            </w:r>
          </w:p>
          <w:p>
            <w:pPr>
              <w:keepNext w:val="0"/>
              <w:keepLines w:val="0"/>
              <w:widowControl/>
              <w:numPr>
                <w:ilvl w:val="0"/>
                <w:numId w:val="9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电池容量≥2000mAh；</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4、1m内声强≥80dB；</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5、连续工作时间≥2h；</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6、</w:t>
            </w:r>
            <w:r>
              <w:rPr>
                <w:rFonts w:hint="eastAsia" w:ascii="宋体" w:hAnsi="宋体" w:eastAsia="宋体" w:cs="宋体"/>
                <w:i w:val="0"/>
                <w:iCs w:val="0"/>
                <w:color w:val="auto"/>
                <w:kern w:val="0"/>
                <w:sz w:val="18"/>
                <w:szCs w:val="18"/>
                <w:u w:val="none"/>
                <w:lang w:val="en-US" w:eastAsia="zh-CN" w:bidi="ar"/>
              </w:rPr>
              <w:t>传输距离≥500m,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7、质量≤2.5kg（含电池）；</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8、插槽接口：USB接口/TF卡插槽/AUX音频；</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jc w:val="left"/>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jc w:val="left"/>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警示牌</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9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合金钢材质，图案、文字、边框均为反光材料，可与标志杆配套使用；</w:t>
            </w:r>
          </w:p>
          <w:p>
            <w:pPr>
              <w:keepNext w:val="0"/>
              <w:keepLines w:val="0"/>
              <w:widowControl/>
              <w:numPr>
                <w:ilvl w:val="0"/>
                <w:numId w:val="9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每套含标志牌的数量≥2个；</w:t>
            </w:r>
          </w:p>
          <w:p>
            <w:pPr>
              <w:keepNext w:val="0"/>
              <w:keepLines w:val="0"/>
              <w:widowControl/>
              <w:numPr>
                <w:ilvl w:val="0"/>
                <w:numId w:val="9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质量≤5kg；</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闪光警示灯</w:t>
            </w:r>
          </w:p>
          <w:p>
            <w:pPr>
              <w:keepNext w:val="0"/>
              <w:keepLines w:val="0"/>
              <w:widowControl/>
              <w:suppressLineNumbers w:val="0"/>
              <w:jc w:val="left"/>
              <w:textAlignment w:val="center"/>
              <w:rPr>
                <w:rFonts w:hint="eastAsia" w:ascii="宋体" w:hAnsi="宋体" w:cs="宋体"/>
                <w:color w:val="auto"/>
                <w:kern w:val="0"/>
                <w:lang w:val="zh-CN"/>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9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符合GA/T 1256-2015《发光式道路交通指挥棒》标准。</w:t>
            </w:r>
          </w:p>
          <w:p>
            <w:pPr>
              <w:keepNext w:val="0"/>
              <w:keepLines w:val="0"/>
              <w:widowControl/>
              <w:numPr>
                <w:ilvl w:val="0"/>
                <w:numId w:val="9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频闪型，具有光线暗时自动闪亮功能：</w:t>
            </w:r>
          </w:p>
          <w:p>
            <w:pPr>
              <w:keepNext w:val="0"/>
              <w:keepLines w:val="0"/>
              <w:widowControl/>
              <w:numPr>
                <w:ilvl w:val="0"/>
                <w:numId w:val="9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（1）灯色闪烁≥2种；（2）灯色恒亮≥1种；（3）灯色交替闪烁≥2种；（4）有白灯照明；</w:t>
            </w:r>
          </w:p>
          <w:p>
            <w:pPr>
              <w:keepNext w:val="0"/>
              <w:keepLines w:val="0"/>
              <w:widowControl/>
              <w:numPr>
                <w:ilvl w:val="0"/>
                <w:numId w:val="9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工作时间≥2小时。</w:t>
            </w:r>
          </w:p>
          <w:p>
            <w:pPr>
              <w:keepNext w:val="0"/>
              <w:keepLines w:val="0"/>
              <w:widowControl/>
              <w:numPr>
                <w:ilvl w:val="0"/>
                <w:numId w:val="9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防尘防水≥IP55；</w:t>
            </w:r>
          </w:p>
          <w:p>
            <w:pPr>
              <w:keepNext w:val="0"/>
              <w:keepLines w:val="0"/>
              <w:widowControl/>
              <w:numPr>
                <w:ilvl w:val="0"/>
                <w:numId w:val="9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在黑暗时可视距离≥100m。</w:t>
            </w:r>
          </w:p>
          <w:p>
            <w:pPr>
              <w:keepNext w:val="0"/>
              <w:keepLines w:val="0"/>
              <w:widowControl/>
              <w:numPr>
                <w:ilvl w:val="0"/>
                <w:numId w:val="9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电池≥2500mA锂离子电池；</w:t>
            </w:r>
          </w:p>
          <w:p>
            <w:pPr>
              <w:keepNext w:val="0"/>
              <w:keepLines w:val="0"/>
              <w:widowControl/>
              <w:numPr>
                <w:ilvl w:val="0"/>
                <w:numId w:val="9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具有金属挂钩固定；</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警戒带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93"/>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用于灾害或事故现场的警戒。具备收放、反光、耐磨等性能，由纤维编制而成，外壳为塑料材质，双面反光,防水；</w:t>
            </w:r>
          </w:p>
          <w:p>
            <w:pPr>
              <w:keepNext w:val="0"/>
              <w:keepLines w:val="0"/>
              <w:widowControl/>
              <w:numPr>
                <w:ilvl w:val="0"/>
                <w:numId w:val="9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警示带尺寸：（1）宽度≥5cm；（2）长度≥100m。</w:t>
            </w:r>
          </w:p>
          <w:p>
            <w:pPr>
              <w:keepNext w:val="0"/>
              <w:keepLines w:val="0"/>
              <w:widowControl/>
              <w:numPr>
                <w:ilvl w:val="0"/>
                <w:numId w:val="9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质量：≤2500g。</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5</w:t>
            </w:r>
            <w:r>
              <w:rPr>
                <w:rFonts w:hint="eastAsia" w:ascii="宋体" w:hAnsi="宋体" w:cs="宋体"/>
                <w:i w:val="0"/>
                <w:iCs w:val="0"/>
                <w:color w:val="auto"/>
                <w:kern w:val="0"/>
                <w:sz w:val="18"/>
                <w:szCs w:val="18"/>
                <w:u w:val="none"/>
                <w:lang w:val="en-US" w:eastAsia="zh-CN" w:bidi="ar"/>
              </w:rPr>
              <w:t>盘</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机动链锯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★1、功率：≥2.4kW；</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怠速：≥2700rpm；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★3、最高功率转速：≥9600rpm；</w:t>
            </w:r>
          </w:p>
          <w:p>
            <w:pPr>
              <w:keepNext w:val="0"/>
              <w:keepLines w:val="0"/>
              <w:widowControl/>
              <w:numPr>
                <w:ilvl w:val="0"/>
                <w:numId w:val="9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燃油箱容量：≥0.45升；</w:t>
            </w:r>
          </w:p>
          <w:p>
            <w:pPr>
              <w:keepNext w:val="0"/>
              <w:keepLines w:val="0"/>
              <w:widowControl/>
              <w:numPr>
                <w:ilvl w:val="0"/>
                <w:numId w:val="9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链条润滑油箱容量：≥0.25L；</w:t>
            </w:r>
          </w:p>
          <w:p>
            <w:pPr>
              <w:keepNext w:val="0"/>
              <w:keepLines w:val="0"/>
              <w:widowControl/>
              <w:numPr>
                <w:ilvl w:val="0"/>
                <w:numId w:val="9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使用导板长度：33cm-50cm；</w:t>
            </w:r>
          </w:p>
          <w:p>
            <w:pPr>
              <w:keepNext w:val="0"/>
              <w:keepLines w:val="0"/>
              <w:widowControl/>
              <w:numPr>
                <w:ilvl w:val="0"/>
                <w:numId w:val="9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重量（不含燃油、机油、导板和链条）：≤6kg；</w:t>
            </w:r>
          </w:p>
          <w:p>
            <w:pPr>
              <w:keepNext w:val="0"/>
              <w:keepLines w:val="0"/>
              <w:widowControl/>
              <w:numPr>
                <w:ilvl w:val="0"/>
                <w:numId w:val="9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配备备用链条、维修工具和润滑油比例壶等；</w:t>
            </w:r>
          </w:p>
          <w:p>
            <w:pPr>
              <w:keepNext w:val="0"/>
              <w:keepLines w:val="0"/>
              <w:widowControl/>
              <w:numPr>
                <w:ilvl w:val="0"/>
                <w:numId w:val="9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火花塞电极间隙：≤0.5mm；</w:t>
            </w:r>
          </w:p>
          <w:p>
            <w:pPr>
              <w:keepNext w:val="0"/>
              <w:keepLines w:val="0"/>
              <w:widowControl/>
              <w:numPr>
                <w:ilvl w:val="0"/>
                <w:numId w:val="9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11、符合消防应急救援装备 破拆机具通用技术条件 GB32460-2015标准。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无齿锯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9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应配置锯片：≥2片，专用工具箱，护目镜、防护手套、专用工具；汽缸排量：≥74cc；</w:t>
            </w:r>
          </w:p>
          <w:p>
            <w:pPr>
              <w:keepNext w:val="0"/>
              <w:keepLines w:val="0"/>
              <w:widowControl/>
              <w:numPr>
                <w:ilvl w:val="0"/>
                <w:numId w:val="9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汽缸缸管内径：≥51mm；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★3、空转速度：≥2700rpm；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★4、功率：≥4.8kW；</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5、</w:t>
            </w:r>
            <w:r>
              <w:rPr>
                <w:rFonts w:hint="eastAsia" w:ascii="宋体" w:hAnsi="宋体" w:eastAsia="宋体" w:cs="宋体"/>
                <w:i w:val="0"/>
                <w:iCs w:val="0"/>
                <w:color w:val="auto"/>
                <w:kern w:val="0"/>
                <w:sz w:val="18"/>
                <w:szCs w:val="18"/>
                <w:u w:val="none"/>
                <w:lang w:val="en-US" w:eastAsia="zh-CN" w:bidi="ar"/>
              </w:rPr>
              <w:t>跳火间距：≤0.5mm；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6、油箱容量：≥1.8L；</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7、重量：≤11.6kg；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8、切割深度：≥125mm；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9、配置锯片：≥2片，专用工具箱，护目镜、防护手套、专用工具；</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10、符合GB32460-2015《消防应急救援装备 破拆机具通用技术条件》标准要求；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救生缓降器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95"/>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材质：救生绳内芯为钢丝等材质或优于该材质的材料，外包用尼龙线等材料或优于该材质的材料编织；</w:t>
            </w:r>
          </w:p>
          <w:p>
            <w:pPr>
              <w:keepNext w:val="0"/>
              <w:keepLines w:val="0"/>
              <w:widowControl/>
              <w:numPr>
                <w:ilvl w:val="0"/>
                <w:numId w:val="9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救生绳长度≥30m；</w:t>
            </w:r>
          </w:p>
          <w:p>
            <w:pPr>
              <w:keepNext w:val="0"/>
              <w:keepLines w:val="0"/>
              <w:widowControl/>
              <w:numPr>
                <w:ilvl w:val="0"/>
                <w:numId w:val="9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使用载荷重量：10kg~100kg；</w:t>
            </w:r>
          </w:p>
          <w:p>
            <w:pPr>
              <w:keepNext w:val="0"/>
              <w:keepLines w:val="0"/>
              <w:widowControl/>
              <w:numPr>
                <w:ilvl w:val="0"/>
                <w:numId w:val="9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整机强度：≥3800N；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★5、安全带强度：＞6300N；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★6、安全钩强度：＞1000N；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7、</w:t>
            </w:r>
            <w:r>
              <w:rPr>
                <w:rFonts w:hint="eastAsia" w:ascii="宋体" w:hAnsi="宋体" w:eastAsia="宋体" w:cs="宋体"/>
                <w:i w:val="0"/>
                <w:iCs w:val="0"/>
                <w:color w:val="auto"/>
                <w:kern w:val="0"/>
                <w:sz w:val="18"/>
                <w:szCs w:val="18"/>
                <w:u w:val="none"/>
                <w:lang w:val="en-US" w:eastAsia="zh-CN" w:bidi="ar"/>
              </w:rPr>
              <w:t>绳索强度：＞3800N；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8、100kg负荷下降次数：200次（15m高）；</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★9、缓降速度：＜0.39m/s（负荷35kg）,＜0.52m/s（负荷65kg）,＜0.64m/s（负荷100kg）；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10、符合GB 21976.2-2012《建筑火灾逃生避难器材 第2部分：逃生缓降器》标准，符合GA413-2003《救生缓降器》标准要求；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设备支架</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96"/>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材质：铝合金或者高强度铝合金同等强度材质；</w:t>
            </w:r>
          </w:p>
          <w:p>
            <w:pPr>
              <w:keepNext w:val="0"/>
              <w:keepLines w:val="0"/>
              <w:widowControl/>
              <w:numPr>
                <w:ilvl w:val="0"/>
                <w:numId w:val="9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展开最高工作高度：≥2m；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★3、最大工作负荷：≥160kg；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4、</w:t>
            </w:r>
            <w:r>
              <w:rPr>
                <w:rFonts w:hint="eastAsia" w:ascii="宋体" w:hAnsi="宋体" w:eastAsia="宋体" w:cs="宋体"/>
                <w:i w:val="0"/>
                <w:iCs w:val="0"/>
                <w:color w:val="auto"/>
                <w:kern w:val="0"/>
                <w:sz w:val="18"/>
                <w:szCs w:val="18"/>
                <w:u w:val="none"/>
                <w:lang w:val="en-US" w:eastAsia="zh-CN" w:bidi="ar"/>
              </w:rPr>
              <w:t>重量：≤30kg（包含绞盘及附件）；</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5、安全载重：≥1T；</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6、钢缆（绞盘）：≥30M；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7、完全展开：≥240cm；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8、阻断力：≥500kg；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9、完全收缩：≥137cm；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11、符合救援三脚架 XF3009-2020标准。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医药急救箱</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97"/>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含13cm丁字开口器，14cm止血钳、镊子、普通手术剪、电子体温计、注射针筒（50ml、20ml、5ml）各1个；纱布、绷带、医用胶带、棉签各</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2包；乳胶止血带、压舌板、听诊器、电子血压计、三角巾、烧伤敷料、急救毯各1个；、一次性乳胶手套5双；骨夹板1包（内含4块）；瞳孔笔1个。</w:t>
            </w:r>
          </w:p>
          <w:p>
            <w:pPr>
              <w:keepNext w:val="0"/>
              <w:keepLines w:val="0"/>
              <w:widowControl/>
              <w:numPr>
                <w:ilvl w:val="0"/>
                <w:numId w:val="0"/>
              </w:numPr>
              <w:suppressLineNumbers w:val="0"/>
              <w:jc w:val="left"/>
              <w:textAlignment w:val="center"/>
              <w:rPr>
                <w:rFonts w:hint="eastAsia" w:ascii="宋体" w:hAnsi="宋体" w:cs="宋体"/>
                <w:color w:val="auto"/>
                <w:kern w:val="0"/>
                <w:lang w:val="zh-CN"/>
              </w:rPr>
            </w:pPr>
            <w:r>
              <w:rPr>
                <w:rFonts w:hint="default" w:ascii="宋体" w:hAnsi="宋体" w:cs="宋体"/>
                <w:i w:val="0"/>
                <w:iCs w:val="0"/>
                <w:color w:val="auto"/>
                <w:kern w:val="0"/>
                <w:sz w:val="18"/>
                <w:szCs w:val="18"/>
                <w:u w:val="none"/>
                <w:lang w:val="en" w:eastAsia="zh-CN" w:bidi="ar"/>
              </w:rPr>
              <w:t>3</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358"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消防专用救生衣</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eastAsia="宋体" w:cs="宋体"/>
                <w:i w:val="0"/>
                <w:iCs w:val="0"/>
                <w:color w:val="auto"/>
                <w:kern w:val="0"/>
                <w:sz w:val="18"/>
                <w:szCs w:val="18"/>
                <w:u w:val="none"/>
                <w:lang w:val="en-US" w:eastAsia="zh-CN" w:bidi="ar"/>
              </w:rPr>
              <w:t>腰部两侧设计≥2组梯型扣，尼龙织带调整松紧≥2cm，底部尼龙带≥4cm加固；</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u w:val="none"/>
                <w:lang w:val="en-US" w:eastAsia="zh-CN" w:bidi="ar"/>
              </w:rPr>
              <w:t>面料采用同等或优于方形针织压力点和1680D材质的尼龙面料；</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3、</w:t>
            </w:r>
            <w:r>
              <w:rPr>
                <w:rFonts w:hint="eastAsia" w:ascii="宋体" w:hAnsi="宋体" w:eastAsia="宋体" w:cs="宋体"/>
                <w:i w:val="0"/>
                <w:iCs w:val="0"/>
                <w:color w:val="auto"/>
                <w:kern w:val="0"/>
                <w:sz w:val="18"/>
                <w:szCs w:val="18"/>
                <w:u w:val="none"/>
                <w:lang w:val="en-US" w:eastAsia="zh-CN" w:bidi="ar"/>
              </w:rPr>
              <w:t>采用背心式设计，胸襟采用塑钢开口拉链，并使用塑料拉头浮力片固定于布料夹层内，后领口增加手提式松紧提拉带设计，方便于携带；</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4、环绕胸部设置一条多功能腰带，前胸是设置PFD自救装置，后背部设有牵引绳连接拉环，拉环拉绳破断力≥1200kg；</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5</w:t>
            </w:r>
            <w:r>
              <w:rPr>
                <w:rFonts w:hint="eastAsia" w:ascii="宋体" w:hAnsi="宋体" w:eastAsia="宋体" w:cs="宋体"/>
                <w:i w:val="0"/>
                <w:iCs w:val="0"/>
                <w:color w:val="auto"/>
                <w:kern w:val="0"/>
                <w:sz w:val="18"/>
                <w:szCs w:val="18"/>
                <w:u w:val="none"/>
                <w:lang w:val="en-US" w:eastAsia="zh-CN" w:bidi="ar"/>
              </w:rPr>
              <w:t>、强度：救生衣衣身能承受≥3250N的作用力≥30min而不损坏。肩部能承受≥900N的作用力≥30min而不损坏，裆带与救生衣衣体之间能承受≥900N的作用力而不发生脱离或损坏；</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6</w:t>
            </w:r>
            <w:r>
              <w:rPr>
                <w:rFonts w:hint="eastAsia" w:ascii="宋体" w:hAnsi="宋体" w:eastAsia="宋体" w:cs="宋体"/>
                <w:i w:val="0"/>
                <w:iCs w:val="0"/>
                <w:color w:val="auto"/>
                <w:kern w:val="0"/>
                <w:sz w:val="18"/>
                <w:szCs w:val="18"/>
                <w:u w:val="none"/>
                <w:lang w:val="en-US" w:eastAsia="zh-CN" w:bidi="ar"/>
              </w:rPr>
              <w:t>、面料断裂强度：经向≥3400N，纬向≥2700N。缚带断裂强度≥9000N，快脱带断裂强度≥4000N；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7</w:t>
            </w:r>
            <w:r>
              <w:rPr>
                <w:rFonts w:hint="default" w:ascii="宋体" w:hAnsi="宋体" w:cs="宋体"/>
                <w:i w:val="0"/>
                <w:iCs w:val="0"/>
                <w:color w:val="auto"/>
                <w:kern w:val="0"/>
                <w:sz w:val="18"/>
                <w:szCs w:val="18"/>
                <w:u w:val="none"/>
                <w:lang w:val="en" w:eastAsia="zh-CN" w:bidi="ar"/>
              </w:rPr>
              <w:t>、</w:t>
            </w:r>
            <w:r>
              <w:rPr>
                <w:rFonts w:hint="eastAsia" w:ascii="宋体" w:hAnsi="宋体" w:eastAsia="宋体" w:cs="宋体"/>
                <w:i w:val="0"/>
                <w:iCs w:val="0"/>
                <w:color w:val="auto"/>
                <w:kern w:val="0"/>
                <w:sz w:val="18"/>
                <w:szCs w:val="18"/>
                <w:u w:val="none"/>
                <w:lang w:val="en-US" w:eastAsia="zh-CN" w:bidi="ar"/>
              </w:rPr>
              <w:t>活饵快卸系统：环绕胸部腰带一条，宽5~6cm的尼龙或优于该材质的织带，使用不锈钢日型环或优于该材质的材料及塑钢或优于该材质的材料固定，拉环上配置一根快速牵引绳，可以固定于肩部，不影响救援动作；</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8</w:t>
            </w:r>
            <w:r>
              <w:rPr>
                <w:rFonts w:hint="eastAsia" w:ascii="宋体" w:hAnsi="宋体" w:eastAsia="宋体" w:cs="宋体"/>
                <w:i w:val="0"/>
                <w:iCs w:val="0"/>
                <w:color w:val="auto"/>
                <w:kern w:val="0"/>
                <w:sz w:val="18"/>
                <w:szCs w:val="18"/>
                <w:u w:val="none"/>
                <w:lang w:val="en-US" w:eastAsia="zh-CN" w:bidi="ar"/>
              </w:rPr>
              <w:t>、正面配置2个大容量排水网布构成的置物袋（可拆卸式），肩部配置一个对讲机口袋（可拆卸式），后背同时也增加一个大容量置物袋（可拆卸式）；</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9</w:t>
            </w:r>
            <w:r>
              <w:rPr>
                <w:rFonts w:hint="eastAsia" w:ascii="宋体" w:hAnsi="宋体" w:eastAsia="宋体" w:cs="宋体"/>
                <w:i w:val="0"/>
                <w:iCs w:val="0"/>
                <w:color w:val="auto"/>
                <w:kern w:val="0"/>
                <w:sz w:val="18"/>
                <w:szCs w:val="18"/>
                <w:u w:val="none"/>
                <w:lang w:val="en-US" w:eastAsia="zh-CN" w:bidi="ar"/>
              </w:rPr>
              <w:t>、多个前置挂点的设计方便使用者在使用和固定刀、口哨时都方便快捷；</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10</w:t>
            </w:r>
            <w:r>
              <w:rPr>
                <w:rFonts w:hint="eastAsia" w:ascii="宋体" w:hAnsi="宋体" w:eastAsia="宋体" w:cs="宋体"/>
                <w:i w:val="0"/>
                <w:iCs w:val="0"/>
                <w:color w:val="auto"/>
                <w:kern w:val="0"/>
                <w:sz w:val="18"/>
                <w:szCs w:val="18"/>
                <w:u w:val="none"/>
                <w:lang w:val="en-US" w:eastAsia="zh-CN" w:bidi="ar"/>
              </w:rPr>
              <w:t>、前后面缝制≥1m的3m反光条，下摆部带有连接点，用于连接腿带固定带，以防水流水浪将救生衣冲脱；</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11</w:t>
            </w:r>
            <w:r>
              <w:rPr>
                <w:rFonts w:hint="eastAsia" w:ascii="宋体" w:hAnsi="宋体" w:eastAsia="宋体" w:cs="宋体"/>
                <w:i w:val="0"/>
                <w:iCs w:val="0"/>
                <w:color w:val="auto"/>
                <w:kern w:val="0"/>
                <w:sz w:val="18"/>
                <w:szCs w:val="18"/>
                <w:u w:val="none"/>
                <w:lang w:val="en-US" w:eastAsia="zh-CN" w:bidi="ar"/>
              </w:rPr>
              <w:t>、为急流救援型救生衣浮力≥205N，浮力损失≤0.95%；</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12</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每件救生衣配有细索系牢的示位灯≥1只；</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13</w:t>
            </w:r>
            <w:r>
              <w:rPr>
                <w:rFonts w:hint="eastAsia" w:ascii="宋体" w:hAnsi="宋体" w:eastAsia="宋体" w:cs="宋体"/>
                <w:i w:val="0"/>
                <w:iCs w:val="0"/>
                <w:color w:val="auto"/>
                <w:kern w:val="0"/>
                <w:sz w:val="18"/>
                <w:szCs w:val="18"/>
                <w:u w:val="none"/>
                <w:lang w:val="en-US" w:eastAsia="zh-CN" w:bidi="ar"/>
              </w:rPr>
              <w:t>、救生衣所有金属附件经≥48h中性盐雾试验后，无明显腐蚀现象；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4</w:t>
            </w:r>
            <w:r>
              <w:rPr>
                <w:rFonts w:hint="eastAsia" w:ascii="宋体" w:hAnsi="宋体" w:eastAsia="宋体" w:cs="宋体"/>
                <w:i w:val="0"/>
                <w:iCs w:val="0"/>
                <w:color w:val="auto"/>
                <w:kern w:val="0"/>
                <w:sz w:val="18"/>
                <w:szCs w:val="18"/>
                <w:u w:val="none"/>
                <w:lang w:val="en-US" w:eastAsia="zh-CN" w:bidi="ar"/>
              </w:rPr>
              <w:t>、水中姿态：人员穿着救生衣以任意方式下水后，在自由漂浮状态下，人嘴能高出面≥180mm以上；</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5</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6</w:t>
            </w:r>
            <w:r>
              <w:rPr>
                <w:rFonts w:hint="eastAsia" w:ascii="宋体" w:hAnsi="宋体" w:cs="宋体"/>
                <w:i w:val="0"/>
                <w:iCs w:val="0"/>
                <w:color w:val="auto"/>
                <w:kern w:val="0"/>
                <w:sz w:val="18"/>
                <w:szCs w:val="18"/>
                <w:u w:val="none"/>
                <w:lang w:val="en-US" w:eastAsia="zh-CN" w:bidi="ar"/>
              </w:rPr>
              <w:t>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998"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消防头盔</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98"/>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消防头盔应由帽壳、缓冲层、舒适衬垫、佩戴装置、面罩、披肩等组成，可含有头盔滑轨配置；具有永久性标志及产品数据标识；</w:t>
            </w:r>
          </w:p>
          <w:p>
            <w:pPr>
              <w:keepNext w:val="0"/>
              <w:keepLines w:val="0"/>
              <w:widowControl/>
              <w:numPr>
                <w:ilvl w:val="0"/>
                <w:numId w:val="9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应具备防砸、防尖锐物品冲击、耐热、耐燃烧、电绝缘等性能；</w:t>
            </w:r>
          </w:p>
          <w:p>
            <w:pPr>
              <w:keepNext w:val="0"/>
              <w:keepLines w:val="0"/>
              <w:widowControl/>
              <w:numPr>
                <w:ilvl w:val="0"/>
                <w:numId w:val="9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最大冲击力：≥3410.1N；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eastAsia="宋体" w:cs="宋体"/>
                <w:i w:val="0"/>
                <w:iCs w:val="0"/>
                <w:color w:val="auto"/>
                <w:kern w:val="0"/>
                <w:sz w:val="18"/>
                <w:szCs w:val="18"/>
                <w:u w:val="none"/>
                <w:lang w:val="en-US" w:eastAsia="zh-CN" w:bidi="ar"/>
              </w:rPr>
              <w:t>3.1、帽顶部：最大冲击速度≥129.8GN；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eastAsia="宋体" w:cs="宋体"/>
                <w:i w:val="0"/>
                <w:iCs w:val="0"/>
                <w:color w:val="auto"/>
                <w:kern w:val="0"/>
                <w:sz w:val="18"/>
                <w:szCs w:val="18"/>
                <w:u w:val="none"/>
                <w:lang w:val="en-US" w:eastAsia="zh-CN" w:bidi="ar"/>
              </w:rPr>
              <w:t>3.2、帽前部：最大冲击速度≥309.5GN；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eastAsia="宋体" w:cs="宋体"/>
                <w:i w:val="0"/>
                <w:iCs w:val="0"/>
                <w:color w:val="auto"/>
                <w:kern w:val="0"/>
                <w:sz w:val="18"/>
                <w:szCs w:val="18"/>
                <w:u w:val="none"/>
                <w:lang w:val="en-US" w:eastAsia="zh-CN" w:bidi="ar"/>
              </w:rPr>
              <w:t>3.3、加速度＞150GN，其持续时间≥5.1ms；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eastAsia="宋体" w:cs="宋体"/>
                <w:i w:val="0"/>
                <w:iCs w:val="0"/>
                <w:color w:val="auto"/>
                <w:kern w:val="0"/>
                <w:sz w:val="18"/>
                <w:szCs w:val="18"/>
                <w:u w:val="none"/>
                <w:lang w:val="en-US" w:eastAsia="zh-CN" w:bidi="ar"/>
              </w:rPr>
              <w:t>3.4、加速度＞200GN，其持续时间≥2.2ms；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eastAsia="宋体" w:cs="宋体"/>
                <w:i w:val="0"/>
                <w:iCs w:val="0"/>
                <w:color w:val="auto"/>
                <w:kern w:val="0"/>
                <w:sz w:val="18"/>
                <w:szCs w:val="18"/>
                <w:u w:val="none"/>
                <w:lang w:val="en-US" w:eastAsia="zh-CN" w:bidi="ar"/>
              </w:rPr>
              <w:t>3.5、帽侧部：最大冲击速度≥319.6GN；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eastAsia="宋体" w:cs="宋体"/>
                <w:i w:val="0"/>
                <w:iCs w:val="0"/>
                <w:color w:val="auto"/>
                <w:kern w:val="0"/>
                <w:sz w:val="18"/>
                <w:szCs w:val="18"/>
                <w:u w:val="none"/>
                <w:lang w:val="en-US" w:eastAsia="zh-CN" w:bidi="ar"/>
              </w:rPr>
              <w:t>3.6、加速度＞150GN，其持续时间≥5.0ms；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eastAsia="宋体" w:cs="宋体"/>
                <w:i w:val="0"/>
                <w:iCs w:val="0"/>
                <w:color w:val="auto"/>
                <w:kern w:val="0"/>
                <w:sz w:val="18"/>
                <w:szCs w:val="18"/>
                <w:u w:val="none"/>
                <w:lang w:val="en-US" w:eastAsia="zh-CN" w:bidi="ar"/>
              </w:rPr>
              <w:t>3.7、加速度＞200GN，其持续时间≥2.1ms；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eastAsia="宋体" w:cs="宋体"/>
                <w:i w:val="0"/>
                <w:iCs w:val="0"/>
                <w:color w:val="auto"/>
                <w:kern w:val="0"/>
                <w:sz w:val="18"/>
                <w:szCs w:val="18"/>
                <w:u w:val="none"/>
                <w:lang w:val="en-US" w:eastAsia="zh-CN" w:bidi="ar"/>
              </w:rPr>
              <w:t>3.8、帽后部最大冲击速度≥318.7GN；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eastAsia="宋体" w:cs="宋体"/>
                <w:i w:val="0"/>
                <w:iCs w:val="0"/>
                <w:color w:val="auto"/>
                <w:kern w:val="0"/>
                <w:sz w:val="18"/>
                <w:szCs w:val="18"/>
                <w:u w:val="none"/>
                <w:lang w:val="en-US" w:eastAsia="zh-CN" w:bidi="ar"/>
              </w:rPr>
              <w:t>3.9、加速度＞150GN，其持续时间≥5.2ms；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eastAsia="宋体" w:cs="宋体"/>
                <w:i w:val="0"/>
                <w:iCs w:val="0"/>
                <w:color w:val="auto"/>
                <w:kern w:val="0"/>
                <w:sz w:val="18"/>
                <w:szCs w:val="18"/>
                <w:u w:val="none"/>
                <w:lang w:val="en-US" w:eastAsia="zh-CN" w:bidi="ar"/>
              </w:rPr>
              <w:t>3.10、加速度＞200GN，其持续时间≥2.2ms；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4、损毁长度：≤8.4mm，无熔融滴落现象；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5、涂层附着牢度：连续洗涤≥10次无涂层脱离现象；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6、热稳定性：≥5min，260℃±6℃变化率：无明显变化；</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7、符合XF44-2015 《消防头盔》标准。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13</w:t>
            </w:r>
            <w:r>
              <w:rPr>
                <w:rFonts w:hint="eastAsia" w:ascii="宋体" w:hAnsi="宋体" w:cs="宋体"/>
                <w:i w:val="0"/>
                <w:iCs w:val="0"/>
                <w:color w:val="auto"/>
                <w:kern w:val="0"/>
                <w:sz w:val="18"/>
                <w:szCs w:val="18"/>
                <w:u w:val="none"/>
                <w:lang w:val="en-US" w:eastAsia="zh-CN" w:bidi="ar"/>
              </w:rPr>
              <w:t>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便携式防爆照明灯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99"/>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额定功率：≥3w；</w:t>
            </w:r>
          </w:p>
          <w:p>
            <w:pPr>
              <w:keepNext w:val="0"/>
              <w:keepLines w:val="0"/>
              <w:widowControl/>
              <w:numPr>
                <w:ilvl w:val="0"/>
                <w:numId w:val="9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电池额定容量≥1800mAh；</w:t>
            </w:r>
          </w:p>
          <w:p>
            <w:pPr>
              <w:keepNext w:val="0"/>
              <w:keepLines w:val="0"/>
              <w:widowControl/>
              <w:numPr>
                <w:ilvl w:val="0"/>
                <w:numId w:val="9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电池使用寿命≥1000循环次；</w:t>
            </w:r>
          </w:p>
          <w:p>
            <w:pPr>
              <w:keepNext w:val="0"/>
              <w:keepLines w:val="0"/>
              <w:widowControl/>
              <w:numPr>
                <w:ilvl w:val="0"/>
                <w:numId w:val="9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连续工作时间：强光≥5h，弱光≥10h；</w:t>
            </w:r>
          </w:p>
          <w:p>
            <w:pPr>
              <w:keepNext w:val="0"/>
              <w:keepLines w:val="0"/>
              <w:widowControl/>
              <w:numPr>
                <w:ilvl w:val="0"/>
                <w:numId w:val="9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充电时间（电池耗尽后）：≤6h；</w:t>
            </w:r>
          </w:p>
          <w:p>
            <w:pPr>
              <w:keepNext w:val="0"/>
              <w:keepLines w:val="0"/>
              <w:widowControl/>
              <w:numPr>
                <w:ilvl w:val="0"/>
                <w:numId w:val="9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直径：≤24mm；</w:t>
            </w:r>
          </w:p>
          <w:p>
            <w:pPr>
              <w:keepNext w:val="0"/>
              <w:keepLines w:val="0"/>
              <w:widowControl/>
              <w:numPr>
                <w:ilvl w:val="0"/>
                <w:numId w:val="9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长度：≤121mm；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★8、强光亮度：≥500lux；</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9、</w:t>
            </w:r>
            <w:r>
              <w:rPr>
                <w:rFonts w:hint="eastAsia" w:ascii="宋体" w:hAnsi="宋体" w:eastAsia="宋体" w:cs="宋体"/>
                <w:i w:val="0"/>
                <w:iCs w:val="0"/>
                <w:color w:val="auto"/>
                <w:kern w:val="0"/>
                <w:sz w:val="18"/>
                <w:szCs w:val="18"/>
                <w:u w:val="none"/>
                <w:lang w:val="en-US" w:eastAsia="zh-CN" w:bidi="ar"/>
              </w:rPr>
              <w:t>弱光亮度：≥250lux；</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10、重量：≤120g；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★11、应符合GB30734-2014《消防员照明灯具》标准要求；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12、防护等级：IP68。</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12</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消防安全腰带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★1、必须符合国家XF494-2004《消防用防坠落装备》标准要求；</w:t>
            </w:r>
          </w:p>
          <w:p>
            <w:pPr>
              <w:keepNext w:val="0"/>
              <w:keepLines w:val="0"/>
              <w:widowControl/>
              <w:numPr>
                <w:ilvl w:val="0"/>
                <w:numId w:val="9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由织带、带扣、D型环和移动板等组成；</w:t>
            </w:r>
          </w:p>
          <w:p>
            <w:pPr>
              <w:keepNext w:val="0"/>
              <w:keepLines w:val="0"/>
              <w:widowControl/>
              <w:numPr>
                <w:ilvl w:val="0"/>
                <w:numId w:val="9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织带：尼龙66等材质或优于该材质，织带为整根，不应有接缝，具有一定硬度，规格宽≥70mm*厚≥2.5mm，末端收尾为整烫圆弧型；具有永久性标志及产品数据标识；</w:t>
            </w:r>
          </w:p>
          <w:p>
            <w:pPr>
              <w:keepNext w:val="0"/>
              <w:keepLines w:val="0"/>
              <w:widowControl/>
              <w:numPr>
                <w:ilvl w:val="0"/>
                <w:numId w:val="9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设计负荷：≥1.3kN；</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5、重量：≤0.9kg；</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10</w:t>
            </w:r>
            <w:r>
              <w:rPr>
                <w:rFonts w:hint="eastAsia" w:ascii="宋体" w:hAnsi="宋体" w:cs="宋体"/>
                <w:i w:val="0"/>
                <w:iCs w:val="0"/>
                <w:color w:val="auto"/>
                <w:kern w:val="0"/>
                <w:sz w:val="18"/>
                <w:szCs w:val="18"/>
                <w:u w:val="none"/>
                <w:lang w:val="en-US" w:eastAsia="zh-CN" w:bidi="ar"/>
              </w:rPr>
              <w:t>条</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护膝护肘</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0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产品外层采用强度高、韧性好、耐磨的PVC、TPR（热塑性弹性材料）、TPU（热塑性聚氨酯弹性体材料）等高分子材料制成；</w:t>
            </w:r>
          </w:p>
          <w:p>
            <w:pPr>
              <w:keepNext w:val="0"/>
              <w:keepLines w:val="0"/>
              <w:widowControl/>
              <w:numPr>
                <w:ilvl w:val="0"/>
                <w:numId w:val="10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内层采用无毒、防水、抗冲击性好、轻便的缓冲材料；</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default" w:ascii="宋体" w:hAnsi="宋体" w:cs="宋体"/>
                <w:i w:val="0"/>
                <w:iCs w:val="0"/>
                <w:color w:val="auto"/>
                <w:kern w:val="0"/>
                <w:sz w:val="18"/>
                <w:szCs w:val="18"/>
                <w:u w:val="none"/>
                <w:lang w:val="en" w:eastAsia="zh-CN" w:bidi="ar"/>
              </w:rPr>
              <w:t>3、</w:t>
            </w:r>
            <w:r>
              <w:rPr>
                <w:rFonts w:hint="eastAsia" w:ascii="宋体" w:hAnsi="宋体" w:eastAsia="宋体" w:cs="宋体"/>
                <w:i w:val="0"/>
                <w:iCs w:val="0"/>
                <w:color w:val="auto"/>
                <w:kern w:val="0"/>
                <w:sz w:val="18"/>
                <w:szCs w:val="18"/>
                <w:u w:val="none"/>
                <w:lang w:val="en-US" w:eastAsia="zh-CN" w:bidi="ar"/>
              </w:rPr>
              <w:t>固定装置可以调节。包括护膝1对、护肘1对；</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4、固定装置卡扣式调节式，耐磨性能≥2000次；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5、颜色为黑色；</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0套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消防员呼救器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★1、符合现行GB27900-2011《消防员呼救器》标准的要求，防爆性能符合GB3836.1标准的要求。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允许静止时间：30s±2s；预报警时间：15s±2s；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3、预报警声级强度：≥80dB；报警声级强度：≥100dB，低电压告警声级强度：≥65dB；</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4、连续工作时间：连续开机时间：≥24h，连续报警使用时间≥10h；</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13</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方位灯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★1、技术性能符合GB27899-2011《消防员方位灯》要求；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肉眼可视距离为≥4800m，在300m~500m范围内对水及雨雾有极强的穿透能力；</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3、连续工作时间达≥100h；</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4、外壳防护等级：IP68；</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5、应具有防爆、防水、耐腐蚀等性能，防爆性能应符合GB3836.1的规定；</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13</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消防通用安全绳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★1、符合XF494-2004《消防用防坠落装备》标准要求和应急管理部消防救援局统型标准要求，主承重部位由连续纤维等材料或优于该材质的材料制成，表面无任何机械损伤划痕，整绳粗细均匀，结构一致；</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2、负载≥1.33kN，安全绳直径9.5mm~10.5mm，长度≥100m，破断强度≥20kN，延伸率不小于1%且不大于10%；经204℃±5℃的高温不出现融熔、焦化现象；</w:t>
            </w:r>
          </w:p>
          <w:p>
            <w:pPr>
              <w:keepNext w:val="0"/>
              <w:keepLines w:val="0"/>
              <w:widowControl/>
              <w:numPr>
                <w:ilvl w:val="0"/>
                <w:numId w:val="10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安全绳上标注长度、直径、抗拉强度等信息的固定标签；</w:t>
            </w:r>
          </w:p>
          <w:p>
            <w:pPr>
              <w:keepNext w:val="0"/>
              <w:keepLines w:val="0"/>
              <w:widowControl/>
              <w:numPr>
                <w:ilvl w:val="0"/>
                <w:numId w:val="10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绳索端部为绳环结构，缝线扎缝≥50mm，在扎缝处热封，并包以裹紧的橡胶或塑料套管；</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根</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消防轻型安全绳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★1、应符合国家XF494-2004《消防用防坠落装备》标准要求，具有国家消防装备质量监督检验中心的检验报告和应急管理部消防产品合格评定中心的认证证书；</w:t>
            </w:r>
          </w:p>
          <w:p>
            <w:pPr>
              <w:keepNext w:val="0"/>
              <w:keepLines w:val="0"/>
              <w:widowControl/>
              <w:numPr>
                <w:ilvl w:val="0"/>
                <w:numId w:val="9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直径：10mm~12mm；</w:t>
            </w:r>
          </w:p>
          <w:p>
            <w:pPr>
              <w:keepNext w:val="0"/>
              <w:keepLines w:val="0"/>
              <w:widowControl/>
              <w:numPr>
                <w:ilvl w:val="0"/>
                <w:numId w:val="9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长度：≤20m；</w:t>
            </w:r>
          </w:p>
          <w:p>
            <w:pPr>
              <w:keepNext w:val="0"/>
              <w:keepLines w:val="0"/>
              <w:widowControl/>
              <w:numPr>
                <w:ilvl w:val="0"/>
                <w:numId w:val="9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破断强度：≥24kN；</w:t>
            </w:r>
          </w:p>
          <w:p>
            <w:pPr>
              <w:keepNext w:val="0"/>
              <w:keepLines w:val="0"/>
              <w:widowControl/>
              <w:numPr>
                <w:ilvl w:val="0"/>
                <w:numId w:val="9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延伸率：当承重达到破断强度的≤10%时，安全绳的延伸率≤3%；</w:t>
            </w:r>
          </w:p>
          <w:p>
            <w:pPr>
              <w:keepNext w:val="0"/>
              <w:keepLines w:val="0"/>
              <w:widowControl/>
              <w:numPr>
                <w:ilvl w:val="0"/>
                <w:numId w:val="9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耐高温性能：经（204±5）℃耐高温性能试验后，未出现熔融、焦化现象；</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3</w:t>
            </w:r>
            <w:r>
              <w:rPr>
                <w:rFonts w:hint="eastAsia" w:ascii="宋体" w:hAnsi="宋体" w:cs="宋体"/>
                <w:i w:val="0"/>
                <w:iCs w:val="0"/>
                <w:color w:val="auto"/>
                <w:kern w:val="0"/>
                <w:sz w:val="18"/>
                <w:szCs w:val="18"/>
                <w:u w:val="none"/>
                <w:lang w:val="en-US" w:eastAsia="zh-CN" w:bidi="ar"/>
              </w:rPr>
              <w:t>根</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r>
              <w:rPr>
                <w:rFonts w:hint="eastAsia" w:ascii="宋体" w:hAnsi="宋体" w:cs="宋体"/>
                <w:i w:val="0"/>
                <w:iCs w:val="0"/>
                <w:color w:val="FF0000"/>
                <w:kern w:val="0"/>
                <w:sz w:val="18"/>
                <w:szCs w:val="18"/>
                <w:u w:val="none"/>
                <w:lang w:val="en-US" w:eastAsia="zh-CN" w:bidi="ar"/>
              </w:rPr>
              <w:t>该项参数中要求的：第1项，投标时潜在供应商可不提供该项（</w:t>
            </w:r>
            <w:r>
              <w:rPr>
                <w:rFonts w:hint="eastAsia" w:ascii="宋体" w:hAnsi="宋体" w:eastAsia="宋体" w:cs="宋体"/>
                <w:i w:val="0"/>
                <w:iCs w:val="0"/>
                <w:color w:val="FF0000"/>
                <w:kern w:val="0"/>
                <w:sz w:val="18"/>
                <w:szCs w:val="18"/>
                <w:u w:val="none"/>
                <w:lang w:val="en-US" w:eastAsia="zh-CN" w:bidi="ar"/>
              </w:rPr>
              <w:t>国家消防装备质量监督检验中心的检验报告和应急管理部消防产品合格评定中心的认证证书</w:t>
            </w:r>
            <w:r>
              <w:rPr>
                <w:rFonts w:hint="eastAsia" w:ascii="宋体" w:hAnsi="宋体" w:cs="宋体"/>
                <w:i w:val="0"/>
                <w:iCs w:val="0"/>
                <w:color w:val="FF0000"/>
                <w:kern w:val="0"/>
                <w:sz w:val="18"/>
                <w:szCs w:val="18"/>
                <w:u w:val="none"/>
                <w:lang w:val="en-US" w:eastAsia="zh-CN" w:bidi="ar"/>
              </w:rPr>
              <w:t>），若中标后，供货时必须提供该项要求，若不提供视为放弃中标资格还应承担相应的违约责任。</w:t>
            </w: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消防腰斧</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★1、符合XF630-2006《消防腰斧》要求；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消防腰斧斧头连同斧柄应用整块金属材料制成。斧头一侧为斧刃，另一侧设有钳口，钳口上端为尖锥形，斧面上设有不同规格六方孔，斧刃内侧与斧颈呈倒U字形；</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3、消防腰斧的平刃、柄刃和斧柄轴线须在同一水平平面上，各部分应对称于该平面；</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4、斧柄外包裹绝缘层，斧柄套应热压在斧柄上，粘结应牢靠、不松动。斧柄下端安装有刀子、锯子、尺子；</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★5、具有锯、割、砍砸、钳、撬、量等多种功能，生产经过淬火；</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6、</w:t>
            </w:r>
            <w:r>
              <w:rPr>
                <w:rFonts w:hint="eastAsia" w:ascii="宋体" w:hAnsi="宋体" w:eastAsia="宋体" w:cs="宋体"/>
                <w:i w:val="0"/>
                <w:iCs w:val="0"/>
                <w:color w:val="auto"/>
                <w:kern w:val="0"/>
                <w:sz w:val="18"/>
                <w:szCs w:val="18"/>
                <w:u w:val="none"/>
                <w:lang w:val="en-US" w:eastAsia="zh-CN" w:bidi="ar"/>
              </w:rPr>
              <w:t>外观：腰斧各刃部应抛光，其表面粗糙度Ra值≤7μm。腰斧金属表面平整光洁，无裂痕、毛刺、凹痕、缺损或有害杂质等缺陷，涂漆部分不应有流痕、气泡；具有永久性标志及产品数据标识；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7、质量：≤1.0kg；</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抢险救援头盔</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0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应由帽壳、帽箍、头盔滑轨、佩戴装置及附件等构成；</w:t>
            </w:r>
          </w:p>
          <w:p>
            <w:pPr>
              <w:keepNext w:val="0"/>
              <w:keepLines w:val="0"/>
              <w:widowControl/>
              <w:numPr>
                <w:ilvl w:val="0"/>
                <w:numId w:val="10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要求具有防止冲击、锐物、热辐射、火焰以及防化学泡沫腐蚀等性能；还具有优异的防紫外线功能，良好的通风性能及高舒适性；</w:t>
            </w:r>
          </w:p>
          <w:p>
            <w:pPr>
              <w:keepNext w:val="0"/>
              <w:keepLines w:val="0"/>
              <w:widowControl/>
              <w:numPr>
                <w:ilvl w:val="0"/>
                <w:numId w:val="10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帽箍可在53cm~63cm范围内自由调节；</w:t>
            </w:r>
          </w:p>
          <w:p>
            <w:pPr>
              <w:keepNext w:val="0"/>
              <w:keepLines w:val="0"/>
              <w:widowControl/>
              <w:numPr>
                <w:ilvl w:val="0"/>
                <w:numId w:val="10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全封闭防雾护目镜，镜片有超硬涂层；</w:t>
            </w:r>
          </w:p>
          <w:p>
            <w:pPr>
              <w:keepNext w:val="0"/>
              <w:keepLines w:val="0"/>
              <w:widowControl/>
              <w:numPr>
                <w:ilvl w:val="0"/>
                <w:numId w:val="10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盔体整体为红色；</w:t>
            </w:r>
          </w:p>
          <w:p>
            <w:pPr>
              <w:keepNext w:val="0"/>
              <w:keepLines w:val="0"/>
              <w:widowControl/>
              <w:numPr>
                <w:ilvl w:val="0"/>
                <w:numId w:val="10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两侧印字根据用户需求粘贴；具有永久性标志及产品数据标识；</w:t>
            </w:r>
          </w:p>
          <w:p>
            <w:pPr>
              <w:keepNext w:val="0"/>
              <w:keepLines w:val="0"/>
              <w:widowControl/>
              <w:numPr>
                <w:ilvl w:val="0"/>
                <w:numId w:val="10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字体符合部消防局统型要求；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8、符合XF633-2006《消防员抢险救援防护服装》标准。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13</w:t>
            </w:r>
            <w:r>
              <w:rPr>
                <w:rFonts w:hint="eastAsia" w:ascii="宋体" w:hAnsi="宋体" w:cs="宋体"/>
                <w:i w:val="0"/>
                <w:iCs w:val="0"/>
                <w:color w:val="auto"/>
                <w:kern w:val="0"/>
                <w:sz w:val="18"/>
                <w:szCs w:val="18"/>
                <w:u w:val="none"/>
                <w:lang w:val="en-US" w:eastAsia="zh-CN" w:bidi="ar"/>
              </w:rPr>
              <w:t>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826"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消防员灭火防火头套</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★1、符合XF869-2010《消防员灭火防护头套》标准要求；</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★2、原色纤维针织物，不应使用后染色针织物；</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3、</w:t>
            </w:r>
            <w:r>
              <w:rPr>
                <w:rFonts w:hint="eastAsia" w:ascii="宋体" w:hAnsi="宋体" w:eastAsia="宋体" w:cs="宋体"/>
                <w:i w:val="0"/>
                <w:iCs w:val="0"/>
                <w:color w:val="auto"/>
                <w:kern w:val="0"/>
                <w:sz w:val="18"/>
                <w:szCs w:val="18"/>
                <w:u w:val="none"/>
                <w:lang w:val="en-US" w:eastAsia="zh-CN" w:bidi="ar"/>
              </w:rPr>
              <w:t>头套前部和后部与防护服领口内重叠部分长度≥200mm，头套侧部与防护服领口内重叠部分长度≥130mm；面部开口与呼吸防护装具面罩边缘之间重叠部分长度≥10mm；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4、水洗后收缩率≤2.5%；</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5、损毁长度：≤100mm，续燃时间：≤2s，无熔融、滴落现象；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6、抗起球性能：≥4级；</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7、头套的质量：≤300g。≥经260℃热稳定性能试验后沿经、纬方向尺寸变化率≤10%，试样无变色、熔融和滴落现象；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8、面部开口处应具有松紧功能；</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15</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826"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消防全身式安全吊带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★1、吊带的承重：≥2.6kN；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织带宽度：45mm（±2mm)，织带厚度：1.5mm（±0.5mm)；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3、织带材料：高强涤纶丝或优于同等材质材料；</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4、安全吊带应能调节尺寸大小以适合不同体型佩戴；</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5、质量：≤2.2kg；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6、应符合XF494-2004《消防用防坠落装备》的标准要求；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手提式强光照明灯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0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符合《GB30734-2014消防员照明灯具》标准。</w:t>
            </w:r>
          </w:p>
          <w:p>
            <w:pPr>
              <w:keepNext w:val="0"/>
              <w:keepLines w:val="0"/>
              <w:widowControl/>
              <w:numPr>
                <w:ilvl w:val="0"/>
                <w:numId w:val="10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防护等级≥IP68；</w:t>
            </w:r>
          </w:p>
          <w:p>
            <w:pPr>
              <w:keepNext w:val="0"/>
              <w:keepLines w:val="0"/>
              <w:widowControl/>
              <w:numPr>
                <w:ilvl w:val="0"/>
                <w:numId w:val="10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灯具光源为LED；（1）最大功率≥9W；（2）强光平均照度值≥750lx；（3）弱光平均照度值≥350lx；</w:t>
            </w:r>
          </w:p>
          <w:p>
            <w:pPr>
              <w:keepNext w:val="0"/>
              <w:keepLines w:val="0"/>
              <w:widowControl/>
              <w:numPr>
                <w:ilvl w:val="0"/>
                <w:numId w:val="10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工作时间：（1）强光≥300 min；（2）弱光≥600min；</w:t>
            </w:r>
          </w:p>
          <w:p>
            <w:pPr>
              <w:keepNext w:val="0"/>
              <w:keepLines w:val="0"/>
              <w:widowControl/>
              <w:numPr>
                <w:ilvl w:val="0"/>
                <w:numId w:val="10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经高低温性能、交变湿热性能、高低温贮存性能试验后，灯具能正常进行开、关和强、弱光切换；</w:t>
            </w:r>
          </w:p>
          <w:p>
            <w:pPr>
              <w:keepNext w:val="0"/>
              <w:keepLines w:val="0"/>
              <w:widowControl/>
              <w:numPr>
                <w:ilvl w:val="0"/>
                <w:numId w:val="10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充电时间≤4h；</w:t>
            </w:r>
          </w:p>
          <w:p>
            <w:pPr>
              <w:keepNext w:val="0"/>
              <w:keepLines w:val="0"/>
              <w:widowControl/>
              <w:numPr>
                <w:ilvl w:val="0"/>
                <w:numId w:val="10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灯具具有静止报警模式；</w:t>
            </w:r>
          </w:p>
          <w:p>
            <w:pPr>
              <w:keepNext w:val="0"/>
              <w:keepLines w:val="0"/>
              <w:widowControl/>
              <w:numPr>
                <w:ilvl w:val="0"/>
                <w:numId w:val="10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质量≤1000 g；</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default" w:ascii="宋体" w:hAnsi="宋体" w:cs="宋体"/>
                <w:i w:val="0"/>
                <w:iCs w:val="0"/>
                <w:color w:val="auto"/>
                <w:kern w:val="0"/>
                <w:sz w:val="18"/>
                <w:szCs w:val="18"/>
                <w:u w:val="none"/>
                <w:lang w:val="en" w:eastAsia="zh-CN" w:bidi="ar"/>
              </w:rPr>
              <w:t>9、</w:t>
            </w:r>
            <w:r>
              <w:rPr>
                <w:rFonts w:hint="eastAsia" w:ascii="宋体" w:hAnsi="宋体" w:eastAsia="宋体" w:cs="宋体"/>
                <w:i w:val="0"/>
                <w:iCs w:val="0"/>
                <w:color w:val="auto"/>
                <w:kern w:val="0"/>
                <w:sz w:val="18"/>
                <w:szCs w:val="18"/>
                <w:u w:val="none"/>
                <w:lang w:val="en-US" w:eastAsia="zh-CN" w:bidi="ar"/>
              </w:rPr>
              <w:t>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default" w:ascii="宋体" w:hAnsi="宋体" w:cs="宋体"/>
                <w:i w:val="0"/>
                <w:iCs w:val="0"/>
                <w:color w:val="auto"/>
                <w:kern w:val="0"/>
                <w:sz w:val="18"/>
                <w:szCs w:val="18"/>
                <w:u w:val="none"/>
                <w:lang w:val="en" w:eastAsia="zh-CN" w:bidi="ar"/>
              </w:rPr>
              <w:t>10、</w:t>
            </w:r>
            <w:r>
              <w:rPr>
                <w:rFonts w:hint="eastAsia" w:ascii="宋体" w:hAnsi="宋体" w:eastAsia="宋体" w:cs="宋体"/>
                <w:i w:val="0"/>
                <w:iCs w:val="0"/>
                <w:color w:val="auto"/>
                <w:kern w:val="0"/>
                <w:sz w:val="18"/>
                <w:szCs w:val="18"/>
                <w:u w:val="none"/>
                <w:lang w:val="en-US" w:eastAsia="zh-CN" w:bidi="ar"/>
              </w:rPr>
              <w:t>整机具有第三方出具的防爆合格证。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r>
              <w:rPr>
                <w:rFonts w:hint="eastAsia" w:ascii="宋体" w:hAnsi="宋体" w:cs="宋体"/>
                <w:i w:val="0"/>
                <w:iCs w:val="0"/>
                <w:color w:val="FF0000"/>
                <w:kern w:val="0"/>
                <w:sz w:val="18"/>
                <w:szCs w:val="18"/>
                <w:u w:val="none"/>
                <w:lang w:val="en-US" w:eastAsia="zh-CN" w:bidi="ar"/>
              </w:rPr>
              <w:t>该项参数中要求的：第10项，投标时潜在供应商可不提供该项（</w:t>
            </w:r>
            <w:r>
              <w:rPr>
                <w:rFonts w:hint="eastAsia" w:ascii="宋体" w:hAnsi="宋体" w:eastAsia="宋体" w:cs="宋体"/>
                <w:i w:val="0"/>
                <w:iCs w:val="0"/>
                <w:color w:val="FF0000"/>
                <w:kern w:val="0"/>
                <w:sz w:val="18"/>
                <w:szCs w:val="18"/>
                <w:u w:val="none"/>
                <w:lang w:val="en-US" w:eastAsia="zh-CN" w:bidi="ar"/>
              </w:rPr>
              <w:t>防爆合格证</w:t>
            </w:r>
            <w:r>
              <w:rPr>
                <w:rFonts w:hint="eastAsia" w:ascii="宋体" w:hAnsi="宋体" w:cs="宋体"/>
                <w:i w:val="0"/>
                <w:iCs w:val="0"/>
                <w:color w:val="FF0000"/>
                <w:kern w:val="0"/>
                <w:sz w:val="18"/>
                <w:szCs w:val="18"/>
                <w:u w:val="none"/>
                <w:lang w:val="en-US" w:eastAsia="zh-CN" w:bidi="ar"/>
              </w:rPr>
              <w:t>），若中标后，供货时必须提供该项要求，若不提供视为放弃中标资格还应承担相应的违约责任。</w:t>
            </w: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消防员防蜂服</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★1、符合XF3008-2020《消防员防蜂服》标准，由多层面料组成，连体式设计，密封性好，外层为白色；</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包含救援头盔、头罩、护目镜、服装、手套、靴子和强制送风装置；</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头罩面网由球型不锈钢网制成，头罩面纱视野大，头罩具有随头部运动而不影响安全性及视野的功能，包含头部固定和缓冲设计、眼面部防蜂蜇和蜂毒液侵袭设计、面部不碰触面罩设计，透气并视野良好；头罩面部回弹良好，连接牢固，无开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4、</w:t>
            </w:r>
            <w:r>
              <w:rPr>
                <w:rFonts w:hint="eastAsia" w:ascii="宋体" w:hAnsi="宋体" w:eastAsia="宋体" w:cs="宋体"/>
                <w:i w:val="0"/>
                <w:iCs w:val="0"/>
                <w:color w:val="auto"/>
                <w:kern w:val="0"/>
                <w:sz w:val="18"/>
                <w:szCs w:val="18"/>
                <w:u w:val="none"/>
                <w:lang w:val="en-US" w:eastAsia="zh-CN" w:bidi="ar"/>
              </w:rPr>
              <w:t>靴子电绝缘性能：击穿电压≥5000V时，泄漏电流＜3mA；</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5、整体抗穿刺性能：≥0.4N；外层面料撕破强力：≥60N；外层面料断裂强力：≥650N；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6、服装甲醛含量应符合GB18401-2010B类；</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7、手套耐切割性能：≥2N；</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担架</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03"/>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载重：≥120kg；</w:t>
            </w:r>
          </w:p>
          <w:p>
            <w:pPr>
              <w:keepNext w:val="0"/>
              <w:keepLines w:val="0"/>
              <w:widowControl/>
              <w:numPr>
                <w:ilvl w:val="0"/>
                <w:numId w:val="10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耐温：-20℃~45℃；</w:t>
            </w:r>
          </w:p>
          <w:p>
            <w:pPr>
              <w:keepNext w:val="0"/>
              <w:keepLines w:val="0"/>
              <w:widowControl/>
              <w:numPr>
                <w:ilvl w:val="0"/>
                <w:numId w:val="10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重量：≤11kg；</w:t>
            </w:r>
          </w:p>
          <w:p>
            <w:pPr>
              <w:keepNext w:val="0"/>
              <w:keepLines w:val="0"/>
              <w:widowControl/>
              <w:numPr>
                <w:ilvl w:val="0"/>
                <w:numId w:val="10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尺寸：2440mm*920mm（±10mm）；</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5、材料：多功能担架采用特殊塑料或优于本材质；</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阻车器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1.名称：阻车器</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2.材质：铝合金条活动支座</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火钩</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1.名称：火钩</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止水器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0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采用有铝合金等材质制造而成；</w:t>
            </w:r>
          </w:p>
          <w:p>
            <w:pPr>
              <w:keepNext w:val="0"/>
              <w:keepLines w:val="0"/>
              <w:widowControl/>
              <w:numPr>
                <w:ilvl w:val="0"/>
                <w:numId w:val="10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工作压力：≥1.6MPa；</w:t>
            </w:r>
          </w:p>
          <w:p>
            <w:pPr>
              <w:keepNext w:val="0"/>
              <w:keepLines w:val="0"/>
              <w:widowControl/>
              <w:numPr>
                <w:ilvl w:val="0"/>
                <w:numId w:val="10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质量：≤3kg（65mm止水器）。</w:t>
            </w:r>
          </w:p>
          <w:p>
            <w:pPr>
              <w:keepNext w:val="0"/>
              <w:keepLines w:val="0"/>
              <w:widowControl/>
              <w:numPr>
                <w:ilvl w:val="0"/>
                <w:numId w:val="10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接口：应采用锻造工艺等同等工艺或优于该工艺；</w:t>
            </w:r>
          </w:p>
          <w:p>
            <w:pPr>
              <w:keepNext w:val="0"/>
              <w:keepLines w:val="0"/>
              <w:widowControl/>
              <w:numPr>
                <w:ilvl w:val="0"/>
                <w:numId w:val="10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适用介质：水、水和泡沫混合液；</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扳手</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cs="宋体"/>
                <w:i w:val="0"/>
                <w:iCs w:val="0"/>
                <w:color w:val="auto"/>
                <w:kern w:val="0"/>
                <w:sz w:val="18"/>
                <w:szCs w:val="18"/>
                <w:u w:val="none"/>
                <w:lang w:val="en-US" w:eastAsia="zh-CN" w:bidi="ar"/>
              </w:rPr>
              <w:t>1</w:t>
            </w:r>
            <w:r>
              <w:rPr>
                <w:rFonts w:hint="eastAsia" w:ascii="宋体" w:hAnsi="宋体" w:eastAsia="宋体" w:cs="宋体"/>
                <w:i w:val="0"/>
                <w:iCs w:val="0"/>
                <w:color w:val="auto"/>
                <w:kern w:val="0"/>
                <w:sz w:val="18"/>
                <w:szCs w:val="18"/>
                <w:u w:val="none"/>
                <w:lang w:val="en-US" w:eastAsia="zh-CN" w:bidi="ar"/>
              </w:rPr>
              <w:t>.成品采购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救生圈</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05"/>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材质：外部PE等材质，内部PU泡沫等材质；</w:t>
            </w:r>
          </w:p>
          <w:p>
            <w:pPr>
              <w:keepNext w:val="0"/>
              <w:keepLines w:val="0"/>
              <w:widowControl/>
              <w:numPr>
                <w:ilvl w:val="0"/>
                <w:numId w:val="10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外径：≥720mm；</w:t>
            </w:r>
          </w:p>
          <w:p>
            <w:pPr>
              <w:keepNext w:val="0"/>
              <w:keepLines w:val="0"/>
              <w:widowControl/>
              <w:numPr>
                <w:ilvl w:val="0"/>
                <w:numId w:val="10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内径：≥440mm；</w:t>
            </w:r>
          </w:p>
          <w:p>
            <w:pPr>
              <w:keepNext w:val="0"/>
              <w:keepLines w:val="0"/>
              <w:widowControl/>
              <w:numPr>
                <w:ilvl w:val="0"/>
                <w:numId w:val="10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厚度：≥105mm；</w:t>
            </w:r>
          </w:p>
          <w:p>
            <w:pPr>
              <w:keepNext w:val="0"/>
              <w:keepLines w:val="0"/>
              <w:widowControl/>
              <w:numPr>
                <w:ilvl w:val="0"/>
                <w:numId w:val="10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浮力：≥14.5kg；</w:t>
            </w:r>
          </w:p>
          <w:p>
            <w:pPr>
              <w:keepNext w:val="0"/>
              <w:keepLines w:val="0"/>
              <w:widowControl/>
              <w:numPr>
                <w:ilvl w:val="0"/>
                <w:numId w:val="10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重量：≤2.6kg；</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铁艇</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06"/>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应采用45#钢或优于本材质锻打而成，表面采用亮化处理；</w:t>
            </w:r>
          </w:p>
          <w:p>
            <w:pPr>
              <w:keepNext w:val="0"/>
              <w:keepLines w:val="0"/>
              <w:widowControl/>
              <w:numPr>
                <w:ilvl w:val="0"/>
                <w:numId w:val="10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单个净重：≤6kg；</w:t>
            </w:r>
          </w:p>
          <w:p>
            <w:pPr>
              <w:keepNext w:val="0"/>
              <w:keepLines w:val="0"/>
              <w:widowControl/>
              <w:numPr>
                <w:ilvl w:val="0"/>
                <w:numId w:val="10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全长：≥900mm；</w:t>
            </w:r>
          </w:p>
          <w:p>
            <w:pPr>
              <w:keepNext w:val="0"/>
              <w:keepLines w:val="0"/>
              <w:widowControl/>
              <w:numPr>
                <w:ilvl w:val="0"/>
                <w:numId w:val="10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杆体直径：≥25mm；</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2</w:t>
            </w:r>
            <w:r>
              <w:rPr>
                <w:rFonts w:hint="eastAsia" w:ascii="宋体" w:hAnsi="宋体" w:cs="宋体"/>
                <w:i w:val="0"/>
                <w:iCs w:val="0"/>
                <w:color w:val="auto"/>
                <w:kern w:val="0"/>
                <w:sz w:val="18"/>
                <w:szCs w:val="18"/>
                <w:u w:val="none"/>
                <w:lang w:val="en-US" w:eastAsia="zh-CN" w:bidi="ar"/>
              </w:rPr>
              <w:t>根</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风力灭火机</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07"/>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发动机：二冲程发动机；佩戴方式：背负式；</w:t>
            </w:r>
          </w:p>
          <w:p>
            <w:pPr>
              <w:keepNext w:val="0"/>
              <w:keepLines w:val="0"/>
              <w:widowControl/>
              <w:numPr>
                <w:ilvl w:val="0"/>
                <w:numId w:val="10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功率≥3kw；</w:t>
            </w:r>
          </w:p>
          <w:p>
            <w:pPr>
              <w:keepNext w:val="0"/>
              <w:keepLines w:val="0"/>
              <w:widowControl/>
              <w:numPr>
                <w:ilvl w:val="0"/>
                <w:numId w:val="10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重量≤15kg；</w:t>
            </w:r>
          </w:p>
          <w:p>
            <w:pPr>
              <w:keepNext w:val="0"/>
              <w:keepLines w:val="0"/>
              <w:widowControl/>
              <w:numPr>
                <w:ilvl w:val="0"/>
                <w:numId w:val="10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最大排风量≥2000m³/h；</w:t>
            </w:r>
          </w:p>
          <w:p>
            <w:pPr>
              <w:keepNext w:val="0"/>
              <w:keepLines w:val="0"/>
              <w:widowControl/>
              <w:numPr>
                <w:ilvl w:val="0"/>
                <w:numId w:val="10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手持可调节油门；</w:t>
            </w:r>
          </w:p>
          <w:p>
            <w:pPr>
              <w:keepNext w:val="0"/>
              <w:keepLines w:val="0"/>
              <w:widowControl/>
              <w:numPr>
                <w:ilvl w:val="0"/>
                <w:numId w:val="10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油箱容量≥2L；</w:t>
            </w:r>
          </w:p>
          <w:p>
            <w:pPr>
              <w:keepNext w:val="0"/>
              <w:keepLines w:val="0"/>
              <w:widowControl/>
              <w:numPr>
                <w:ilvl w:val="0"/>
                <w:numId w:val="10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连续工作时间≥70min；</w:t>
            </w:r>
          </w:p>
          <w:p>
            <w:pPr>
              <w:keepNext w:val="0"/>
              <w:keepLines w:val="0"/>
              <w:widowControl/>
              <w:numPr>
                <w:ilvl w:val="0"/>
                <w:numId w:val="10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全封闭供油管。</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cs="宋体"/>
                <w:color w:val="auto"/>
                <w:kern w:val="0"/>
                <w:lang w:val="en-US"/>
              </w:rPr>
            </w:pPr>
            <w:r>
              <w:rPr>
                <w:rFonts w:hint="eastAsia" w:ascii="宋体" w:hAnsi="宋体" w:eastAsia="宋体" w:cs="宋体"/>
                <w:i w:val="0"/>
                <w:iCs w:val="0"/>
                <w:color w:val="auto"/>
                <w:kern w:val="0"/>
                <w:sz w:val="18"/>
                <w:szCs w:val="18"/>
                <w:u w:val="none"/>
                <w:lang w:val="en-US" w:eastAsia="zh-CN" w:bidi="ar"/>
              </w:rPr>
              <w:t>4</w:t>
            </w:r>
            <w:r>
              <w:rPr>
                <w:rFonts w:hint="eastAsia" w:ascii="宋体" w:hAnsi="宋体" w:cs="宋体"/>
                <w:i w:val="0"/>
                <w:iCs w:val="0"/>
                <w:color w:val="auto"/>
                <w:kern w:val="0"/>
                <w:sz w:val="18"/>
                <w:szCs w:val="18"/>
                <w:u w:val="none"/>
                <w:lang w:val="en-US" w:eastAsia="zh-CN" w:bidi="ar"/>
              </w:rPr>
              <w:t>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9524" w:type="dxa"/>
            <w:gridSpan w:val="4"/>
            <w:tcBorders>
              <w:top w:val="single" w:color="000000" w:sz="6" w:space="0"/>
              <w:left w:val="single" w:color="000000" w:sz="8" w:space="0"/>
              <w:bottom w:val="single" w:color="000000" w:sz="6"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zh-CN" w:eastAsia="zh-CN" w:bidi="ar"/>
              </w:rPr>
            </w:pPr>
            <w:r>
              <w:rPr>
                <w:rFonts w:hint="eastAsia" w:ascii="宋体" w:hAnsi="宋体" w:eastAsia="宋体" w:cs="宋体"/>
                <w:i w:val="0"/>
                <w:iCs w:val="0"/>
                <w:color w:val="auto"/>
                <w:kern w:val="0"/>
                <w:sz w:val="18"/>
                <w:szCs w:val="18"/>
                <w:u w:val="none"/>
                <w:lang w:val="en-US" w:eastAsia="zh-CN" w:bidi="ar"/>
              </w:rPr>
              <w:t>柯鲁柯镇--基础设施维修</w:t>
            </w:r>
          </w:p>
        </w:tc>
        <w:tc>
          <w:tcPr>
            <w:tcW w:w="1234" w:type="dxa"/>
            <w:tcBorders>
              <w:top w:val="single" w:color="000000" w:sz="6" w:space="0"/>
              <w:left w:val="single" w:color="000000" w:sz="8" w:space="0"/>
              <w:bottom w:val="single" w:color="000000" w:sz="6"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屋面卷材防水</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1.SBS 改性沥青防水卷材（4mm，热熔满铺）</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2.20厚1:3水泥砂浆找平层</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eastAsia="宋体" w:cs="宋体"/>
                <w:color w:val="auto"/>
                <w:kern w:val="0"/>
                <w:sz w:val="18"/>
                <w:szCs w:val="18"/>
                <w:lang w:val="en-US" w:eastAsia="zh-CN"/>
              </w:rPr>
              <w:t>100m²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auto"/>
                <w:kern w:val="0"/>
                <w:sz w:val="18"/>
                <w:szCs w:val="18"/>
                <w:lang w:val="en-US" w:eastAsia="zh-CN"/>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保温隔热屋面</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1.100厚BS改性防火保温板(A级)</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eastAsia="宋体" w:cs="宋体"/>
                <w:color w:val="auto"/>
                <w:kern w:val="0"/>
                <w:sz w:val="18"/>
                <w:szCs w:val="18"/>
                <w:lang w:val="en-US" w:eastAsia="zh-CN"/>
              </w:rPr>
              <w:t>100m²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auto"/>
                <w:kern w:val="0"/>
                <w:sz w:val="18"/>
                <w:szCs w:val="18"/>
                <w:lang w:val="en-US" w:eastAsia="zh-CN"/>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墙面一般抹灰</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青19J2-130-内38/39</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1.刷素水泥浆一道</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2.9厚1：3水泥砂浆打底扫毛</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3.5厚1：2.5水泥砂浆找平</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4.局部腻子找平</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sz w:val="18"/>
                <w:szCs w:val="18"/>
                <w:lang w:val="en-US" w:eastAsia="zh-CN"/>
              </w:rPr>
              <w:t>7</w:t>
            </w:r>
            <w:r>
              <w:rPr>
                <w:rFonts w:hint="eastAsia" w:ascii="宋体" w:hAnsi="宋体" w:eastAsia="宋体" w:cs="宋体"/>
                <w:color w:val="auto"/>
                <w:kern w:val="0"/>
                <w:sz w:val="18"/>
                <w:szCs w:val="18"/>
                <w:lang w:val="en-US" w:eastAsia="zh-CN"/>
              </w:rPr>
              <w:t>00m²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en-US" w:eastAsia="zh-CN"/>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抹灰面油漆</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1.喷刷涂料部位:内墙</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2.腻子种类:2遍</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3.涂料品种、喷刷遍数:乳胶漆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sz w:val="18"/>
                <w:szCs w:val="18"/>
                <w:lang w:val="en-US" w:eastAsia="zh-CN"/>
              </w:rPr>
              <w:t>7</w:t>
            </w:r>
            <w:r>
              <w:rPr>
                <w:rFonts w:hint="eastAsia" w:ascii="宋体" w:hAnsi="宋体" w:eastAsia="宋体" w:cs="宋体"/>
                <w:color w:val="auto"/>
                <w:kern w:val="0"/>
                <w:sz w:val="18"/>
                <w:szCs w:val="18"/>
                <w:lang w:val="en-US" w:eastAsia="zh-CN"/>
              </w:rPr>
              <w:t>00m²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en-US" w:eastAsia="zh-CN"/>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室外地坪</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1.地坪厚度:200mm厚C30混凝土</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2.基层:200mm厚水泥稳定碎石</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eastAsia="宋体" w:cs="宋体"/>
                <w:color w:val="auto"/>
                <w:kern w:val="0"/>
                <w:sz w:val="18"/>
                <w:szCs w:val="18"/>
                <w:lang w:val="en-US" w:eastAsia="zh-CN"/>
              </w:rPr>
              <w:t>500m²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auto"/>
                <w:kern w:val="0"/>
                <w:sz w:val="18"/>
                <w:szCs w:val="18"/>
                <w:lang w:val="en-US" w:eastAsia="zh-CN"/>
              </w:rPr>
            </w:pPr>
          </w:p>
        </w:tc>
      </w:tr>
      <w:tr>
        <w:tblPrEx>
          <w:tblCellMar>
            <w:top w:w="0" w:type="dxa"/>
            <w:left w:w="28" w:type="dxa"/>
            <w:bottom w:w="0" w:type="dxa"/>
            <w:right w:w="28" w:type="dxa"/>
          </w:tblCellMar>
        </w:tblPrEx>
        <w:trPr>
          <w:trHeight w:val="624" w:hRule="atLeast"/>
          <w:jc w:val="center"/>
        </w:trPr>
        <w:tc>
          <w:tcPr>
            <w:tcW w:w="9524" w:type="dxa"/>
            <w:gridSpan w:val="4"/>
            <w:tcBorders>
              <w:top w:val="single" w:color="000000" w:sz="6" w:space="0"/>
              <w:left w:val="single" w:color="000000" w:sz="8" w:space="0"/>
              <w:bottom w:val="single" w:color="000000" w:sz="6"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zh-CN" w:eastAsia="zh-CN" w:bidi="ar"/>
              </w:rPr>
            </w:pPr>
            <w:r>
              <w:rPr>
                <w:rFonts w:hint="eastAsia" w:ascii="宋体" w:hAnsi="宋体" w:eastAsia="宋体" w:cs="宋体"/>
                <w:i w:val="0"/>
                <w:iCs w:val="0"/>
                <w:color w:val="auto"/>
                <w:kern w:val="0"/>
                <w:sz w:val="18"/>
                <w:szCs w:val="18"/>
                <w:u w:val="none"/>
                <w:lang w:val="en-US" w:eastAsia="zh-CN" w:bidi="ar"/>
              </w:rPr>
              <w:t>乡镇政府专职队训练基地--消防器材</w:t>
            </w:r>
          </w:p>
        </w:tc>
        <w:tc>
          <w:tcPr>
            <w:tcW w:w="1234" w:type="dxa"/>
            <w:tcBorders>
              <w:top w:val="single" w:color="000000" w:sz="6" w:space="0"/>
              <w:left w:val="single" w:color="000000" w:sz="8" w:space="0"/>
              <w:bottom w:val="single" w:color="000000" w:sz="6"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主锁</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1.纵向最小断裂强度≥30kN，横向最小断裂强度≥15kN，开门最小断裂强度≥9kN。</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2.投标时需提供产品质量检验报告或质量证明。</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3.有防锈涂层和防钩挂设计的锁鼻，重量≤190 克。</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30个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主锁</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1.为轻合金椭圆O型丝扣主锁，须有防钩挂设计的锁鼻。</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2.重量≤77g。</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3.纵向拉力≥22kN，横向拉力≥8kN，开口拉力≥7kN，锁门开口≥19mm。</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50个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三角梅陇锁</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1.永固螺丝开口，防止打开</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2.直径≤8mm</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3.断裂强度＞30Kn</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4.工作负荷极限≥7kN；</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5.开口大小≥11mm</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6.重量≤80g</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7.多种形状可选</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6个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圆环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1.圆环</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7个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机械抓结</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1.适合绳索直径：8～13mm。</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2.重量≤100g，</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3.重量：≤85g，强度：≥20 -10-10KN；</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10个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手持上升器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1.需提供良好的舒适度，操作性、使用性强；</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2.把手绝缘功能，铝合金外壳，精密不锈钢凸轮，适合绳索直径：8-13mm；</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3.重量：≤220g,</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10个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全身安全吊带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1.颜色：黑黄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2.材料：尼龙、聚酯、铝、钢</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3.五点式全身安全带，内置集成一体式胸式上升器，腹部连接点可打开，方便连接挽索、上升器等；半硬式、宽大的腰带和腿环，使用透气泡棉作内衬，提高悬挂时的舒适度；配有双保险DOUBLE BACK PLUS卡扣。</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4.腿环配有自动上锁扣，后背（腰带和腿环之间）带有DOUBLE BAKC自扣锁；配有五个备有保护套的成型工具环，两个CARITOOL工具挂环槽，两个TOOLBAG工具包连接点，配有携带工具架凹槽，配有预设型胸式上升器的链接，使上升承载受力时更加安全。</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5.国际版有带FAST自动扣的腿环。</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6.每个肩带上的防坠落挂绳上的MGO连接器使用户不受挂绳的束缚，并使连接器保持触手可及。</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7.万一跌落，系统会释放MGO。连接器并允许展开释能吸收器，肩带单侧可打开，便于穿着。</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8.跌倒指示器:跌倒后，在背侧附着点上出现一条红色的皮带，表示应将安全带报废。</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9.编织和热成型设备环保证≥10 公斤的承重能力，腿部两侧的 装备环保证≥5 公斤的承重能力。 </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10.腰围：80-105cm、大腿：55-65cm</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10个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高空救援手套</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天然、高质量皮料，高磨损范围采用耐用双层皮革(手指,手掌,在姆指和食指之间)手背采用透气弹性尼龙制造，手套口采用氯丁橡胶魔术贴，锁扣连接孔便于将手套连接在安全带上。</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20双</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便携式防爆照明灯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08"/>
              </w:numPr>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该头盔灯是集照明、方位指示为一体的多功能型防爆灯，安装在消防头盔或各类其他头盔上；</w:t>
            </w:r>
          </w:p>
          <w:p>
            <w:pPr>
              <w:keepNext w:val="0"/>
              <w:keepLines w:val="0"/>
              <w:widowControl/>
              <w:numPr>
                <w:ilvl w:val="0"/>
                <w:numId w:val="108"/>
              </w:numPr>
              <w:suppressLineNumbers w:val="0"/>
              <w:ind w:left="0" w:leftChars="0" w:firstLine="0" w:firstLineChars="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照明光源使用了白色大功率1W LED,是新兴的绿色节能照明产品；光通量不低于401m；连续照明时间不低于10小时；</w:t>
            </w:r>
          </w:p>
          <w:p>
            <w:pPr>
              <w:keepNext w:val="0"/>
              <w:keepLines w:val="0"/>
              <w:widowControl/>
              <w:numPr>
                <w:ilvl w:val="0"/>
                <w:numId w:val="108"/>
              </w:numPr>
              <w:suppressLineNumbers w:val="0"/>
              <w:ind w:left="0" w:leftChars="0" w:firstLine="0" w:firstLineChars="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信号灯采用3只超高亮红色（或黄色）LED，平均寿命不低于10万小时；对水及物的穿透力超过300米；</w:t>
            </w:r>
          </w:p>
          <w:p>
            <w:pPr>
              <w:keepNext w:val="0"/>
              <w:keepLines w:val="0"/>
              <w:widowControl/>
              <w:numPr>
                <w:ilvl w:val="0"/>
                <w:numId w:val="108"/>
              </w:numPr>
              <w:suppressLineNumbers w:val="0"/>
              <w:ind w:left="0" w:leftChars="0" w:firstLine="0" w:firstLineChars="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充电电池使用高能锂离子电池，具有无记忆、容量大、寿命长、自放电率低的优点；</w:t>
            </w:r>
          </w:p>
          <w:p>
            <w:pPr>
              <w:keepNext w:val="0"/>
              <w:keepLines w:val="0"/>
              <w:widowControl/>
              <w:numPr>
                <w:ilvl w:val="0"/>
                <w:numId w:val="108"/>
              </w:numPr>
              <w:suppressLineNumbers w:val="0"/>
              <w:ind w:left="0" w:leftChars="0" w:firstLine="0" w:firstLineChars="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智能型充电器设有过充、短路保护和充电显示功能；</w:t>
            </w:r>
          </w:p>
          <w:p>
            <w:pPr>
              <w:keepNext w:val="0"/>
              <w:keepLines w:val="0"/>
              <w:widowControl/>
              <w:numPr>
                <w:ilvl w:val="0"/>
                <w:numId w:val="108"/>
              </w:numPr>
              <w:suppressLineNumbers w:val="0"/>
              <w:ind w:left="0" w:leftChars="0" w:firstLine="0" w:firstLineChars="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外壳采用特种防弹胶材料制作，确保产品能经受强力冲击和碰撞，再强腐蚀环境、-20℃至40℃下可正常工作；</w:t>
            </w:r>
          </w:p>
          <w:p>
            <w:pPr>
              <w:keepNext w:val="0"/>
              <w:keepLines w:val="0"/>
              <w:widowControl/>
              <w:numPr>
                <w:ilvl w:val="0"/>
                <w:numId w:val="108"/>
              </w:numPr>
              <w:suppressLineNumbers w:val="0"/>
              <w:ind w:left="0" w:leftChars="0" w:firstLine="0" w:firstLineChars="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防爆等级为Ex dm ⅡC T6 ,可在各种易燃易爆场所内安全工作；</w:t>
            </w:r>
          </w:p>
          <w:p>
            <w:pPr>
              <w:keepNext w:val="0"/>
              <w:keepLines w:val="0"/>
              <w:widowControl/>
              <w:numPr>
                <w:ilvl w:val="0"/>
                <w:numId w:val="0"/>
              </w:numPr>
              <w:suppressLineNumbers w:val="0"/>
              <w:ind w:leftChars="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8.结构精巧、美观轻盈、操作简单方便。</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default"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50套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哈力根</w:t>
            </w:r>
            <w:r>
              <w:rPr>
                <w:rFonts w:hint="eastAsia" w:ascii="宋体" w:hAnsi="宋体" w:eastAsia="宋体" w:cs="宋体"/>
                <w:i w:val="0"/>
                <w:iCs w:val="0"/>
                <w:color w:val="auto"/>
                <w:kern w:val="0"/>
                <w:sz w:val="18"/>
                <w:szCs w:val="18"/>
                <w:u w:val="none"/>
                <w:lang w:val="en-US" w:eastAsia="zh-CN" w:bidi="ar"/>
              </w:rPr>
              <w:t>铁艇</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1、符合国家消防相关技术标准；</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2、包括钢制杆体，杆体一端设置有羊角撬头和割绳器，具有砍，凿，撬，割，剥皮等功能。铁铤头部全部为高碳钢锻打而成，头部经过热处理淬，硬度在45-55HRC之间。</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3、长度≥35寸；单个净重≥6kg。</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6根</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无齿锯锯片（磨砂）</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配套无齿锯使用，锯片直径350mm，内控直径20mm，用于切金属材质。</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10片</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机动排烟机</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符合《移动式消防排烟机》（GB27901-2011）规范要求，排烟机整机质量≤60kg，表面及所有铸件应当平整无划痕，各连接件之间必须装配牢固，各类管路应可靠固定。排烟机进出口应安装安全网，安全网最小间隙不应大于8mm。推车式设计，风量≥9000立方米/小时，实测风量负偏离不得大于5%，发动机功率≥2KW；风扇直径≥40CM，连续工作时间≥5小时。具备低温启动功能，低温启动不得大于30s，蓄电池可确保排烟机20次启停。</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动力绳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径10.5mm,坠落系数1.77时的首次冲击为7.9KN；坠落次数9次；动力延展率34%；静力延展率5.3%；外皮滑动率0%；材质：Polyamide6；绳索处理工艺：Dry Uniform thread。长度100米。重量：69克/米。认证标准：CE EN892。</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1条</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静力绳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1.10.5mm静力绳，能完成各种环境下工作任务。</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2.重量：68g/m；静拉力：30KN；</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3.8字结拉力：2500kg；坠落次数：11(100kg物体在坠落系数为1的条件下测试)；首次冲击力(坠落系数为0.3）：5.7KN；静力延展率50/150kg：3%；外皮滑动率：0； 外皮比率：36%；内芯比率：64%；缩水率：4%；</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4.材质：尼龙。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5.与防坠落辅助部件及救生吊带组配合使用，主要用于高空、悬崖等特殊危险场所救助使用。 </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6.长度≥100米。</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8条</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电动液压剪扩钳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1.符合国家《GB/T17906-1999液压破拆工具通用技术条件》标准。</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2、采用交、直流两用电动液压破拆技术；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3、开关处设置两个LED照明灯；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4、工作压力：≥700bar，剪切力≥260KN，剪切圆钢直径≥22mm，最大扩张力≥650kN，扩张距离≥300mm，牵拉力≥30 kN，牵拉距离≥300mm，重量≤18kg；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5、每台配有交直流电源转换器、电池（电池容量5Ah，电池含电量显示功能)、充电器；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6、星状手控阀操作，使救援更加稳定方便；                                </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 xml:space="preserve">7、配有方便工具存储的轻便型工具箱,箱体边框为铝合金材质，面板为工程塑料材质，内有减震海绵填充。   </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冲击钻</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1.名称：冲击钻</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2台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过节大滑轮</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一款具有绳索锁定功能的多用途滑轮，用它可以快速的组成提升系统或下降系统，还可以快速的将提升系统转换成下降系统，或将下降系统转换成提升系统。还可以作为保护器设备使用。在机械增益系统中也可使用。是绳索救援专业人员的理想选择。具有操作简单快速、组件少、安全性高和重量轻等特点。可通过绳索直径：11mm-13mm，最小断裂强度：44KN，下降控制：23KN，环扣：3KN，重量：1.2kg，通过NFPA1983认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2个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山岳救援头盔</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1.ABS外壳设计有宽大透气孔，充分保障头部舒适干爽，内衬选用具有可吸收冲击力的高密度聚笨乙烯材料，快速旋转调节尺寸系统，内衬可拆卸清洗，备有头灯固定卡，下鄂带可调节。</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2.重量：355g。</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3.认证标准：CEEN12492。</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16个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往复锯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1.名称：往复锯</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2台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液压破拆工具组</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符合《GB/T 17906－1999液压破拆工具通用技术条件》。包含液压机动泵、液压软管、液压剪切器、液压扩张器、液压多功能钳、液压撑顶器、液压手动泵。参数：包含液压机动泵：单接口设计，连接过程无须手动泄压，可接驳两件工具同时工作；单输出模式时可设置为倍速模式，工作效率约为双输出时的两倍，用以加快救援效率；驱动动力：本田四冲程汽油发动机，额定工作转速：3200±200rmp，油泵型式：双级双输出 ；汽油容量 1L；液压油容量 3L；额定压力 72*2MPa ，也可与63mpa设备互换通用；额定高压流量 0.6/1.1L/min*2 ，额定低压流量 2.8/5.2L/min*2 。液压软管：液压管为单管（低压管内镶嵌高压管）设计，材质为凯芙拉纤维，低压管内径19mm,外径28.3mm,高压管内径5mm,外径15mm。可带压快速连接和插拔；使用寿命10年，液压管可360度自由旋转而不扭曲、不打结、不漏油，内管最大工作压力720巴、外管工作压力25巴、液压管长度：10米、重量≤4.7kg。配备2根。液压剪切器：单接口快速连接头，断开可自动泄压不漏油，接头可360度旋转，控制阀门为星形手柄，仅需单手拇指即可操作；刀头为人体工程学原理的C形设计，采用四级热处理锻造工艺，中心硬化处理设计，防止崩溅。剪刀端部开口距离:154mm;最大剪切力：≥390KN; 最大剪切能力(Q235材料圆钢) ф30mm，重量：≤14kg。液压扩张器：单接口快速连接头，断开可自动泄压不漏油，接头可360度旋转， 配有加速阀工作效率更高，采用超轻材质，使用起来更加轻便。开口距离 740mm；牵引力 52-73KN；牵引距离 613mm；额定扩张力 50KN；最大扩张力 71KN；重量小于等于17KG。液压多功能钳：单接口快速连接头，断开可自动泄压不漏油，接头可360度旋转，控制阀门为星形手柄，仅需单手拇指即可操作,可剪切可扩张。剪刀端部最大开口距离:≥350 mm;最大剪切力：≥325KN;最大剪切能力:≥15mm(板材）（Q235材料）:ф28mm(圆钢)；额定扩张力:30-41 KN；牵引距离：230mm;最质量:≤14kg。液压撑顶器：单接口快速连接头，断开可自动泄压不漏油，接头可360度旋转，控制阀门为星形手柄，仅需单手拇指即可操作；活塞杆末端配有防滑齿，在斜坡或平滑的地面更容易掌握，防滑齿能够在360度范围内任意旋转。最大撑顶力:120 KN ；闭合长度:≤500mm；撑顶距离:840mm；质量:≤11.5kg；配三节加长杆：I/II/III:100/175/275 mm。液压手动泵：额定输出流量：≥1.5 ml / 次；低压输出压力：5-10Mpa；低压理论流量:≥12 ml / 次；液压油油箱容量:≥2.0L;最大手柄力：≤350 N；质量：6.5kg;尺寸：长*宽*高：715*180*170mm。</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移车器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移车器：移车器能安全快捷地抬升和移动汽车，可使汽车任意方向移动。使用该移车器，可在1-2分钟内把汽车移开，及时疏通道路，紧急清除违章障碍车辆，处理司机乱停乱放、违章停车、阻碍交通、侵占他人车位等行为。</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组成部件：万向脚轮，支撑臂，铝合金滚筒，内置液压油泵，挂钩，踏板，安全销。</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技术参数：油泵内置。 规格：580mm*600mm*150mm，</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单个承重≥680公斤（四个最大承重≥2720公斤），支起车轮离地间隙≥32毫米。</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2套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照明灯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电路防爆和结构防爆保护，防爆标志：Exdib ⅡC T6 Gb；光源：进口LED；额定功率≥9W；额定电压：11.1V；电池额定容量≥4.4Ah；连续放电时间：强光≥8h、工作光≥16h；有效照射距离≥1000米；防护等级：IP68。</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10套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AL20金刚石锯片</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外径355 内孔25.4 锯路2.2 66齿 材质PCD 金刚石，操作熟练正常6到10秒左右一个三角</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形，持久性更久，更耐用，添加免费打磨一次，使用次数更多。</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2片</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无齿锯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1、用于快速切割金属器材及钢筋混凝土材料。</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2、功率输出：≥5.8kw；净重≦15㎏；最大切割深度：125 ㎜-145mm，</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3、含多功能合金钢锯片1片、金属砂轮片1片、混凝土砂轮片2片，15升压力水箱1个和3米水管1根，专用计量瓶1个。</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机动链锯（450）</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1、气缸排量：≥50cm3；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2、功率：≥2.4 kW；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3、怠速：2700rpm；</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4、最高功率转速：≥9600 rpm；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5、燃油箱容量：≥0.45 升；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6、链条润滑油箱容量：≥0.26 升；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7、链条节距：325"；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8、导板端部带有导轮，长度 ≥33-50cm；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9、最大功率时的链条速度：≥17m/s；                                                                                                            </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10、重量（不包括切割设备）：≤5.2 kg</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挂机浆片</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1.名称：挂机浆片</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4个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挂机浆片保护罩</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1.名称：挂机浆片保护罩</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4个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山岳班组器材包</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1、材质:聚氯乙烯(pvc)夹网布，织物外尺寸:≥76x31x24cm。</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2、容量：≥55L。</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3、重量：≤3Kg。</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4、可卷放，可平铺展开，内置≥3个拉链分装袋，≥6个通铺隔断式网袋，≥18个主锁挂点，≥3条绳索固定扣带，顶包有头盔固定链接，实现模块化分装。</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5、低吸水带有衬垫背负，加厚腰带和肩带的舒适性，适合长距离承重背负，包面设有ID卡位及≥12个实用挂点。</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6、要求产品链扣采用国际名牌拉链，及扣具。</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3个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自锁D型钩</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丝扣门自锁式设计。开口闭合状态时，长轴破断能力不应小于40KN，开口状态时，长轴破断能力不能小于7KN。短轴破断能力不能小于11KN。产品必须具有执行标准、生产厂家、出厂日期、型号等永久性标识。需提供产品检验报告或质量证明。</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20个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自锁O型钩</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丝扣门自锁式设计。开口闭合状态时，长轴破断能力不应小于40KN，开口状态时，长轴破断能力不能小于7KN。短轴破断能力不能小于11KN。产品必须具有执行标准、生产厂家、出厂日期、型号等永久性标识。需提供产品检验报告或质量证明。</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20个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五挂点全身安全带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1.颜色：黑黄 </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2.材料：尼龙、聚酯、铝、钢</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3.五点式全身安全带，内置集成一体式胸式上升器，腹部连接点可打开，方便连接挽索、上升器等；半硬式、宽大的腰带和腿环，使用透气泡棉作内衬，提高悬挂时的舒适度；配有双保险DOUBLE BACK PLUS卡扣。</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4.腿环配有自动上锁扣，后背（腰带和腿环之间）带有DOUBLE BAKC自扣锁；配有五个备有保护套的成型工具环，两个CARITOOL工具挂环槽，两个TOOLBAG工具包连接点，配有携带工具架凹槽，配有预设型胸式上升器的链接，使上升承载受力时更加安全。</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5.国际版有带FAST自动扣的腿环。</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6.每个肩带上的防坠落挂绳上的MGO连接器使用户不受挂绳的束缚，并使连接器保持触手可及。</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7.万一跌落，系统会释放MGO。连接器并允许展开释能吸收器，肩带单侧可打开，便于穿着。</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8.跌倒指示器:跌倒后，在背侧附着点上出现一条红色的皮带，表示应将安全带报废。</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9.编织和热成型设备环保证≥10 公斤的承重能力，腿部两侧的 装备环保证≥5 公斤的承重能力。 </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10.腰围：80-105cm、大腿：55-65cm</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5套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救援手套</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1.抢险救援手套</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10双</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护膝护肘</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1、产品外层采用强度高、韧性好、耐磨的 PVC、TPR（热塑性弹性材料）、TPU（热塑性聚氨酯弹性体材料）等高分子材料制成；</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2、内层采用无毒、防水、抗冲击性好、轻便的缓冲材料；</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3、固定装置可以调节。包括护膝1对、护肘1对：</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4、固定装置卡扣式调节式，耐磨性能不低于2000次；</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5、颜色为黑色；</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50套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万向双滑轮</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滑轮自带360°旋转挂点，侧板可打开直接嵌入绳索，无需解开绳索挂点。最小断裂强度≥36KN，轮槽尺寸大于等于38×13mm，重量≤411g，通过CE认证。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2个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万向单滑轮</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滑轮自带360°旋转挂点，侧板可打开直接嵌入绳索，无需解开绳索挂点。最小断裂强度≥36KN，轮槽尺寸大于等于38×13mm，重量≤260g，通过CE认证。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水域救援头盔</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1、采用全盔式设计，分盔壳、泡沫缓冲层和舒适层三层。采用孔洞设计，具有透气、减重及排水功能；</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2、外壳采用全ABS材质制造，加厚加硬提高防护性，内层采用35硬度高弹性EVA发泡棉，采用冷压模具成形技术，其密度均匀，强度高，防撞防震性能极佳；</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3、不少于11孔通风及泄水孔设计，加快头部散热或排水；</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4、头部位置配备可调节器，适应所有头型，带头灯,配有摄像仪座；</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5、配头顶导轨和侧面导轨，可配合救援灯和运动摄影仪使用；</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6、冲击吸收性能：头模受到冲击力最大值≥3498N；</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7、漂浮性能：经24h漂浮性能试验，头盔始终漂浮在水面上；</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8、头盔重量≤570g（±10g）；</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8顶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湿式救援服</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款式：分体式</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材质：3mm氯丁橡胶复合材质</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产品特点：防寒、保暖、防护</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试用环境：水域救援、消防、潜水等</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产品细节：</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1.经典的立式设计，领部和袖部，脚口采用光皮包边，保护颈部和身体的同时，持续锁住体温。</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2.大口袋设计，专为野生救生、激流、团建使用者设计前后多口袋，可放物品，舒适方便。</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3.反光片醒目显眼，强度高，降低搜救难度。</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4.在膝盖、肘部、臀部易磨损区域做了加厚处理更加耐磨。</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5套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干式水域救援服</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1、采用三层防水透气面料，后侧背部至两肩处设有横向拉链，由此处穿上救援服，拉链为高密度防水拉链，确保密封不进水，救援人员穿戴方便；</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2、缝合处采用进口材质高温热压确保绝不渗漏；</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3、颈部、腕部和踝部氯丁橡胶材质的魔术贴，使封口处舒适且耐用持久；</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4、附带一体的乳胶袜套可以防水并且确保脚部更为保暖；</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5、膝盖和臀部位置耐磨加厚处，增加了舒适性及持久性；</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6、内置可拆卸吊带，在水中可以穿脱救援服的上半部分而不渗水；</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7、大腿部有两个自干口袋，可以方便储存工具；</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8、全身多处反光条设计，在夜间、光线较暗的地方依然有较高的识别性；</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5套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水域救援靴</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09"/>
              </w:numPr>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救援靴鞋带采用快速缩紧装置。</w:t>
            </w:r>
          </w:p>
          <w:p>
            <w:pPr>
              <w:keepNext w:val="0"/>
              <w:keepLines w:val="0"/>
              <w:widowControl/>
              <w:numPr>
                <w:ilvl w:val="0"/>
                <w:numId w:val="109"/>
              </w:numPr>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鞋面由合成皮革和5mm厚的氯丁橡胶的加固材料制成，内有弹性潜水材料内胆，为足部提供很好的保暖性和踝部支撑和保护。</w:t>
            </w:r>
          </w:p>
          <w:p>
            <w:pPr>
              <w:keepNext w:val="0"/>
              <w:keepLines w:val="0"/>
              <w:widowControl/>
              <w:numPr>
                <w:ilvl w:val="0"/>
                <w:numId w:val="109"/>
              </w:numPr>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鞋子底部设有防穿刺层，内侧设有排水网孔，能够快速排水。</w:t>
            </w:r>
          </w:p>
          <w:p>
            <w:pPr>
              <w:keepNext w:val="0"/>
              <w:keepLines w:val="0"/>
              <w:widowControl/>
              <w:numPr>
                <w:ilvl w:val="0"/>
                <w:numId w:val="109"/>
              </w:numPr>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鞋内底厚大于等于3cm，具有吸收（走路时所带来的）震动、减缓冲击和防滑的功能。</w:t>
            </w:r>
          </w:p>
          <w:p>
            <w:pPr>
              <w:pStyle w:val="2"/>
              <w:numPr>
                <w:ilvl w:val="0"/>
                <w:numId w:val="0"/>
              </w:numPr>
              <w:rPr>
                <w:rFonts w:hint="eastAsia" w:ascii="宋体" w:hAnsi="宋体" w:eastAsia="宋体" w:cs="宋体"/>
                <w:color w:val="auto"/>
                <w:sz w:val="18"/>
                <w:szCs w:val="18"/>
                <w:lang w:val="en-US" w:eastAsia="zh-CN"/>
              </w:rPr>
            </w:pPr>
            <w:r>
              <w:rPr>
                <w:rFonts w:hint="eastAsia" w:ascii="宋体" w:hAnsi="宋体" w:eastAsia="宋体" w:cs="宋体"/>
                <w:color w:val="auto"/>
                <w:sz w:val="18"/>
                <w:szCs w:val="18"/>
                <w:lang w:val="en-US" w:eastAsia="zh-CN"/>
              </w:rPr>
              <w:t>5、尺寸（38-43）</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5双</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水域救援漂浮担架</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1、材质：柔韧塑料制成，强度高、耐磨性。</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2、可加设固定扁带，可防止拖拽造成损坏。</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3、高强度把手≥8 个。</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4、工作负载：≥400KG。</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5、内置平板式可拆卸浮力辅助系统和脊柱板固定</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系统，方便固定伤员。</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6、配备：梅陇锁 1 个（主轴拉力≥45KN、横轴拉力＞8KN）、钢制梨型钩 4 个（主轴拉力≥36KN横轴＞8KN）、垂直竖井提升绳1套、浮力辅助部件和脊柱板一套。</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冰锚</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1、四个独立尖齿，圆锥状螺纹；</w:t>
            </w:r>
          </w:p>
          <w:p>
            <w:pPr>
              <w:keepNext w:val="0"/>
              <w:keepLines w:val="0"/>
              <w:widowControl/>
              <w:suppressLineNumbers w:val="0"/>
              <w:jc w:val="both"/>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2、具有3个长度可选 10cm（130 g），15cm（155 g），19cm（190 g）；</w:t>
            </w:r>
          </w:p>
          <w:p>
            <w:pPr>
              <w:keepNext w:val="0"/>
              <w:keepLines w:val="0"/>
              <w:widowControl/>
              <w:suppressLineNumbers w:val="0"/>
              <w:jc w:val="both"/>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3、超轻航空铝材质框架；自身带孔洞，可以连接绳索或钢缆使用。</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4个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冰雪锥</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用于冰上螺旋固定，一组三支，分别为13厘米，17厘米和21厘米。</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5副</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冰镐</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1.名称：冰镐</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2副</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冰爪</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2"/>
                <w:sz w:val="18"/>
                <w:szCs w:val="18"/>
                <w:u w:val="none"/>
                <w:lang w:val="zh-CN" w:eastAsia="zh-CN" w:bidi="ar-SA"/>
              </w:rPr>
            </w:pPr>
            <w:r>
              <w:rPr>
                <w:rFonts w:hint="eastAsia" w:ascii="宋体" w:hAnsi="宋体" w:eastAsia="宋体" w:cs="宋体"/>
                <w:i w:val="0"/>
                <w:iCs w:val="0"/>
                <w:color w:val="auto"/>
                <w:kern w:val="0"/>
                <w:sz w:val="18"/>
                <w:szCs w:val="18"/>
                <w:u w:val="none"/>
                <w:lang w:val="en-US" w:eastAsia="zh-CN" w:bidi="ar"/>
              </w:rPr>
              <w:t>用于冰上行走。橡胶不锈钢爪，适用冰面雪地、草地，每双两只。</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5副</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无人机</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1.名称：无人机</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2.成品采购无忧旗舰版套装</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3.产品定位：专业级</w:t>
            </w:r>
          </w:p>
          <w:p>
            <w:pPr>
              <w:keepNext w:val="0"/>
              <w:keepLines w:val="0"/>
              <w:widowControl/>
              <w:suppressLineNumbers w:val="0"/>
              <w:jc w:val="left"/>
              <w:textAlignment w:val="center"/>
              <w:rPr>
                <w:rFonts w:hint="eastAsia" w:ascii="宋体" w:hAnsi="宋体" w:eastAsia="宋体" w:cs="宋体"/>
                <w:color w:val="auto"/>
                <w:kern w:val="0"/>
                <w:sz w:val="18"/>
                <w:szCs w:val="18"/>
                <w:lang w:val="zh-CN"/>
              </w:rPr>
            </w:pPr>
            <w:r>
              <w:rPr>
                <w:rFonts w:hint="eastAsia" w:ascii="宋体" w:hAnsi="宋体" w:eastAsia="宋体" w:cs="宋体"/>
                <w:i w:val="0"/>
                <w:iCs w:val="0"/>
                <w:color w:val="auto"/>
                <w:kern w:val="0"/>
                <w:sz w:val="18"/>
                <w:szCs w:val="18"/>
                <w:u w:val="none"/>
                <w:lang w:val="en-US" w:eastAsia="zh-CN" w:bidi="ar"/>
              </w:rPr>
              <w:t>4.大疆经纬 M30T无人机</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zh-CN" w:eastAsia="zh-CN" w:bidi="ar"/>
              </w:rPr>
            </w:pPr>
            <w:r>
              <w:rPr>
                <w:rFonts w:hint="eastAsia" w:ascii="宋体" w:hAnsi="宋体" w:cs="宋体"/>
                <w:i w:val="0"/>
                <w:iCs w:val="0"/>
                <w:color w:val="auto"/>
                <w:kern w:val="0"/>
                <w:sz w:val="18"/>
                <w:szCs w:val="18"/>
                <w:u w:val="none"/>
                <w:lang w:val="en-US" w:eastAsia="zh-CN" w:bidi="ar"/>
              </w:rPr>
              <w:t>1个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9524" w:type="dxa"/>
            <w:gridSpan w:val="4"/>
            <w:tcBorders>
              <w:top w:val="single" w:color="000000" w:sz="6" w:space="0"/>
              <w:left w:val="single" w:color="000000" w:sz="8" w:space="0"/>
              <w:bottom w:val="single" w:color="000000" w:sz="6"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zh-CN" w:eastAsia="zh-CN" w:bidi="ar"/>
              </w:rPr>
            </w:pPr>
            <w:r>
              <w:rPr>
                <w:rFonts w:hint="eastAsia" w:ascii="宋体" w:hAnsi="宋体" w:eastAsia="宋体" w:cs="宋体"/>
                <w:i w:val="0"/>
                <w:iCs w:val="0"/>
                <w:color w:val="auto"/>
                <w:kern w:val="0"/>
                <w:sz w:val="18"/>
                <w:szCs w:val="18"/>
                <w:u w:val="none"/>
                <w:lang w:val="en-US" w:eastAsia="zh-CN" w:bidi="ar"/>
              </w:rPr>
              <w:t>蓄集乡--消防器材</w:t>
            </w:r>
          </w:p>
        </w:tc>
        <w:tc>
          <w:tcPr>
            <w:tcW w:w="1234" w:type="dxa"/>
            <w:tcBorders>
              <w:top w:val="single" w:color="000000" w:sz="6" w:space="0"/>
              <w:left w:val="single" w:color="000000" w:sz="8" w:space="0"/>
              <w:bottom w:val="single" w:color="000000" w:sz="6"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水罐消防车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w:t>
            </w:r>
            <w:r>
              <w:rPr>
                <w:rFonts w:hint="eastAsia" w:ascii="宋体" w:hAnsi="宋体" w:eastAsia="宋体" w:cs="宋体"/>
                <w:i w:val="0"/>
                <w:iCs w:val="0"/>
                <w:color w:val="auto"/>
                <w:kern w:val="0"/>
                <w:sz w:val="18"/>
                <w:szCs w:val="18"/>
                <w:u w:val="none"/>
                <w:lang w:val="en-US" w:eastAsia="zh-CN" w:bidi="ar"/>
              </w:rPr>
              <w:t>、底盘</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1.1</w:t>
            </w:r>
            <w:r>
              <w:rPr>
                <w:rFonts w:hint="eastAsia" w:ascii="宋体" w:hAnsi="宋体" w:eastAsia="宋体" w:cs="宋体"/>
                <w:i w:val="0"/>
                <w:iCs w:val="0"/>
                <w:color w:val="auto"/>
                <w:kern w:val="0"/>
                <w:sz w:val="18"/>
                <w:szCs w:val="18"/>
                <w:u w:val="none"/>
                <w:lang w:val="en-US" w:eastAsia="zh-CN" w:bidi="ar"/>
              </w:rPr>
              <w:t>全柴</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132马力；</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1.2</w:t>
            </w:r>
            <w:r>
              <w:rPr>
                <w:rFonts w:hint="eastAsia" w:ascii="宋体" w:hAnsi="宋体" w:eastAsia="宋体" w:cs="宋体"/>
                <w:i w:val="0"/>
                <w:iCs w:val="0"/>
                <w:color w:val="auto"/>
                <w:kern w:val="0"/>
                <w:sz w:val="18"/>
                <w:szCs w:val="18"/>
                <w:u w:val="none"/>
                <w:lang w:val="en-US" w:eastAsia="zh-CN" w:bidi="ar"/>
              </w:rPr>
              <w:t>外形尺寸(mm):长:5990宽:1980高:2660；</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1.3</w:t>
            </w:r>
            <w:r>
              <w:rPr>
                <w:rFonts w:hint="eastAsia" w:ascii="宋体" w:hAnsi="宋体" w:eastAsia="宋体" w:cs="宋体"/>
                <w:i w:val="0"/>
                <w:iCs w:val="0"/>
                <w:color w:val="auto"/>
                <w:kern w:val="0"/>
                <w:sz w:val="18"/>
                <w:szCs w:val="18"/>
                <w:u w:val="none"/>
                <w:lang w:val="en-US" w:eastAsia="zh-CN" w:bidi="ar"/>
              </w:rPr>
              <w:t>排放标准:国六；</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1.4</w:t>
            </w:r>
            <w:r>
              <w:rPr>
                <w:rFonts w:hint="eastAsia" w:ascii="宋体" w:hAnsi="宋体" w:eastAsia="宋体" w:cs="宋体"/>
                <w:i w:val="0"/>
                <w:iCs w:val="0"/>
                <w:color w:val="auto"/>
                <w:kern w:val="0"/>
                <w:sz w:val="18"/>
                <w:szCs w:val="18"/>
                <w:u w:val="none"/>
                <w:lang w:val="en-US" w:eastAsia="zh-CN" w:bidi="ar"/>
              </w:rPr>
              <w:t>功率:</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97KW；</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1.5</w:t>
            </w:r>
            <w:r>
              <w:rPr>
                <w:rFonts w:hint="eastAsia" w:ascii="宋体" w:hAnsi="宋体" w:eastAsia="宋体" w:cs="宋体"/>
                <w:i w:val="0"/>
                <w:iCs w:val="0"/>
                <w:color w:val="auto"/>
                <w:kern w:val="0"/>
                <w:sz w:val="18"/>
                <w:szCs w:val="18"/>
                <w:u w:val="none"/>
                <w:lang w:val="en-US" w:eastAsia="zh-CN" w:bidi="ar"/>
              </w:rPr>
              <w:t>驱动型式:后轮驱动；轴距：3308mm</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2、</w:t>
            </w:r>
            <w:r>
              <w:rPr>
                <w:rFonts w:hint="default" w:ascii="宋体" w:hAnsi="宋体" w:eastAsia="宋体" w:cs="宋体"/>
                <w:i w:val="0"/>
                <w:iCs w:val="0"/>
                <w:color w:val="auto"/>
                <w:kern w:val="0"/>
                <w:sz w:val="18"/>
                <w:szCs w:val="18"/>
                <w:u w:val="none"/>
                <w:lang w:val="en-US" w:eastAsia="zh-CN" w:bidi="ar"/>
              </w:rPr>
              <w:t>容 罐</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2.1</w:t>
            </w:r>
            <w:r>
              <w:rPr>
                <w:rFonts w:hint="default" w:ascii="宋体" w:hAnsi="宋体" w:eastAsia="宋体" w:cs="宋体"/>
                <w:i w:val="0"/>
                <w:iCs w:val="0"/>
                <w:color w:val="auto"/>
                <w:kern w:val="0"/>
                <w:sz w:val="18"/>
                <w:szCs w:val="18"/>
                <w:u w:val="none"/>
                <w:lang w:val="en-US" w:eastAsia="zh-CN" w:bidi="ar"/>
              </w:rPr>
              <w:t>容量:水:2000Kg</w:t>
            </w:r>
            <w:r>
              <w:rPr>
                <w:rFonts w:hint="eastAsia" w:ascii="宋体" w:hAnsi="宋体" w:eastAsia="宋体" w:cs="宋体"/>
                <w:i w:val="0"/>
                <w:iCs w:val="0"/>
                <w:color w:val="auto"/>
                <w:kern w:val="0"/>
                <w:sz w:val="18"/>
                <w:szCs w:val="18"/>
                <w:u w:val="none"/>
                <w:lang w:val="en-US" w:eastAsia="zh-CN" w:bidi="ar"/>
              </w:rPr>
              <w:t>；</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2.2</w:t>
            </w:r>
            <w:r>
              <w:rPr>
                <w:rFonts w:hint="default" w:ascii="宋体" w:hAnsi="宋体" w:eastAsia="宋体" w:cs="宋体"/>
                <w:i w:val="0"/>
                <w:iCs w:val="0"/>
                <w:color w:val="auto"/>
                <w:kern w:val="0"/>
                <w:sz w:val="18"/>
                <w:szCs w:val="18"/>
                <w:u w:val="none"/>
                <w:lang w:val="en-US" w:eastAsia="zh-CN" w:bidi="ar"/>
              </w:rPr>
              <w:t>材质:水罐:优质碳钢</w:t>
            </w:r>
            <w:r>
              <w:rPr>
                <w:rFonts w:hint="eastAsia" w:ascii="宋体" w:hAnsi="宋体" w:eastAsia="宋体" w:cs="宋体"/>
                <w:i w:val="0"/>
                <w:iCs w:val="0"/>
                <w:color w:val="auto"/>
                <w:kern w:val="0"/>
                <w:sz w:val="18"/>
                <w:szCs w:val="18"/>
                <w:u w:val="none"/>
                <w:lang w:val="en-US" w:eastAsia="zh-CN" w:bidi="ar"/>
              </w:rPr>
              <w:t>；</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2.3</w:t>
            </w:r>
            <w:r>
              <w:rPr>
                <w:rFonts w:hint="default" w:ascii="宋体" w:hAnsi="宋体" w:eastAsia="宋体" w:cs="宋体"/>
                <w:i w:val="0"/>
                <w:iCs w:val="0"/>
                <w:color w:val="auto"/>
                <w:kern w:val="0"/>
                <w:sz w:val="18"/>
                <w:szCs w:val="18"/>
                <w:u w:val="none"/>
                <w:lang w:val="en-US" w:eastAsia="zh-CN" w:bidi="ar"/>
              </w:rPr>
              <w:t>结构:框架焊接,内设防荡板</w:t>
            </w:r>
            <w:r>
              <w:rPr>
                <w:rFonts w:hint="eastAsia" w:ascii="宋体" w:hAnsi="宋体" w:eastAsia="宋体" w:cs="宋体"/>
                <w:i w:val="0"/>
                <w:iCs w:val="0"/>
                <w:color w:val="auto"/>
                <w:kern w:val="0"/>
                <w:sz w:val="18"/>
                <w:szCs w:val="18"/>
                <w:u w:val="none"/>
                <w:lang w:val="en-US" w:eastAsia="zh-CN" w:bidi="ar"/>
              </w:rPr>
              <w:t>；</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2.4</w:t>
            </w:r>
            <w:r>
              <w:rPr>
                <w:rFonts w:hint="default" w:ascii="宋体" w:hAnsi="宋体" w:eastAsia="宋体" w:cs="宋体"/>
                <w:i w:val="0"/>
                <w:iCs w:val="0"/>
                <w:color w:val="auto"/>
                <w:kern w:val="0"/>
                <w:sz w:val="18"/>
                <w:szCs w:val="18"/>
                <w:u w:val="none"/>
                <w:lang w:val="en-US" w:eastAsia="zh-CN" w:bidi="ar"/>
              </w:rPr>
              <w:t>设备:1个人口孔，带有快速锁紧及开启装置</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1个液位指示器</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1个排污口，带不锈钢球阀</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2个注水口(左右各一)</w:t>
            </w:r>
            <w:r>
              <w:rPr>
                <w:rFonts w:hint="eastAsia" w:ascii="宋体" w:hAnsi="宋体" w:eastAsia="宋体" w:cs="宋体"/>
                <w:i w:val="0"/>
                <w:iCs w:val="0"/>
                <w:color w:val="auto"/>
                <w:kern w:val="0"/>
                <w:sz w:val="18"/>
                <w:szCs w:val="18"/>
                <w:u w:val="none"/>
                <w:lang w:val="en-US" w:eastAsia="zh-CN" w:bidi="ar"/>
              </w:rPr>
              <w:t>。</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消防泵及管路系统</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3.1</w:t>
            </w:r>
            <w:r>
              <w:rPr>
                <w:rFonts w:hint="eastAsia" w:ascii="宋体" w:hAnsi="宋体" w:eastAsia="宋体" w:cs="宋体"/>
                <w:i w:val="0"/>
                <w:iCs w:val="0"/>
                <w:color w:val="auto"/>
                <w:kern w:val="0"/>
                <w:sz w:val="18"/>
                <w:szCs w:val="18"/>
                <w:u w:val="none"/>
                <w:lang w:val="en-US" w:eastAsia="zh-CN" w:bidi="ar"/>
              </w:rPr>
              <w:t>消防泵：CB10/20常压消防泵；</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3.2</w:t>
            </w:r>
            <w:r>
              <w:rPr>
                <w:rFonts w:hint="eastAsia" w:ascii="宋体" w:hAnsi="宋体" w:eastAsia="宋体" w:cs="宋体"/>
                <w:i w:val="0"/>
                <w:iCs w:val="0"/>
                <w:color w:val="auto"/>
                <w:kern w:val="0"/>
                <w:sz w:val="18"/>
                <w:szCs w:val="18"/>
                <w:u w:val="none"/>
                <w:lang w:val="en-US" w:eastAsia="zh-CN" w:bidi="ar"/>
              </w:rPr>
              <w:t>流量:常压</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20L/s；</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3.3</w:t>
            </w:r>
            <w:r>
              <w:rPr>
                <w:rFonts w:hint="eastAsia" w:ascii="宋体" w:hAnsi="宋体" w:eastAsia="宋体" w:cs="宋体"/>
                <w:i w:val="0"/>
                <w:iCs w:val="0"/>
                <w:color w:val="auto"/>
                <w:kern w:val="0"/>
                <w:sz w:val="18"/>
                <w:szCs w:val="18"/>
                <w:u w:val="none"/>
                <w:lang w:val="en-US" w:eastAsia="zh-CN" w:bidi="ar"/>
              </w:rPr>
              <w:t>压力:常压</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1.0；</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3.4</w:t>
            </w:r>
            <w:r>
              <w:rPr>
                <w:rFonts w:hint="eastAsia" w:ascii="宋体" w:hAnsi="宋体" w:eastAsia="宋体" w:cs="宋体"/>
                <w:i w:val="0"/>
                <w:iCs w:val="0"/>
                <w:color w:val="auto"/>
                <w:kern w:val="0"/>
                <w:sz w:val="18"/>
                <w:szCs w:val="18"/>
                <w:u w:val="none"/>
                <w:lang w:val="en-US" w:eastAsia="zh-CN" w:bidi="ar"/>
              </w:rPr>
              <w:t>安装型式:后置 管路系统：</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3.5</w:t>
            </w:r>
            <w:r>
              <w:rPr>
                <w:rFonts w:hint="eastAsia" w:ascii="宋体" w:hAnsi="宋体" w:eastAsia="宋体" w:cs="宋体"/>
                <w:i w:val="0"/>
                <w:iCs w:val="0"/>
                <w:color w:val="auto"/>
                <w:kern w:val="0"/>
                <w:sz w:val="18"/>
                <w:szCs w:val="18"/>
                <w:u w:val="none"/>
                <w:lang w:val="en-US" w:eastAsia="zh-CN" w:bidi="ar"/>
              </w:rPr>
              <w:t>吸水管路:水泵设有</w:t>
            </w:r>
            <w:r>
              <w:rPr>
                <w:rFonts w:hint="default" w:ascii="宋体" w:hAnsi="宋体" w:eastAsia="宋体" w:cs="宋体"/>
                <w:i w:val="0"/>
                <w:iCs w:val="0"/>
                <w:color w:val="auto"/>
                <w:kern w:val="0"/>
                <w:sz w:val="18"/>
                <w:szCs w:val="18"/>
                <w:u w:val="none"/>
                <w:lang w:val="en-US" w:eastAsia="zh-CN" w:bidi="ar"/>
              </w:rPr>
              <w:t>≥</w:t>
            </w:r>
            <w:r>
              <w:rPr>
                <w:rFonts w:hint="eastAsia" w:ascii="宋体" w:hAnsi="宋体" w:eastAsia="宋体" w:cs="宋体"/>
                <w:i w:val="0"/>
                <w:iCs w:val="0"/>
                <w:color w:val="auto"/>
                <w:kern w:val="0"/>
                <w:sz w:val="18"/>
                <w:szCs w:val="18"/>
                <w:u w:val="none"/>
                <w:lang w:val="en-US" w:eastAsia="zh-CN" w:bidi="ar"/>
              </w:rPr>
              <w:t>Φ100mm 进水口，可从天然水源吸水或从液罐吸水。</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3.6</w:t>
            </w:r>
            <w:r>
              <w:rPr>
                <w:rFonts w:hint="eastAsia" w:ascii="宋体" w:hAnsi="宋体" w:eastAsia="宋体" w:cs="宋体"/>
                <w:i w:val="0"/>
                <w:iCs w:val="0"/>
                <w:color w:val="auto"/>
                <w:kern w:val="0"/>
                <w:sz w:val="18"/>
                <w:szCs w:val="18"/>
                <w:u w:val="none"/>
                <w:lang w:val="en-US" w:eastAsia="zh-CN" w:bidi="ar"/>
              </w:rPr>
              <w:t>出水管路:两侧各1个出水口;通过罐到罐顶部有1个直径≥89mm的水炮管路;</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3.7</w:t>
            </w:r>
            <w:r>
              <w:rPr>
                <w:rFonts w:hint="eastAsia" w:ascii="宋体" w:hAnsi="宋体" w:eastAsia="宋体" w:cs="宋体"/>
                <w:i w:val="0"/>
                <w:iCs w:val="0"/>
                <w:color w:val="auto"/>
                <w:kern w:val="0"/>
                <w:sz w:val="18"/>
                <w:szCs w:val="18"/>
                <w:u w:val="none"/>
                <w:lang w:val="en-US" w:eastAsia="zh-CN" w:bidi="ar"/>
              </w:rPr>
              <w:t>放余水管路:为保护水泵及各球阀，在管路中加装了放余水管路，并分别配有球阀。</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3.8</w:t>
            </w:r>
            <w:r>
              <w:rPr>
                <w:rFonts w:hint="eastAsia" w:ascii="宋体" w:hAnsi="宋体" w:eastAsia="宋体" w:cs="宋体"/>
                <w:i w:val="0"/>
                <w:iCs w:val="0"/>
                <w:color w:val="auto"/>
                <w:kern w:val="0"/>
                <w:sz w:val="18"/>
                <w:szCs w:val="18"/>
                <w:u w:val="none"/>
                <w:lang w:val="en-US" w:eastAsia="zh-CN" w:bidi="ar"/>
              </w:rPr>
              <w:t>冷却水管路:为使取力器在工作中应付各种复杂情况，管路中配有一冷却水管路进出水管路中配不锈钢球阀。</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4</w:t>
            </w:r>
            <w:r>
              <w:rPr>
                <w:rFonts w:hint="eastAsia" w:ascii="宋体" w:hAnsi="宋体" w:eastAsia="宋体" w:cs="宋体"/>
                <w:i w:val="0"/>
                <w:iCs w:val="0"/>
                <w:color w:val="auto"/>
                <w:kern w:val="0"/>
                <w:sz w:val="18"/>
                <w:szCs w:val="18"/>
                <w:u w:val="none"/>
                <w:lang w:val="en-US" w:eastAsia="zh-CN" w:bidi="ar"/>
              </w:rPr>
              <w:t>、消防炮</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4.1</w:t>
            </w:r>
            <w:r>
              <w:rPr>
                <w:rFonts w:hint="eastAsia" w:ascii="宋体" w:hAnsi="宋体" w:eastAsia="宋体" w:cs="宋体"/>
                <w:i w:val="0"/>
                <w:iCs w:val="0"/>
                <w:color w:val="auto"/>
                <w:kern w:val="0"/>
                <w:sz w:val="18"/>
                <w:szCs w:val="18"/>
                <w:u w:val="none"/>
                <w:lang w:val="en-US" w:eastAsia="zh-CN" w:bidi="ar"/>
              </w:rPr>
              <w:t>型消防炮；流量≥20 (L/s)，引水时间≤50s（吸深7m时）；</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4.2</w:t>
            </w:r>
            <w:r>
              <w:rPr>
                <w:rFonts w:hint="eastAsia" w:ascii="宋体" w:hAnsi="宋体" w:eastAsia="宋体" w:cs="宋体"/>
                <w:i w:val="0"/>
                <w:iCs w:val="0"/>
                <w:color w:val="auto"/>
                <w:kern w:val="0"/>
                <w:sz w:val="18"/>
                <w:szCs w:val="18"/>
                <w:u w:val="none"/>
                <w:lang w:val="en-US" w:eastAsia="zh-CN" w:bidi="ar"/>
              </w:rPr>
              <w:t>射程:水≥48m；压力:1.0MPa</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5、</w:t>
            </w:r>
            <w:r>
              <w:rPr>
                <w:rFonts w:hint="eastAsia" w:ascii="宋体" w:hAnsi="宋体" w:eastAsia="宋体" w:cs="宋体"/>
                <w:i w:val="0"/>
                <w:iCs w:val="0"/>
                <w:color w:val="auto"/>
                <w:kern w:val="0"/>
                <w:sz w:val="18"/>
                <w:szCs w:val="18"/>
                <w:u w:val="none"/>
                <w:lang w:val="en-US" w:eastAsia="zh-CN" w:bidi="ar"/>
              </w:rPr>
              <w:t>取力器</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5.1</w:t>
            </w:r>
            <w:r>
              <w:rPr>
                <w:rFonts w:hint="eastAsia" w:ascii="宋体" w:hAnsi="宋体" w:eastAsia="宋体" w:cs="宋体"/>
                <w:i w:val="0"/>
                <w:iCs w:val="0"/>
                <w:color w:val="auto"/>
                <w:kern w:val="0"/>
                <w:sz w:val="18"/>
                <w:szCs w:val="18"/>
                <w:u w:val="none"/>
                <w:lang w:val="en-US" w:eastAsia="zh-CN" w:bidi="ar"/>
              </w:rPr>
              <w:t>型式:全功率夹心取力器；</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5.2</w:t>
            </w:r>
            <w:r>
              <w:rPr>
                <w:rFonts w:hint="eastAsia" w:ascii="宋体" w:hAnsi="宋体" w:eastAsia="宋体" w:cs="宋体"/>
                <w:i w:val="0"/>
                <w:iCs w:val="0"/>
                <w:color w:val="auto"/>
                <w:kern w:val="0"/>
                <w:sz w:val="18"/>
                <w:szCs w:val="18"/>
                <w:u w:val="none"/>
                <w:lang w:val="en-US" w:eastAsia="zh-CN" w:bidi="ar"/>
              </w:rPr>
              <w:t>冷却方式:强制式水冷；</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5.3</w:t>
            </w:r>
            <w:r>
              <w:rPr>
                <w:rFonts w:hint="eastAsia" w:ascii="宋体" w:hAnsi="宋体" w:eastAsia="宋体" w:cs="宋体"/>
                <w:i w:val="0"/>
                <w:iCs w:val="0"/>
                <w:color w:val="auto"/>
                <w:kern w:val="0"/>
                <w:sz w:val="18"/>
                <w:szCs w:val="18"/>
                <w:u w:val="none"/>
                <w:lang w:val="en-US" w:eastAsia="zh-CN" w:bidi="ar"/>
              </w:rPr>
              <w:t>润滑方式:飞溅式油润滑</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6</w:t>
            </w:r>
            <w:r>
              <w:rPr>
                <w:rFonts w:hint="eastAsia" w:ascii="宋体" w:hAnsi="宋体" w:eastAsia="宋体" w:cs="宋体"/>
                <w:i w:val="0"/>
                <w:iCs w:val="0"/>
                <w:color w:val="auto"/>
                <w:kern w:val="0"/>
                <w:sz w:val="18"/>
                <w:szCs w:val="18"/>
                <w:u w:val="none"/>
                <w:lang w:val="en-US" w:eastAsia="zh-CN" w:bidi="ar"/>
              </w:rPr>
              <w:t>、器材箱及泵房</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6.1</w:t>
            </w:r>
            <w:r>
              <w:rPr>
                <w:rFonts w:hint="eastAsia" w:ascii="宋体" w:hAnsi="宋体" w:eastAsia="宋体" w:cs="宋体"/>
                <w:i w:val="0"/>
                <w:iCs w:val="0"/>
                <w:color w:val="auto"/>
                <w:kern w:val="0"/>
                <w:sz w:val="18"/>
                <w:szCs w:val="18"/>
                <w:u w:val="none"/>
                <w:lang w:val="en-US" w:eastAsia="zh-CN" w:bidi="ar"/>
              </w:rPr>
              <w:t>材质:骨架为优质钢,蒙板为碳钢板焊接结构；</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6.2</w:t>
            </w:r>
            <w:r>
              <w:rPr>
                <w:rFonts w:hint="eastAsia" w:ascii="宋体" w:hAnsi="宋体" w:eastAsia="宋体" w:cs="宋体"/>
                <w:i w:val="0"/>
                <w:iCs w:val="0"/>
                <w:color w:val="auto"/>
                <w:kern w:val="0"/>
                <w:sz w:val="18"/>
                <w:szCs w:val="18"/>
                <w:u w:val="none"/>
                <w:lang w:val="en-US" w:eastAsia="zh-CN" w:bidi="ar"/>
              </w:rPr>
              <w:t>结构:器材箱内分隔采用型钢结构，牢固可靠，提高空间利用率和可变性。</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6.3</w:t>
            </w:r>
            <w:r>
              <w:rPr>
                <w:rFonts w:hint="eastAsia" w:ascii="宋体" w:hAnsi="宋体" w:eastAsia="宋体" w:cs="宋体"/>
                <w:i w:val="0"/>
                <w:iCs w:val="0"/>
                <w:color w:val="auto"/>
                <w:kern w:val="0"/>
                <w:sz w:val="18"/>
                <w:szCs w:val="18"/>
                <w:u w:val="none"/>
                <w:lang w:val="en-US" w:eastAsia="zh-CN" w:bidi="ar"/>
              </w:rPr>
              <w:t>开门:器材箱左右两侧均有铝合金卷帘门，轻便可靠、噪音小。</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7</w:t>
            </w:r>
            <w:r>
              <w:rPr>
                <w:rFonts w:hint="default" w:ascii="宋体" w:hAnsi="宋体" w:eastAsia="宋体" w:cs="宋体"/>
                <w:i w:val="0"/>
                <w:iCs w:val="0"/>
                <w:color w:val="auto"/>
                <w:kern w:val="0"/>
                <w:sz w:val="18"/>
                <w:szCs w:val="18"/>
                <w:u w:val="none"/>
                <w:lang w:val="en-US" w:eastAsia="zh-CN" w:bidi="ar"/>
              </w:rPr>
              <w:t>、电器系统</w:t>
            </w:r>
            <w:r>
              <w:rPr>
                <w:rFonts w:hint="eastAsia" w:ascii="宋体" w:hAnsi="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车顶前面采用长排警灯(位于驾驶室前顶端);车顶后配有 24V、60W照明灯1只</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车辆两侧上方配有爆闪灯;下方安装侧标志灯</w:t>
            </w:r>
            <w:r>
              <w:rPr>
                <w:rFonts w:hint="eastAsia" w:ascii="宋体" w:hAnsi="宋体" w:eastAsia="宋体" w:cs="宋体"/>
                <w:i w:val="0"/>
                <w:iCs w:val="0"/>
                <w:color w:val="auto"/>
                <w:kern w:val="0"/>
                <w:sz w:val="18"/>
                <w:szCs w:val="18"/>
                <w:u w:val="none"/>
                <w:lang w:val="en-US" w:eastAsia="zh-CN" w:bidi="ar"/>
              </w:rPr>
              <w:t>；</w:t>
            </w:r>
            <w:r>
              <w:rPr>
                <w:rFonts w:hint="default" w:ascii="宋体" w:hAnsi="宋体" w:eastAsia="宋体" w:cs="宋体"/>
                <w:i w:val="0"/>
                <w:iCs w:val="0"/>
                <w:color w:val="auto"/>
                <w:kern w:val="0"/>
                <w:sz w:val="18"/>
                <w:szCs w:val="18"/>
                <w:u w:val="none"/>
                <w:lang w:val="en-US" w:eastAsia="zh-CN" w:bidi="ar"/>
              </w:rPr>
              <w:t>警报器功率为100W:警报器、警灯、爆闪灯电路为独立式附加电路,控制器件安装在驾驶室内。</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8</w:t>
            </w:r>
            <w:r>
              <w:rPr>
                <w:rFonts w:hint="default" w:ascii="宋体" w:hAnsi="宋体" w:eastAsia="宋体" w:cs="宋体"/>
                <w:i w:val="0"/>
                <w:iCs w:val="0"/>
                <w:color w:val="auto"/>
                <w:kern w:val="0"/>
                <w:sz w:val="18"/>
                <w:szCs w:val="18"/>
                <w:u w:val="none"/>
                <w:lang w:val="en-US" w:eastAsia="zh-CN" w:bidi="ar"/>
              </w:rPr>
              <w:t>、总体技术要求</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8.1</w:t>
            </w:r>
            <w:r>
              <w:rPr>
                <w:rFonts w:hint="default" w:ascii="宋体" w:hAnsi="宋体" w:eastAsia="宋体" w:cs="宋体"/>
                <w:i w:val="0"/>
                <w:iCs w:val="0"/>
                <w:color w:val="auto"/>
                <w:kern w:val="0"/>
                <w:sz w:val="18"/>
                <w:szCs w:val="18"/>
                <w:u w:val="none"/>
                <w:lang w:val="en-US" w:eastAsia="zh-CN" w:bidi="ar"/>
              </w:rPr>
              <w:t>、整车性能符合 GB7956《消防车性能要求及试验方法》的规定。</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8.</w:t>
            </w:r>
            <w:r>
              <w:rPr>
                <w:rFonts w:hint="default" w:ascii="宋体" w:hAnsi="宋体" w:eastAsia="宋体" w:cs="宋体"/>
                <w:i w:val="0"/>
                <w:iCs w:val="0"/>
                <w:color w:val="auto"/>
                <w:kern w:val="0"/>
                <w:sz w:val="18"/>
                <w:szCs w:val="18"/>
                <w:u w:val="none"/>
                <w:lang w:val="en-US" w:eastAsia="zh-CN" w:bidi="ar"/>
              </w:rPr>
              <w:t>2、整车外观保持一定的平整度，且符合有关规定。</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8.</w:t>
            </w:r>
            <w:r>
              <w:rPr>
                <w:rFonts w:hint="default" w:ascii="宋体" w:hAnsi="宋体" w:eastAsia="宋体" w:cs="宋体"/>
                <w:i w:val="0"/>
                <w:iCs w:val="0"/>
                <w:color w:val="auto"/>
                <w:kern w:val="0"/>
                <w:sz w:val="18"/>
                <w:szCs w:val="18"/>
                <w:u w:val="none"/>
                <w:lang w:val="en-US" w:eastAsia="zh-CN" w:bidi="ar"/>
              </w:rPr>
              <w:t>3、所有铆接保持一定的密度，符合企标规定。</w:t>
            </w:r>
          </w:p>
          <w:p>
            <w:pPr>
              <w:keepNext w:val="0"/>
              <w:keepLines w:val="0"/>
              <w:widowControl/>
              <w:suppressLineNumbers w:val="0"/>
              <w:jc w:val="left"/>
              <w:textAlignment w:val="center"/>
              <w:rPr>
                <w:rFonts w:hint="default"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8.</w:t>
            </w:r>
            <w:r>
              <w:rPr>
                <w:rFonts w:hint="default" w:ascii="宋体" w:hAnsi="宋体" w:eastAsia="宋体" w:cs="宋体"/>
                <w:i w:val="0"/>
                <w:iCs w:val="0"/>
                <w:color w:val="auto"/>
                <w:kern w:val="0"/>
                <w:sz w:val="18"/>
                <w:szCs w:val="18"/>
                <w:u w:val="none"/>
                <w:lang w:val="en-US" w:eastAsia="zh-CN" w:bidi="ar"/>
              </w:rPr>
              <w:t>4、所有焊接牢固，光洁，平整，符合企标规定。</w:t>
            </w:r>
          </w:p>
          <w:p>
            <w:pPr>
              <w:rPr>
                <w:rFonts w:hint="default"/>
                <w:color w:val="auto"/>
                <w:lang w:val="en-US" w:eastAsia="zh-CN"/>
              </w:rPr>
            </w:pPr>
            <w:r>
              <w:rPr>
                <w:rFonts w:hint="eastAsia" w:ascii="宋体" w:hAnsi="宋体" w:cs="宋体"/>
                <w:i w:val="0"/>
                <w:iCs w:val="0"/>
                <w:color w:val="auto"/>
                <w:kern w:val="0"/>
                <w:sz w:val="18"/>
                <w:szCs w:val="18"/>
                <w:u w:val="none"/>
                <w:lang w:val="en-US" w:eastAsia="zh-CN" w:bidi="ar"/>
              </w:rPr>
              <w:t>8.</w:t>
            </w:r>
            <w:r>
              <w:rPr>
                <w:rFonts w:hint="default" w:ascii="宋体" w:hAnsi="宋体" w:eastAsia="宋体" w:cs="宋体"/>
                <w:i w:val="0"/>
                <w:iCs w:val="0"/>
                <w:color w:val="auto"/>
                <w:kern w:val="0"/>
                <w:sz w:val="18"/>
                <w:szCs w:val="18"/>
                <w:u w:val="none"/>
                <w:lang w:val="en-US" w:eastAsia="zh-CN" w:bidi="ar"/>
              </w:rPr>
              <w:t>5、所有操作开关、仪表、器材架及车辆均有符合规范的铭牌标志。</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1辆</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越野型抢险救援车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1.皮卡抢险救援车辆，车厢 为箱体设计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2.实现功能： 警灯警示、AC220V 发电供电、逆变电源、360 度可旋 转照明、自救、抢险等功能</w:t>
            </w:r>
          </w:p>
          <w:p>
            <w:pPr>
              <w:keepNext w:val="0"/>
              <w:keepLines w:val="0"/>
              <w:widowControl/>
              <w:suppressLineNumbers w:val="0"/>
              <w:jc w:val="left"/>
              <w:textAlignment w:val="center"/>
              <w:rPr>
                <w:rFonts w:hint="eastAsia" w:ascii="宋体" w:hAnsi="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w:t>
            </w:r>
            <w:r>
              <w:rPr>
                <w:rFonts w:hint="eastAsia" w:ascii="宋体" w:hAnsi="宋体" w:cs="宋体"/>
                <w:i w:val="0"/>
                <w:iCs w:val="0"/>
                <w:color w:val="auto"/>
                <w:kern w:val="0"/>
                <w:sz w:val="18"/>
                <w:szCs w:val="18"/>
                <w:u w:val="none"/>
                <w:lang w:val="en-US" w:eastAsia="zh-CN" w:bidi="ar"/>
              </w:rPr>
              <w:t>发动机：</w:t>
            </w:r>
            <w:r>
              <w:rPr>
                <w:rFonts w:hint="default" w:ascii="Arial" w:hAnsi="Arial" w:cs="Arial"/>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238马力</w:t>
            </w:r>
          </w:p>
          <w:p>
            <w:pPr>
              <w:keepNext w:val="0"/>
              <w:keepLines w:val="0"/>
              <w:widowControl/>
              <w:suppressLineNumbers w:val="0"/>
              <w:jc w:val="left"/>
              <w:textAlignment w:val="center"/>
              <w:rPr>
                <w:rFonts w:hint="eastAsia"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4.燃油类型：汽油</w:t>
            </w:r>
          </w:p>
          <w:p>
            <w:pPr>
              <w:keepNext w:val="0"/>
              <w:keepLines w:val="0"/>
              <w:widowControl/>
              <w:suppressLineNumbers w:val="0"/>
              <w:jc w:val="left"/>
              <w:textAlignment w:val="center"/>
              <w:rPr>
                <w:rFonts w:hint="eastAsia"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5.功率：</w:t>
            </w:r>
            <w:r>
              <w:rPr>
                <w:rFonts w:hint="default" w:ascii="Arial" w:hAnsi="Arial" w:cs="Arial"/>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175KW，轴距：3110mm，轮胎：245/70R16</w:t>
            </w:r>
          </w:p>
          <w:p>
            <w:pPr>
              <w:rPr>
                <w:rFonts w:hint="eastAsia"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6.外形尺寸（mm）：长：5340，宽：1940，高：2090</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cs="宋体"/>
                <w:i w:val="0"/>
                <w:iCs w:val="0"/>
                <w:color w:val="auto"/>
                <w:kern w:val="0"/>
                <w:sz w:val="18"/>
                <w:szCs w:val="18"/>
                <w:u w:val="none"/>
                <w:lang w:val="en-US" w:eastAsia="zh-CN" w:bidi="ar"/>
              </w:rPr>
              <w:t>7.驾驶室：双排座驾驶室，座位设置2+3人，配置设备：一键启动，前排普通三点式安全带，后排中间两点式两边三点式安全带，刹车辅助，倒车雷达，发动机防盗，定速巡航</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zh-CN" w:eastAsia="zh-CN" w:bidi="ar"/>
              </w:rPr>
            </w:pPr>
            <w:r>
              <w:rPr>
                <w:rFonts w:hint="eastAsia" w:ascii="宋体" w:hAnsi="宋体" w:eastAsia="宋体" w:cs="宋体"/>
                <w:i w:val="0"/>
                <w:iCs w:val="0"/>
                <w:color w:val="auto"/>
                <w:kern w:val="0"/>
                <w:sz w:val="18"/>
                <w:szCs w:val="18"/>
                <w:u w:val="none"/>
                <w:lang w:val="en-US" w:eastAsia="zh-CN" w:bidi="ar"/>
              </w:rPr>
              <w:t>1辆</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正压式空气呼吸器</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1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产品符合XF 124-2013《正压式消防空气呼吸器》标准；</w:t>
            </w:r>
          </w:p>
          <w:p>
            <w:pPr>
              <w:keepNext w:val="0"/>
              <w:keepLines w:val="0"/>
              <w:widowControl/>
              <w:numPr>
                <w:ilvl w:val="0"/>
                <w:numId w:val="11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背具、背具带、带扣、气瓶防护套、全面罩、导气管、供气阀以上配件的续燃时间均≤0s;整机气密性能：在气密性试验后压力表指示值在1min内的下降为0MPa；</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*3、佩戴质量≤15kg；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*4、动态呼吸阻力：气瓶压力在30MPa-2MPa呼吸量40*2.5L/min时；（1）吸气阻力≤450Pa；（2）呼气阻力≤900Pa；5、全面罩性能：（1）总视野保留率≥75%；（2）双目视野保留率≥ 65%；（3）下方视野≥ 35°；</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*6、机械压力表或电子压力表，外壳有橡胶防护套，黑暗条件下可读数，当从呼吸器上拆下压力表和连接管后，在20MPa压力下，压力表漏气量≤18L/min；</w:t>
            </w:r>
          </w:p>
          <w:p>
            <w:pPr>
              <w:keepNext w:val="0"/>
              <w:keepLines w:val="0"/>
              <w:widowControl/>
              <w:numPr>
                <w:ilvl w:val="0"/>
                <w:numId w:val="10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压力平视显示装置：HUD装置的开启和关闭可以通过气瓶阀的开启和关闭自动实现；显示装置气源指示灯≥3个，根据压力指示灯产生变化；防护等级：≥IP67；</w:t>
            </w:r>
          </w:p>
          <w:p>
            <w:pPr>
              <w:keepNext w:val="0"/>
              <w:keepLines w:val="0"/>
              <w:widowControl/>
              <w:numPr>
                <w:ilvl w:val="0"/>
                <w:numId w:val="10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供气阀与面罩可连接，面罩可去雾、除霜，面罩上设置传声装置，同时要求提供与甲方匹配的手持电台（包括但不限于海能达、摩托罗拉等）连接线；</w:t>
            </w:r>
          </w:p>
          <w:p>
            <w:pPr>
              <w:keepNext w:val="0"/>
              <w:keepLines w:val="0"/>
              <w:widowControl/>
              <w:numPr>
                <w:ilvl w:val="0"/>
                <w:numId w:val="10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头罩为凯夫拉材质或者同等材质；</w:t>
            </w:r>
          </w:p>
          <w:p>
            <w:pPr>
              <w:keepNext w:val="0"/>
              <w:keepLines w:val="0"/>
              <w:widowControl/>
              <w:numPr>
                <w:ilvl w:val="0"/>
                <w:numId w:val="10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气瓶阀开关侧置；</w:t>
            </w:r>
          </w:p>
          <w:p>
            <w:pPr>
              <w:keepNext w:val="0"/>
              <w:keepLines w:val="0"/>
              <w:widowControl/>
              <w:numPr>
                <w:ilvl w:val="0"/>
                <w:numId w:val="10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气瓶上有压力表；</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default" w:ascii="宋体" w:hAnsi="宋体" w:cs="宋体"/>
                <w:i w:val="0"/>
                <w:iCs w:val="0"/>
                <w:color w:val="auto"/>
                <w:kern w:val="0"/>
                <w:sz w:val="18"/>
                <w:szCs w:val="18"/>
                <w:u w:val="none"/>
                <w:lang w:val="en" w:eastAsia="zh-CN" w:bidi="ar"/>
              </w:rPr>
              <w:t>12.</w:t>
            </w:r>
            <w:r>
              <w:rPr>
                <w:rFonts w:hint="eastAsia" w:ascii="宋体" w:hAnsi="宋体" w:eastAsia="宋体" w:cs="宋体"/>
                <w:i w:val="0"/>
                <w:iCs w:val="0"/>
                <w:color w:val="auto"/>
                <w:kern w:val="0"/>
                <w:sz w:val="18"/>
                <w:szCs w:val="18"/>
                <w:u w:val="none"/>
                <w:lang w:val="en-US" w:eastAsia="zh-CN" w:bidi="ar"/>
              </w:rPr>
              <w:t>气瓶保护罩按甲方要求印刷丝网印、单位名称；</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13、颜色：藏蓝色；</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14、碳纤维复合气瓶，容积9L，气瓶爆破压力≥102Mpa；瓶阀有防误关手轮；</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15、配有快速充气装置：当相同公称容积的气瓶之间对充时，气瓶压力平衡时间≤1min；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16、远距离通话装置：在无障碍的情况下，通话距离≥1km；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17、配有他救接管及快速充气接管，正压式空气呼吸器/快速充气接管配比数量:5/1（按照支队级单位购置数量进行配比，配比后剩余正压式空气呼吸器不足5具的，须补配一根）；</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18、具有永久性标志及产品数据标识；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826"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zh-CN" w:eastAsia="zh-CN" w:bidi="ar"/>
              </w:rPr>
            </w:pPr>
            <w:r>
              <w:rPr>
                <w:rFonts w:hint="eastAsia" w:ascii="宋体" w:hAnsi="宋体" w:eastAsia="宋体" w:cs="宋体"/>
                <w:i w:val="0"/>
                <w:iCs w:val="0"/>
                <w:color w:val="auto"/>
                <w:kern w:val="0"/>
                <w:sz w:val="18"/>
                <w:szCs w:val="18"/>
                <w:u w:val="none"/>
                <w:lang w:val="en-US" w:eastAsia="zh-CN" w:bidi="ar"/>
              </w:rPr>
              <w:t>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手持对讲机</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1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产品组成：由锂电池组、壳体、按键、显示屏及内部电路板、天线等组成；</w:t>
            </w:r>
          </w:p>
          <w:p>
            <w:pPr>
              <w:keepNext w:val="0"/>
              <w:keepLines w:val="0"/>
              <w:widowControl/>
              <w:numPr>
                <w:ilvl w:val="0"/>
                <w:numId w:val="11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工作频率为：350MHz—400 MHz</w:t>
            </w:r>
          </w:p>
          <w:p>
            <w:pPr>
              <w:keepNext w:val="0"/>
              <w:keepLines w:val="0"/>
              <w:widowControl/>
              <w:numPr>
                <w:ilvl w:val="0"/>
                <w:numId w:val="11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锂电池组容量：≥3000 mAh；</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4、</w:t>
            </w:r>
            <w:r>
              <w:rPr>
                <w:rFonts w:hint="eastAsia" w:ascii="宋体" w:hAnsi="宋体" w:eastAsia="宋体" w:cs="宋体"/>
                <w:i w:val="0"/>
                <w:iCs w:val="0"/>
                <w:color w:val="auto"/>
                <w:kern w:val="0"/>
                <w:sz w:val="18"/>
                <w:szCs w:val="18"/>
                <w:u w:val="none"/>
                <w:lang w:val="en-US" w:eastAsia="zh-CN" w:bidi="ar"/>
              </w:rPr>
              <w:t>防护等级≥IP68；</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5、发射功率≤3.5 W；</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6、误码率≤5%，重量≤400g;屏幕尺寸≥1.8In；信道容量≥1024个</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 带键盘、紧急报警按键，LCD彩色显示屏。支持数字集群、数字常规、模拟集群、模拟常规，DMR协议,AMBE++、NVOC声码器，带漫游和降噪功能。</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8、配防爆锂电池1块，配套充电器、皮带夹、背夹、充电头；提供骨传导、喉部发生器、肩咪等多种外接设备接口。</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10、整机具有第三方出具的防爆合格证和防护等级报告。11、具有《无线电发射设备型号核准证》。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highlight w:val="none"/>
                <w:u w:val="none"/>
                <w:lang w:val="en-US" w:eastAsia="zh-CN" w:bidi="ar"/>
              </w:rPr>
            </w:pPr>
            <w:r>
              <w:rPr>
                <w:rFonts w:hint="eastAsia" w:ascii="宋体" w:hAnsi="宋体" w:cs="宋体"/>
                <w:i w:val="0"/>
                <w:iCs w:val="0"/>
                <w:color w:val="FF0000"/>
                <w:kern w:val="0"/>
                <w:sz w:val="18"/>
                <w:szCs w:val="18"/>
                <w:highlight w:val="none"/>
                <w:u w:val="none"/>
                <w:lang w:val="en-US" w:eastAsia="zh-CN" w:bidi="ar"/>
              </w:rPr>
              <w:t>该项参数中要求的：第11项，投标时潜在供应商可不提供该项《无线电发射设备型号核准证》，若中标后，供货时必须提供该项要求，若不提供视为放弃中标资格还应承担相应的违约责任。</w:t>
            </w: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直流水枪</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1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符合GB8181-2005《消防水枪》标准要求； </w:t>
            </w:r>
          </w:p>
          <w:p>
            <w:pPr>
              <w:keepNext w:val="0"/>
              <w:keepLines w:val="0"/>
              <w:widowControl/>
              <w:numPr>
                <w:ilvl w:val="0"/>
                <w:numId w:val="11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材质：铝合金；</w:t>
            </w:r>
          </w:p>
          <w:p>
            <w:pPr>
              <w:keepNext w:val="0"/>
              <w:keepLines w:val="0"/>
              <w:widowControl/>
              <w:numPr>
                <w:ilvl w:val="0"/>
                <w:numId w:val="11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进水口口径65mm；（1）射程≥28m；（2）最大流量≥7L/s；（3）质量≤2Kg； </w:t>
            </w:r>
          </w:p>
          <w:p>
            <w:pPr>
              <w:keepNext w:val="0"/>
              <w:keepLines w:val="0"/>
              <w:widowControl/>
              <w:numPr>
                <w:ilvl w:val="0"/>
                <w:numId w:val="11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操作力矩≤8N.m；</w:t>
            </w:r>
          </w:p>
          <w:p>
            <w:pPr>
              <w:keepNext w:val="0"/>
              <w:keepLines w:val="0"/>
              <w:widowControl/>
              <w:numPr>
                <w:ilvl w:val="0"/>
                <w:numId w:val="11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卡口形式：卡式  </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多功能水枪</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13"/>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符合GB 8181-2005《消防水枪》标准；</w:t>
            </w:r>
          </w:p>
          <w:p>
            <w:pPr>
              <w:keepNext w:val="0"/>
              <w:keepLines w:val="0"/>
              <w:widowControl/>
              <w:numPr>
                <w:ilvl w:val="0"/>
                <w:numId w:val="11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枪体为铝合金或同等质量以上材料，枪身及把手等位置具备阻燃、耐磨、无后坐力等功能；</w:t>
            </w:r>
          </w:p>
          <w:p>
            <w:pPr>
              <w:keepNext w:val="0"/>
              <w:keepLines w:val="0"/>
              <w:widowControl/>
              <w:numPr>
                <w:ilvl w:val="0"/>
                <w:numId w:val="11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具有直流、开花、喷雾等多种功能；</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4、</w:t>
            </w:r>
            <w:r>
              <w:rPr>
                <w:rFonts w:hint="eastAsia" w:ascii="宋体" w:hAnsi="宋体" w:eastAsia="宋体" w:cs="宋体"/>
                <w:i w:val="0"/>
                <w:iCs w:val="0"/>
                <w:color w:val="auto"/>
                <w:kern w:val="0"/>
                <w:sz w:val="18"/>
                <w:szCs w:val="18"/>
                <w:u w:val="none"/>
                <w:lang w:val="en-US" w:eastAsia="zh-CN" w:bidi="ar"/>
              </w:rPr>
              <w:t>操作力矩≤8N.m；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5、进水口直径：65mm；（1）质量≤2Kg；（2）档位≥4个；（3）射程≥32m；*（4）最大流量≥8L/s；</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 xml:space="preserve"> 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水带（65）</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1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水带口径：65mm±2.00mm；</w:t>
            </w:r>
          </w:p>
          <w:p>
            <w:pPr>
              <w:keepNext w:val="0"/>
              <w:keepLines w:val="0"/>
              <w:widowControl/>
              <w:numPr>
                <w:ilvl w:val="0"/>
                <w:numId w:val="11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工作压力：≥2.5MPa，爆破压力≥7.50MPa；</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default" w:ascii="宋体" w:hAnsi="宋体" w:cs="宋体"/>
                <w:i w:val="0"/>
                <w:iCs w:val="0"/>
                <w:color w:val="auto"/>
                <w:kern w:val="0"/>
                <w:sz w:val="18"/>
                <w:szCs w:val="18"/>
                <w:u w:val="none"/>
                <w:lang w:val="en" w:eastAsia="zh-CN" w:bidi="ar"/>
              </w:rPr>
              <w:t>3、</w:t>
            </w:r>
            <w:r>
              <w:rPr>
                <w:rFonts w:hint="eastAsia" w:ascii="宋体" w:hAnsi="宋体" w:eastAsia="宋体" w:cs="宋体"/>
                <w:i w:val="0"/>
                <w:iCs w:val="0"/>
                <w:color w:val="auto"/>
                <w:kern w:val="0"/>
                <w:sz w:val="18"/>
                <w:szCs w:val="18"/>
                <w:u w:val="none"/>
                <w:lang w:val="en-US" w:eastAsia="zh-CN" w:bidi="ar"/>
              </w:rPr>
              <w:t>水带编织层与衬里之间的附着强度≥20N/25mm；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4、轴向延伸率≤8%；</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5、直径膨胀率≤8%；</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6、扯断伸长率≤280%；</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7、水带带有配套的KD65卡口式接口，采用铁丝绑扎≥4道*2道，并带有水带护套；</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8、单位长度质量：≤407g/m~420g/m；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9、水带护套长度≥20cm；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10、水带长度20m±0.5m；</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11、应符合GB6246-2011《消防水带》标准要求；</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20盘</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水带（80）</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15"/>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 GB6246-2011《消防水带》标准；长度20m；</w:t>
            </w:r>
          </w:p>
          <w:p>
            <w:pPr>
              <w:keepNext w:val="0"/>
              <w:keepLines w:val="0"/>
              <w:widowControl/>
              <w:numPr>
                <w:ilvl w:val="0"/>
                <w:numId w:val="11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聚氨脂材料制成；水带接口：卡扣式或内扣式可选；接口材质：铝合金</w:t>
            </w:r>
          </w:p>
          <w:p>
            <w:pPr>
              <w:keepNext w:val="0"/>
              <w:keepLines w:val="0"/>
              <w:widowControl/>
              <w:numPr>
                <w:ilvl w:val="0"/>
                <w:numId w:val="11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设计工作压力2.5Mpa，爆破压力≥7.5Mpa；</w:t>
            </w:r>
          </w:p>
          <w:p>
            <w:pPr>
              <w:keepNext w:val="0"/>
              <w:keepLines w:val="0"/>
              <w:widowControl/>
              <w:numPr>
                <w:ilvl w:val="0"/>
                <w:numId w:val="11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内径51mm（公差0至﹢2mm）</w:t>
            </w:r>
          </w:p>
          <w:p>
            <w:pPr>
              <w:keepNext w:val="0"/>
              <w:keepLines w:val="0"/>
              <w:widowControl/>
              <w:numPr>
                <w:ilvl w:val="0"/>
                <w:numId w:val="11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5、水带编织层与衬里之间的附着强度≥48N/25mm；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6、</w:t>
            </w:r>
            <w:r>
              <w:rPr>
                <w:rFonts w:hint="eastAsia" w:ascii="宋体" w:hAnsi="宋体" w:eastAsia="宋体" w:cs="宋体"/>
                <w:i w:val="0"/>
                <w:iCs w:val="0"/>
                <w:color w:val="auto"/>
                <w:kern w:val="0"/>
                <w:sz w:val="18"/>
                <w:szCs w:val="18"/>
                <w:u w:val="none"/>
                <w:lang w:val="en-US" w:eastAsia="zh-CN" w:bidi="ar"/>
              </w:rPr>
              <w:t>轴向延伸率≤6%；</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7、直径膨胀率≤5%；</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8、可提供水带颜色白，红，黄，蓝，绿，橙，浅蓝；</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10盘</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水带挂钩</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16"/>
              </w:numPr>
              <w:suppressLineNumbers w:val="0"/>
              <w:jc w:val="left"/>
              <w:textAlignment w:val="center"/>
              <w:rPr>
                <w:rStyle w:val="21"/>
                <w:rFonts w:hint="eastAsia" w:ascii="宋体" w:hAnsi="宋体" w:eastAsia="宋体" w:cs="宋体"/>
                <w:color w:val="auto"/>
                <w:sz w:val="18"/>
                <w:szCs w:val="18"/>
                <w:lang w:val="en-US" w:eastAsia="zh-CN" w:bidi="ar"/>
              </w:rPr>
            </w:pPr>
            <w:r>
              <w:rPr>
                <w:rStyle w:val="21"/>
                <w:rFonts w:hint="eastAsia" w:ascii="宋体" w:hAnsi="宋体" w:eastAsia="宋体" w:cs="宋体"/>
                <w:color w:val="auto"/>
                <w:sz w:val="18"/>
                <w:szCs w:val="18"/>
                <w:lang w:val="en-US" w:eastAsia="zh-CN" w:bidi="ar"/>
              </w:rPr>
              <w:t>将水带挂在梯子或其它物体上；</w:t>
            </w:r>
          </w:p>
          <w:p>
            <w:pPr>
              <w:keepNext w:val="0"/>
              <w:keepLines w:val="0"/>
              <w:widowControl/>
              <w:numPr>
                <w:ilvl w:val="0"/>
                <w:numId w:val="116"/>
              </w:numPr>
              <w:suppressLineNumbers w:val="0"/>
              <w:ind w:left="0" w:leftChars="0" w:firstLine="0" w:firstLineChars="0"/>
              <w:jc w:val="left"/>
              <w:textAlignment w:val="center"/>
              <w:rPr>
                <w:rStyle w:val="21"/>
                <w:rFonts w:hint="eastAsia" w:ascii="宋体" w:hAnsi="宋体" w:eastAsia="宋体" w:cs="宋体"/>
                <w:color w:val="auto"/>
                <w:sz w:val="18"/>
                <w:szCs w:val="18"/>
                <w:lang w:val="en-US" w:eastAsia="zh-CN" w:bidi="ar"/>
              </w:rPr>
            </w:pPr>
            <w:r>
              <w:rPr>
                <w:rStyle w:val="21"/>
                <w:rFonts w:hint="eastAsia" w:ascii="宋体" w:hAnsi="宋体" w:eastAsia="宋体" w:cs="宋体"/>
                <w:color w:val="auto"/>
                <w:sz w:val="18"/>
                <w:szCs w:val="18"/>
                <w:lang w:val="en-US" w:eastAsia="zh-CN" w:bidi="ar"/>
              </w:rPr>
              <w:t>铁件为铸钢,带料为高强尼龙织制；</w:t>
            </w:r>
          </w:p>
          <w:p>
            <w:pPr>
              <w:keepNext w:val="0"/>
              <w:keepLines w:val="0"/>
              <w:widowControl/>
              <w:numPr>
                <w:ilvl w:val="0"/>
                <w:numId w:val="116"/>
              </w:numPr>
              <w:suppressLineNumbers w:val="0"/>
              <w:ind w:left="0" w:leftChars="0" w:firstLine="0" w:firstLineChars="0"/>
              <w:jc w:val="left"/>
              <w:textAlignment w:val="center"/>
              <w:rPr>
                <w:rStyle w:val="21"/>
                <w:rFonts w:hint="eastAsia" w:ascii="宋体" w:hAnsi="宋体" w:eastAsia="宋体" w:cs="宋体"/>
                <w:color w:val="auto"/>
                <w:sz w:val="18"/>
                <w:szCs w:val="18"/>
                <w:lang w:val="en-US" w:eastAsia="zh-CN" w:bidi="ar"/>
              </w:rPr>
            </w:pPr>
            <w:r>
              <w:rPr>
                <w:rStyle w:val="21"/>
                <w:rFonts w:hint="eastAsia" w:ascii="宋体" w:hAnsi="宋体" w:eastAsia="宋体" w:cs="宋体"/>
                <w:color w:val="auto"/>
                <w:sz w:val="18"/>
                <w:szCs w:val="18"/>
                <w:lang w:val="en-US" w:eastAsia="zh-CN" w:bidi="ar"/>
              </w:rPr>
              <w:t>工作长≥500mm,</w:t>
            </w:r>
          </w:p>
          <w:p>
            <w:pPr>
              <w:keepNext w:val="0"/>
              <w:keepLines w:val="0"/>
              <w:widowControl/>
              <w:numPr>
                <w:ilvl w:val="0"/>
                <w:numId w:val="116"/>
              </w:numPr>
              <w:suppressLineNumbers w:val="0"/>
              <w:ind w:left="0" w:leftChars="0" w:firstLine="0" w:firstLineChars="0"/>
              <w:jc w:val="left"/>
              <w:textAlignment w:val="center"/>
              <w:rPr>
                <w:rStyle w:val="21"/>
                <w:rFonts w:hint="eastAsia" w:ascii="宋体" w:hAnsi="宋体" w:eastAsia="宋体" w:cs="宋体"/>
                <w:color w:val="auto"/>
                <w:sz w:val="18"/>
                <w:szCs w:val="18"/>
                <w:lang w:val="en-US" w:eastAsia="zh-CN" w:bidi="ar"/>
              </w:rPr>
            </w:pPr>
            <w:r>
              <w:rPr>
                <w:rStyle w:val="21"/>
                <w:rFonts w:hint="eastAsia" w:ascii="宋体" w:hAnsi="宋体" w:eastAsia="宋体" w:cs="宋体"/>
                <w:color w:val="auto"/>
                <w:sz w:val="18"/>
                <w:szCs w:val="18"/>
                <w:lang w:val="en-US" w:eastAsia="zh-CN" w:bidi="ar"/>
              </w:rPr>
              <w:t>带宽≥30mm；</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Style w:val="21"/>
                <w:rFonts w:hint="eastAsia" w:ascii="宋体" w:hAnsi="宋体" w:eastAsia="宋体" w:cs="宋体"/>
                <w:color w:val="auto"/>
                <w:sz w:val="18"/>
                <w:szCs w:val="18"/>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水带包布</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17"/>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用于包裹消防水带破漏处，由帆布带和金属夹钳等零件组成。</w:t>
            </w:r>
          </w:p>
          <w:p>
            <w:pPr>
              <w:keepNext w:val="0"/>
              <w:keepLines w:val="0"/>
              <w:widowControl/>
              <w:numPr>
                <w:ilvl w:val="0"/>
                <w:numId w:val="117"/>
              </w:numPr>
              <w:suppressLineNumbers w:val="0"/>
              <w:ind w:left="0" w:leftChars="0" w:firstLine="0" w:firstLineChars="0"/>
              <w:jc w:val="left"/>
              <w:textAlignment w:val="center"/>
              <w:rPr>
                <w:rFonts w:hint="eastAsia" w:ascii="宋体" w:hAnsi="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铁件为铸钢,带料为高强尼龙织制</w:t>
            </w:r>
          </w:p>
          <w:p>
            <w:pPr>
              <w:keepNext w:val="0"/>
              <w:keepLines w:val="0"/>
              <w:widowControl/>
              <w:numPr>
                <w:ilvl w:val="0"/>
                <w:numId w:val="117"/>
              </w:numPr>
              <w:suppressLineNumbers w:val="0"/>
              <w:ind w:left="0" w:leftChars="0" w:firstLine="0" w:firstLineChars="0"/>
              <w:jc w:val="left"/>
              <w:textAlignment w:val="center"/>
              <w:rPr>
                <w:rFonts w:hint="eastAsia" w:ascii="宋体" w:hAnsi="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3、工作长≥480mm,4、带宽≥80 mm</w:t>
            </w:r>
            <w:r>
              <w:rPr>
                <w:rFonts w:hint="eastAsia" w:ascii="宋体" w:hAnsi="宋体" w:cs="宋体"/>
                <w:i w:val="0"/>
                <w:iCs w:val="0"/>
                <w:color w:val="auto"/>
                <w:kern w:val="0"/>
                <w:sz w:val="18"/>
                <w:szCs w:val="18"/>
                <w:u w:val="none"/>
                <w:lang w:val="en-US" w:eastAsia="zh-CN" w:bidi="ar"/>
              </w:rPr>
              <w:t>，</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水带护桥</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18"/>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用于保护水带不受挤压；</w:t>
            </w:r>
          </w:p>
          <w:p>
            <w:pPr>
              <w:keepNext w:val="0"/>
              <w:keepLines w:val="0"/>
              <w:widowControl/>
              <w:numPr>
                <w:ilvl w:val="0"/>
                <w:numId w:val="11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采用橡胶材质</w:t>
            </w:r>
          </w:p>
          <w:p>
            <w:pPr>
              <w:keepNext w:val="0"/>
              <w:keepLines w:val="0"/>
              <w:widowControl/>
              <w:numPr>
                <w:ilvl w:val="0"/>
                <w:numId w:val="11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长≥830mm，宽≥570mm，高≥75mm，</w:t>
            </w:r>
          </w:p>
          <w:p>
            <w:pPr>
              <w:keepNext w:val="0"/>
              <w:keepLines w:val="0"/>
              <w:widowControl/>
              <w:numPr>
                <w:ilvl w:val="0"/>
                <w:numId w:val="11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重量≤20Kg，</w:t>
            </w:r>
          </w:p>
          <w:p>
            <w:pPr>
              <w:keepNext w:val="0"/>
              <w:keepLines w:val="0"/>
              <w:widowControl/>
              <w:numPr>
                <w:ilvl w:val="0"/>
                <w:numId w:val="11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5、能承受≥50T，</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4组</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集水器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19"/>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工作压力：≥1.6MPa；</w:t>
            </w:r>
          </w:p>
          <w:p>
            <w:pPr>
              <w:keepNext w:val="0"/>
              <w:keepLines w:val="0"/>
              <w:widowControl/>
              <w:numPr>
                <w:ilvl w:val="0"/>
                <w:numId w:val="11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进水口径：80mm±2mm；</w:t>
            </w:r>
          </w:p>
          <w:p>
            <w:pPr>
              <w:keepNext w:val="0"/>
              <w:keepLines w:val="0"/>
              <w:widowControl/>
              <w:numPr>
                <w:ilvl w:val="0"/>
                <w:numId w:val="11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出水口径：3*65mm±2mm；</w:t>
            </w:r>
          </w:p>
          <w:p>
            <w:pPr>
              <w:keepNext w:val="0"/>
              <w:keepLines w:val="0"/>
              <w:widowControl/>
              <w:numPr>
                <w:ilvl w:val="0"/>
                <w:numId w:val="11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重量：≤6.5kg；</w:t>
            </w:r>
          </w:p>
          <w:p>
            <w:pPr>
              <w:keepNext w:val="0"/>
              <w:keepLines w:val="0"/>
              <w:widowControl/>
              <w:numPr>
                <w:ilvl w:val="0"/>
                <w:numId w:val="11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5、符合分水器和集水器 XF868-2010标准；</w:t>
            </w:r>
          </w:p>
          <w:p>
            <w:pPr>
              <w:keepNext w:val="0"/>
              <w:keepLines w:val="0"/>
              <w:widowControl/>
              <w:numPr>
                <w:ilvl w:val="0"/>
                <w:numId w:val="11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配备快开式把手开关；</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异径接口</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2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密封性能：水带接口在0.3MPa~4.0MPa时无渗漏现象；</w:t>
            </w:r>
          </w:p>
          <w:p>
            <w:pPr>
              <w:keepNext w:val="0"/>
              <w:keepLines w:val="0"/>
              <w:widowControl/>
              <w:numPr>
                <w:ilvl w:val="0"/>
                <w:numId w:val="12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耐压性能：水带接口在≥2.4MPa时无断裂或变形现象；</w:t>
            </w:r>
          </w:p>
          <w:p>
            <w:pPr>
              <w:keepNext w:val="0"/>
              <w:keepLines w:val="0"/>
              <w:widowControl/>
              <w:numPr>
                <w:ilvl w:val="0"/>
                <w:numId w:val="12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接口公称通径：65mm雄卡/80mm雌卡和65mm雌卡/80mm雄卡；</w:t>
            </w:r>
          </w:p>
          <w:p>
            <w:pPr>
              <w:keepNext w:val="0"/>
              <w:keepLines w:val="0"/>
              <w:widowControl/>
              <w:numPr>
                <w:ilvl w:val="0"/>
                <w:numId w:val="12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弹簧疲劳寿命：≥10000次；</w:t>
            </w:r>
          </w:p>
          <w:p>
            <w:pPr>
              <w:keepNext w:val="0"/>
              <w:keepLines w:val="0"/>
              <w:widowControl/>
              <w:numPr>
                <w:ilvl w:val="0"/>
                <w:numId w:val="12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适用介质：水、水和泡沫混合液；</w:t>
            </w:r>
          </w:p>
          <w:p>
            <w:pPr>
              <w:keepNext w:val="0"/>
              <w:keepLines w:val="0"/>
              <w:widowControl/>
              <w:numPr>
                <w:ilvl w:val="0"/>
                <w:numId w:val="12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跌落性能：接口从≥1.5m高处自由落下≥5次，均无损坏并能正常操作使用。</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异</w:t>
            </w:r>
            <w:r>
              <w:rPr>
                <w:rFonts w:hint="eastAsia" w:ascii="宋体" w:hAnsi="宋体" w:cs="宋体"/>
                <w:i w:val="0"/>
                <w:iCs w:val="0"/>
                <w:color w:val="auto"/>
                <w:kern w:val="0"/>
                <w:sz w:val="18"/>
                <w:szCs w:val="18"/>
                <w:u w:val="none"/>
                <w:lang w:val="en-US" w:eastAsia="zh-CN" w:bidi="ar"/>
              </w:rPr>
              <w:t>型</w:t>
            </w:r>
            <w:r>
              <w:rPr>
                <w:rFonts w:hint="eastAsia" w:ascii="宋体" w:hAnsi="宋体" w:eastAsia="宋体" w:cs="宋体"/>
                <w:i w:val="0"/>
                <w:iCs w:val="0"/>
                <w:color w:val="auto"/>
                <w:kern w:val="0"/>
                <w:sz w:val="18"/>
                <w:szCs w:val="18"/>
                <w:u w:val="none"/>
                <w:lang w:val="en-US" w:eastAsia="zh-CN" w:bidi="ar"/>
              </w:rPr>
              <w:t>接口</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2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密封性能：水带接口在0.3MPa~4.0MPa时无渗漏现象；</w:t>
            </w:r>
          </w:p>
          <w:p>
            <w:pPr>
              <w:keepNext w:val="0"/>
              <w:keepLines w:val="0"/>
              <w:widowControl/>
              <w:numPr>
                <w:ilvl w:val="0"/>
                <w:numId w:val="12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耐压性能：水带接口在≥2.4MPa时无断裂或变形现象；</w:t>
            </w:r>
          </w:p>
          <w:p>
            <w:pPr>
              <w:keepNext w:val="0"/>
              <w:keepLines w:val="0"/>
              <w:widowControl/>
              <w:numPr>
                <w:ilvl w:val="0"/>
                <w:numId w:val="12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弹簧疲劳寿命：≥10000次；</w:t>
            </w:r>
          </w:p>
          <w:p>
            <w:pPr>
              <w:keepNext w:val="0"/>
              <w:keepLines w:val="0"/>
              <w:widowControl/>
              <w:numPr>
                <w:ilvl w:val="0"/>
                <w:numId w:val="12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适用介质：水、水和泡沫混合液；</w:t>
            </w:r>
          </w:p>
          <w:p>
            <w:pPr>
              <w:keepNext w:val="0"/>
              <w:keepLines w:val="0"/>
              <w:widowControl/>
              <w:numPr>
                <w:ilvl w:val="0"/>
                <w:numId w:val="12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跌落性能：接口从≥1.5m高处自由落下≥5次，均无损坏并能正常操作使用；</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手抬机动泵</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2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符合消防泵 GB6245-2006标准；</w:t>
            </w:r>
          </w:p>
          <w:p>
            <w:pPr>
              <w:keepNext w:val="0"/>
              <w:keepLines w:val="0"/>
              <w:widowControl/>
              <w:numPr>
                <w:ilvl w:val="0"/>
                <w:numId w:val="122"/>
              </w:numPr>
              <w:suppressLineNumbers w:val="0"/>
              <w:ind w:left="0" w:leftChars="0" w:firstLine="0" w:firstLineChars="0"/>
              <w:jc w:val="left"/>
              <w:textAlignment w:val="center"/>
              <w:rPr>
                <w:rFonts w:hint="eastAsia" w:ascii="宋体" w:hAnsi="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u w:val="none"/>
                <w:lang w:val="en-US" w:eastAsia="zh-CN" w:bidi="ar"/>
              </w:rPr>
              <w:t>重量</w:t>
            </w: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58kg，</w:t>
            </w:r>
          </w:p>
          <w:p>
            <w:pPr>
              <w:keepNext w:val="0"/>
              <w:keepLines w:val="0"/>
              <w:widowControl/>
              <w:numPr>
                <w:ilvl w:val="0"/>
                <w:numId w:val="12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额定流量：≥1200L/min；</w:t>
            </w:r>
          </w:p>
          <w:p>
            <w:pPr>
              <w:keepNext w:val="0"/>
              <w:keepLines w:val="0"/>
              <w:widowControl/>
              <w:numPr>
                <w:ilvl w:val="0"/>
                <w:numId w:val="12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扬程：≥55m；</w:t>
            </w:r>
          </w:p>
          <w:p>
            <w:pPr>
              <w:keepNext w:val="0"/>
              <w:keepLines w:val="0"/>
              <w:widowControl/>
              <w:numPr>
                <w:ilvl w:val="0"/>
                <w:numId w:val="12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额定压力：≥0.55MPa；</w:t>
            </w:r>
          </w:p>
          <w:p>
            <w:pPr>
              <w:keepNext w:val="0"/>
              <w:keepLines w:val="0"/>
              <w:widowControl/>
              <w:numPr>
                <w:ilvl w:val="0"/>
                <w:numId w:val="12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进水管口径：65mm（±0.1mm）；</w:t>
            </w:r>
          </w:p>
          <w:p>
            <w:pPr>
              <w:keepNext w:val="0"/>
              <w:keepLines w:val="0"/>
              <w:widowControl/>
              <w:numPr>
                <w:ilvl w:val="0"/>
                <w:numId w:val="12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出水管口径：65mm（±0.1mm）；</w:t>
            </w:r>
          </w:p>
          <w:p>
            <w:pPr>
              <w:keepNext w:val="0"/>
              <w:keepLines w:val="0"/>
              <w:widowControl/>
              <w:numPr>
                <w:ilvl w:val="0"/>
                <w:numId w:val="12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水枪口径：19mm（±0.1mm）；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★9、最大吸水深度：≥7m；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10、</w:t>
            </w:r>
            <w:r>
              <w:rPr>
                <w:rFonts w:hint="eastAsia" w:ascii="宋体" w:hAnsi="宋体" w:eastAsia="宋体" w:cs="宋体"/>
                <w:i w:val="0"/>
                <w:iCs w:val="0"/>
                <w:color w:val="auto"/>
                <w:kern w:val="0"/>
                <w:sz w:val="18"/>
                <w:szCs w:val="18"/>
                <w:u w:val="none"/>
                <w:lang w:val="en-US" w:eastAsia="zh-CN" w:bidi="ar"/>
              </w:rPr>
              <w:t>引水时间：≤20s；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11、启动方式：手/电启动；</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12、油箱容量：≥18L；</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集水器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1.集水器</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2.防回流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吸水管</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1.吸水管</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8m</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吸水管扳手</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1.吸水管扳手</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消火栓扳手</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1.消火栓扳手</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多功能挠钩</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23"/>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消防剪≥1件：对灾害现场电线，树枝，连接线进行剪切；</w:t>
            </w:r>
          </w:p>
          <w:p>
            <w:pPr>
              <w:keepNext w:val="0"/>
              <w:keepLines w:val="0"/>
              <w:widowControl/>
              <w:numPr>
                <w:ilvl w:val="0"/>
                <w:numId w:val="1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撑顶器（Y头叉）≥1件：用于易坍塌的危险场所的临时支撑，列如门框，窗户和其他构件的支撑；</w:t>
            </w:r>
          </w:p>
          <w:p>
            <w:pPr>
              <w:keepNext w:val="0"/>
              <w:keepLines w:val="0"/>
              <w:widowControl/>
              <w:numPr>
                <w:ilvl w:val="0"/>
                <w:numId w:val="1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爪耙≥1件：用于现场倒塌物，有毒物质的清理及灾后南垃圾的清理；</w:t>
            </w:r>
          </w:p>
          <w:p>
            <w:pPr>
              <w:keepNext w:val="0"/>
              <w:keepLines w:val="0"/>
              <w:widowControl/>
              <w:numPr>
                <w:ilvl w:val="0"/>
                <w:numId w:val="1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木榔头≥1件：敲碎建筑物门窗玻璃，进行排烟，透气；</w:t>
            </w:r>
          </w:p>
          <w:p>
            <w:pPr>
              <w:keepNext w:val="0"/>
              <w:keepLines w:val="0"/>
              <w:widowControl/>
              <w:numPr>
                <w:ilvl w:val="0"/>
                <w:numId w:val="1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消防锯≥1件：可锯断一定高度的树枝及木质易坠物，易坍塌物和构件；</w:t>
            </w:r>
          </w:p>
          <w:p>
            <w:pPr>
              <w:keepNext w:val="0"/>
              <w:keepLines w:val="0"/>
              <w:widowControl/>
              <w:numPr>
                <w:ilvl w:val="0"/>
                <w:numId w:val="1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工兵铲≥1件：现场清理杂物；</w:t>
            </w:r>
          </w:p>
          <w:p>
            <w:pPr>
              <w:keepNext w:val="0"/>
              <w:keepLines w:val="0"/>
              <w:widowControl/>
              <w:numPr>
                <w:ilvl w:val="0"/>
                <w:numId w:val="1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7、单头挠钩≥1件：破折吊顶，钩拉电线等；</w:t>
            </w:r>
          </w:p>
          <w:p>
            <w:pPr>
              <w:keepNext w:val="0"/>
              <w:keepLines w:val="0"/>
              <w:widowControl/>
              <w:numPr>
                <w:ilvl w:val="0"/>
                <w:numId w:val="1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双头挠钩≥1件：破折吊顶,钩拉电线等；</w:t>
            </w:r>
          </w:p>
          <w:p>
            <w:pPr>
              <w:keepNext w:val="0"/>
              <w:keepLines w:val="0"/>
              <w:widowControl/>
              <w:numPr>
                <w:ilvl w:val="0"/>
                <w:numId w:val="1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登高钩（攀登钩）≥1件：攀爬，登高用；</w:t>
            </w:r>
          </w:p>
          <w:p>
            <w:pPr>
              <w:keepNext w:val="0"/>
              <w:keepLines w:val="0"/>
              <w:widowControl/>
              <w:numPr>
                <w:ilvl w:val="0"/>
                <w:numId w:val="1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组合连接杆：通过杆头螺纹口延长连接，可在现场灵活组合相配套的破折工具使用；</w:t>
            </w:r>
          </w:p>
          <w:p>
            <w:pPr>
              <w:keepNext w:val="0"/>
              <w:keepLines w:val="0"/>
              <w:widowControl/>
              <w:numPr>
                <w:ilvl w:val="0"/>
                <w:numId w:val="12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组合连接杆（带刻度）：通过组合连接，可以在现场迅速的量水平距离、标高、测坑或涵洞深度,便于操作人员作出科学决策和救援行动；也可以作为火灾、浓烟、洼池、水坑等场所灭火救援的探路工具；</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12、≥10种杆头、≥2根杆柄，≥10个缩节组成；</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强光照明灯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1、名称：消防特种强光照明灯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2、光源功率：≥36W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3、电池容量：≥5.6Ah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4、防护等级：IP67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5、充电时间：≤2.5h </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6、灯具重量：≤2kg </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7、外形尺寸：≤220mm*85mm</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消防斧</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1.消防斧</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单杠梯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★1、整体要求：符合XF137-2007《消防梯》标准要求，</w:t>
            </w:r>
          </w:p>
          <w:p>
            <w:pPr>
              <w:keepNext w:val="0"/>
              <w:keepLines w:val="0"/>
              <w:widowControl/>
              <w:numPr>
                <w:ilvl w:val="0"/>
                <w:numId w:val="11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材料检查：消防梯所用竹、木材料应符合XF137-2007附录A的要求，（侧板材质和梯蹬材质：竹粘合材料等相同材料或优于此材质的材料）；</w:t>
            </w:r>
          </w:p>
          <w:p>
            <w:pPr>
              <w:keepNext w:val="0"/>
              <w:keepLines w:val="0"/>
              <w:widowControl/>
              <w:numPr>
                <w:ilvl w:val="0"/>
                <w:numId w:val="11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3</w:t>
            </w:r>
            <w:r>
              <w:rPr>
                <w:rFonts w:hint="eastAsia" w:ascii="宋体" w:hAnsi="宋体" w:eastAsia="宋体" w:cs="宋体"/>
                <w:i w:val="0"/>
                <w:iCs w:val="0"/>
                <w:color w:val="auto"/>
                <w:kern w:val="0"/>
                <w:sz w:val="18"/>
                <w:szCs w:val="18"/>
                <w:u w:val="none"/>
                <w:lang w:val="en-US" w:eastAsia="zh-CN" w:bidi="ar"/>
              </w:rPr>
              <w:t>、外形尺寸2.1、工作长度：3010mm±20mm；2.2、最小梯宽：250mm±10mm；2.3、梯蹬间距：340mm±10mm；3、整梯质量：8.8kg±0.5kg；4、水平弯曲残余变形比值：≤0.12%；</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5、</w:t>
            </w:r>
            <w:r>
              <w:rPr>
                <w:rFonts w:hint="eastAsia" w:ascii="宋体" w:hAnsi="宋体" w:eastAsia="宋体" w:cs="宋体"/>
                <w:i w:val="0"/>
                <w:iCs w:val="0"/>
                <w:color w:val="auto"/>
                <w:kern w:val="0"/>
                <w:sz w:val="18"/>
                <w:szCs w:val="18"/>
                <w:u w:val="none"/>
                <w:lang w:val="en-US" w:eastAsia="zh-CN" w:bidi="ar"/>
              </w:rPr>
              <w:t>梯蹬弯曲残余变形比值：≤0.28%；</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6、梯蹬剪切强度试验：经梯蹬对侧板剪切试验后，梯蹬与侧板的连接处和梯蹬本身没有任何断裂迹象；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7、翘曲试验：消防梯在进行翘曲试验时，任一梯脚均不离地；</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8、梯节扭转角：α顺：≥8.5°、α逆：≥8.5°；</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9、滑移试验：滑移试验时，各梯脚在整个试验表面上不出现位移；</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10、侧板悬臂弯曲最大变形值：内弯曲：≥1.0mm、≥外弯曲：1.0mm；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11、侧摇摆曲残余变形比值：≤0.14%；</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12、粘牢合度试验时，通过浸泡、恒温、低温试验后无脱胶现象；</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13、具有永久性标志及产品数据标识。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两节拉梯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2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外形尺寸：工作长度：6m±0.2m，梯蹬间距：280mm±10mm；</w:t>
            </w:r>
          </w:p>
          <w:p>
            <w:pPr>
              <w:keepNext w:val="0"/>
              <w:keepLines w:val="0"/>
              <w:widowControl/>
              <w:numPr>
                <w:ilvl w:val="0"/>
                <w:numId w:val="12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整梯质量：≤35kg；</w:t>
            </w:r>
          </w:p>
          <w:p>
            <w:pPr>
              <w:keepNext w:val="0"/>
              <w:keepLines w:val="0"/>
              <w:widowControl/>
              <w:numPr>
                <w:ilvl w:val="0"/>
                <w:numId w:val="12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水平弯曲残余变形比值：≤0.3%；</w:t>
            </w:r>
          </w:p>
          <w:p>
            <w:pPr>
              <w:keepNext w:val="0"/>
              <w:keepLines w:val="0"/>
              <w:widowControl/>
              <w:numPr>
                <w:ilvl w:val="0"/>
                <w:numId w:val="12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梯蹬弯曲残余变形比值：≤0.5%；</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5</w:t>
            </w:r>
            <w:r>
              <w:rPr>
                <w:rFonts w:hint="eastAsia" w:ascii="宋体" w:hAnsi="宋体" w:eastAsia="宋体" w:cs="宋体"/>
                <w:i w:val="0"/>
                <w:iCs w:val="0"/>
                <w:color w:val="auto"/>
                <w:kern w:val="0"/>
                <w:sz w:val="18"/>
                <w:szCs w:val="18"/>
                <w:u w:val="none"/>
                <w:lang w:val="en-US" w:eastAsia="zh-CN" w:bidi="ar"/>
              </w:rPr>
              <w:t>、整体要求：符合XF137-2007《消防梯》标准要求；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cs="宋体"/>
                <w:i w:val="0"/>
                <w:iCs w:val="0"/>
                <w:color w:val="auto"/>
                <w:kern w:val="0"/>
                <w:sz w:val="18"/>
                <w:szCs w:val="18"/>
                <w:u w:val="none"/>
                <w:lang w:val="en-US" w:eastAsia="zh-CN" w:bidi="ar"/>
              </w:rPr>
              <w:t>6</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手动破拆工具组</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25"/>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 GB 32459-2015《消防应急救援装备手 动破拆工具通用技术条件》的标准要求。</w:t>
            </w:r>
          </w:p>
          <w:p>
            <w:pPr>
              <w:keepNext w:val="0"/>
              <w:keepLines w:val="0"/>
              <w:widowControl/>
              <w:numPr>
                <w:ilvl w:val="0"/>
                <w:numId w:val="1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由冲击杆、拆锁器、金属切断器、凿子、钎子 及各类撬斧工具等部件组成，由耐磨、防锈、便携等性能。</w:t>
            </w:r>
          </w:p>
          <w:p>
            <w:pPr>
              <w:keepNext w:val="0"/>
              <w:keepLines w:val="0"/>
              <w:widowControl/>
              <w:numPr>
                <w:ilvl w:val="0"/>
                <w:numId w:val="1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冲击行程≥300mm；</w:t>
            </w:r>
          </w:p>
          <w:p>
            <w:pPr>
              <w:keepNext w:val="0"/>
              <w:keepLines w:val="0"/>
              <w:widowControl/>
              <w:numPr>
                <w:ilvl w:val="0"/>
                <w:numId w:val="1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整备质量≤25kg；</w:t>
            </w:r>
          </w:p>
          <w:p>
            <w:pPr>
              <w:keepNext w:val="0"/>
              <w:keepLines w:val="0"/>
              <w:widowControl/>
              <w:numPr>
                <w:ilvl w:val="0"/>
                <w:numId w:val="1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可切割、打凿Q235型钢板厚度≥1mm；</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灭火器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w:t>
            </w:r>
            <w:r>
              <w:rPr>
                <w:rFonts w:hint="eastAsia" w:ascii="宋体" w:hAnsi="宋体" w:cs="宋体"/>
                <w:i w:val="0"/>
                <w:iCs w:val="0"/>
                <w:color w:val="auto"/>
                <w:kern w:val="0"/>
                <w:sz w:val="18"/>
                <w:szCs w:val="18"/>
                <w:u w:val="none"/>
                <w:lang w:val="en-US" w:eastAsia="zh-CN" w:bidi="ar"/>
              </w:rPr>
              <w:t>干粉</w:t>
            </w:r>
            <w:r>
              <w:rPr>
                <w:rFonts w:hint="eastAsia" w:ascii="宋体" w:hAnsi="宋体" w:eastAsia="宋体" w:cs="宋体"/>
                <w:i w:val="0"/>
                <w:iCs w:val="0"/>
                <w:color w:val="auto"/>
                <w:kern w:val="0"/>
                <w:sz w:val="18"/>
                <w:szCs w:val="18"/>
                <w:u w:val="none"/>
                <w:lang w:val="en-US" w:eastAsia="zh-CN" w:bidi="ar"/>
              </w:rPr>
              <w:t>灭火器</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2.规格:</w:t>
            </w:r>
            <w:r>
              <w:rPr>
                <w:rFonts w:hint="default" w:ascii="宋体" w:hAnsi="宋体" w:cs="宋体"/>
                <w:i w:val="0"/>
                <w:iCs w:val="0"/>
                <w:color w:val="auto"/>
                <w:kern w:val="0"/>
                <w:sz w:val="18"/>
                <w:szCs w:val="18"/>
                <w:u w:val="none"/>
                <w:lang w:val="en" w:eastAsia="zh-CN" w:bidi="ar"/>
              </w:rPr>
              <w:t>MF/ABC4</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right="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right="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手持扩音器</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26"/>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扩音器外壳材质为ABS航空材质；</w:t>
            </w:r>
          </w:p>
          <w:p>
            <w:pPr>
              <w:keepNext w:val="0"/>
              <w:keepLines w:val="0"/>
              <w:widowControl/>
              <w:numPr>
                <w:ilvl w:val="0"/>
                <w:numId w:val="12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功率≥25 W；</w:t>
            </w:r>
          </w:p>
          <w:p>
            <w:pPr>
              <w:keepNext w:val="0"/>
              <w:keepLines w:val="0"/>
              <w:widowControl/>
              <w:numPr>
                <w:ilvl w:val="0"/>
                <w:numId w:val="12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电池容量≥2000mAh；</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4、1m内声强≥80dB；</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5、连续工作时间≥2h；</w:t>
            </w:r>
          </w:p>
          <w:p>
            <w:pPr>
              <w:keepNext w:val="0"/>
              <w:keepLines w:val="0"/>
              <w:widowControl/>
              <w:numPr>
                <w:ilvl w:val="0"/>
                <w:numId w:val="1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传输距离≥500m,</w:t>
            </w:r>
          </w:p>
          <w:p>
            <w:pPr>
              <w:keepNext w:val="0"/>
              <w:keepLines w:val="0"/>
              <w:widowControl/>
              <w:numPr>
                <w:ilvl w:val="0"/>
                <w:numId w:val="1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质量≤2.5kg（含电池）；</w:t>
            </w:r>
          </w:p>
          <w:p>
            <w:pPr>
              <w:keepNext w:val="0"/>
              <w:keepLines w:val="0"/>
              <w:widowControl/>
              <w:numPr>
                <w:ilvl w:val="0"/>
                <w:numId w:val="12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插槽接口：USB接口/TF卡插槽/AUX音频；</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警示牌</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27"/>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合金钢材质，图案、文字、边框均为反光材料，可与标志杆配套使用；</w:t>
            </w:r>
          </w:p>
          <w:p>
            <w:pPr>
              <w:keepNext w:val="0"/>
              <w:keepLines w:val="0"/>
              <w:widowControl/>
              <w:numPr>
                <w:ilvl w:val="0"/>
                <w:numId w:val="12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每套含标志牌的数量≥2个；</w:t>
            </w:r>
          </w:p>
          <w:p>
            <w:pPr>
              <w:keepNext w:val="0"/>
              <w:keepLines w:val="0"/>
              <w:widowControl/>
              <w:numPr>
                <w:ilvl w:val="0"/>
                <w:numId w:val="12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质量≤5kg；</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闪光警示灯</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28"/>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符合GA/T 1256-2015《发光式道路交通指挥棒》标准。</w:t>
            </w:r>
          </w:p>
          <w:p>
            <w:pPr>
              <w:keepNext w:val="0"/>
              <w:keepLines w:val="0"/>
              <w:widowControl/>
              <w:numPr>
                <w:ilvl w:val="0"/>
                <w:numId w:val="12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频闪型，具有光线暗时自动闪亮功能：</w:t>
            </w:r>
          </w:p>
          <w:p>
            <w:pPr>
              <w:keepNext w:val="0"/>
              <w:keepLines w:val="0"/>
              <w:widowControl/>
              <w:numPr>
                <w:ilvl w:val="0"/>
                <w:numId w:val="12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（1）灯色闪烁≥2种；（2）灯色恒亮≥1种；（3）灯色交替闪烁≥2种；（4）有白灯照明；</w:t>
            </w:r>
          </w:p>
          <w:p>
            <w:pPr>
              <w:keepNext w:val="0"/>
              <w:keepLines w:val="0"/>
              <w:widowControl/>
              <w:numPr>
                <w:ilvl w:val="0"/>
                <w:numId w:val="12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工作时间≥2小时。</w:t>
            </w:r>
          </w:p>
          <w:p>
            <w:pPr>
              <w:keepNext w:val="0"/>
              <w:keepLines w:val="0"/>
              <w:widowControl/>
              <w:numPr>
                <w:ilvl w:val="0"/>
                <w:numId w:val="12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防尘防水≥IP55；</w:t>
            </w:r>
          </w:p>
          <w:p>
            <w:pPr>
              <w:keepNext w:val="0"/>
              <w:keepLines w:val="0"/>
              <w:widowControl/>
              <w:numPr>
                <w:ilvl w:val="0"/>
                <w:numId w:val="12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在黑暗时可视距离≥100m。</w:t>
            </w:r>
          </w:p>
          <w:p>
            <w:pPr>
              <w:keepNext w:val="0"/>
              <w:keepLines w:val="0"/>
              <w:widowControl/>
              <w:numPr>
                <w:ilvl w:val="0"/>
                <w:numId w:val="12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电池≥2500mA锂离子电池；</w:t>
            </w:r>
          </w:p>
          <w:p>
            <w:pPr>
              <w:keepNext w:val="0"/>
              <w:keepLines w:val="0"/>
              <w:widowControl/>
              <w:numPr>
                <w:ilvl w:val="0"/>
                <w:numId w:val="12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具有金属挂钩固定；</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警戒带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29"/>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用于灾害或事故现场的警戒。具备收放、反光、耐磨等性能，由纤维编制而成，外壳为塑料材质，双面反光,防水；</w:t>
            </w:r>
          </w:p>
          <w:p>
            <w:pPr>
              <w:keepNext w:val="0"/>
              <w:keepLines w:val="0"/>
              <w:widowControl/>
              <w:numPr>
                <w:ilvl w:val="0"/>
                <w:numId w:val="12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警示带尺寸：（1）宽度≥5cm；（2）长度≥100m。</w:t>
            </w:r>
          </w:p>
          <w:p>
            <w:pPr>
              <w:keepNext w:val="0"/>
              <w:keepLines w:val="0"/>
              <w:widowControl/>
              <w:numPr>
                <w:ilvl w:val="0"/>
                <w:numId w:val="12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质量：≤2500g。</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5盘</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机动链锯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★1、功率：≥2.4kW；</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怠速：≥2700rpm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★3、最高功率转速：≥9600rpm；</w:t>
            </w:r>
          </w:p>
          <w:p>
            <w:pPr>
              <w:keepNext w:val="0"/>
              <w:keepLines w:val="0"/>
              <w:widowControl/>
              <w:numPr>
                <w:ilvl w:val="0"/>
                <w:numId w:val="12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燃油箱容量：≥0.45升；</w:t>
            </w:r>
          </w:p>
          <w:p>
            <w:pPr>
              <w:keepNext w:val="0"/>
              <w:keepLines w:val="0"/>
              <w:widowControl/>
              <w:numPr>
                <w:ilvl w:val="0"/>
                <w:numId w:val="12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链条润滑油箱容量：≥0.25L；</w:t>
            </w:r>
          </w:p>
          <w:p>
            <w:pPr>
              <w:keepNext w:val="0"/>
              <w:keepLines w:val="0"/>
              <w:widowControl/>
              <w:numPr>
                <w:ilvl w:val="0"/>
                <w:numId w:val="12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使用导板长度：33cm-50cm；</w:t>
            </w:r>
          </w:p>
          <w:p>
            <w:pPr>
              <w:keepNext w:val="0"/>
              <w:keepLines w:val="0"/>
              <w:widowControl/>
              <w:numPr>
                <w:ilvl w:val="0"/>
                <w:numId w:val="12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重量（不含燃油、机油、导板和链条）：≤6kg；</w:t>
            </w:r>
          </w:p>
          <w:p>
            <w:pPr>
              <w:keepNext w:val="0"/>
              <w:keepLines w:val="0"/>
              <w:widowControl/>
              <w:numPr>
                <w:ilvl w:val="0"/>
                <w:numId w:val="12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配备备用链条、维修工具和润滑油比例壶等；</w:t>
            </w:r>
          </w:p>
          <w:p>
            <w:pPr>
              <w:keepNext w:val="0"/>
              <w:keepLines w:val="0"/>
              <w:widowControl/>
              <w:numPr>
                <w:ilvl w:val="0"/>
                <w:numId w:val="12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火花塞电极间隙：≤0.5mm；</w:t>
            </w:r>
          </w:p>
          <w:p>
            <w:pPr>
              <w:keepNext w:val="0"/>
              <w:keepLines w:val="0"/>
              <w:widowControl/>
              <w:numPr>
                <w:ilvl w:val="0"/>
                <w:numId w:val="12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11、符合消防应急救援装备 破拆机具通用技术条件 GB32460-2015标准。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无齿锯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3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应配置锯片：≥2片，专用工具箱，护目镜、防护手套、专用工具；汽缸排量：≥74cc；</w:t>
            </w:r>
          </w:p>
          <w:p>
            <w:pPr>
              <w:keepNext w:val="0"/>
              <w:keepLines w:val="0"/>
              <w:widowControl/>
              <w:numPr>
                <w:ilvl w:val="0"/>
                <w:numId w:val="13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汽缸缸管内径：≥51mm；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★3、空转速度：≥2700rpm；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★4、功率：≥4.8kW；</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5、</w:t>
            </w:r>
            <w:r>
              <w:rPr>
                <w:rFonts w:hint="eastAsia" w:ascii="宋体" w:hAnsi="宋体" w:eastAsia="宋体" w:cs="宋体"/>
                <w:i w:val="0"/>
                <w:iCs w:val="0"/>
                <w:color w:val="auto"/>
                <w:kern w:val="0"/>
                <w:sz w:val="18"/>
                <w:szCs w:val="18"/>
                <w:u w:val="none"/>
                <w:lang w:val="en-US" w:eastAsia="zh-CN" w:bidi="ar"/>
              </w:rPr>
              <w:t>跳火间距：≤0.5mm；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6、油箱容量：≥1.8L；</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7、重量：≤11.6kg；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8、切割深度：≥125mm；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9、配置锯片：≥2片，专用工具箱，护目镜、防护手套、专用工具；</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10、符合GB32460-2015《消防应急救援装备 破拆机具通用技术条件》标准要求；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zh-CN" w:eastAsia="zh-CN" w:bidi="ar"/>
              </w:rPr>
            </w:pPr>
            <w:r>
              <w:rPr>
                <w:rFonts w:hint="eastAsia" w:ascii="宋体" w:hAnsi="宋体" w:eastAsia="宋体" w:cs="宋体"/>
                <w:i w:val="0"/>
                <w:iCs w:val="0"/>
                <w:color w:val="auto"/>
                <w:kern w:val="0"/>
                <w:sz w:val="18"/>
                <w:szCs w:val="18"/>
                <w:u w:val="none"/>
                <w:lang w:val="en-US" w:eastAsia="zh-CN" w:bidi="ar"/>
              </w:rPr>
              <w:t>1具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绝缘剪断钳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eastAsia="宋体" w:cs="宋体"/>
                <w:i w:val="0"/>
                <w:iCs w:val="0"/>
                <w:color w:val="auto"/>
                <w:kern w:val="0"/>
                <w:sz w:val="18"/>
                <w:szCs w:val="18"/>
                <w:u w:val="none"/>
                <w:lang w:val="en-US" w:eastAsia="zh-CN" w:bidi="ar"/>
              </w:rPr>
              <w:t>由工作钳口、绝缘部分和握手部分组成；</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u w:val="none"/>
                <w:lang w:val="en-US" w:eastAsia="zh-CN" w:bidi="ar"/>
              </w:rPr>
              <w:t>剪刃口硬度≥HRC50，手柄为绝缘材质；</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3、</w:t>
            </w:r>
            <w:r>
              <w:rPr>
                <w:rFonts w:hint="eastAsia" w:ascii="宋体" w:hAnsi="宋体" w:eastAsia="宋体" w:cs="宋体"/>
                <w:i w:val="0"/>
                <w:iCs w:val="0"/>
                <w:color w:val="auto"/>
                <w:kern w:val="0"/>
                <w:sz w:val="18"/>
                <w:szCs w:val="18"/>
                <w:u w:val="none"/>
                <w:lang w:val="en-US" w:eastAsia="zh-CN" w:bidi="ar"/>
              </w:rPr>
              <w:t>可剪断直径≥12mm内的电线、钢筋；</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4、</w:t>
            </w:r>
            <w:r>
              <w:rPr>
                <w:rFonts w:hint="eastAsia" w:ascii="宋体" w:hAnsi="宋体" w:eastAsia="宋体" w:cs="宋体"/>
                <w:i w:val="0"/>
                <w:iCs w:val="0"/>
                <w:color w:val="auto"/>
                <w:kern w:val="0"/>
                <w:sz w:val="18"/>
                <w:szCs w:val="18"/>
                <w:u w:val="none"/>
                <w:lang w:val="en-US" w:eastAsia="zh-CN" w:bidi="ar"/>
              </w:rPr>
              <w:t>耐电压≥380 V；</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5、</w:t>
            </w:r>
            <w:r>
              <w:rPr>
                <w:rFonts w:hint="eastAsia" w:ascii="宋体" w:hAnsi="宋体" w:eastAsia="宋体" w:cs="宋体"/>
                <w:i w:val="0"/>
                <w:iCs w:val="0"/>
                <w:color w:val="auto"/>
                <w:kern w:val="0"/>
                <w:sz w:val="18"/>
                <w:szCs w:val="18"/>
                <w:u w:val="none"/>
                <w:lang w:val="en-US" w:eastAsia="zh-CN" w:bidi="ar"/>
              </w:rPr>
              <w:t>尺寸≥25 寸；</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6、</w:t>
            </w:r>
            <w:r>
              <w:rPr>
                <w:rFonts w:hint="eastAsia" w:ascii="宋体" w:hAnsi="宋体" w:eastAsia="宋体" w:cs="宋体"/>
                <w:i w:val="0"/>
                <w:iCs w:val="0"/>
                <w:color w:val="auto"/>
                <w:kern w:val="0"/>
                <w:sz w:val="18"/>
                <w:szCs w:val="18"/>
                <w:u w:val="none"/>
                <w:lang w:val="en-US" w:eastAsia="zh-CN" w:bidi="ar"/>
              </w:rPr>
              <w:t>重量≤8kg。</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7、是具有永久性标志及产品数据标识；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救生缓降器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3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材质：救生绳内芯为钢丝等材质或优于该材质的材料，外包用尼龙线等材料或优于该材质的材料编织；</w:t>
            </w:r>
          </w:p>
          <w:p>
            <w:pPr>
              <w:keepNext w:val="0"/>
              <w:keepLines w:val="0"/>
              <w:widowControl/>
              <w:numPr>
                <w:ilvl w:val="0"/>
                <w:numId w:val="13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救生绳长度≥30m；</w:t>
            </w:r>
          </w:p>
          <w:p>
            <w:pPr>
              <w:keepNext w:val="0"/>
              <w:keepLines w:val="0"/>
              <w:widowControl/>
              <w:numPr>
                <w:ilvl w:val="0"/>
                <w:numId w:val="13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使用载荷重量：10kg~100kg；</w:t>
            </w:r>
          </w:p>
          <w:p>
            <w:pPr>
              <w:keepNext w:val="0"/>
              <w:keepLines w:val="0"/>
              <w:widowControl/>
              <w:numPr>
                <w:ilvl w:val="0"/>
                <w:numId w:val="13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整机强度：≥3800N；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★5、安全带强度：＞6300N；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★6、安全钩强度：＞1000N；</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7、</w:t>
            </w:r>
            <w:r>
              <w:rPr>
                <w:rFonts w:hint="eastAsia" w:ascii="宋体" w:hAnsi="宋体" w:eastAsia="宋体" w:cs="宋体"/>
                <w:i w:val="0"/>
                <w:iCs w:val="0"/>
                <w:color w:val="auto"/>
                <w:kern w:val="0"/>
                <w:sz w:val="18"/>
                <w:szCs w:val="18"/>
                <w:u w:val="none"/>
                <w:lang w:val="en-US" w:eastAsia="zh-CN" w:bidi="ar"/>
              </w:rPr>
              <w:t>绳索强度：＞3800N；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8、100kg负荷下降次数：200次（15m高）；</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★9、缓降速度：＜0.39m/s（负荷35kg）,＜0.52m/s（负荷65kg）,＜0.64m/s（负荷100kg）；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10、符合GB 21976.2-2012《建筑火灾逃生避难器材 第2部分：逃生缓降器》标准，符合GA413-2003《救生缓降器》标准要求；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p>
          <w:p>
            <w:pPr>
              <w:pStyle w:val="11"/>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消防过滤式自救呼吸器</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3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符合GB21976.7-2012《建筑火灾逃生避难器材第7部分过滤式消防自救呼吸器》标准要求；</w:t>
            </w:r>
          </w:p>
          <w:p>
            <w:pPr>
              <w:keepNext w:val="0"/>
              <w:keepLines w:val="0"/>
              <w:widowControl/>
              <w:numPr>
                <w:ilvl w:val="0"/>
                <w:numId w:val="13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具有耐高温、阻燃、绝缘、防腐、防水、重量轻、气密性好等性能；</w:t>
            </w:r>
          </w:p>
          <w:p>
            <w:pPr>
              <w:keepNext w:val="0"/>
              <w:keepLines w:val="0"/>
              <w:widowControl/>
              <w:numPr>
                <w:ilvl w:val="0"/>
                <w:numId w:val="13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呼吸器的佩戴质量≤1000g，视窗的透光率≥85%，防护时间＞40min，CO透过浓度≤70ml/m³；</w:t>
            </w:r>
          </w:p>
          <w:p>
            <w:pPr>
              <w:keepNext w:val="0"/>
              <w:keepLines w:val="0"/>
              <w:widowControl/>
              <w:numPr>
                <w:ilvl w:val="0"/>
                <w:numId w:val="13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烟雾透过防护性能≤5%；在防护时间内，HCN的透过浓度≤10ml/m³；在防护时间后，透过过滤装置的CO总累积≤200ml；</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5、配备液压管密封罐；</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10具</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设备支架</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33"/>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材质：铝合金或者高强度铝合金同等强度材质；</w:t>
            </w:r>
          </w:p>
          <w:p>
            <w:pPr>
              <w:keepNext w:val="0"/>
              <w:keepLines w:val="0"/>
              <w:widowControl/>
              <w:numPr>
                <w:ilvl w:val="0"/>
                <w:numId w:val="13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展开最高工作高度：≥2m；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★3、最大工作负荷：≥160kg；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4、</w:t>
            </w:r>
            <w:r>
              <w:rPr>
                <w:rFonts w:hint="eastAsia" w:ascii="宋体" w:hAnsi="宋体" w:eastAsia="宋体" w:cs="宋体"/>
                <w:i w:val="0"/>
                <w:iCs w:val="0"/>
                <w:color w:val="auto"/>
                <w:kern w:val="0"/>
                <w:sz w:val="18"/>
                <w:szCs w:val="18"/>
                <w:u w:val="none"/>
                <w:lang w:val="en-US" w:eastAsia="zh-CN" w:bidi="ar"/>
              </w:rPr>
              <w:t>重量：≤30kg（包含绞盘及附件）；</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5、安全载重：≥1T；</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6、钢缆（绞盘）：≥30M；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7、完全展开：≥240cm；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8、阻断力：≥500kg；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9、完全收缩：≥137cm；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11、符合救援三脚架 XF3009-2020标准。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医药急救箱</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3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含13cm丁字开口器，14cm止血钳、镊子、普通手术剪、电子体温计、注射针筒（50ml、20ml、5ml）各1个；纱布、绷带、医用胶带、棉签各</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2包；乳胶止血带、压舌板、听诊器、电子血压计、三角巾、烧伤敷料、急救毯各1个；、一次性乳胶手套5双；骨夹板1包（内含4块）；瞳孔笔1个。</w:t>
            </w:r>
          </w:p>
          <w:p>
            <w:pPr>
              <w:keepNext w:val="0"/>
              <w:keepLines w:val="0"/>
              <w:widowControl/>
              <w:numPr>
                <w:ilvl w:val="0"/>
                <w:numId w:val="0"/>
              </w:numPr>
              <w:suppressLineNumbers w:val="0"/>
              <w:jc w:val="left"/>
              <w:textAlignment w:val="center"/>
              <w:rPr>
                <w:rFonts w:hint="eastAsia" w:ascii="宋体" w:hAnsi="宋体" w:cs="宋体"/>
                <w:color w:val="auto"/>
                <w:kern w:val="0"/>
                <w:lang w:val="zh-CN"/>
              </w:rPr>
            </w:pPr>
            <w:r>
              <w:rPr>
                <w:rFonts w:hint="default" w:ascii="宋体" w:hAnsi="宋体" w:cs="宋体"/>
                <w:i w:val="0"/>
                <w:iCs w:val="0"/>
                <w:color w:val="auto"/>
                <w:kern w:val="0"/>
                <w:sz w:val="18"/>
                <w:szCs w:val="18"/>
                <w:u w:val="none"/>
                <w:lang w:val="en" w:eastAsia="zh-CN" w:bidi="ar"/>
              </w:rPr>
              <w:t>3</w:t>
            </w:r>
            <w:r>
              <w:rPr>
                <w:rFonts w:hint="eastAsia" w:ascii="宋体" w:hAnsi="宋体" w:eastAsia="宋体" w:cs="宋体"/>
                <w:i w:val="0"/>
                <w:iCs w:val="0"/>
                <w:color w:val="auto"/>
                <w:kern w:val="0"/>
                <w:sz w:val="18"/>
                <w:szCs w:val="18"/>
                <w:u w:val="none"/>
                <w:lang w:val="en-US" w:eastAsia="zh-CN" w:bidi="ar"/>
              </w:rPr>
              <w:t>、具有永久性标志及产品数据标识；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消防专用救生衣</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1、</w:t>
            </w:r>
            <w:r>
              <w:rPr>
                <w:rFonts w:hint="eastAsia" w:ascii="宋体" w:hAnsi="宋体" w:eastAsia="宋体" w:cs="宋体"/>
                <w:i w:val="0"/>
                <w:iCs w:val="0"/>
                <w:color w:val="auto"/>
                <w:kern w:val="0"/>
                <w:sz w:val="18"/>
                <w:szCs w:val="18"/>
                <w:u w:val="none"/>
                <w:lang w:val="en-US" w:eastAsia="zh-CN" w:bidi="ar"/>
              </w:rPr>
              <w:t>腰部两侧设计≥2组梯型扣，尼龙织带调整松紧≥2cm，底部尼龙带≥4cm加固；</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2、</w:t>
            </w:r>
            <w:r>
              <w:rPr>
                <w:rFonts w:hint="eastAsia" w:ascii="宋体" w:hAnsi="宋体" w:eastAsia="宋体" w:cs="宋体"/>
                <w:i w:val="0"/>
                <w:iCs w:val="0"/>
                <w:color w:val="auto"/>
                <w:kern w:val="0"/>
                <w:sz w:val="18"/>
                <w:szCs w:val="18"/>
                <w:u w:val="none"/>
                <w:lang w:val="en-US" w:eastAsia="zh-CN" w:bidi="ar"/>
              </w:rPr>
              <w:t>面料采用同等或优于方形针织压力点和1680D材质的尼龙面料；</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lang w:val="en-US" w:eastAsia="zh-CN" w:bidi="ar"/>
              </w:rPr>
              <w:t>3、</w:t>
            </w:r>
            <w:r>
              <w:rPr>
                <w:rFonts w:hint="eastAsia" w:ascii="宋体" w:hAnsi="宋体" w:eastAsia="宋体" w:cs="宋体"/>
                <w:i w:val="0"/>
                <w:iCs w:val="0"/>
                <w:color w:val="auto"/>
                <w:kern w:val="0"/>
                <w:sz w:val="18"/>
                <w:szCs w:val="18"/>
                <w:u w:val="none"/>
                <w:lang w:val="en-US" w:eastAsia="zh-CN" w:bidi="ar"/>
              </w:rPr>
              <w:t>采用背心式设计，胸襟采用塑钢开口拉链，并使用塑料拉头浮力片固定于布料夹层内，后领口增加手提式松紧提拉带设计，方便于携带；</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4、环绕胸部设置一条多功能腰带，前胸是设置PFD自救装置，后背部设有牵引绳连接拉环，拉环拉绳破断力≥1200kg；</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5</w:t>
            </w:r>
            <w:r>
              <w:rPr>
                <w:rFonts w:hint="eastAsia" w:ascii="宋体" w:hAnsi="宋体" w:eastAsia="宋体" w:cs="宋体"/>
                <w:i w:val="0"/>
                <w:iCs w:val="0"/>
                <w:color w:val="auto"/>
                <w:kern w:val="0"/>
                <w:sz w:val="18"/>
                <w:szCs w:val="18"/>
                <w:u w:val="none"/>
                <w:lang w:val="en-US" w:eastAsia="zh-CN" w:bidi="ar"/>
              </w:rPr>
              <w:t>、强度：救生衣衣身能承受≥3250N的作用力≥30min而不损坏。肩部能承受≥900N的作用力≥30min而不损坏，裆带与救生衣衣体之间能承受≥900N的作用力而不发生脱离或损坏；</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6</w:t>
            </w:r>
            <w:r>
              <w:rPr>
                <w:rFonts w:hint="eastAsia" w:ascii="宋体" w:hAnsi="宋体" w:eastAsia="宋体" w:cs="宋体"/>
                <w:i w:val="0"/>
                <w:iCs w:val="0"/>
                <w:color w:val="auto"/>
                <w:kern w:val="0"/>
                <w:sz w:val="18"/>
                <w:szCs w:val="18"/>
                <w:u w:val="none"/>
                <w:lang w:val="en-US" w:eastAsia="zh-CN" w:bidi="ar"/>
              </w:rPr>
              <w:t>、面料断裂强度：经向≥3400N，纬向≥2700N。缚带断裂强度≥9000N，快脱带断裂强度≥4000N；</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7</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活饵快卸系统：环绕胸部腰带一条，宽5~6cm的尼龙或优于该材质的织带，使用不锈钢日型环或优于该材质的材料及塑钢或优于该材质的材料固定，拉环上配置一根快速牵引绳，可以固定于肩部，不影响救援动作；</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8</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正面配置2个大容量排水网布构成的置物袋（可拆卸式），肩部配置一个对讲机口袋（可拆卸式），后背同时也增加一个大容量置物袋（可拆卸式）；</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9</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多个前置挂点的设计方便使用者在使用和固定刀、口哨时都方便快捷；</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10</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前后面缝制≥1m的3m反光条，下摆部带有连接点，用于连接腿带固定带，以防水流水浪将救生衣冲脱；</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1</w:t>
            </w:r>
            <w:r>
              <w:rPr>
                <w:rFonts w:hint="eastAsia" w:ascii="宋体" w:hAnsi="宋体" w:eastAsia="宋体" w:cs="宋体"/>
                <w:i w:val="0"/>
                <w:iCs w:val="0"/>
                <w:color w:val="auto"/>
                <w:kern w:val="0"/>
                <w:sz w:val="18"/>
                <w:szCs w:val="18"/>
                <w:u w:val="none"/>
                <w:lang w:val="en-US" w:eastAsia="zh-CN" w:bidi="ar"/>
              </w:rPr>
              <w:t>、为急流救援型救生衣浮力≥205N，浮力损失≤0.95%；</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auto"/>
                <w:kern w:val="0"/>
                <w:sz w:val="18"/>
                <w:szCs w:val="18"/>
                <w:lang w:val="en-US" w:eastAsia="zh-CN" w:bidi="ar"/>
              </w:rPr>
              <w:t>12</w:t>
            </w:r>
            <w:r>
              <w:rPr>
                <w:rFonts w:hint="eastAsia" w:ascii="宋体" w:hAnsi="宋体" w:eastAsia="宋体" w:cs="宋体"/>
                <w:i w:val="0"/>
                <w:iCs w:val="0"/>
                <w:color w:val="auto"/>
                <w:kern w:val="0"/>
                <w:sz w:val="18"/>
                <w:szCs w:val="18"/>
                <w:lang w:val="en-US" w:eastAsia="zh-CN" w:bidi="ar"/>
              </w:rPr>
              <w:t>、</w:t>
            </w:r>
            <w:r>
              <w:rPr>
                <w:rFonts w:hint="eastAsia" w:ascii="宋体" w:hAnsi="宋体" w:eastAsia="宋体" w:cs="宋体"/>
                <w:i w:val="0"/>
                <w:iCs w:val="0"/>
                <w:color w:val="auto"/>
                <w:kern w:val="0"/>
                <w:sz w:val="18"/>
                <w:szCs w:val="18"/>
                <w:u w:val="none"/>
                <w:lang w:val="en-US" w:eastAsia="zh-CN" w:bidi="ar"/>
              </w:rPr>
              <w:t>每件救生衣配有细索系牢的示位灯≥1只；</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r>
              <w:rPr>
                <w:rFonts w:hint="eastAsia" w:ascii="宋体" w:hAnsi="宋体" w:cs="宋体"/>
                <w:i w:val="0"/>
                <w:iCs w:val="0"/>
                <w:color w:val="auto"/>
                <w:kern w:val="0"/>
                <w:sz w:val="18"/>
                <w:szCs w:val="18"/>
                <w:u w:val="none"/>
                <w:lang w:val="en-US" w:eastAsia="zh-CN" w:bidi="ar"/>
              </w:rPr>
              <w:t>13</w:t>
            </w:r>
            <w:r>
              <w:rPr>
                <w:rFonts w:hint="eastAsia" w:ascii="宋体" w:hAnsi="宋体" w:eastAsia="宋体" w:cs="宋体"/>
                <w:i w:val="0"/>
                <w:iCs w:val="0"/>
                <w:color w:val="auto"/>
                <w:kern w:val="0"/>
                <w:sz w:val="18"/>
                <w:szCs w:val="18"/>
                <w:u w:val="none"/>
                <w:lang w:val="en-US" w:eastAsia="zh-CN" w:bidi="ar"/>
              </w:rPr>
              <w:t>、救生衣所有金属附件经≥48h中性盐雾试验后，无明显腐蚀现象；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r>
              <w:rPr>
                <w:rFonts w:hint="eastAsia" w:ascii="宋体" w:hAnsi="宋体" w:cs="宋体"/>
                <w:i w:val="0"/>
                <w:iCs w:val="0"/>
                <w:color w:val="auto"/>
                <w:kern w:val="0"/>
                <w:sz w:val="18"/>
                <w:szCs w:val="18"/>
                <w:u w:val="none"/>
                <w:lang w:val="en-US" w:eastAsia="zh-CN" w:bidi="ar"/>
              </w:rPr>
              <w:t>4</w:t>
            </w:r>
            <w:r>
              <w:rPr>
                <w:rFonts w:hint="eastAsia" w:ascii="宋体" w:hAnsi="宋体" w:eastAsia="宋体" w:cs="宋体"/>
                <w:i w:val="0"/>
                <w:iCs w:val="0"/>
                <w:color w:val="auto"/>
                <w:kern w:val="0"/>
                <w:sz w:val="18"/>
                <w:szCs w:val="18"/>
                <w:u w:val="none"/>
                <w:lang w:val="en-US" w:eastAsia="zh-CN" w:bidi="ar"/>
              </w:rPr>
              <w:t>、水中姿态：人员穿着救生衣以任意方式下水后，在自由漂浮状态下，人嘴能高出面≥180mm以上；</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消防头盔</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35"/>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消防头盔应由帽壳、缓冲层、舒适衬垫、佩戴装置、面罩、披肩等组成，可含有头盔滑轨配置；具有永久性标志及产品数据标识；</w:t>
            </w:r>
          </w:p>
          <w:p>
            <w:pPr>
              <w:keepNext w:val="0"/>
              <w:keepLines w:val="0"/>
              <w:widowControl/>
              <w:numPr>
                <w:ilvl w:val="0"/>
                <w:numId w:val="13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应具备防砸、防尖锐物品冲击、耐热、耐燃烧、电绝缘等性能；</w:t>
            </w:r>
          </w:p>
          <w:p>
            <w:pPr>
              <w:keepNext w:val="0"/>
              <w:keepLines w:val="0"/>
              <w:widowControl/>
              <w:numPr>
                <w:ilvl w:val="0"/>
                <w:numId w:val="13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最大冲击力：≥3410.1N；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.1、帽顶部：最大冲击速度≥129.8GN；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.2、帽前部：最大冲击速度≥309.5GN；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.3、加速度＞150GN，其持续时间≥5.1ms；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.4、加速度＞200GN，其持续时间≥2.2ms；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.5、帽侧部：最大冲击速度≥319.6GN；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.6、加速度＞150GN，其持续时间≥5.0ms；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.7、加速度＞200GN，其持续时间≥2.1ms；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.8、帽后部最大冲击速度≥318.7GN；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cs="宋体"/>
                <w:i w:val="0"/>
                <w:iCs w:val="0"/>
                <w:color w:val="auto"/>
                <w:kern w:val="0"/>
                <w:sz w:val="18"/>
                <w:szCs w:val="18"/>
                <w:u w:val="none"/>
                <w:lang w:val="en-US" w:eastAsia="zh-CN" w:bidi="ar"/>
              </w:rPr>
              <w:t>3</w:t>
            </w:r>
            <w:r>
              <w:rPr>
                <w:rFonts w:hint="eastAsia" w:ascii="宋体" w:hAnsi="宋体" w:eastAsia="宋体" w:cs="宋体"/>
                <w:i w:val="0"/>
                <w:iCs w:val="0"/>
                <w:color w:val="auto"/>
                <w:kern w:val="0"/>
                <w:sz w:val="18"/>
                <w:szCs w:val="18"/>
                <w:u w:val="none"/>
                <w:lang w:val="en-US" w:eastAsia="zh-CN" w:bidi="ar"/>
              </w:rPr>
              <w:t>.9、加速度＞150GN，其持续时间≥5.2ms；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 xml:space="preserve">  </w:t>
            </w:r>
            <w:r>
              <w:rPr>
                <w:rFonts w:hint="eastAsia" w:ascii="宋体" w:hAnsi="宋体" w:cs="宋体"/>
                <w:i w:val="0"/>
                <w:iCs w:val="0"/>
                <w:color w:val="auto"/>
                <w:kern w:val="0"/>
                <w:sz w:val="18"/>
                <w:szCs w:val="18"/>
                <w:u w:val="none"/>
                <w:lang w:val="en-US" w:eastAsia="zh-CN" w:bidi="ar"/>
              </w:rPr>
              <w:t xml:space="preserve"> 3</w:t>
            </w:r>
            <w:r>
              <w:rPr>
                <w:rFonts w:hint="eastAsia" w:ascii="宋体" w:hAnsi="宋体" w:eastAsia="宋体" w:cs="宋体"/>
                <w:i w:val="0"/>
                <w:iCs w:val="0"/>
                <w:color w:val="auto"/>
                <w:kern w:val="0"/>
                <w:sz w:val="18"/>
                <w:szCs w:val="18"/>
                <w:u w:val="none"/>
                <w:lang w:val="en-US" w:eastAsia="zh-CN" w:bidi="ar"/>
              </w:rPr>
              <w:t>.10、加速度＞200GN，其持续时间≥2.2ms；</w:t>
            </w:r>
          </w:p>
          <w:p>
            <w:pPr>
              <w:keepNext w:val="0"/>
              <w:keepLines w:val="0"/>
              <w:widowControl/>
              <w:numPr>
                <w:ilvl w:val="0"/>
                <w:numId w:val="13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损毁长度：≤8.4mm，无熔融滴落现象；</w:t>
            </w:r>
          </w:p>
          <w:p>
            <w:pPr>
              <w:keepNext w:val="0"/>
              <w:keepLines w:val="0"/>
              <w:widowControl/>
              <w:numPr>
                <w:ilvl w:val="0"/>
                <w:numId w:val="13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涂层附着牢度：连续洗涤≥10次无涂层脱离现象；</w:t>
            </w:r>
          </w:p>
          <w:p>
            <w:pPr>
              <w:keepNext w:val="0"/>
              <w:keepLines w:val="0"/>
              <w:widowControl/>
              <w:numPr>
                <w:ilvl w:val="0"/>
                <w:numId w:val="135"/>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热稳定性：≥5min，260℃±6℃变化率：无明显变化；</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7、符合XF44-2015 《消防头盔》标准。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13顶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便携式防爆照明灯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36"/>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额定功率：≥3w；</w:t>
            </w:r>
          </w:p>
          <w:p>
            <w:pPr>
              <w:keepNext w:val="0"/>
              <w:keepLines w:val="0"/>
              <w:widowControl/>
              <w:numPr>
                <w:ilvl w:val="0"/>
                <w:numId w:val="13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电池额定容量≥1800mAh；</w:t>
            </w:r>
          </w:p>
          <w:p>
            <w:pPr>
              <w:keepNext w:val="0"/>
              <w:keepLines w:val="0"/>
              <w:widowControl/>
              <w:numPr>
                <w:ilvl w:val="0"/>
                <w:numId w:val="13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电池使用寿命≥1000循环次；</w:t>
            </w:r>
          </w:p>
          <w:p>
            <w:pPr>
              <w:keepNext w:val="0"/>
              <w:keepLines w:val="0"/>
              <w:widowControl/>
              <w:numPr>
                <w:ilvl w:val="0"/>
                <w:numId w:val="13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连续工作时间：强光≥5h，弱光≥10h；</w:t>
            </w:r>
          </w:p>
          <w:p>
            <w:pPr>
              <w:keepNext w:val="0"/>
              <w:keepLines w:val="0"/>
              <w:widowControl/>
              <w:numPr>
                <w:ilvl w:val="0"/>
                <w:numId w:val="13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充电时间（电池耗尽后）：≤6h；</w:t>
            </w:r>
          </w:p>
          <w:p>
            <w:pPr>
              <w:keepNext w:val="0"/>
              <w:keepLines w:val="0"/>
              <w:widowControl/>
              <w:numPr>
                <w:ilvl w:val="0"/>
                <w:numId w:val="13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直径：≤24mm；</w:t>
            </w:r>
          </w:p>
          <w:p>
            <w:pPr>
              <w:keepNext w:val="0"/>
              <w:keepLines w:val="0"/>
              <w:widowControl/>
              <w:numPr>
                <w:ilvl w:val="0"/>
                <w:numId w:val="136"/>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长度：≤121mm；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★8、强光亮度：≥500lux；</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9、</w:t>
            </w:r>
            <w:r>
              <w:rPr>
                <w:rFonts w:hint="eastAsia" w:ascii="宋体" w:hAnsi="宋体" w:eastAsia="宋体" w:cs="宋体"/>
                <w:i w:val="0"/>
                <w:iCs w:val="0"/>
                <w:color w:val="auto"/>
                <w:kern w:val="0"/>
                <w:sz w:val="18"/>
                <w:szCs w:val="18"/>
                <w:u w:val="none"/>
                <w:lang w:val="en-US" w:eastAsia="zh-CN" w:bidi="ar"/>
              </w:rPr>
              <w:t>弱光亮度：≥250lux；</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10、重量：≤120g；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★11、应符合GB30734-2014《消防员照明灯具》标准要求；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12、防护等级：IP68。</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消防安全腰带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★1、必须符合国家XF494-2004《消防用防坠落装备》标准要求；</w:t>
            </w:r>
          </w:p>
          <w:p>
            <w:pPr>
              <w:keepNext w:val="0"/>
              <w:keepLines w:val="0"/>
              <w:widowControl/>
              <w:numPr>
                <w:ilvl w:val="0"/>
                <w:numId w:val="13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由织带、带扣、D型环和移动板等组成；</w:t>
            </w:r>
          </w:p>
          <w:p>
            <w:pPr>
              <w:keepNext w:val="0"/>
              <w:keepLines w:val="0"/>
              <w:widowControl/>
              <w:numPr>
                <w:ilvl w:val="0"/>
                <w:numId w:val="13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织带：尼龙66等材质或优于该材质，织带为整根，不应有接缝，具有一定硬度，规格宽≥70mm*厚≥2.5mm，末端收尾为整烫圆弧型；具有永久性标志及产品数据标识；</w:t>
            </w:r>
          </w:p>
          <w:p>
            <w:pPr>
              <w:keepNext w:val="0"/>
              <w:keepLines w:val="0"/>
              <w:widowControl/>
              <w:numPr>
                <w:ilvl w:val="0"/>
                <w:numId w:val="13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设计负荷：≥1.3kN；</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5、重量：≤0.9kg；</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10条</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护膝护肘</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37"/>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产品外层采用强度高、韧性好、耐磨的PVC、TPR（热塑性弹性材料）、TPU（热塑性聚氨酯弹性体材料）等高分子材料制成；</w:t>
            </w:r>
          </w:p>
          <w:p>
            <w:pPr>
              <w:keepNext w:val="0"/>
              <w:keepLines w:val="0"/>
              <w:widowControl/>
              <w:numPr>
                <w:ilvl w:val="0"/>
                <w:numId w:val="13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内层采用无毒、防水、抗冲击性好、轻便的缓冲材料；</w:t>
            </w:r>
          </w:p>
          <w:p>
            <w:pPr>
              <w:keepNext w:val="0"/>
              <w:keepLines w:val="0"/>
              <w:widowControl/>
              <w:numPr>
                <w:ilvl w:val="0"/>
                <w:numId w:val="13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固定装置可以调节。包括护膝1对、护肘1对；</w:t>
            </w:r>
          </w:p>
          <w:p>
            <w:pPr>
              <w:keepNext w:val="0"/>
              <w:keepLines w:val="0"/>
              <w:widowControl/>
              <w:numPr>
                <w:ilvl w:val="0"/>
                <w:numId w:val="13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固定装置卡扣式调节式，耐磨性能≥2000次；</w:t>
            </w:r>
          </w:p>
          <w:p>
            <w:pPr>
              <w:keepNext w:val="0"/>
              <w:keepLines w:val="0"/>
              <w:widowControl/>
              <w:numPr>
                <w:ilvl w:val="0"/>
                <w:numId w:val="13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颜色为黑色；</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消防员呼救器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★1、符合现行GB27900-2011《消防员呼救器》标准的要求，防爆性能符合GB3836.1标准的要求。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允许静止时间：30s±2s；预报警时间：15s±2s；</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3、预报警声级强度：≥80dB；报警声级强度：≥100dB，低电压告警声级强度：≥65dB；4、连续工作时间：连续开机时间：≥24h，连续报警使用时间≥10h；</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13个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方位灯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★1、技术性能符合GB27899-2011《消防员方位灯》要求；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肉眼可视距离为≥4800m，在300m~500m范围内对水及雨雾有极强的穿透能力；</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3、连续工作时间达≥100h；</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4、外壳防护等级：IP68；</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5、应具有防爆、防水、耐腐蚀等性能，防爆性能应符合GB3836.1的规定；</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13套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消防通用安全绳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★1、符合XF494-2004《消防用防坠落装备》标准要求和应急管理部消防救援局统型标准要求，主承重部位由连续纤维等材料或优于该材质的材料制成，表面无任何机械损伤划痕，整绳粗细均匀，结构一致；</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2、负载≥1.33kN，安全绳直径9.5mm~10.5mm，长度≥100m，破断强度≥20kN，延伸率不小于1%且不大于10%；经204℃±5℃的高温不出现融熔、焦化现象；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3、</w:t>
            </w:r>
            <w:r>
              <w:rPr>
                <w:rFonts w:hint="eastAsia" w:ascii="宋体" w:hAnsi="宋体" w:eastAsia="宋体" w:cs="宋体"/>
                <w:i w:val="0"/>
                <w:iCs w:val="0"/>
                <w:color w:val="auto"/>
                <w:kern w:val="0"/>
                <w:sz w:val="18"/>
                <w:szCs w:val="18"/>
                <w:u w:val="none"/>
                <w:lang w:val="en-US" w:eastAsia="zh-CN" w:bidi="ar"/>
              </w:rPr>
              <w:t>安全绳上标注长度、直径、抗拉强度等信息的固定标签；</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4、绳索端部为绳环结构，缝线扎缝≥50mm，在扎缝处热封，并包以裹紧的橡胶或塑料套管；</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4根</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消防轻型安全绳</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★1、应符合国家XF494-2004《消防用防坠落装备》标准要求，具有国家消防装备质量监督检验中心的检验报告和应急管理部消防产品合格评定中心的认证证书；</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直径：10mm~12mm；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3、长度：≤20m；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4、破断强度：≥24kN；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5、延伸率：当承重达到破断强度的≤10%时，安全绳的延伸率≤3%；</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6、耐高温性能：经（204±5）℃耐高温性能试验后，未出现熔融、焦化现象；</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13根</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cs="宋体"/>
                <w:i w:val="0"/>
                <w:iCs w:val="0"/>
                <w:color w:val="FF0000"/>
                <w:kern w:val="0"/>
                <w:sz w:val="18"/>
                <w:szCs w:val="18"/>
                <w:u w:val="none"/>
                <w:lang w:val="en-US" w:eastAsia="zh-CN" w:bidi="ar"/>
              </w:rPr>
              <w:t>该项参数中要求的：第1项，投标时潜在供应商可不提供该项（</w:t>
            </w:r>
            <w:r>
              <w:rPr>
                <w:rFonts w:hint="eastAsia" w:ascii="宋体" w:hAnsi="宋体" w:eastAsia="宋体" w:cs="宋体"/>
                <w:i w:val="0"/>
                <w:iCs w:val="0"/>
                <w:color w:val="FF0000"/>
                <w:kern w:val="0"/>
                <w:sz w:val="18"/>
                <w:szCs w:val="18"/>
                <w:u w:val="none"/>
                <w:lang w:val="en-US" w:eastAsia="zh-CN" w:bidi="ar"/>
              </w:rPr>
              <w:t>国家消防装备质量监督检验中心的检验报告和应急管理部消防产品合格评定中心的认证证书</w:t>
            </w:r>
            <w:r>
              <w:rPr>
                <w:rFonts w:hint="eastAsia" w:ascii="宋体" w:hAnsi="宋体" w:cs="宋体"/>
                <w:i w:val="0"/>
                <w:iCs w:val="0"/>
                <w:color w:val="FF0000"/>
                <w:kern w:val="0"/>
                <w:sz w:val="18"/>
                <w:szCs w:val="18"/>
                <w:u w:val="none"/>
                <w:lang w:val="en-US" w:eastAsia="zh-CN" w:bidi="ar"/>
              </w:rPr>
              <w:t>），若中标后，供货时必须提供该项要求，若不提供视为放弃中标资格还应承担相应的违约责任。</w:t>
            </w: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消防腰斧</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★1、符合XF630-2006《消防腰斧》要求；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消防腰斧斧头连同斧柄应用整块金属材料制成。斧头一侧为斧刃，另一侧设有钳口，钳口上端为尖锥形，斧面上设有不同规格六方孔，斧刃内侧与斧颈呈倒U字形；</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3、消防腰斧的平刃、柄刃和斧柄轴线须在同一水平平面上，各部分应对称于该平面；</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4、斧柄外包裹绝缘层，斧柄套应热压在斧柄上，粘结应牢靠、不松动。斧柄下端安装有刀子、锯子、尺子；</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★5、具有锯、割、砍砸、钳、撬、量等多种功能，生产经过淬火；</w:t>
            </w:r>
          </w:p>
          <w:p>
            <w:pPr>
              <w:keepNext w:val="0"/>
              <w:keepLines w:val="0"/>
              <w:widowControl/>
              <w:numPr>
                <w:ilvl w:val="0"/>
                <w:numId w:val="137"/>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外观：腰斧各刃部应抛光，其表面粗糙度Ra值≤7μm。腰斧金属表面平整光洁，无裂痕、毛刺、凹痕、缺损或有害杂质等缺陷，涂漆部分不应有流痕、气泡；具有永久性标志及产品数据标识；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7、质量：≤1.0kg；</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抢险救援头盔</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38"/>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应由帽壳、帽箍、头盔滑轨、佩戴装置及附件等构成；</w:t>
            </w:r>
          </w:p>
          <w:p>
            <w:pPr>
              <w:keepNext w:val="0"/>
              <w:keepLines w:val="0"/>
              <w:widowControl/>
              <w:numPr>
                <w:ilvl w:val="0"/>
                <w:numId w:val="1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要求具有防止冲击、锐物、热辐射、火焰以及防化学泡沫腐蚀等性能；还具有优异的防紫外线功能，良好的通风性能及高舒适性；</w:t>
            </w:r>
          </w:p>
          <w:p>
            <w:pPr>
              <w:keepNext w:val="0"/>
              <w:keepLines w:val="0"/>
              <w:widowControl/>
              <w:numPr>
                <w:ilvl w:val="0"/>
                <w:numId w:val="1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帽箍可在53cm~63cm范围内自由调节；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default" w:ascii="宋体" w:hAnsi="宋体" w:cs="宋体"/>
                <w:i w:val="0"/>
                <w:iCs w:val="0"/>
                <w:color w:val="auto"/>
                <w:kern w:val="0"/>
                <w:sz w:val="18"/>
                <w:szCs w:val="18"/>
                <w:u w:val="none"/>
                <w:lang w:val="en" w:eastAsia="zh-CN" w:bidi="ar"/>
              </w:rPr>
              <w:t>4、</w:t>
            </w:r>
            <w:r>
              <w:rPr>
                <w:rFonts w:hint="eastAsia" w:ascii="宋体" w:hAnsi="宋体" w:eastAsia="宋体" w:cs="宋体"/>
                <w:i w:val="0"/>
                <w:iCs w:val="0"/>
                <w:color w:val="auto"/>
                <w:kern w:val="0"/>
                <w:sz w:val="18"/>
                <w:szCs w:val="18"/>
                <w:u w:val="none"/>
                <w:lang w:val="en-US" w:eastAsia="zh-CN" w:bidi="ar"/>
              </w:rPr>
              <w:t>全封闭防雾护目镜，镜片有超硬涂层；</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5、盔体整体为红色；</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6、两侧印字根据用户需求粘贴；具有永久性标志及产品数据标识；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7、字体符合部消防局统型要求；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8、符合XF633-2006《消防员抢险救援防护服装》标准。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13顶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826"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消防员灭火防火头套</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★1、符合XF869-2010《消防员灭火防护头套》标准要求；</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★2、原色纤维针织物，不应使用后染色针织物；</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3、</w:t>
            </w:r>
            <w:r>
              <w:rPr>
                <w:rFonts w:hint="eastAsia" w:ascii="宋体" w:hAnsi="宋体" w:eastAsia="宋体" w:cs="宋体"/>
                <w:i w:val="0"/>
                <w:iCs w:val="0"/>
                <w:color w:val="auto"/>
                <w:kern w:val="0"/>
                <w:sz w:val="18"/>
                <w:szCs w:val="18"/>
                <w:u w:val="none"/>
                <w:lang w:val="en-US" w:eastAsia="zh-CN" w:bidi="ar"/>
              </w:rPr>
              <w:t>头套前部和后部与防护服领口内重叠部分长度≥200mm，头套侧部与防护服领口内重叠部分长度≥130mm；面部开口与呼吸防护装具面罩边缘之间重叠部分长度≥10mm；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4、水洗后收缩率≤2.5%；</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5、损毁长度：≤100mm，续燃时间：≤2s，无熔融、滴落现象；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6、抗起球性能：≥4级；</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7、头套的质量：≤300g。≥经260℃热稳定性能试验后沿经、纬方向尺寸变化率≤10%，试样无变色、熔融和滴落现象；</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8、面部开口处应具有松紧功能；</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15个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826"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消防全身式安全吊带</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★1、吊带的承重：≥2.6kN；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织带宽度：45mm（±2mm)，织带厚度：1.5mm（±0.5mm)；</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3、织带材料：高强涤纶丝或优于同等材质材料；</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4、安全吊带应能调节尺寸大小以适合不同体型佩戴；</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5、质量：≤2.2kg；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6、应符合XF494-2004《消防用防坠落装备》的标准要求；</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手提式强光照明灯</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39"/>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符合《GB30734-2014消防员照明灯具》标准。</w:t>
            </w:r>
          </w:p>
          <w:p>
            <w:pPr>
              <w:keepNext w:val="0"/>
              <w:keepLines w:val="0"/>
              <w:widowControl/>
              <w:numPr>
                <w:ilvl w:val="0"/>
                <w:numId w:val="13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防护等级≥IP68；</w:t>
            </w:r>
          </w:p>
          <w:p>
            <w:pPr>
              <w:keepNext w:val="0"/>
              <w:keepLines w:val="0"/>
              <w:widowControl/>
              <w:numPr>
                <w:ilvl w:val="0"/>
                <w:numId w:val="13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灯具光源为LED；（1）最大功率≥9W；（2）强光平均照度值≥750lx；（3）弱光平均照度值≥350lx；</w:t>
            </w:r>
          </w:p>
          <w:p>
            <w:pPr>
              <w:keepNext w:val="0"/>
              <w:keepLines w:val="0"/>
              <w:widowControl/>
              <w:numPr>
                <w:ilvl w:val="0"/>
                <w:numId w:val="13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工作时间：（1）强光≥300 min；（2）弱光≥600min；</w:t>
            </w:r>
          </w:p>
          <w:p>
            <w:pPr>
              <w:keepNext w:val="0"/>
              <w:keepLines w:val="0"/>
              <w:widowControl/>
              <w:numPr>
                <w:ilvl w:val="0"/>
                <w:numId w:val="13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经高低温性能、交变湿热性能、高低温贮存性能试验后，灯具能正常进行开、关和强、弱光切换；</w:t>
            </w:r>
          </w:p>
          <w:p>
            <w:pPr>
              <w:keepNext w:val="0"/>
              <w:keepLines w:val="0"/>
              <w:widowControl/>
              <w:numPr>
                <w:ilvl w:val="0"/>
                <w:numId w:val="13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充电时间≤4h；</w:t>
            </w:r>
          </w:p>
          <w:p>
            <w:pPr>
              <w:keepNext w:val="0"/>
              <w:keepLines w:val="0"/>
              <w:widowControl/>
              <w:numPr>
                <w:ilvl w:val="0"/>
                <w:numId w:val="13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灯具具有静止报警模式；</w:t>
            </w:r>
          </w:p>
          <w:p>
            <w:pPr>
              <w:keepNext w:val="0"/>
              <w:keepLines w:val="0"/>
              <w:widowControl/>
              <w:numPr>
                <w:ilvl w:val="0"/>
                <w:numId w:val="139"/>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质量≤1000 g；</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default" w:ascii="宋体" w:hAnsi="宋体" w:cs="宋体"/>
                <w:i w:val="0"/>
                <w:iCs w:val="0"/>
                <w:color w:val="auto"/>
                <w:kern w:val="0"/>
                <w:sz w:val="18"/>
                <w:szCs w:val="18"/>
                <w:u w:val="none"/>
                <w:lang w:val="en" w:eastAsia="zh-CN" w:bidi="ar"/>
              </w:rPr>
              <w:t>9、</w:t>
            </w:r>
            <w:r>
              <w:rPr>
                <w:rFonts w:hint="eastAsia" w:ascii="宋体" w:hAnsi="宋体" w:eastAsia="宋体" w:cs="宋体"/>
                <w:i w:val="0"/>
                <w:iCs w:val="0"/>
                <w:color w:val="auto"/>
                <w:kern w:val="0"/>
                <w:sz w:val="18"/>
                <w:szCs w:val="18"/>
                <w:u w:val="none"/>
                <w:lang w:val="en-US" w:eastAsia="zh-CN" w:bidi="ar"/>
              </w:rPr>
              <w:t>具有永久性标志及产品数据标识；</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default" w:ascii="宋体" w:hAnsi="宋体" w:cs="宋体"/>
                <w:i w:val="0"/>
                <w:iCs w:val="0"/>
                <w:color w:val="auto"/>
                <w:kern w:val="0"/>
                <w:sz w:val="18"/>
                <w:szCs w:val="18"/>
                <w:u w:val="none"/>
                <w:lang w:val="en" w:eastAsia="zh-CN" w:bidi="ar"/>
              </w:rPr>
              <w:t>10</w:t>
            </w:r>
            <w:r>
              <w:rPr>
                <w:rFonts w:hint="eastAsia" w:ascii="宋体" w:hAnsi="宋体" w:eastAsia="宋体" w:cs="宋体"/>
                <w:i w:val="0"/>
                <w:iCs w:val="0"/>
                <w:color w:val="auto"/>
                <w:kern w:val="0"/>
                <w:sz w:val="18"/>
                <w:szCs w:val="18"/>
                <w:u w:val="none"/>
                <w:lang w:val="en-US" w:eastAsia="zh-CN" w:bidi="ar"/>
              </w:rPr>
              <w:t>整机具有第三方出具的防爆合格证。</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zh-CN" w:eastAsia="zh-CN" w:bidi="ar"/>
              </w:rPr>
            </w:pPr>
            <w:r>
              <w:rPr>
                <w:rFonts w:hint="eastAsia" w:ascii="宋体" w:hAnsi="宋体" w:eastAsia="宋体" w:cs="宋体"/>
                <w:i w:val="0"/>
                <w:iCs w:val="0"/>
                <w:color w:val="auto"/>
                <w:kern w:val="0"/>
                <w:sz w:val="18"/>
                <w:szCs w:val="18"/>
                <w:u w:val="none"/>
                <w:lang w:val="en-US" w:eastAsia="zh-CN" w:bidi="ar"/>
              </w:rPr>
              <w:t>8套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r>
              <w:rPr>
                <w:rFonts w:hint="eastAsia" w:ascii="宋体" w:hAnsi="宋体" w:cs="宋体"/>
                <w:i w:val="0"/>
                <w:iCs w:val="0"/>
                <w:color w:val="FF0000"/>
                <w:kern w:val="0"/>
                <w:sz w:val="18"/>
                <w:szCs w:val="18"/>
                <w:u w:val="none"/>
                <w:lang w:val="en-US" w:eastAsia="zh-CN" w:bidi="ar"/>
              </w:rPr>
              <w:t>该项参数中要求的：第10项，投标时潜在供应商可不提供该项（</w:t>
            </w:r>
            <w:r>
              <w:rPr>
                <w:rFonts w:hint="eastAsia" w:ascii="宋体" w:hAnsi="宋体" w:eastAsia="宋体" w:cs="宋体"/>
                <w:i w:val="0"/>
                <w:iCs w:val="0"/>
                <w:color w:val="FF0000"/>
                <w:kern w:val="0"/>
                <w:sz w:val="18"/>
                <w:szCs w:val="18"/>
                <w:u w:val="none"/>
                <w:lang w:val="en-US" w:eastAsia="zh-CN" w:bidi="ar"/>
              </w:rPr>
              <w:t>防爆合格证</w:t>
            </w:r>
            <w:r>
              <w:rPr>
                <w:rFonts w:hint="eastAsia" w:ascii="宋体" w:hAnsi="宋体" w:cs="宋体"/>
                <w:i w:val="0"/>
                <w:iCs w:val="0"/>
                <w:color w:val="FF0000"/>
                <w:kern w:val="0"/>
                <w:sz w:val="18"/>
                <w:szCs w:val="18"/>
                <w:u w:val="none"/>
                <w:lang w:val="en-US" w:eastAsia="zh-CN" w:bidi="ar"/>
              </w:rPr>
              <w:t>），若中标后，供货时必须提供该项要求，若不提供视为放弃中标资格还应承担相应的违约责任。</w:t>
            </w: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消防员防蜂服</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★1、符合XF3008-2020《消防员防蜂服》标准，由多层面料组成，连体式设计，密封性好，外层为白色；</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default" w:ascii="宋体" w:hAnsi="宋体" w:cs="宋体"/>
                <w:i w:val="0"/>
                <w:iCs w:val="0"/>
                <w:color w:val="auto"/>
                <w:kern w:val="0"/>
                <w:sz w:val="18"/>
                <w:szCs w:val="18"/>
                <w:u w:val="none"/>
                <w:lang w:val="en" w:eastAsia="zh-CN" w:bidi="ar"/>
              </w:rPr>
              <w:t>2、</w:t>
            </w:r>
            <w:r>
              <w:rPr>
                <w:rFonts w:hint="eastAsia" w:ascii="宋体" w:hAnsi="宋体" w:eastAsia="宋体" w:cs="宋体"/>
                <w:i w:val="0"/>
                <w:iCs w:val="0"/>
                <w:color w:val="auto"/>
                <w:kern w:val="0"/>
                <w:sz w:val="18"/>
                <w:szCs w:val="18"/>
                <w:u w:val="none"/>
                <w:lang w:val="en-US" w:eastAsia="zh-CN" w:bidi="ar"/>
              </w:rPr>
              <w:t>包含救援头盔、头罩、护目镜、服装、手套、靴子和强制送风装置；</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头罩面网由球型不锈钢网制成，头罩面纱视野大，头罩具有随头部运动而不影响安全性及视野的功能，包含头部固定和缓冲设计、眼面部防蜂蜇和蜂毒液侵袭设计、面部不碰触面罩设计，透气并视野良好；头罩面部回弹良好，连接牢固，无开裂；</w:t>
            </w:r>
          </w:p>
          <w:p>
            <w:pPr>
              <w:keepNext w:val="0"/>
              <w:keepLines w:val="0"/>
              <w:widowControl/>
              <w:numPr>
                <w:ilvl w:val="0"/>
                <w:numId w:val="1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靴子电绝缘性能：击穿电压≥5000V时，泄漏电流＜3mA；</w:t>
            </w:r>
          </w:p>
          <w:p>
            <w:pPr>
              <w:keepNext w:val="0"/>
              <w:keepLines w:val="0"/>
              <w:widowControl/>
              <w:numPr>
                <w:ilvl w:val="0"/>
                <w:numId w:val="1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整体抗穿刺性能：≥0.4N；外层面料撕破强力：≥60N；外层面料断裂强力：≥650N；</w:t>
            </w:r>
          </w:p>
          <w:p>
            <w:pPr>
              <w:keepNext w:val="0"/>
              <w:keepLines w:val="0"/>
              <w:widowControl/>
              <w:numPr>
                <w:ilvl w:val="0"/>
                <w:numId w:val="1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服装甲醛含量应符合GB18401-2010B类；</w:t>
            </w:r>
          </w:p>
          <w:p>
            <w:pPr>
              <w:keepNext w:val="0"/>
              <w:keepLines w:val="0"/>
              <w:widowControl/>
              <w:numPr>
                <w:ilvl w:val="0"/>
                <w:numId w:val="138"/>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手套耐切割性能：≥2N；</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zh-CN" w:eastAsia="zh-CN" w:bidi="ar"/>
              </w:rPr>
            </w:pPr>
            <w:r>
              <w:rPr>
                <w:rFonts w:hint="eastAsia" w:ascii="宋体" w:hAnsi="宋体" w:eastAsia="宋体" w:cs="宋体"/>
                <w:i w:val="0"/>
                <w:iCs w:val="0"/>
                <w:color w:val="auto"/>
                <w:kern w:val="0"/>
                <w:sz w:val="18"/>
                <w:szCs w:val="18"/>
                <w:u w:val="none"/>
                <w:lang w:val="en-US" w:eastAsia="zh-CN" w:bidi="ar"/>
              </w:rPr>
              <w:t>2套</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担架</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40"/>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载重：≥120kg；</w:t>
            </w:r>
          </w:p>
          <w:p>
            <w:pPr>
              <w:keepNext w:val="0"/>
              <w:keepLines w:val="0"/>
              <w:widowControl/>
              <w:numPr>
                <w:ilvl w:val="0"/>
                <w:numId w:val="14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耐温：-20℃~45℃；</w:t>
            </w:r>
          </w:p>
          <w:p>
            <w:pPr>
              <w:keepNext w:val="0"/>
              <w:keepLines w:val="0"/>
              <w:widowControl/>
              <w:numPr>
                <w:ilvl w:val="0"/>
                <w:numId w:val="14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重量：≤11kg；</w:t>
            </w:r>
          </w:p>
          <w:p>
            <w:pPr>
              <w:keepNext w:val="0"/>
              <w:keepLines w:val="0"/>
              <w:widowControl/>
              <w:numPr>
                <w:ilvl w:val="0"/>
                <w:numId w:val="140"/>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尺寸：2440mm*920mm（±10mm）；</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5、材料：多功能担架采用特殊塑料或优于本材质；</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1架</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FF0000"/>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阻车器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1.名称：阻车器</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2.材质：铝合金条活动支座</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火钩</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1.名称：火钩</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止水器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41"/>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采用有铝合金等材质制造而成；</w:t>
            </w:r>
          </w:p>
          <w:p>
            <w:pPr>
              <w:keepNext w:val="0"/>
              <w:keepLines w:val="0"/>
              <w:widowControl/>
              <w:numPr>
                <w:ilvl w:val="0"/>
                <w:numId w:val="14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工作压力：≥1.6MPa；</w:t>
            </w:r>
          </w:p>
          <w:p>
            <w:pPr>
              <w:keepNext w:val="0"/>
              <w:keepLines w:val="0"/>
              <w:widowControl/>
              <w:numPr>
                <w:ilvl w:val="0"/>
                <w:numId w:val="14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质量：≤3kg（65mm止水器）。</w:t>
            </w:r>
          </w:p>
          <w:p>
            <w:pPr>
              <w:keepNext w:val="0"/>
              <w:keepLines w:val="0"/>
              <w:widowControl/>
              <w:numPr>
                <w:ilvl w:val="0"/>
                <w:numId w:val="14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接口：应采用锻造工艺等同等工艺或优于该工艺；</w:t>
            </w:r>
          </w:p>
          <w:p>
            <w:pPr>
              <w:keepNext w:val="0"/>
              <w:keepLines w:val="0"/>
              <w:widowControl/>
              <w:numPr>
                <w:ilvl w:val="0"/>
                <w:numId w:val="141"/>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适用介质：水、水和泡沫混合液；</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扳手</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cs="宋体"/>
                <w:i w:val="0"/>
                <w:iCs w:val="0"/>
                <w:color w:val="auto"/>
                <w:kern w:val="0"/>
                <w:sz w:val="18"/>
                <w:szCs w:val="18"/>
                <w:u w:val="none"/>
                <w:lang w:val="en-US" w:eastAsia="zh-CN" w:bidi="ar"/>
              </w:rPr>
              <w:t>1</w:t>
            </w:r>
            <w:r>
              <w:rPr>
                <w:rFonts w:hint="eastAsia" w:ascii="宋体" w:hAnsi="宋体" w:eastAsia="宋体" w:cs="宋体"/>
                <w:i w:val="0"/>
                <w:iCs w:val="0"/>
                <w:color w:val="auto"/>
                <w:kern w:val="0"/>
                <w:sz w:val="18"/>
                <w:szCs w:val="18"/>
                <w:u w:val="none"/>
                <w:lang w:val="en-US" w:eastAsia="zh-CN" w:bidi="ar"/>
              </w:rPr>
              <w:t>.成品采购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救生圈</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42"/>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材质：外部PE等材质，内部PU泡沫等材质；</w:t>
            </w:r>
          </w:p>
          <w:p>
            <w:pPr>
              <w:keepNext w:val="0"/>
              <w:keepLines w:val="0"/>
              <w:widowControl/>
              <w:numPr>
                <w:ilvl w:val="0"/>
                <w:numId w:val="14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外径：≥720mm；</w:t>
            </w:r>
          </w:p>
          <w:p>
            <w:pPr>
              <w:keepNext w:val="0"/>
              <w:keepLines w:val="0"/>
              <w:widowControl/>
              <w:numPr>
                <w:ilvl w:val="0"/>
                <w:numId w:val="14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内径：≥440mm；</w:t>
            </w:r>
          </w:p>
          <w:p>
            <w:pPr>
              <w:keepNext w:val="0"/>
              <w:keepLines w:val="0"/>
              <w:widowControl/>
              <w:numPr>
                <w:ilvl w:val="0"/>
                <w:numId w:val="14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厚度：≥105mm；</w:t>
            </w:r>
          </w:p>
          <w:p>
            <w:pPr>
              <w:keepNext w:val="0"/>
              <w:keepLines w:val="0"/>
              <w:widowControl/>
              <w:numPr>
                <w:ilvl w:val="0"/>
                <w:numId w:val="14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浮力：≥14.5kg；</w:t>
            </w:r>
          </w:p>
          <w:p>
            <w:pPr>
              <w:keepNext w:val="0"/>
              <w:keepLines w:val="0"/>
              <w:widowControl/>
              <w:numPr>
                <w:ilvl w:val="0"/>
                <w:numId w:val="142"/>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重量：≤2.6kg；</w:t>
            </w:r>
            <w:bookmarkStart w:id="99" w:name="_GoBack"/>
            <w:bookmarkEnd w:id="99"/>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2个</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铁扫把</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1.名称：铁扫把</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10把</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60</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铁艇</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1.名称：哈力根铁艇</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2.成品采购</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1根</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铁艇</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43"/>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应采用45#钢或优于本材质锻打而成，表面采用亮化处理；</w:t>
            </w:r>
          </w:p>
          <w:p>
            <w:pPr>
              <w:keepNext w:val="0"/>
              <w:keepLines w:val="0"/>
              <w:widowControl/>
              <w:numPr>
                <w:ilvl w:val="0"/>
                <w:numId w:val="14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单个净重：≤6kg；</w:t>
            </w:r>
          </w:p>
          <w:p>
            <w:pPr>
              <w:keepNext w:val="0"/>
              <w:keepLines w:val="0"/>
              <w:widowControl/>
              <w:numPr>
                <w:ilvl w:val="0"/>
                <w:numId w:val="14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全长：≥900mm；</w:t>
            </w:r>
          </w:p>
          <w:p>
            <w:pPr>
              <w:keepNext w:val="0"/>
              <w:keepLines w:val="0"/>
              <w:widowControl/>
              <w:numPr>
                <w:ilvl w:val="0"/>
                <w:numId w:val="143"/>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杆体直径：≥25mm；</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2根</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风力灭火机</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numPr>
                <w:ilvl w:val="0"/>
                <w:numId w:val="144"/>
              </w:numPr>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发动机：二冲程发动机；佩戴方式：背负式；</w:t>
            </w:r>
          </w:p>
          <w:p>
            <w:pPr>
              <w:keepNext w:val="0"/>
              <w:keepLines w:val="0"/>
              <w:widowControl/>
              <w:numPr>
                <w:ilvl w:val="0"/>
                <w:numId w:val="144"/>
              </w:numPr>
              <w:suppressLineNumbers w:val="0"/>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功率≥3kw；</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default" w:ascii="宋体" w:hAnsi="宋体" w:cs="宋体"/>
                <w:i w:val="0"/>
                <w:iCs w:val="0"/>
                <w:color w:val="auto"/>
                <w:kern w:val="0"/>
                <w:sz w:val="18"/>
                <w:szCs w:val="18"/>
                <w:u w:val="none"/>
                <w:lang w:val="en" w:eastAsia="zh-CN" w:bidi="ar"/>
              </w:rPr>
              <w:t>3、</w:t>
            </w:r>
            <w:r>
              <w:rPr>
                <w:rFonts w:hint="eastAsia" w:ascii="宋体" w:hAnsi="宋体" w:eastAsia="宋体" w:cs="宋体"/>
                <w:i w:val="0"/>
                <w:iCs w:val="0"/>
                <w:color w:val="auto"/>
                <w:kern w:val="0"/>
                <w:sz w:val="18"/>
                <w:szCs w:val="18"/>
                <w:u w:val="none"/>
                <w:lang w:val="en-US" w:eastAsia="zh-CN" w:bidi="ar"/>
              </w:rPr>
              <w:t>重量≤15kg</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4、最大排风量≥2000m³/h；</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5、手持可调节油门；</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6、油箱容量≥2L；</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7、连续工作时间≥70min；</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8、全封闭供油管。</w:t>
            </w:r>
          </w:p>
          <w:p>
            <w:pPr>
              <w:keepNext w:val="0"/>
              <w:keepLines w:val="0"/>
              <w:widowControl/>
              <w:numPr>
                <w:ilvl w:val="0"/>
                <w:numId w:val="0"/>
              </w:numPr>
              <w:suppressLineNumbers w:val="0"/>
              <w:ind w:leftChars="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9、具有永久性标志及产品数据标识；</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default"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4台</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9524" w:type="dxa"/>
            <w:gridSpan w:val="4"/>
            <w:tcBorders>
              <w:top w:val="single" w:color="000000" w:sz="6" w:space="0"/>
              <w:left w:val="single" w:color="000000" w:sz="8"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蓄集乡-基础设施维修</w:t>
            </w:r>
          </w:p>
        </w:tc>
        <w:tc>
          <w:tcPr>
            <w:tcW w:w="1234" w:type="dxa"/>
            <w:tcBorders>
              <w:top w:val="single" w:color="000000" w:sz="6" w:space="0"/>
              <w:left w:val="single" w:color="000000" w:sz="8"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9524" w:type="dxa"/>
            <w:gridSpan w:val="4"/>
            <w:tcBorders>
              <w:top w:val="single" w:color="000000" w:sz="6" w:space="0"/>
              <w:left w:val="single" w:color="000000" w:sz="8"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屋面维修</w:t>
            </w:r>
          </w:p>
        </w:tc>
        <w:tc>
          <w:tcPr>
            <w:tcW w:w="1234" w:type="dxa"/>
            <w:tcBorders>
              <w:top w:val="single" w:color="000000" w:sz="6" w:space="0"/>
              <w:left w:val="single" w:color="000000" w:sz="8"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auto"/>
                <w:kern w:val="0"/>
                <w:sz w:val="18"/>
                <w:szCs w:val="18"/>
                <w:lang w:val="en-US" w:eastAsia="zh-CN"/>
              </w:rPr>
            </w:pPr>
            <w:r>
              <w:rPr>
                <w:rFonts w:hint="eastAsia" w:ascii="宋体" w:hAnsi="宋体" w:cs="宋体"/>
                <w:color w:val="auto"/>
                <w:kern w:val="0"/>
                <w:sz w:val="18"/>
                <w:szCs w:val="18"/>
                <w:lang w:val="en-US" w:eastAsia="zh-CN"/>
              </w:rPr>
              <w:t>1</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屋面卷材防水</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1.SBS 改性沥青防水卷材（4mm，热熔满铺）</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2.20厚1:3水泥砂浆找平层</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eastAsia="宋体" w:cs="宋体"/>
                <w:color w:val="auto"/>
                <w:kern w:val="0"/>
                <w:sz w:val="18"/>
                <w:szCs w:val="18"/>
                <w:lang w:val="en-US" w:eastAsia="zh-CN"/>
              </w:rPr>
              <w:t>1</w:t>
            </w:r>
            <w:r>
              <w:rPr>
                <w:rFonts w:hint="eastAsia" w:ascii="宋体" w:hAnsi="宋体" w:cs="宋体"/>
                <w:color w:val="auto"/>
                <w:kern w:val="0"/>
                <w:sz w:val="18"/>
                <w:szCs w:val="18"/>
                <w:lang w:val="en-US" w:eastAsia="zh-CN"/>
              </w:rPr>
              <w:t>5</w:t>
            </w:r>
            <w:r>
              <w:rPr>
                <w:rFonts w:hint="eastAsia" w:ascii="宋体" w:hAnsi="宋体" w:eastAsia="宋体" w:cs="宋体"/>
                <w:color w:val="auto"/>
                <w:kern w:val="0"/>
                <w:sz w:val="18"/>
                <w:szCs w:val="18"/>
                <w:lang w:val="en-US" w:eastAsia="zh-CN"/>
              </w:rPr>
              <w:t>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auto"/>
                <w:kern w:val="0"/>
                <w:sz w:val="18"/>
                <w:szCs w:val="18"/>
                <w:lang w:val="en-US" w:eastAsia="zh-CN"/>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auto"/>
                <w:kern w:val="0"/>
                <w:sz w:val="18"/>
                <w:szCs w:val="18"/>
                <w:lang w:val="en-US" w:eastAsia="zh-CN"/>
              </w:rPr>
            </w:pPr>
            <w:r>
              <w:rPr>
                <w:rFonts w:hint="eastAsia" w:ascii="宋体" w:hAnsi="宋体" w:cs="宋体"/>
                <w:color w:val="auto"/>
                <w:kern w:val="0"/>
                <w:sz w:val="18"/>
                <w:szCs w:val="18"/>
                <w:lang w:val="en-US" w:eastAsia="zh-CN"/>
              </w:rPr>
              <w:t>2</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保温隔热屋面</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1.100厚BS改性防火保温板(A级)</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eastAsia="宋体" w:cs="宋体"/>
                <w:color w:val="auto"/>
                <w:kern w:val="0"/>
                <w:sz w:val="18"/>
                <w:szCs w:val="18"/>
                <w:lang w:val="en-US" w:eastAsia="zh-CN"/>
              </w:rPr>
              <w:t>1</w:t>
            </w:r>
            <w:r>
              <w:rPr>
                <w:rFonts w:hint="eastAsia" w:ascii="宋体" w:hAnsi="宋体" w:cs="宋体"/>
                <w:color w:val="auto"/>
                <w:kern w:val="0"/>
                <w:sz w:val="18"/>
                <w:szCs w:val="18"/>
                <w:lang w:val="en-US" w:eastAsia="zh-CN"/>
              </w:rPr>
              <w:t>5</w:t>
            </w:r>
            <w:r>
              <w:rPr>
                <w:rFonts w:hint="eastAsia" w:ascii="宋体" w:hAnsi="宋体" w:eastAsia="宋体" w:cs="宋体"/>
                <w:color w:val="auto"/>
                <w:kern w:val="0"/>
                <w:sz w:val="18"/>
                <w:szCs w:val="18"/>
                <w:lang w:val="en-US" w:eastAsia="zh-CN"/>
              </w:rPr>
              <w:t>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eastAsia="宋体" w:cs="宋体"/>
                <w:color w:val="auto"/>
                <w:kern w:val="0"/>
                <w:sz w:val="18"/>
                <w:szCs w:val="18"/>
                <w:lang w:val="en-US" w:eastAsia="zh-CN"/>
              </w:rPr>
            </w:pPr>
          </w:p>
        </w:tc>
      </w:tr>
      <w:tr>
        <w:tblPrEx>
          <w:tblCellMar>
            <w:top w:w="0" w:type="dxa"/>
            <w:left w:w="28" w:type="dxa"/>
            <w:bottom w:w="0" w:type="dxa"/>
            <w:right w:w="28" w:type="dxa"/>
          </w:tblCellMar>
        </w:tblPrEx>
        <w:trPr>
          <w:trHeight w:val="624" w:hRule="atLeast"/>
          <w:jc w:val="center"/>
        </w:trPr>
        <w:tc>
          <w:tcPr>
            <w:tcW w:w="9524" w:type="dxa"/>
            <w:gridSpan w:val="4"/>
            <w:tcBorders>
              <w:top w:val="single" w:color="000000" w:sz="6" w:space="0"/>
              <w:left w:val="single" w:color="000000" w:sz="8"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外墙保温改造</w:t>
            </w:r>
          </w:p>
        </w:tc>
        <w:tc>
          <w:tcPr>
            <w:tcW w:w="1234" w:type="dxa"/>
            <w:tcBorders>
              <w:top w:val="single" w:color="000000" w:sz="6" w:space="0"/>
              <w:left w:val="single" w:color="000000" w:sz="8" w:space="0"/>
              <w:bottom w:val="single" w:color="000000" w:sz="6" w:space="0"/>
              <w:right w:val="single" w:color="000000" w:sz="8" w:space="0"/>
            </w:tcBorders>
            <w:noWrap w:val="0"/>
            <w:vAlign w:val="center"/>
          </w:tcPr>
          <w:p>
            <w:pPr>
              <w:autoSpaceDE w:val="0"/>
              <w:autoSpaceDN w:val="0"/>
              <w:spacing w:line="360" w:lineRule="auto"/>
              <w:jc w:val="center"/>
              <w:rPr>
                <w:rFonts w:hint="eastAsia" w:ascii="宋体" w:hAnsi="宋体" w:eastAsia="宋体" w:cs="宋体"/>
                <w:i w:val="0"/>
                <w:iCs w:val="0"/>
                <w:color w:val="auto"/>
                <w:kern w:val="0"/>
                <w:sz w:val="18"/>
                <w:szCs w:val="18"/>
                <w:u w:val="none"/>
                <w:lang w:val="en-US" w:eastAsia="zh-CN" w:bidi="ar"/>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3</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墙面一般抹灰</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1.3.水泥浆一道扫毛</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2.5厚1:2.5水泥砂浆抹面，压实赶光</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3.13厚1：3水泥砂浆打底</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4.埋贴网格布、刷界面剂</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zh-CN" w:eastAsia="zh-CN"/>
              </w:rPr>
            </w:pPr>
            <w:r>
              <w:rPr>
                <w:rFonts w:hint="eastAsia" w:ascii="宋体" w:hAnsi="宋体" w:cs="宋体"/>
                <w:color w:val="auto"/>
                <w:kern w:val="0"/>
                <w:sz w:val="18"/>
                <w:szCs w:val="18"/>
                <w:lang w:val="en-US" w:eastAsia="zh-CN"/>
              </w:rPr>
              <w:t>200m²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en-US" w:eastAsia="zh-CN"/>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保温隔热墙面</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1.保温隔热部位:外墙面</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2.保温隔热材料品种、规格及厚度:50厚粘贴挤塑板</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zh-CN" w:eastAsia="zh-CN"/>
              </w:rPr>
            </w:pPr>
            <w:r>
              <w:rPr>
                <w:rFonts w:hint="eastAsia" w:ascii="宋体" w:hAnsi="宋体" w:cs="宋体"/>
                <w:color w:val="auto"/>
                <w:kern w:val="0"/>
                <w:sz w:val="18"/>
                <w:szCs w:val="18"/>
                <w:lang w:val="en-US" w:eastAsia="zh-CN"/>
              </w:rPr>
              <w:t>200m²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en-US" w:eastAsia="zh-CN"/>
              </w:rPr>
            </w:pPr>
          </w:p>
        </w:tc>
      </w:tr>
      <w:tr>
        <w:tblPrEx>
          <w:tblCellMar>
            <w:top w:w="0" w:type="dxa"/>
            <w:left w:w="28" w:type="dxa"/>
            <w:bottom w:w="0" w:type="dxa"/>
            <w:right w:w="28" w:type="dxa"/>
          </w:tblCellMar>
        </w:tblPrEx>
        <w:trPr>
          <w:trHeight w:val="826"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5</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墙面喷刷涂料</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门窗更换</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1.喷刷涂料部位:内墙</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2.涂料品种、喷刷遍数:涂料</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zh-CN" w:eastAsia="zh-CN"/>
              </w:rPr>
            </w:pPr>
            <w:r>
              <w:rPr>
                <w:rFonts w:hint="eastAsia" w:ascii="宋体" w:hAnsi="宋体" w:cs="宋体"/>
                <w:color w:val="auto"/>
                <w:kern w:val="0"/>
                <w:sz w:val="18"/>
                <w:szCs w:val="18"/>
                <w:lang w:val="en-US" w:eastAsia="zh-CN"/>
              </w:rPr>
              <w:t>200m²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en-US" w:eastAsia="zh-CN"/>
              </w:rPr>
            </w:pPr>
          </w:p>
        </w:tc>
      </w:tr>
      <w:tr>
        <w:tblPrEx>
          <w:tblCellMar>
            <w:top w:w="0" w:type="dxa"/>
            <w:left w:w="28" w:type="dxa"/>
            <w:bottom w:w="0" w:type="dxa"/>
            <w:right w:w="28" w:type="dxa"/>
          </w:tblCellMar>
        </w:tblPrEx>
        <w:trPr>
          <w:trHeight w:val="826"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6</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金属（塑钢、断桥）窗</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1.70系列断桥平开铝合金窗</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zh-CN" w:eastAsia="zh-CN"/>
              </w:rPr>
            </w:pPr>
            <w:r>
              <w:rPr>
                <w:rFonts w:hint="eastAsia" w:ascii="宋体" w:hAnsi="宋体" w:cs="宋体"/>
                <w:color w:val="auto"/>
                <w:kern w:val="0"/>
                <w:sz w:val="18"/>
                <w:szCs w:val="18"/>
                <w:lang w:val="en-US" w:eastAsia="zh-CN"/>
              </w:rPr>
              <w:t>25m²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en-US" w:eastAsia="zh-CN"/>
              </w:rPr>
            </w:pPr>
          </w:p>
        </w:tc>
      </w:tr>
      <w:tr>
        <w:tblPrEx>
          <w:tblCellMar>
            <w:top w:w="0" w:type="dxa"/>
            <w:left w:w="28" w:type="dxa"/>
            <w:bottom w:w="0" w:type="dxa"/>
            <w:right w:w="28" w:type="dxa"/>
          </w:tblCellMar>
        </w:tblPrEx>
        <w:trPr>
          <w:trHeight w:val="826"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7</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金属门窗拆除</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散热器</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1.门窗洞口尺寸:门窗拆除</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zh-CN" w:eastAsia="zh-CN"/>
              </w:rPr>
            </w:pPr>
            <w:r>
              <w:rPr>
                <w:rFonts w:hint="eastAsia" w:ascii="宋体" w:hAnsi="宋体" w:cs="宋体"/>
                <w:color w:val="auto"/>
                <w:kern w:val="0"/>
                <w:sz w:val="18"/>
                <w:szCs w:val="18"/>
                <w:lang w:val="en-US" w:eastAsia="zh-CN"/>
              </w:rPr>
              <w:t>25m²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en-US" w:eastAsia="zh-CN"/>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8</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散热器更换</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1.散热器更换</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zh-CN" w:eastAsia="zh-CN"/>
              </w:rPr>
            </w:pPr>
            <w:r>
              <w:rPr>
                <w:rFonts w:hint="eastAsia" w:ascii="宋体" w:hAnsi="宋体" w:cs="宋体"/>
                <w:color w:val="auto"/>
                <w:kern w:val="0"/>
                <w:sz w:val="18"/>
                <w:szCs w:val="18"/>
                <w:lang w:val="en-US" w:eastAsia="zh-CN"/>
              </w:rPr>
              <w:t>120m²</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en-US" w:eastAsia="zh-CN"/>
              </w:rPr>
            </w:pPr>
          </w:p>
        </w:tc>
      </w:tr>
      <w:tr>
        <w:tblPrEx>
          <w:tblCellMar>
            <w:top w:w="0" w:type="dxa"/>
            <w:left w:w="28" w:type="dxa"/>
            <w:bottom w:w="0" w:type="dxa"/>
            <w:right w:w="28" w:type="dxa"/>
          </w:tblCellMar>
        </w:tblPrEx>
        <w:trPr>
          <w:trHeight w:val="624" w:hRule="atLeast"/>
          <w:jc w:val="center"/>
        </w:trPr>
        <w:tc>
          <w:tcPr>
            <w:tcW w:w="621"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widowControl/>
              <w:suppressLineNumbers w:val="0"/>
              <w:jc w:val="center"/>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9</w:t>
            </w:r>
          </w:p>
        </w:tc>
        <w:tc>
          <w:tcPr>
            <w:tcW w:w="12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化粪池</w:t>
            </w:r>
          </w:p>
        </w:tc>
        <w:tc>
          <w:tcPr>
            <w:tcW w:w="7141"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1.名称:钢筋砼化粪池</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2.规格:15m3</w:t>
            </w:r>
          </w:p>
          <w:p>
            <w:pPr>
              <w:keepNext w:val="0"/>
              <w:keepLines w:val="0"/>
              <w:widowControl/>
              <w:suppressLineNumbers w:val="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3.含土方开挖填运</w:t>
            </w:r>
          </w:p>
          <w:p>
            <w:pPr>
              <w:keepNext w:val="0"/>
              <w:keepLines w:val="0"/>
              <w:widowControl/>
              <w:suppressLineNumbers w:val="0"/>
              <w:jc w:val="left"/>
              <w:textAlignment w:val="center"/>
              <w:rPr>
                <w:rFonts w:hint="eastAsia" w:ascii="宋体" w:hAnsi="宋体" w:cs="宋体"/>
                <w:color w:val="auto"/>
                <w:kern w:val="0"/>
                <w:lang w:val="zh-CN"/>
              </w:rPr>
            </w:pPr>
            <w:r>
              <w:rPr>
                <w:rFonts w:hint="eastAsia" w:ascii="宋体" w:hAnsi="宋体" w:eastAsia="宋体" w:cs="宋体"/>
                <w:i w:val="0"/>
                <w:iCs w:val="0"/>
                <w:color w:val="auto"/>
                <w:kern w:val="0"/>
                <w:sz w:val="18"/>
                <w:szCs w:val="18"/>
                <w:u w:val="none"/>
                <w:lang w:val="en-US" w:eastAsia="zh-CN" w:bidi="ar"/>
              </w:rPr>
              <w:t>4.详见：图集03S702/67~111</w:t>
            </w:r>
          </w:p>
        </w:tc>
        <w:tc>
          <w:tcPr>
            <w:tcW w:w="53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en-US" w:eastAsia="zh-CN"/>
              </w:rPr>
            </w:pPr>
            <w:r>
              <w:rPr>
                <w:rFonts w:hint="eastAsia" w:ascii="宋体" w:hAnsi="宋体" w:cs="宋体"/>
                <w:color w:val="auto"/>
                <w:kern w:val="0"/>
                <w:sz w:val="18"/>
                <w:szCs w:val="18"/>
                <w:lang w:val="en-US" w:eastAsia="zh-CN"/>
              </w:rPr>
              <w:t>1座</w:t>
            </w:r>
          </w:p>
        </w:tc>
        <w:tc>
          <w:tcPr>
            <w:tcW w:w="1234"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sz w:val="18"/>
                <w:szCs w:val="18"/>
                <w:lang w:val="en-US" w:eastAsia="zh-CN"/>
              </w:rPr>
            </w:pPr>
          </w:p>
        </w:tc>
      </w:tr>
    </w:tbl>
    <w:p>
      <w:pPr>
        <w:rPr>
          <w:rFonts w:hint="default"/>
          <w:lang w:val="en-US" w:eastAsia="zh-CN"/>
        </w:rPr>
      </w:pPr>
    </w:p>
    <w:sectPr>
      <w:headerReference r:id="rId7" w:type="default"/>
      <w:footerReference r:id="rId8" w:type="default"/>
      <w:pgSz w:w="11849" w:h="16781"/>
      <w:pgMar w:top="1440" w:right="1803" w:bottom="1440" w:left="1803" w:header="851" w:footer="992" w:gutter="0"/>
      <w:pgNumType w:fmt="numberInDash" w:start="1"/>
      <w:cols w:space="720" w:num="1"/>
      <w:docGrid w:linePitch="39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简体">
    <w:altName w:val="微软雅黑"/>
    <w:panose1 w:val="03000509000000000000"/>
    <w:charset w:val="86"/>
    <w:family w:val="script"/>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rPr>
        <w:rStyle w:val="16"/>
      </w:rPr>
    </w:pPr>
    <w:r>
      <w:fldChar w:fldCharType="begin"/>
    </w:r>
    <w:r>
      <w:rPr>
        <w:rStyle w:val="16"/>
      </w:rPr>
      <w:instrText xml:space="preserve">PAGE  </w:instrText>
    </w:r>
    <w:r>
      <w:fldChar w:fldCharType="end"/>
    </w:r>
  </w:p>
  <w:p>
    <w:pPr>
      <w:pStyle w:val="7"/>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0"/>
              <wp:wrapNone/>
              <wp:docPr id="4" name="文本框 4"/>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pPr>
                            <w:pStyle w:val="7"/>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Q+V+SdAAAAADAQAADwAAAAAAAAABACAAAAAiAAAAZHJzL2Rvd25y&#10;ZXYueG1sUEsBAhQAFAAAAAgAh07iQJg3nInNAQAAlwMAAA4AAAAAAAAAAQAgAAAAHwEAAGRycy9l&#10;Mm9Eb2MueG1sUEsFBgAAAAAGAAYAWQEAAF4FAAAAAA==&#10;">
              <v:fill on="f" focussize="0,0"/>
              <v:stroke on="f"/>
              <v:imagedata o:title=""/>
              <o:lock v:ext="edit" aspectratio="f"/>
              <v:textbox inset="0mm,0mm,0mm,0mm" style="mso-fit-shape-to-text:t;">
                <w:txbxContent>
                  <w:p>
                    <w:pPr>
                      <w:pStyle w:val="7"/>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47650" cy="131445"/>
              <wp:effectExtent l="0" t="0" r="0" b="0"/>
              <wp:wrapNone/>
              <wp:docPr id="3" name="文本框 3"/>
              <wp:cNvGraphicFramePr/>
              <a:graphic xmlns:a="http://schemas.openxmlformats.org/drawingml/2006/main">
                <a:graphicData uri="http://schemas.microsoft.com/office/word/2010/wordprocessingShape">
                  <wps:wsp>
                    <wps:cNvSpPr txBox="1"/>
                    <wps:spPr>
                      <a:xfrm>
                        <a:off x="0" y="0"/>
                        <a:ext cx="247650" cy="131445"/>
                      </a:xfrm>
                      <a:prstGeom prst="rect">
                        <a:avLst/>
                      </a:prstGeom>
                      <a:noFill/>
                      <a:ln>
                        <a:noFill/>
                      </a:ln>
                    </wps:spPr>
                    <wps:txbx>
                      <w:txbxContent>
                        <w:p>
                          <w:pPr>
                            <w:pStyle w:val="7"/>
                          </w:pPr>
                          <w:r>
                            <w:fldChar w:fldCharType="begin"/>
                          </w:r>
                          <w:r>
                            <w:instrText xml:space="preserve"> PAGE  \* MERGEFORMAT </w:instrText>
                          </w:r>
                          <w:r>
                            <w:fldChar w:fldCharType="separate"/>
                          </w:r>
                          <w:r>
                            <w:t>- 17 -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0.35pt;width:19.5pt;mso-position-horizontal:center;mso-position-horizontal-relative:margin;mso-wrap-style:none;z-index:251659264;mso-width-relative:page;mso-height-relative:page;" filled="f" stroked="f" coordsize="21600,21600" o:gfxdata="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V7FI4NAAAAADAQAADwAAAAAAAAABACAAAAAiAAAAZHJzL2Rvd25y&#10;ZXYueG1sUEsBAhQAFAAAAAgAh07iQMOn9/XNAQAAlwMAAA4AAAAAAAAAAQAgAAAAHwEAAGRycy9l&#10;Mm9Eb2MueG1sUEsFBgAAAAAGAAYAWQEAAF4FAAAAAA==&#10;">
              <v:fill on="f" focussize="0,0"/>
              <v:stroke on="f"/>
              <v:imagedata o:title=""/>
              <o:lock v:ext="edit" aspectratio="f"/>
              <v:textbox inset="0mm,0mm,0mm,0mm" style="mso-fit-shape-to-text:t;">
                <w:txbxContent>
                  <w:p>
                    <w:pPr>
                      <w:pStyle w:val="7"/>
                    </w:pPr>
                    <w:r>
                      <w:fldChar w:fldCharType="begin"/>
                    </w:r>
                    <w:r>
                      <w:instrText xml:space="preserve"> PAGE  \* MERGEFORMAT </w:instrText>
                    </w:r>
                    <w:r>
                      <w:fldChar w:fldCharType="separate"/>
                    </w:r>
                    <w:r>
                      <w:t>- 17 -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26" w:lineRule="auto"/>
      <w:ind w:left="5982"/>
      <w:rPr>
        <w:rFonts w:ascii="宋体" w:hAnsi="宋体" w:eastAsia="宋体" w:cs="宋体"/>
        <w:sz w:val="20"/>
        <w:szCs w:val="20"/>
      </w:rPr>
    </w:pPr>
    <w:r>
      <mc:AlternateContent>
        <mc:Choice Requires="wps">
          <w:drawing>
            <wp:anchor distT="0" distB="0" distL="114300" distR="114300" simplePos="0" relativeHeight="251661312" behindDoc="0" locked="0" layoutInCell="0" allowOverlap="1">
              <wp:simplePos x="0" y="0"/>
              <wp:positionH relativeFrom="page">
                <wp:posOffset>1143000</wp:posOffset>
              </wp:positionH>
              <wp:positionV relativeFrom="page">
                <wp:posOffset>725805</wp:posOffset>
              </wp:positionV>
              <wp:extent cx="5310505" cy="9525"/>
              <wp:effectExtent l="0" t="0" r="0" b="0"/>
              <wp:wrapNone/>
              <wp:docPr id="7" name="任意多边形 7"/>
              <wp:cNvGraphicFramePr/>
              <a:graphic xmlns:a="http://schemas.openxmlformats.org/drawingml/2006/main">
                <a:graphicData uri="http://schemas.microsoft.com/office/word/2010/wordprocessingShape">
                  <wps:wsp>
                    <wps:cNvSpPr/>
                    <wps:spPr>
                      <a:xfrm>
                        <a:off x="0" y="0"/>
                        <a:ext cx="5310505" cy="9525"/>
                      </a:xfrm>
                      <a:custGeom>
                        <a:avLst/>
                        <a:gdLst/>
                        <a:ahLst/>
                        <a:cxnLst/>
                        <a:pathLst>
                          <a:path w="8362" h="15">
                            <a:moveTo>
                              <a:pt x="0" y="0"/>
                            </a:moveTo>
                            <a:lnTo>
                              <a:pt x="8362" y="0"/>
                            </a:lnTo>
                            <a:lnTo>
                              <a:pt x="836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90pt;margin-top:57.15pt;height:0.75pt;width:418.15pt;mso-position-horizontal-relative:page;mso-position-vertical-relative:page;z-index:251661312;mso-width-relative:page;mso-height-relative:page;" fillcolor="#000000" filled="t" stroked="f" coordsize="8362,15" o:allowincell="f" o:gfxdata="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djVo51wAAAAwBAAAPAAAAAAAA&#10;AAEAIAAAACIAAABkcnMvZG93bnJldi54bWxQSwECFAAUAAAACACHTuJAq2Qd6xMCAAB7BAAADgAA&#10;AAAAAAABACAAAAAmAQAAZHJzL2Uyb0RvYy54bWxQSwUGAAAAAAYABgBZAQAAqwUAAAAA&#10;" path="m0,0l8362,0,8362,14,0,14,0,0xe">
              <v:fill on="t" focussize="0,0"/>
              <v:stroke on="f"/>
              <v:imagedata o:title=""/>
              <o:lock v:ext="edit" aspectratio="f"/>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F47837"/>
    <w:multiLevelType w:val="singleLevel"/>
    <w:tmpl w:val="86F47837"/>
    <w:lvl w:ilvl="0" w:tentative="0">
      <w:start w:val="1"/>
      <w:numFmt w:val="decimal"/>
      <w:suff w:val="nothing"/>
      <w:lvlText w:val="%1、"/>
      <w:lvlJc w:val="left"/>
    </w:lvl>
  </w:abstractNum>
  <w:abstractNum w:abstractNumId="1">
    <w:nsid w:val="877C801E"/>
    <w:multiLevelType w:val="singleLevel"/>
    <w:tmpl w:val="877C801E"/>
    <w:lvl w:ilvl="0" w:tentative="0">
      <w:start w:val="1"/>
      <w:numFmt w:val="decimal"/>
      <w:suff w:val="nothing"/>
      <w:lvlText w:val="%1、"/>
      <w:lvlJc w:val="left"/>
    </w:lvl>
  </w:abstractNum>
  <w:abstractNum w:abstractNumId="2">
    <w:nsid w:val="87FF0B2C"/>
    <w:multiLevelType w:val="singleLevel"/>
    <w:tmpl w:val="87FF0B2C"/>
    <w:lvl w:ilvl="0" w:tentative="0">
      <w:start w:val="1"/>
      <w:numFmt w:val="decimal"/>
      <w:suff w:val="nothing"/>
      <w:lvlText w:val="%1、"/>
      <w:lvlJc w:val="left"/>
    </w:lvl>
  </w:abstractNum>
  <w:abstractNum w:abstractNumId="3">
    <w:nsid w:val="8F96A998"/>
    <w:multiLevelType w:val="singleLevel"/>
    <w:tmpl w:val="8F96A998"/>
    <w:lvl w:ilvl="0" w:tentative="0">
      <w:start w:val="1"/>
      <w:numFmt w:val="decimal"/>
      <w:suff w:val="nothing"/>
      <w:lvlText w:val="%1、"/>
      <w:lvlJc w:val="left"/>
    </w:lvl>
  </w:abstractNum>
  <w:abstractNum w:abstractNumId="4">
    <w:nsid w:val="9B9E2BA2"/>
    <w:multiLevelType w:val="singleLevel"/>
    <w:tmpl w:val="9B9E2BA2"/>
    <w:lvl w:ilvl="0" w:tentative="0">
      <w:start w:val="1"/>
      <w:numFmt w:val="decimal"/>
      <w:suff w:val="nothing"/>
      <w:lvlText w:val="%1、"/>
      <w:lvlJc w:val="left"/>
    </w:lvl>
  </w:abstractNum>
  <w:abstractNum w:abstractNumId="5">
    <w:nsid w:val="9DF57D6B"/>
    <w:multiLevelType w:val="singleLevel"/>
    <w:tmpl w:val="9DF57D6B"/>
    <w:lvl w:ilvl="0" w:tentative="0">
      <w:start w:val="1"/>
      <w:numFmt w:val="decimal"/>
      <w:suff w:val="nothing"/>
      <w:lvlText w:val="%1、"/>
      <w:lvlJc w:val="left"/>
    </w:lvl>
  </w:abstractNum>
  <w:abstractNum w:abstractNumId="6">
    <w:nsid w:val="9E4F835E"/>
    <w:multiLevelType w:val="singleLevel"/>
    <w:tmpl w:val="9E4F835E"/>
    <w:lvl w:ilvl="0" w:tentative="0">
      <w:start w:val="1"/>
      <w:numFmt w:val="decimal"/>
      <w:suff w:val="nothing"/>
      <w:lvlText w:val="%1、"/>
      <w:lvlJc w:val="left"/>
    </w:lvl>
  </w:abstractNum>
  <w:abstractNum w:abstractNumId="7">
    <w:nsid w:val="9EF013E0"/>
    <w:multiLevelType w:val="singleLevel"/>
    <w:tmpl w:val="9EF013E0"/>
    <w:lvl w:ilvl="0" w:tentative="0">
      <w:start w:val="1"/>
      <w:numFmt w:val="decimal"/>
      <w:suff w:val="nothing"/>
      <w:lvlText w:val="（%1）"/>
      <w:lvlJc w:val="left"/>
      <w:pPr>
        <w:ind w:left="180" w:leftChars="0" w:firstLine="0" w:firstLineChars="0"/>
      </w:pPr>
    </w:lvl>
  </w:abstractNum>
  <w:abstractNum w:abstractNumId="8">
    <w:nsid w:val="9EFD6028"/>
    <w:multiLevelType w:val="singleLevel"/>
    <w:tmpl w:val="9EFD6028"/>
    <w:lvl w:ilvl="0" w:tentative="0">
      <w:start w:val="1"/>
      <w:numFmt w:val="decimal"/>
      <w:suff w:val="nothing"/>
      <w:lvlText w:val="%1、"/>
      <w:lvlJc w:val="left"/>
    </w:lvl>
  </w:abstractNum>
  <w:abstractNum w:abstractNumId="9">
    <w:nsid w:val="AF7F7864"/>
    <w:multiLevelType w:val="singleLevel"/>
    <w:tmpl w:val="AF7F7864"/>
    <w:lvl w:ilvl="0" w:tentative="0">
      <w:start w:val="1"/>
      <w:numFmt w:val="decimal"/>
      <w:suff w:val="nothing"/>
      <w:lvlText w:val="%1、"/>
      <w:lvlJc w:val="left"/>
    </w:lvl>
  </w:abstractNum>
  <w:abstractNum w:abstractNumId="10">
    <w:nsid w:val="AF7FD1D4"/>
    <w:multiLevelType w:val="singleLevel"/>
    <w:tmpl w:val="AF7FD1D4"/>
    <w:lvl w:ilvl="0" w:tentative="0">
      <w:start w:val="1"/>
      <w:numFmt w:val="decimal"/>
      <w:suff w:val="nothing"/>
      <w:lvlText w:val="%1、"/>
      <w:lvlJc w:val="left"/>
    </w:lvl>
  </w:abstractNum>
  <w:abstractNum w:abstractNumId="11">
    <w:nsid w:val="B3ED2A00"/>
    <w:multiLevelType w:val="singleLevel"/>
    <w:tmpl w:val="B3ED2A00"/>
    <w:lvl w:ilvl="0" w:tentative="0">
      <w:start w:val="1"/>
      <w:numFmt w:val="decimal"/>
      <w:suff w:val="nothing"/>
      <w:lvlText w:val="%1、"/>
      <w:lvlJc w:val="left"/>
    </w:lvl>
  </w:abstractNum>
  <w:abstractNum w:abstractNumId="12">
    <w:nsid w:val="B5ED1E0B"/>
    <w:multiLevelType w:val="singleLevel"/>
    <w:tmpl w:val="B5ED1E0B"/>
    <w:lvl w:ilvl="0" w:tentative="0">
      <w:start w:val="1"/>
      <w:numFmt w:val="decimal"/>
      <w:suff w:val="nothing"/>
      <w:lvlText w:val="%1、"/>
      <w:lvlJc w:val="left"/>
    </w:lvl>
  </w:abstractNum>
  <w:abstractNum w:abstractNumId="13">
    <w:nsid w:val="B64E074B"/>
    <w:multiLevelType w:val="singleLevel"/>
    <w:tmpl w:val="B64E074B"/>
    <w:lvl w:ilvl="0" w:tentative="0">
      <w:start w:val="1"/>
      <w:numFmt w:val="decimal"/>
      <w:suff w:val="nothing"/>
      <w:lvlText w:val="%1、"/>
      <w:lvlJc w:val="left"/>
    </w:lvl>
  </w:abstractNum>
  <w:abstractNum w:abstractNumId="14">
    <w:nsid w:val="B7AF6CBB"/>
    <w:multiLevelType w:val="singleLevel"/>
    <w:tmpl w:val="B7AF6CBB"/>
    <w:lvl w:ilvl="0" w:tentative="0">
      <w:start w:val="1"/>
      <w:numFmt w:val="decimal"/>
      <w:suff w:val="nothing"/>
      <w:lvlText w:val="%1、"/>
      <w:lvlJc w:val="left"/>
    </w:lvl>
  </w:abstractNum>
  <w:abstractNum w:abstractNumId="15">
    <w:nsid w:val="B7C386BA"/>
    <w:multiLevelType w:val="singleLevel"/>
    <w:tmpl w:val="B7C386BA"/>
    <w:lvl w:ilvl="0" w:tentative="0">
      <w:start w:val="2"/>
      <w:numFmt w:val="decimal"/>
      <w:suff w:val="nothing"/>
      <w:lvlText w:val="%1、"/>
      <w:lvlJc w:val="left"/>
    </w:lvl>
  </w:abstractNum>
  <w:abstractNum w:abstractNumId="16">
    <w:nsid w:val="B9FA782D"/>
    <w:multiLevelType w:val="singleLevel"/>
    <w:tmpl w:val="B9FA782D"/>
    <w:lvl w:ilvl="0" w:tentative="0">
      <w:start w:val="1"/>
      <w:numFmt w:val="decimal"/>
      <w:suff w:val="nothing"/>
      <w:lvlText w:val="%1、"/>
      <w:lvlJc w:val="left"/>
    </w:lvl>
  </w:abstractNum>
  <w:abstractNum w:abstractNumId="17">
    <w:nsid w:val="BB9B90B3"/>
    <w:multiLevelType w:val="singleLevel"/>
    <w:tmpl w:val="BB9B90B3"/>
    <w:lvl w:ilvl="0" w:tentative="0">
      <w:start w:val="1"/>
      <w:numFmt w:val="decimal"/>
      <w:suff w:val="nothing"/>
      <w:lvlText w:val="%1、"/>
      <w:lvlJc w:val="left"/>
    </w:lvl>
  </w:abstractNum>
  <w:abstractNum w:abstractNumId="18">
    <w:nsid w:val="BC796703"/>
    <w:multiLevelType w:val="singleLevel"/>
    <w:tmpl w:val="BC796703"/>
    <w:lvl w:ilvl="0" w:tentative="0">
      <w:start w:val="1"/>
      <w:numFmt w:val="decimal"/>
      <w:suff w:val="nothing"/>
      <w:lvlText w:val="%1、"/>
      <w:lvlJc w:val="left"/>
    </w:lvl>
  </w:abstractNum>
  <w:abstractNum w:abstractNumId="19">
    <w:nsid w:val="BCAF0FF5"/>
    <w:multiLevelType w:val="singleLevel"/>
    <w:tmpl w:val="BCAF0FF5"/>
    <w:lvl w:ilvl="0" w:tentative="0">
      <w:start w:val="1"/>
      <w:numFmt w:val="decimal"/>
      <w:suff w:val="nothing"/>
      <w:lvlText w:val="%1、"/>
      <w:lvlJc w:val="left"/>
    </w:lvl>
  </w:abstractNum>
  <w:abstractNum w:abstractNumId="20">
    <w:nsid w:val="BE29626C"/>
    <w:multiLevelType w:val="singleLevel"/>
    <w:tmpl w:val="BE29626C"/>
    <w:lvl w:ilvl="0" w:tentative="0">
      <w:start w:val="1"/>
      <w:numFmt w:val="decimal"/>
      <w:suff w:val="nothing"/>
      <w:lvlText w:val="%1、"/>
      <w:lvlJc w:val="left"/>
    </w:lvl>
  </w:abstractNum>
  <w:abstractNum w:abstractNumId="21">
    <w:nsid w:val="BEBE9EE5"/>
    <w:multiLevelType w:val="singleLevel"/>
    <w:tmpl w:val="BEBE9EE5"/>
    <w:lvl w:ilvl="0" w:tentative="0">
      <w:start w:val="1"/>
      <w:numFmt w:val="decimal"/>
      <w:suff w:val="nothing"/>
      <w:lvlText w:val="（%1）"/>
      <w:lvlJc w:val="left"/>
      <w:pPr>
        <w:ind w:left="180" w:leftChars="0" w:firstLine="0" w:firstLineChars="0"/>
      </w:pPr>
    </w:lvl>
  </w:abstractNum>
  <w:abstractNum w:abstractNumId="22">
    <w:nsid w:val="BF773B80"/>
    <w:multiLevelType w:val="singleLevel"/>
    <w:tmpl w:val="BF773B80"/>
    <w:lvl w:ilvl="0" w:tentative="0">
      <w:start w:val="1"/>
      <w:numFmt w:val="decimal"/>
      <w:suff w:val="nothing"/>
      <w:lvlText w:val="%1、"/>
      <w:lvlJc w:val="left"/>
    </w:lvl>
  </w:abstractNum>
  <w:abstractNum w:abstractNumId="23">
    <w:nsid w:val="BFA76A4C"/>
    <w:multiLevelType w:val="singleLevel"/>
    <w:tmpl w:val="BFA76A4C"/>
    <w:lvl w:ilvl="0" w:tentative="0">
      <w:start w:val="1"/>
      <w:numFmt w:val="decimal"/>
      <w:suff w:val="nothing"/>
      <w:lvlText w:val="%1、"/>
      <w:lvlJc w:val="left"/>
    </w:lvl>
  </w:abstractNum>
  <w:abstractNum w:abstractNumId="24">
    <w:nsid w:val="C97F442D"/>
    <w:multiLevelType w:val="singleLevel"/>
    <w:tmpl w:val="C97F442D"/>
    <w:lvl w:ilvl="0" w:tentative="0">
      <w:start w:val="1"/>
      <w:numFmt w:val="decimal"/>
      <w:suff w:val="nothing"/>
      <w:lvlText w:val="%1、"/>
      <w:lvlJc w:val="left"/>
    </w:lvl>
  </w:abstractNum>
  <w:abstractNum w:abstractNumId="25">
    <w:nsid w:val="D2BB2060"/>
    <w:multiLevelType w:val="singleLevel"/>
    <w:tmpl w:val="D2BB2060"/>
    <w:lvl w:ilvl="0" w:tentative="0">
      <w:start w:val="1"/>
      <w:numFmt w:val="decimal"/>
      <w:suff w:val="nothing"/>
      <w:lvlText w:val="%1、"/>
      <w:lvlJc w:val="left"/>
    </w:lvl>
  </w:abstractNum>
  <w:abstractNum w:abstractNumId="26">
    <w:nsid w:val="D8B65F67"/>
    <w:multiLevelType w:val="singleLevel"/>
    <w:tmpl w:val="D8B65F67"/>
    <w:lvl w:ilvl="0" w:tentative="0">
      <w:start w:val="1"/>
      <w:numFmt w:val="decimal"/>
      <w:suff w:val="nothing"/>
      <w:lvlText w:val="%1、"/>
      <w:lvlJc w:val="left"/>
    </w:lvl>
  </w:abstractNum>
  <w:abstractNum w:abstractNumId="27">
    <w:nsid w:val="D9FFB9B4"/>
    <w:multiLevelType w:val="singleLevel"/>
    <w:tmpl w:val="D9FFB9B4"/>
    <w:lvl w:ilvl="0" w:tentative="0">
      <w:start w:val="1"/>
      <w:numFmt w:val="decimal"/>
      <w:suff w:val="nothing"/>
      <w:lvlText w:val="%1、"/>
      <w:lvlJc w:val="left"/>
    </w:lvl>
  </w:abstractNum>
  <w:abstractNum w:abstractNumId="28">
    <w:nsid w:val="DB4BF6ED"/>
    <w:multiLevelType w:val="singleLevel"/>
    <w:tmpl w:val="DB4BF6ED"/>
    <w:lvl w:ilvl="0" w:tentative="0">
      <w:start w:val="1"/>
      <w:numFmt w:val="decimal"/>
      <w:suff w:val="nothing"/>
      <w:lvlText w:val="%1、"/>
      <w:lvlJc w:val="left"/>
    </w:lvl>
  </w:abstractNum>
  <w:abstractNum w:abstractNumId="29">
    <w:nsid w:val="DB6F80EC"/>
    <w:multiLevelType w:val="singleLevel"/>
    <w:tmpl w:val="DB6F80EC"/>
    <w:lvl w:ilvl="0" w:tentative="0">
      <w:start w:val="2"/>
      <w:numFmt w:val="decimal"/>
      <w:suff w:val="nothing"/>
      <w:lvlText w:val="（%1）"/>
      <w:lvlJc w:val="left"/>
      <w:pPr>
        <w:ind w:left="270" w:leftChars="0" w:firstLine="0" w:firstLineChars="0"/>
      </w:pPr>
    </w:lvl>
  </w:abstractNum>
  <w:abstractNum w:abstractNumId="30">
    <w:nsid w:val="DBC6C927"/>
    <w:multiLevelType w:val="singleLevel"/>
    <w:tmpl w:val="DBC6C927"/>
    <w:lvl w:ilvl="0" w:tentative="0">
      <w:start w:val="1"/>
      <w:numFmt w:val="decimal"/>
      <w:suff w:val="nothing"/>
      <w:lvlText w:val="%1、"/>
      <w:lvlJc w:val="left"/>
    </w:lvl>
  </w:abstractNum>
  <w:abstractNum w:abstractNumId="31">
    <w:nsid w:val="DBFF2775"/>
    <w:multiLevelType w:val="singleLevel"/>
    <w:tmpl w:val="DBFF2775"/>
    <w:lvl w:ilvl="0" w:tentative="0">
      <w:start w:val="1"/>
      <w:numFmt w:val="decimal"/>
      <w:suff w:val="nothing"/>
      <w:lvlText w:val="%1、"/>
      <w:lvlJc w:val="left"/>
    </w:lvl>
  </w:abstractNum>
  <w:abstractNum w:abstractNumId="32">
    <w:nsid w:val="DCE94826"/>
    <w:multiLevelType w:val="singleLevel"/>
    <w:tmpl w:val="DCE94826"/>
    <w:lvl w:ilvl="0" w:tentative="0">
      <w:start w:val="1"/>
      <w:numFmt w:val="decimal"/>
      <w:suff w:val="nothing"/>
      <w:lvlText w:val="%1、"/>
      <w:lvlJc w:val="left"/>
    </w:lvl>
  </w:abstractNum>
  <w:abstractNum w:abstractNumId="33">
    <w:nsid w:val="DDB6ED49"/>
    <w:multiLevelType w:val="singleLevel"/>
    <w:tmpl w:val="DDB6ED49"/>
    <w:lvl w:ilvl="0" w:tentative="0">
      <w:start w:val="1"/>
      <w:numFmt w:val="decimal"/>
      <w:suff w:val="nothing"/>
      <w:lvlText w:val="%1、"/>
      <w:lvlJc w:val="left"/>
    </w:lvl>
  </w:abstractNum>
  <w:abstractNum w:abstractNumId="34">
    <w:nsid w:val="DDDCD523"/>
    <w:multiLevelType w:val="singleLevel"/>
    <w:tmpl w:val="DDDCD523"/>
    <w:lvl w:ilvl="0" w:tentative="0">
      <w:start w:val="1"/>
      <w:numFmt w:val="decimal"/>
      <w:suff w:val="nothing"/>
      <w:lvlText w:val="%1、"/>
      <w:lvlJc w:val="left"/>
    </w:lvl>
  </w:abstractNum>
  <w:abstractNum w:abstractNumId="35">
    <w:nsid w:val="DDF2F82B"/>
    <w:multiLevelType w:val="singleLevel"/>
    <w:tmpl w:val="DDF2F82B"/>
    <w:lvl w:ilvl="0" w:tentative="0">
      <w:start w:val="4"/>
      <w:numFmt w:val="decimal"/>
      <w:suff w:val="nothing"/>
      <w:lvlText w:val="%1．"/>
      <w:lvlJc w:val="left"/>
    </w:lvl>
  </w:abstractNum>
  <w:abstractNum w:abstractNumId="36">
    <w:nsid w:val="DEBE2B26"/>
    <w:multiLevelType w:val="singleLevel"/>
    <w:tmpl w:val="DEBE2B26"/>
    <w:lvl w:ilvl="0" w:tentative="0">
      <w:start w:val="1"/>
      <w:numFmt w:val="decimal"/>
      <w:suff w:val="nothing"/>
      <w:lvlText w:val="%1、"/>
      <w:lvlJc w:val="left"/>
    </w:lvl>
  </w:abstractNum>
  <w:abstractNum w:abstractNumId="37">
    <w:nsid w:val="DEFC3C2E"/>
    <w:multiLevelType w:val="singleLevel"/>
    <w:tmpl w:val="DEFC3C2E"/>
    <w:lvl w:ilvl="0" w:tentative="0">
      <w:start w:val="1"/>
      <w:numFmt w:val="decimal"/>
      <w:suff w:val="nothing"/>
      <w:lvlText w:val="%1、"/>
      <w:lvlJc w:val="left"/>
    </w:lvl>
  </w:abstractNum>
  <w:abstractNum w:abstractNumId="38">
    <w:nsid w:val="DFAB89EB"/>
    <w:multiLevelType w:val="singleLevel"/>
    <w:tmpl w:val="DFAB89EB"/>
    <w:lvl w:ilvl="0" w:tentative="0">
      <w:start w:val="1"/>
      <w:numFmt w:val="decimal"/>
      <w:suff w:val="nothing"/>
      <w:lvlText w:val="%1、"/>
      <w:lvlJc w:val="left"/>
    </w:lvl>
  </w:abstractNum>
  <w:abstractNum w:abstractNumId="39">
    <w:nsid w:val="DFFF1DC1"/>
    <w:multiLevelType w:val="singleLevel"/>
    <w:tmpl w:val="DFFF1DC1"/>
    <w:lvl w:ilvl="0" w:tentative="0">
      <w:start w:val="7"/>
      <w:numFmt w:val="decimal"/>
      <w:suff w:val="nothing"/>
      <w:lvlText w:val="%1、"/>
      <w:lvlJc w:val="left"/>
    </w:lvl>
  </w:abstractNum>
  <w:abstractNum w:abstractNumId="40">
    <w:nsid w:val="E51E5A69"/>
    <w:multiLevelType w:val="singleLevel"/>
    <w:tmpl w:val="E51E5A69"/>
    <w:lvl w:ilvl="0" w:tentative="0">
      <w:start w:val="1"/>
      <w:numFmt w:val="decimal"/>
      <w:suff w:val="nothing"/>
      <w:lvlText w:val="%1、"/>
      <w:lvlJc w:val="left"/>
    </w:lvl>
  </w:abstractNum>
  <w:abstractNum w:abstractNumId="41">
    <w:nsid w:val="E53FD73C"/>
    <w:multiLevelType w:val="singleLevel"/>
    <w:tmpl w:val="E53FD73C"/>
    <w:lvl w:ilvl="0" w:tentative="0">
      <w:start w:val="1"/>
      <w:numFmt w:val="decimal"/>
      <w:suff w:val="nothing"/>
      <w:lvlText w:val="%1、"/>
      <w:lvlJc w:val="left"/>
    </w:lvl>
  </w:abstractNum>
  <w:abstractNum w:abstractNumId="42">
    <w:nsid w:val="E67B0E3A"/>
    <w:multiLevelType w:val="singleLevel"/>
    <w:tmpl w:val="E67B0E3A"/>
    <w:lvl w:ilvl="0" w:tentative="0">
      <w:start w:val="1"/>
      <w:numFmt w:val="decimal"/>
      <w:suff w:val="nothing"/>
      <w:lvlText w:val="%1、"/>
      <w:lvlJc w:val="left"/>
    </w:lvl>
  </w:abstractNum>
  <w:abstractNum w:abstractNumId="43">
    <w:nsid w:val="E6FD0B9F"/>
    <w:multiLevelType w:val="singleLevel"/>
    <w:tmpl w:val="E6FD0B9F"/>
    <w:lvl w:ilvl="0" w:tentative="0">
      <w:start w:val="1"/>
      <w:numFmt w:val="decimal"/>
      <w:suff w:val="nothing"/>
      <w:lvlText w:val="%1、"/>
      <w:lvlJc w:val="left"/>
    </w:lvl>
  </w:abstractNum>
  <w:abstractNum w:abstractNumId="44">
    <w:nsid w:val="E7D712AB"/>
    <w:multiLevelType w:val="singleLevel"/>
    <w:tmpl w:val="E7D712AB"/>
    <w:lvl w:ilvl="0" w:tentative="0">
      <w:start w:val="1"/>
      <w:numFmt w:val="decimal"/>
      <w:suff w:val="nothing"/>
      <w:lvlText w:val="%1、"/>
      <w:lvlJc w:val="left"/>
    </w:lvl>
  </w:abstractNum>
  <w:abstractNum w:abstractNumId="45">
    <w:nsid w:val="EBCF82B1"/>
    <w:multiLevelType w:val="singleLevel"/>
    <w:tmpl w:val="EBCF82B1"/>
    <w:lvl w:ilvl="0" w:tentative="0">
      <w:start w:val="1"/>
      <w:numFmt w:val="decimal"/>
      <w:suff w:val="nothing"/>
      <w:lvlText w:val="%1、"/>
      <w:lvlJc w:val="left"/>
    </w:lvl>
  </w:abstractNum>
  <w:abstractNum w:abstractNumId="46">
    <w:nsid w:val="ECBF6EC7"/>
    <w:multiLevelType w:val="singleLevel"/>
    <w:tmpl w:val="ECBF6EC7"/>
    <w:lvl w:ilvl="0" w:tentative="0">
      <w:start w:val="1"/>
      <w:numFmt w:val="decimal"/>
      <w:suff w:val="nothing"/>
      <w:lvlText w:val="%1、"/>
      <w:lvlJc w:val="left"/>
    </w:lvl>
  </w:abstractNum>
  <w:abstractNum w:abstractNumId="47">
    <w:nsid w:val="ECF6F23F"/>
    <w:multiLevelType w:val="singleLevel"/>
    <w:tmpl w:val="ECF6F23F"/>
    <w:lvl w:ilvl="0" w:tentative="0">
      <w:start w:val="1"/>
      <w:numFmt w:val="decimal"/>
      <w:suff w:val="nothing"/>
      <w:lvlText w:val="%1、"/>
      <w:lvlJc w:val="left"/>
    </w:lvl>
  </w:abstractNum>
  <w:abstractNum w:abstractNumId="48">
    <w:nsid w:val="EDA7CE6E"/>
    <w:multiLevelType w:val="singleLevel"/>
    <w:tmpl w:val="EDA7CE6E"/>
    <w:lvl w:ilvl="0" w:tentative="0">
      <w:start w:val="1"/>
      <w:numFmt w:val="decimal"/>
      <w:suff w:val="nothing"/>
      <w:lvlText w:val="%1、"/>
      <w:lvlJc w:val="left"/>
    </w:lvl>
  </w:abstractNum>
  <w:abstractNum w:abstractNumId="49">
    <w:nsid w:val="EDBF50E2"/>
    <w:multiLevelType w:val="singleLevel"/>
    <w:tmpl w:val="EDBF50E2"/>
    <w:lvl w:ilvl="0" w:tentative="0">
      <w:start w:val="1"/>
      <w:numFmt w:val="decimal"/>
      <w:suff w:val="nothing"/>
      <w:lvlText w:val="%1、"/>
      <w:lvlJc w:val="left"/>
    </w:lvl>
  </w:abstractNum>
  <w:abstractNum w:abstractNumId="50">
    <w:nsid w:val="EDDF891F"/>
    <w:multiLevelType w:val="singleLevel"/>
    <w:tmpl w:val="EDDF891F"/>
    <w:lvl w:ilvl="0" w:tentative="0">
      <w:start w:val="1"/>
      <w:numFmt w:val="decimal"/>
      <w:suff w:val="nothing"/>
      <w:lvlText w:val="%1、"/>
      <w:lvlJc w:val="left"/>
    </w:lvl>
  </w:abstractNum>
  <w:abstractNum w:abstractNumId="51">
    <w:nsid w:val="EE6F7B45"/>
    <w:multiLevelType w:val="singleLevel"/>
    <w:tmpl w:val="EE6F7B45"/>
    <w:lvl w:ilvl="0" w:tentative="0">
      <w:start w:val="1"/>
      <w:numFmt w:val="decimal"/>
      <w:suff w:val="nothing"/>
      <w:lvlText w:val="%1、"/>
      <w:lvlJc w:val="left"/>
    </w:lvl>
  </w:abstractNum>
  <w:abstractNum w:abstractNumId="52">
    <w:nsid w:val="EEB119F3"/>
    <w:multiLevelType w:val="singleLevel"/>
    <w:tmpl w:val="EEB119F3"/>
    <w:lvl w:ilvl="0" w:tentative="0">
      <w:start w:val="1"/>
      <w:numFmt w:val="decimal"/>
      <w:suff w:val="nothing"/>
      <w:lvlText w:val="%1、"/>
      <w:lvlJc w:val="left"/>
    </w:lvl>
  </w:abstractNum>
  <w:abstractNum w:abstractNumId="53">
    <w:nsid w:val="EEF62F05"/>
    <w:multiLevelType w:val="singleLevel"/>
    <w:tmpl w:val="EEF62F05"/>
    <w:lvl w:ilvl="0" w:tentative="0">
      <w:start w:val="1"/>
      <w:numFmt w:val="decimal"/>
      <w:suff w:val="nothing"/>
      <w:lvlText w:val="%1、"/>
      <w:lvlJc w:val="left"/>
    </w:lvl>
  </w:abstractNum>
  <w:abstractNum w:abstractNumId="54">
    <w:nsid w:val="EEFC7F75"/>
    <w:multiLevelType w:val="singleLevel"/>
    <w:tmpl w:val="EEFC7F75"/>
    <w:lvl w:ilvl="0" w:tentative="0">
      <w:start w:val="1"/>
      <w:numFmt w:val="decimal"/>
      <w:suff w:val="nothing"/>
      <w:lvlText w:val="%1、"/>
      <w:lvlJc w:val="left"/>
    </w:lvl>
  </w:abstractNum>
  <w:abstractNum w:abstractNumId="55">
    <w:nsid w:val="EF4B5F13"/>
    <w:multiLevelType w:val="singleLevel"/>
    <w:tmpl w:val="EF4B5F13"/>
    <w:lvl w:ilvl="0" w:tentative="0">
      <w:start w:val="1"/>
      <w:numFmt w:val="decimal"/>
      <w:suff w:val="nothing"/>
      <w:lvlText w:val="%1、"/>
      <w:lvlJc w:val="left"/>
    </w:lvl>
  </w:abstractNum>
  <w:abstractNum w:abstractNumId="56">
    <w:nsid w:val="EFBE2608"/>
    <w:multiLevelType w:val="singleLevel"/>
    <w:tmpl w:val="EFBE2608"/>
    <w:lvl w:ilvl="0" w:tentative="0">
      <w:start w:val="1"/>
      <w:numFmt w:val="decimal"/>
      <w:suff w:val="nothing"/>
      <w:lvlText w:val="%1、"/>
      <w:lvlJc w:val="left"/>
    </w:lvl>
  </w:abstractNum>
  <w:abstractNum w:abstractNumId="57">
    <w:nsid w:val="F37D1A25"/>
    <w:multiLevelType w:val="singleLevel"/>
    <w:tmpl w:val="F37D1A25"/>
    <w:lvl w:ilvl="0" w:tentative="0">
      <w:start w:val="1"/>
      <w:numFmt w:val="decimal"/>
      <w:suff w:val="nothing"/>
      <w:lvlText w:val="%1、"/>
      <w:lvlJc w:val="left"/>
    </w:lvl>
  </w:abstractNum>
  <w:abstractNum w:abstractNumId="58">
    <w:nsid w:val="F37F98C2"/>
    <w:multiLevelType w:val="singleLevel"/>
    <w:tmpl w:val="F37F98C2"/>
    <w:lvl w:ilvl="0" w:tentative="0">
      <w:start w:val="1"/>
      <w:numFmt w:val="decimal"/>
      <w:suff w:val="nothing"/>
      <w:lvlText w:val="%1、"/>
      <w:lvlJc w:val="left"/>
    </w:lvl>
  </w:abstractNum>
  <w:abstractNum w:abstractNumId="59">
    <w:nsid w:val="F3B6462C"/>
    <w:multiLevelType w:val="singleLevel"/>
    <w:tmpl w:val="F3B6462C"/>
    <w:lvl w:ilvl="0" w:tentative="0">
      <w:start w:val="1"/>
      <w:numFmt w:val="decimal"/>
      <w:suff w:val="nothing"/>
      <w:lvlText w:val="%1、"/>
      <w:lvlJc w:val="left"/>
    </w:lvl>
  </w:abstractNum>
  <w:abstractNum w:abstractNumId="60">
    <w:nsid w:val="F3BAB65F"/>
    <w:multiLevelType w:val="singleLevel"/>
    <w:tmpl w:val="F3BAB65F"/>
    <w:lvl w:ilvl="0" w:tentative="0">
      <w:start w:val="1"/>
      <w:numFmt w:val="decimal"/>
      <w:suff w:val="nothing"/>
      <w:lvlText w:val="%1、"/>
      <w:lvlJc w:val="left"/>
    </w:lvl>
  </w:abstractNum>
  <w:abstractNum w:abstractNumId="61">
    <w:nsid w:val="F3BFF4E8"/>
    <w:multiLevelType w:val="singleLevel"/>
    <w:tmpl w:val="F3BFF4E8"/>
    <w:lvl w:ilvl="0" w:tentative="0">
      <w:start w:val="1"/>
      <w:numFmt w:val="decimal"/>
      <w:suff w:val="nothing"/>
      <w:lvlText w:val="%1、"/>
      <w:lvlJc w:val="left"/>
    </w:lvl>
  </w:abstractNum>
  <w:abstractNum w:abstractNumId="62">
    <w:nsid w:val="F3E8F8F1"/>
    <w:multiLevelType w:val="singleLevel"/>
    <w:tmpl w:val="F3E8F8F1"/>
    <w:lvl w:ilvl="0" w:tentative="0">
      <w:start w:val="1"/>
      <w:numFmt w:val="decimal"/>
      <w:suff w:val="nothing"/>
      <w:lvlText w:val="（%1）"/>
      <w:lvlJc w:val="left"/>
      <w:pPr>
        <w:ind w:left="180" w:leftChars="0" w:firstLine="0" w:firstLineChars="0"/>
      </w:pPr>
    </w:lvl>
  </w:abstractNum>
  <w:abstractNum w:abstractNumId="63">
    <w:nsid w:val="F3FE7A02"/>
    <w:multiLevelType w:val="singleLevel"/>
    <w:tmpl w:val="F3FE7A02"/>
    <w:lvl w:ilvl="0" w:tentative="0">
      <w:start w:val="1"/>
      <w:numFmt w:val="decimal"/>
      <w:suff w:val="nothing"/>
      <w:lvlText w:val="%1、"/>
      <w:lvlJc w:val="left"/>
    </w:lvl>
  </w:abstractNum>
  <w:abstractNum w:abstractNumId="64">
    <w:nsid w:val="F5BE9E48"/>
    <w:multiLevelType w:val="singleLevel"/>
    <w:tmpl w:val="F5BE9E48"/>
    <w:lvl w:ilvl="0" w:tentative="0">
      <w:start w:val="1"/>
      <w:numFmt w:val="decimal"/>
      <w:suff w:val="nothing"/>
      <w:lvlText w:val="%1、"/>
      <w:lvlJc w:val="left"/>
    </w:lvl>
  </w:abstractNum>
  <w:abstractNum w:abstractNumId="65">
    <w:nsid w:val="F5FC6E84"/>
    <w:multiLevelType w:val="singleLevel"/>
    <w:tmpl w:val="F5FC6E84"/>
    <w:lvl w:ilvl="0" w:tentative="0">
      <w:start w:val="1"/>
      <w:numFmt w:val="decimal"/>
      <w:suff w:val="nothing"/>
      <w:lvlText w:val="%1、"/>
      <w:lvlJc w:val="left"/>
    </w:lvl>
  </w:abstractNum>
  <w:abstractNum w:abstractNumId="66">
    <w:nsid w:val="F6F2DC5D"/>
    <w:multiLevelType w:val="singleLevel"/>
    <w:tmpl w:val="F6F2DC5D"/>
    <w:lvl w:ilvl="0" w:tentative="0">
      <w:start w:val="1"/>
      <w:numFmt w:val="decimal"/>
      <w:suff w:val="nothing"/>
      <w:lvlText w:val="%1、"/>
      <w:lvlJc w:val="left"/>
    </w:lvl>
  </w:abstractNum>
  <w:abstractNum w:abstractNumId="67">
    <w:nsid w:val="F6F6F38F"/>
    <w:multiLevelType w:val="singleLevel"/>
    <w:tmpl w:val="F6F6F38F"/>
    <w:lvl w:ilvl="0" w:tentative="0">
      <w:start w:val="1"/>
      <w:numFmt w:val="decimal"/>
      <w:suff w:val="nothing"/>
      <w:lvlText w:val="%1、"/>
      <w:lvlJc w:val="left"/>
    </w:lvl>
  </w:abstractNum>
  <w:abstractNum w:abstractNumId="68">
    <w:nsid w:val="F6FE82E0"/>
    <w:multiLevelType w:val="singleLevel"/>
    <w:tmpl w:val="F6FE82E0"/>
    <w:lvl w:ilvl="0" w:tentative="0">
      <w:start w:val="1"/>
      <w:numFmt w:val="decimal"/>
      <w:lvlText w:val="%1."/>
      <w:lvlJc w:val="left"/>
      <w:pPr>
        <w:tabs>
          <w:tab w:val="left" w:pos="312"/>
        </w:tabs>
      </w:pPr>
    </w:lvl>
  </w:abstractNum>
  <w:abstractNum w:abstractNumId="69">
    <w:nsid w:val="F73E9E1C"/>
    <w:multiLevelType w:val="singleLevel"/>
    <w:tmpl w:val="F73E9E1C"/>
    <w:lvl w:ilvl="0" w:tentative="0">
      <w:start w:val="1"/>
      <w:numFmt w:val="decimal"/>
      <w:suff w:val="nothing"/>
      <w:lvlText w:val="%1、"/>
      <w:lvlJc w:val="left"/>
    </w:lvl>
  </w:abstractNum>
  <w:abstractNum w:abstractNumId="70">
    <w:nsid w:val="F7CD41A6"/>
    <w:multiLevelType w:val="singleLevel"/>
    <w:tmpl w:val="F7CD41A6"/>
    <w:lvl w:ilvl="0" w:tentative="0">
      <w:start w:val="1"/>
      <w:numFmt w:val="decimal"/>
      <w:suff w:val="nothing"/>
      <w:lvlText w:val="%1、"/>
      <w:lvlJc w:val="left"/>
    </w:lvl>
  </w:abstractNum>
  <w:abstractNum w:abstractNumId="71">
    <w:nsid w:val="F7E6E37D"/>
    <w:multiLevelType w:val="singleLevel"/>
    <w:tmpl w:val="F7E6E37D"/>
    <w:lvl w:ilvl="0" w:tentative="0">
      <w:start w:val="1"/>
      <w:numFmt w:val="decimal"/>
      <w:suff w:val="nothing"/>
      <w:lvlText w:val="%1、"/>
      <w:lvlJc w:val="left"/>
    </w:lvl>
  </w:abstractNum>
  <w:abstractNum w:abstractNumId="72">
    <w:nsid w:val="F7EDA295"/>
    <w:multiLevelType w:val="singleLevel"/>
    <w:tmpl w:val="F7EDA295"/>
    <w:lvl w:ilvl="0" w:tentative="0">
      <w:start w:val="1"/>
      <w:numFmt w:val="decimal"/>
      <w:suff w:val="nothing"/>
      <w:lvlText w:val="%1、"/>
      <w:lvlJc w:val="left"/>
    </w:lvl>
  </w:abstractNum>
  <w:abstractNum w:abstractNumId="73">
    <w:nsid w:val="F8767228"/>
    <w:multiLevelType w:val="singleLevel"/>
    <w:tmpl w:val="F8767228"/>
    <w:lvl w:ilvl="0" w:tentative="0">
      <w:start w:val="1"/>
      <w:numFmt w:val="decimal"/>
      <w:suff w:val="nothing"/>
      <w:lvlText w:val="%1、"/>
      <w:lvlJc w:val="left"/>
    </w:lvl>
  </w:abstractNum>
  <w:abstractNum w:abstractNumId="74">
    <w:nsid w:val="F8BBC791"/>
    <w:multiLevelType w:val="singleLevel"/>
    <w:tmpl w:val="F8BBC791"/>
    <w:lvl w:ilvl="0" w:tentative="0">
      <w:start w:val="1"/>
      <w:numFmt w:val="decimal"/>
      <w:suff w:val="nothing"/>
      <w:lvlText w:val="%1、"/>
      <w:lvlJc w:val="left"/>
    </w:lvl>
  </w:abstractNum>
  <w:abstractNum w:abstractNumId="75">
    <w:nsid w:val="F9E7B7D2"/>
    <w:multiLevelType w:val="singleLevel"/>
    <w:tmpl w:val="F9E7B7D2"/>
    <w:lvl w:ilvl="0" w:tentative="0">
      <w:start w:val="1"/>
      <w:numFmt w:val="decimal"/>
      <w:suff w:val="nothing"/>
      <w:lvlText w:val="%1、"/>
      <w:lvlJc w:val="left"/>
    </w:lvl>
  </w:abstractNum>
  <w:abstractNum w:abstractNumId="76">
    <w:nsid w:val="F9F550D0"/>
    <w:multiLevelType w:val="singleLevel"/>
    <w:tmpl w:val="F9F550D0"/>
    <w:lvl w:ilvl="0" w:tentative="0">
      <w:start w:val="1"/>
      <w:numFmt w:val="decimal"/>
      <w:suff w:val="nothing"/>
      <w:lvlText w:val="%1、"/>
      <w:lvlJc w:val="left"/>
    </w:lvl>
  </w:abstractNum>
  <w:abstractNum w:abstractNumId="77">
    <w:nsid w:val="F9F8A75F"/>
    <w:multiLevelType w:val="singleLevel"/>
    <w:tmpl w:val="F9F8A75F"/>
    <w:lvl w:ilvl="0" w:tentative="0">
      <w:start w:val="1"/>
      <w:numFmt w:val="decimal"/>
      <w:suff w:val="nothing"/>
      <w:lvlText w:val="%1、"/>
      <w:lvlJc w:val="left"/>
    </w:lvl>
  </w:abstractNum>
  <w:abstractNum w:abstractNumId="78">
    <w:nsid w:val="FA7DCC59"/>
    <w:multiLevelType w:val="singleLevel"/>
    <w:tmpl w:val="FA7DCC59"/>
    <w:lvl w:ilvl="0" w:tentative="0">
      <w:start w:val="1"/>
      <w:numFmt w:val="decimal"/>
      <w:suff w:val="nothing"/>
      <w:lvlText w:val="%1、"/>
      <w:lvlJc w:val="left"/>
    </w:lvl>
  </w:abstractNum>
  <w:abstractNum w:abstractNumId="79">
    <w:nsid w:val="FABD8721"/>
    <w:multiLevelType w:val="singleLevel"/>
    <w:tmpl w:val="FABD8721"/>
    <w:lvl w:ilvl="0" w:tentative="0">
      <w:start w:val="1"/>
      <w:numFmt w:val="decimal"/>
      <w:suff w:val="nothing"/>
      <w:lvlText w:val="%1、"/>
      <w:lvlJc w:val="left"/>
    </w:lvl>
  </w:abstractNum>
  <w:abstractNum w:abstractNumId="80">
    <w:nsid w:val="FBDF9672"/>
    <w:multiLevelType w:val="singleLevel"/>
    <w:tmpl w:val="FBDF9672"/>
    <w:lvl w:ilvl="0" w:tentative="0">
      <w:start w:val="1"/>
      <w:numFmt w:val="decimal"/>
      <w:suff w:val="nothing"/>
      <w:lvlText w:val="%1、"/>
      <w:lvlJc w:val="left"/>
    </w:lvl>
  </w:abstractNum>
  <w:abstractNum w:abstractNumId="81">
    <w:nsid w:val="FD3EAD52"/>
    <w:multiLevelType w:val="singleLevel"/>
    <w:tmpl w:val="FD3EAD52"/>
    <w:lvl w:ilvl="0" w:tentative="0">
      <w:start w:val="1"/>
      <w:numFmt w:val="decimal"/>
      <w:suff w:val="nothing"/>
      <w:lvlText w:val="%1、"/>
      <w:lvlJc w:val="left"/>
    </w:lvl>
  </w:abstractNum>
  <w:abstractNum w:abstractNumId="82">
    <w:nsid w:val="FDEEBD08"/>
    <w:multiLevelType w:val="singleLevel"/>
    <w:tmpl w:val="FDEEBD08"/>
    <w:lvl w:ilvl="0" w:tentative="0">
      <w:start w:val="1"/>
      <w:numFmt w:val="decimal"/>
      <w:suff w:val="nothing"/>
      <w:lvlText w:val="%1、"/>
      <w:lvlJc w:val="left"/>
    </w:lvl>
  </w:abstractNum>
  <w:abstractNum w:abstractNumId="83">
    <w:nsid w:val="FDF66624"/>
    <w:multiLevelType w:val="singleLevel"/>
    <w:tmpl w:val="FDF66624"/>
    <w:lvl w:ilvl="0" w:tentative="0">
      <w:start w:val="1"/>
      <w:numFmt w:val="decimal"/>
      <w:suff w:val="nothing"/>
      <w:lvlText w:val="%1、"/>
      <w:lvlJc w:val="left"/>
    </w:lvl>
  </w:abstractNum>
  <w:abstractNum w:abstractNumId="84">
    <w:nsid w:val="FDF73B4E"/>
    <w:multiLevelType w:val="singleLevel"/>
    <w:tmpl w:val="FDF73B4E"/>
    <w:lvl w:ilvl="0" w:tentative="0">
      <w:start w:val="1"/>
      <w:numFmt w:val="decimal"/>
      <w:suff w:val="nothing"/>
      <w:lvlText w:val="%1、"/>
      <w:lvlJc w:val="left"/>
    </w:lvl>
  </w:abstractNum>
  <w:abstractNum w:abstractNumId="85">
    <w:nsid w:val="FE56CAEC"/>
    <w:multiLevelType w:val="singleLevel"/>
    <w:tmpl w:val="FE56CAEC"/>
    <w:lvl w:ilvl="0" w:tentative="0">
      <w:start w:val="1"/>
      <w:numFmt w:val="decimal"/>
      <w:suff w:val="nothing"/>
      <w:lvlText w:val="%1、"/>
      <w:lvlJc w:val="left"/>
    </w:lvl>
  </w:abstractNum>
  <w:abstractNum w:abstractNumId="86">
    <w:nsid w:val="FE7BAD1B"/>
    <w:multiLevelType w:val="singleLevel"/>
    <w:tmpl w:val="FE7BAD1B"/>
    <w:lvl w:ilvl="0" w:tentative="0">
      <w:start w:val="1"/>
      <w:numFmt w:val="decimal"/>
      <w:suff w:val="nothing"/>
      <w:lvlText w:val="%1、"/>
      <w:lvlJc w:val="left"/>
    </w:lvl>
  </w:abstractNum>
  <w:abstractNum w:abstractNumId="87">
    <w:nsid w:val="FECF2A9A"/>
    <w:multiLevelType w:val="singleLevel"/>
    <w:tmpl w:val="FECF2A9A"/>
    <w:lvl w:ilvl="0" w:tentative="0">
      <w:start w:val="1"/>
      <w:numFmt w:val="decimal"/>
      <w:suff w:val="nothing"/>
      <w:lvlText w:val="%1、"/>
      <w:lvlJc w:val="left"/>
    </w:lvl>
  </w:abstractNum>
  <w:abstractNum w:abstractNumId="88">
    <w:nsid w:val="FEFEF93F"/>
    <w:multiLevelType w:val="singleLevel"/>
    <w:tmpl w:val="FEFEF93F"/>
    <w:lvl w:ilvl="0" w:tentative="0">
      <w:start w:val="1"/>
      <w:numFmt w:val="decimal"/>
      <w:suff w:val="nothing"/>
      <w:lvlText w:val="%1、"/>
      <w:lvlJc w:val="left"/>
    </w:lvl>
  </w:abstractNum>
  <w:abstractNum w:abstractNumId="89">
    <w:nsid w:val="FEFFA4A3"/>
    <w:multiLevelType w:val="singleLevel"/>
    <w:tmpl w:val="FEFFA4A3"/>
    <w:lvl w:ilvl="0" w:tentative="0">
      <w:start w:val="1"/>
      <w:numFmt w:val="decimal"/>
      <w:suff w:val="nothing"/>
      <w:lvlText w:val="%1、"/>
      <w:lvlJc w:val="left"/>
    </w:lvl>
  </w:abstractNum>
  <w:abstractNum w:abstractNumId="90">
    <w:nsid w:val="FF5F05EE"/>
    <w:multiLevelType w:val="singleLevel"/>
    <w:tmpl w:val="FF5F05EE"/>
    <w:lvl w:ilvl="0" w:tentative="0">
      <w:start w:val="1"/>
      <w:numFmt w:val="decimal"/>
      <w:suff w:val="nothing"/>
      <w:lvlText w:val="%1、"/>
      <w:lvlJc w:val="left"/>
    </w:lvl>
  </w:abstractNum>
  <w:abstractNum w:abstractNumId="91">
    <w:nsid w:val="FFB83619"/>
    <w:multiLevelType w:val="singleLevel"/>
    <w:tmpl w:val="FFB83619"/>
    <w:lvl w:ilvl="0" w:tentative="0">
      <w:start w:val="1"/>
      <w:numFmt w:val="decimal"/>
      <w:suff w:val="nothing"/>
      <w:lvlText w:val="%1、"/>
      <w:lvlJc w:val="left"/>
    </w:lvl>
  </w:abstractNum>
  <w:abstractNum w:abstractNumId="92">
    <w:nsid w:val="FFD44B51"/>
    <w:multiLevelType w:val="singleLevel"/>
    <w:tmpl w:val="FFD44B51"/>
    <w:lvl w:ilvl="0" w:tentative="0">
      <w:start w:val="1"/>
      <w:numFmt w:val="decimal"/>
      <w:suff w:val="nothing"/>
      <w:lvlText w:val="%1、"/>
      <w:lvlJc w:val="left"/>
    </w:lvl>
  </w:abstractNum>
  <w:abstractNum w:abstractNumId="93">
    <w:nsid w:val="FFE34350"/>
    <w:multiLevelType w:val="singleLevel"/>
    <w:tmpl w:val="FFE34350"/>
    <w:lvl w:ilvl="0" w:tentative="0">
      <w:start w:val="1"/>
      <w:numFmt w:val="decimal"/>
      <w:suff w:val="nothing"/>
      <w:lvlText w:val="%1、"/>
      <w:lvlJc w:val="left"/>
    </w:lvl>
  </w:abstractNum>
  <w:abstractNum w:abstractNumId="94">
    <w:nsid w:val="FFEB3CED"/>
    <w:multiLevelType w:val="singleLevel"/>
    <w:tmpl w:val="FFEB3CED"/>
    <w:lvl w:ilvl="0" w:tentative="0">
      <w:start w:val="1"/>
      <w:numFmt w:val="decimal"/>
      <w:suff w:val="nothing"/>
      <w:lvlText w:val="%1、"/>
      <w:lvlJc w:val="left"/>
    </w:lvl>
  </w:abstractNum>
  <w:abstractNum w:abstractNumId="95">
    <w:nsid w:val="FFEF6EC9"/>
    <w:multiLevelType w:val="singleLevel"/>
    <w:tmpl w:val="FFEF6EC9"/>
    <w:lvl w:ilvl="0" w:tentative="0">
      <w:start w:val="1"/>
      <w:numFmt w:val="decimal"/>
      <w:suff w:val="nothing"/>
      <w:lvlText w:val="%1、"/>
      <w:lvlJc w:val="left"/>
    </w:lvl>
  </w:abstractNum>
  <w:abstractNum w:abstractNumId="96">
    <w:nsid w:val="FFF588B6"/>
    <w:multiLevelType w:val="singleLevel"/>
    <w:tmpl w:val="FFF588B6"/>
    <w:lvl w:ilvl="0" w:tentative="0">
      <w:start w:val="1"/>
      <w:numFmt w:val="decimal"/>
      <w:suff w:val="nothing"/>
      <w:lvlText w:val="%1、"/>
      <w:lvlJc w:val="left"/>
    </w:lvl>
  </w:abstractNum>
  <w:abstractNum w:abstractNumId="97">
    <w:nsid w:val="FFF70FD6"/>
    <w:multiLevelType w:val="singleLevel"/>
    <w:tmpl w:val="FFF70FD6"/>
    <w:lvl w:ilvl="0" w:tentative="0">
      <w:start w:val="1"/>
      <w:numFmt w:val="decimal"/>
      <w:suff w:val="nothing"/>
      <w:lvlText w:val="%1、"/>
      <w:lvlJc w:val="left"/>
    </w:lvl>
  </w:abstractNum>
  <w:abstractNum w:abstractNumId="98">
    <w:nsid w:val="FFF8F179"/>
    <w:multiLevelType w:val="singleLevel"/>
    <w:tmpl w:val="FFF8F179"/>
    <w:lvl w:ilvl="0" w:tentative="0">
      <w:start w:val="1"/>
      <w:numFmt w:val="decimal"/>
      <w:suff w:val="nothing"/>
      <w:lvlText w:val="%1、"/>
      <w:lvlJc w:val="left"/>
    </w:lvl>
  </w:abstractNum>
  <w:abstractNum w:abstractNumId="99">
    <w:nsid w:val="FFFB27F3"/>
    <w:multiLevelType w:val="singleLevel"/>
    <w:tmpl w:val="FFFB27F3"/>
    <w:lvl w:ilvl="0" w:tentative="0">
      <w:start w:val="1"/>
      <w:numFmt w:val="decimal"/>
      <w:suff w:val="nothing"/>
      <w:lvlText w:val="%1、"/>
      <w:lvlJc w:val="left"/>
    </w:lvl>
  </w:abstractNum>
  <w:abstractNum w:abstractNumId="100">
    <w:nsid w:val="FFFEDD5A"/>
    <w:multiLevelType w:val="singleLevel"/>
    <w:tmpl w:val="FFFEDD5A"/>
    <w:lvl w:ilvl="0" w:tentative="0">
      <w:start w:val="1"/>
      <w:numFmt w:val="decimal"/>
      <w:suff w:val="nothing"/>
      <w:lvlText w:val="%1、"/>
      <w:lvlJc w:val="left"/>
    </w:lvl>
  </w:abstractNum>
  <w:abstractNum w:abstractNumId="101">
    <w:nsid w:val="FFFF027B"/>
    <w:multiLevelType w:val="singleLevel"/>
    <w:tmpl w:val="FFFF027B"/>
    <w:lvl w:ilvl="0" w:tentative="0">
      <w:start w:val="1"/>
      <w:numFmt w:val="decimal"/>
      <w:suff w:val="nothing"/>
      <w:lvlText w:val="%1、"/>
      <w:lvlJc w:val="left"/>
    </w:lvl>
  </w:abstractNum>
  <w:abstractNum w:abstractNumId="102">
    <w:nsid w:val="FFFF15A7"/>
    <w:multiLevelType w:val="singleLevel"/>
    <w:tmpl w:val="FFFF15A7"/>
    <w:lvl w:ilvl="0" w:tentative="0">
      <w:start w:val="1"/>
      <w:numFmt w:val="decimal"/>
      <w:suff w:val="nothing"/>
      <w:lvlText w:val="%1、"/>
      <w:lvlJc w:val="left"/>
    </w:lvl>
  </w:abstractNum>
  <w:abstractNum w:abstractNumId="103">
    <w:nsid w:val="FFFF37B4"/>
    <w:multiLevelType w:val="singleLevel"/>
    <w:tmpl w:val="FFFF37B4"/>
    <w:lvl w:ilvl="0" w:tentative="0">
      <w:start w:val="1"/>
      <w:numFmt w:val="decimal"/>
      <w:suff w:val="nothing"/>
      <w:lvlText w:val="%1、"/>
      <w:lvlJc w:val="left"/>
    </w:lvl>
  </w:abstractNum>
  <w:abstractNum w:abstractNumId="104">
    <w:nsid w:val="0A793735"/>
    <w:multiLevelType w:val="singleLevel"/>
    <w:tmpl w:val="0A793735"/>
    <w:lvl w:ilvl="0" w:tentative="0">
      <w:start w:val="1"/>
      <w:numFmt w:val="decimal"/>
      <w:lvlText w:val="%1."/>
      <w:lvlJc w:val="left"/>
      <w:pPr>
        <w:tabs>
          <w:tab w:val="left" w:pos="312"/>
        </w:tabs>
      </w:pPr>
    </w:lvl>
  </w:abstractNum>
  <w:abstractNum w:abstractNumId="105">
    <w:nsid w:val="1BEAFB6D"/>
    <w:multiLevelType w:val="singleLevel"/>
    <w:tmpl w:val="1BEAFB6D"/>
    <w:lvl w:ilvl="0" w:tentative="0">
      <w:start w:val="1"/>
      <w:numFmt w:val="decimal"/>
      <w:suff w:val="nothing"/>
      <w:lvlText w:val="%1、"/>
      <w:lvlJc w:val="left"/>
    </w:lvl>
  </w:abstractNum>
  <w:abstractNum w:abstractNumId="106">
    <w:nsid w:val="1FBCBD7C"/>
    <w:multiLevelType w:val="singleLevel"/>
    <w:tmpl w:val="1FBCBD7C"/>
    <w:lvl w:ilvl="0" w:tentative="0">
      <w:start w:val="1"/>
      <w:numFmt w:val="decimal"/>
      <w:suff w:val="nothing"/>
      <w:lvlText w:val="%1、"/>
      <w:lvlJc w:val="left"/>
    </w:lvl>
  </w:abstractNum>
  <w:abstractNum w:abstractNumId="107">
    <w:nsid w:val="287E0F9D"/>
    <w:multiLevelType w:val="singleLevel"/>
    <w:tmpl w:val="287E0F9D"/>
    <w:lvl w:ilvl="0" w:tentative="0">
      <w:start w:val="1"/>
      <w:numFmt w:val="decimal"/>
      <w:suff w:val="nothing"/>
      <w:lvlText w:val="%1、"/>
      <w:lvlJc w:val="left"/>
    </w:lvl>
  </w:abstractNum>
  <w:abstractNum w:abstractNumId="108">
    <w:nsid w:val="313CCD6E"/>
    <w:multiLevelType w:val="singleLevel"/>
    <w:tmpl w:val="313CCD6E"/>
    <w:lvl w:ilvl="0" w:tentative="0">
      <w:start w:val="1"/>
      <w:numFmt w:val="decimal"/>
      <w:suff w:val="nothing"/>
      <w:lvlText w:val="%1、"/>
      <w:lvlJc w:val="left"/>
    </w:lvl>
  </w:abstractNum>
  <w:abstractNum w:abstractNumId="109">
    <w:nsid w:val="3BBC5866"/>
    <w:multiLevelType w:val="singleLevel"/>
    <w:tmpl w:val="3BBC5866"/>
    <w:lvl w:ilvl="0" w:tentative="0">
      <w:start w:val="1"/>
      <w:numFmt w:val="decimal"/>
      <w:suff w:val="nothing"/>
      <w:lvlText w:val="%1、"/>
      <w:lvlJc w:val="left"/>
    </w:lvl>
  </w:abstractNum>
  <w:abstractNum w:abstractNumId="110">
    <w:nsid w:val="3EFF0ED4"/>
    <w:multiLevelType w:val="singleLevel"/>
    <w:tmpl w:val="3EFF0ED4"/>
    <w:lvl w:ilvl="0" w:tentative="0">
      <w:start w:val="1"/>
      <w:numFmt w:val="decimal"/>
      <w:suff w:val="nothing"/>
      <w:lvlText w:val="%1、"/>
      <w:lvlJc w:val="left"/>
    </w:lvl>
  </w:abstractNum>
  <w:abstractNum w:abstractNumId="111">
    <w:nsid w:val="45B6B7D6"/>
    <w:multiLevelType w:val="singleLevel"/>
    <w:tmpl w:val="45B6B7D6"/>
    <w:lvl w:ilvl="0" w:tentative="0">
      <w:start w:val="1"/>
      <w:numFmt w:val="decimal"/>
      <w:suff w:val="nothing"/>
      <w:lvlText w:val="%1、"/>
      <w:lvlJc w:val="left"/>
    </w:lvl>
  </w:abstractNum>
  <w:abstractNum w:abstractNumId="112">
    <w:nsid w:val="561F42AC"/>
    <w:multiLevelType w:val="singleLevel"/>
    <w:tmpl w:val="561F42AC"/>
    <w:lvl w:ilvl="0" w:tentative="0">
      <w:start w:val="2"/>
      <w:numFmt w:val="decimal"/>
      <w:suff w:val="nothing"/>
      <w:lvlText w:val="%1."/>
      <w:lvlJc w:val="left"/>
    </w:lvl>
  </w:abstractNum>
  <w:abstractNum w:abstractNumId="113">
    <w:nsid w:val="57684796"/>
    <w:multiLevelType w:val="singleLevel"/>
    <w:tmpl w:val="57684796"/>
    <w:lvl w:ilvl="0" w:tentative="0">
      <w:start w:val="2"/>
      <w:numFmt w:val="chineseCounting"/>
      <w:suff w:val="nothing"/>
      <w:lvlText w:val="（%1）"/>
      <w:lvlJc w:val="left"/>
      <w:rPr>
        <w:rFonts w:hint="eastAsia"/>
      </w:rPr>
    </w:lvl>
  </w:abstractNum>
  <w:abstractNum w:abstractNumId="114">
    <w:nsid w:val="57CFF217"/>
    <w:multiLevelType w:val="singleLevel"/>
    <w:tmpl w:val="57CFF217"/>
    <w:lvl w:ilvl="0" w:tentative="0">
      <w:start w:val="1"/>
      <w:numFmt w:val="decimal"/>
      <w:suff w:val="nothing"/>
      <w:lvlText w:val="%1、"/>
      <w:lvlJc w:val="left"/>
    </w:lvl>
  </w:abstractNum>
  <w:abstractNum w:abstractNumId="115">
    <w:nsid w:val="59B11739"/>
    <w:multiLevelType w:val="singleLevel"/>
    <w:tmpl w:val="59B11739"/>
    <w:lvl w:ilvl="0" w:tentative="0">
      <w:start w:val="1"/>
      <w:numFmt w:val="decimal"/>
      <w:suff w:val="nothing"/>
      <w:lvlText w:val="（%1）"/>
      <w:lvlJc w:val="left"/>
    </w:lvl>
  </w:abstractNum>
  <w:abstractNum w:abstractNumId="116">
    <w:nsid w:val="59FC3CC6"/>
    <w:multiLevelType w:val="singleLevel"/>
    <w:tmpl w:val="59FC3CC6"/>
    <w:lvl w:ilvl="0" w:tentative="0">
      <w:start w:val="1"/>
      <w:numFmt w:val="decimal"/>
      <w:suff w:val="nothing"/>
      <w:lvlText w:val="（%1）"/>
      <w:lvlJc w:val="left"/>
      <w:pPr>
        <w:ind w:left="720"/>
      </w:pPr>
    </w:lvl>
  </w:abstractNum>
  <w:abstractNum w:abstractNumId="117">
    <w:nsid w:val="59FC3E95"/>
    <w:multiLevelType w:val="singleLevel"/>
    <w:tmpl w:val="59FC3E95"/>
    <w:lvl w:ilvl="0" w:tentative="0">
      <w:start w:val="1"/>
      <w:numFmt w:val="decimal"/>
      <w:lvlText w:val="(%1)"/>
      <w:lvlJc w:val="left"/>
      <w:pPr>
        <w:tabs>
          <w:tab w:val="left" w:pos="312"/>
        </w:tabs>
      </w:pPr>
    </w:lvl>
  </w:abstractNum>
  <w:abstractNum w:abstractNumId="118">
    <w:nsid w:val="59FC4271"/>
    <w:multiLevelType w:val="singleLevel"/>
    <w:tmpl w:val="59FC4271"/>
    <w:lvl w:ilvl="0" w:tentative="0">
      <w:start w:val="1"/>
      <w:numFmt w:val="decimal"/>
      <w:suff w:val="nothing"/>
      <w:lvlText w:val="（%1）"/>
      <w:lvlJc w:val="left"/>
    </w:lvl>
  </w:abstractNum>
  <w:abstractNum w:abstractNumId="119">
    <w:nsid w:val="59FC4698"/>
    <w:multiLevelType w:val="singleLevel"/>
    <w:tmpl w:val="59FC4698"/>
    <w:lvl w:ilvl="0" w:tentative="0">
      <w:start w:val="1"/>
      <w:numFmt w:val="decimal"/>
      <w:suff w:val="nothing"/>
      <w:lvlText w:val="（%1）"/>
      <w:lvlJc w:val="left"/>
    </w:lvl>
  </w:abstractNum>
  <w:abstractNum w:abstractNumId="120">
    <w:nsid w:val="59FC4CCC"/>
    <w:multiLevelType w:val="singleLevel"/>
    <w:tmpl w:val="59FC4CCC"/>
    <w:lvl w:ilvl="0" w:tentative="0">
      <w:start w:val="1"/>
      <w:numFmt w:val="decimal"/>
      <w:suff w:val="nothing"/>
      <w:lvlText w:val="（%1）"/>
      <w:lvlJc w:val="left"/>
    </w:lvl>
  </w:abstractNum>
  <w:abstractNum w:abstractNumId="121">
    <w:nsid w:val="5EFEE1DB"/>
    <w:multiLevelType w:val="singleLevel"/>
    <w:tmpl w:val="5EFEE1DB"/>
    <w:lvl w:ilvl="0" w:tentative="0">
      <w:start w:val="1"/>
      <w:numFmt w:val="decimal"/>
      <w:suff w:val="nothing"/>
      <w:lvlText w:val="%1、"/>
      <w:lvlJc w:val="left"/>
    </w:lvl>
  </w:abstractNum>
  <w:abstractNum w:abstractNumId="122">
    <w:nsid w:val="5FBA0CDB"/>
    <w:multiLevelType w:val="singleLevel"/>
    <w:tmpl w:val="5FBA0CDB"/>
    <w:lvl w:ilvl="0" w:tentative="0">
      <w:start w:val="1"/>
      <w:numFmt w:val="decimal"/>
      <w:suff w:val="nothing"/>
      <w:lvlText w:val="%1、"/>
      <w:lvlJc w:val="left"/>
    </w:lvl>
  </w:abstractNum>
  <w:abstractNum w:abstractNumId="123">
    <w:nsid w:val="5FBB3C7D"/>
    <w:multiLevelType w:val="singleLevel"/>
    <w:tmpl w:val="5FBB3C7D"/>
    <w:lvl w:ilvl="0" w:tentative="0">
      <w:start w:val="1"/>
      <w:numFmt w:val="decimal"/>
      <w:suff w:val="nothing"/>
      <w:lvlText w:val="%1、"/>
      <w:lvlJc w:val="left"/>
    </w:lvl>
  </w:abstractNum>
  <w:abstractNum w:abstractNumId="124">
    <w:nsid w:val="66FACB83"/>
    <w:multiLevelType w:val="singleLevel"/>
    <w:tmpl w:val="66FACB83"/>
    <w:lvl w:ilvl="0" w:tentative="0">
      <w:start w:val="1"/>
      <w:numFmt w:val="decimal"/>
      <w:suff w:val="nothing"/>
      <w:lvlText w:val="%1、"/>
      <w:lvlJc w:val="left"/>
    </w:lvl>
  </w:abstractNum>
  <w:abstractNum w:abstractNumId="125">
    <w:nsid w:val="67FFAB08"/>
    <w:multiLevelType w:val="singleLevel"/>
    <w:tmpl w:val="67FFAB08"/>
    <w:lvl w:ilvl="0" w:tentative="0">
      <w:start w:val="1"/>
      <w:numFmt w:val="decimal"/>
      <w:suff w:val="nothing"/>
      <w:lvlText w:val="%1、"/>
      <w:lvlJc w:val="left"/>
    </w:lvl>
  </w:abstractNum>
  <w:abstractNum w:abstractNumId="126">
    <w:nsid w:val="6D5F1F83"/>
    <w:multiLevelType w:val="singleLevel"/>
    <w:tmpl w:val="6D5F1F83"/>
    <w:lvl w:ilvl="0" w:tentative="0">
      <w:start w:val="1"/>
      <w:numFmt w:val="decimal"/>
      <w:suff w:val="nothing"/>
      <w:lvlText w:val="%1、"/>
      <w:lvlJc w:val="left"/>
    </w:lvl>
  </w:abstractNum>
  <w:abstractNum w:abstractNumId="127">
    <w:nsid w:val="6D7DDE8F"/>
    <w:multiLevelType w:val="singleLevel"/>
    <w:tmpl w:val="6D7DDE8F"/>
    <w:lvl w:ilvl="0" w:tentative="0">
      <w:start w:val="1"/>
      <w:numFmt w:val="decimal"/>
      <w:suff w:val="nothing"/>
      <w:lvlText w:val="%1、"/>
      <w:lvlJc w:val="left"/>
    </w:lvl>
  </w:abstractNum>
  <w:abstractNum w:abstractNumId="128">
    <w:nsid w:val="6E6A30DB"/>
    <w:multiLevelType w:val="singleLevel"/>
    <w:tmpl w:val="6E6A30DB"/>
    <w:lvl w:ilvl="0" w:tentative="0">
      <w:start w:val="1"/>
      <w:numFmt w:val="decimal"/>
      <w:suff w:val="nothing"/>
      <w:lvlText w:val="%1、"/>
      <w:lvlJc w:val="left"/>
    </w:lvl>
  </w:abstractNum>
  <w:abstractNum w:abstractNumId="129">
    <w:nsid w:val="6EF612CC"/>
    <w:multiLevelType w:val="singleLevel"/>
    <w:tmpl w:val="6EF612CC"/>
    <w:lvl w:ilvl="0" w:tentative="0">
      <w:start w:val="1"/>
      <w:numFmt w:val="decimal"/>
      <w:suff w:val="nothing"/>
      <w:lvlText w:val="%1、"/>
      <w:lvlJc w:val="left"/>
    </w:lvl>
  </w:abstractNum>
  <w:abstractNum w:abstractNumId="130">
    <w:nsid w:val="6EFE13E6"/>
    <w:multiLevelType w:val="singleLevel"/>
    <w:tmpl w:val="6EFE13E6"/>
    <w:lvl w:ilvl="0" w:tentative="0">
      <w:start w:val="1"/>
      <w:numFmt w:val="decimal"/>
      <w:suff w:val="nothing"/>
      <w:lvlText w:val="%1、"/>
      <w:lvlJc w:val="left"/>
    </w:lvl>
  </w:abstractNum>
  <w:abstractNum w:abstractNumId="131">
    <w:nsid w:val="73CE9AB6"/>
    <w:multiLevelType w:val="singleLevel"/>
    <w:tmpl w:val="73CE9AB6"/>
    <w:lvl w:ilvl="0" w:tentative="0">
      <w:start w:val="1"/>
      <w:numFmt w:val="decimal"/>
      <w:suff w:val="nothing"/>
      <w:lvlText w:val="%1、"/>
      <w:lvlJc w:val="left"/>
    </w:lvl>
  </w:abstractNum>
  <w:abstractNum w:abstractNumId="132">
    <w:nsid w:val="74FF3DCE"/>
    <w:multiLevelType w:val="singleLevel"/>
    <w:tmpl w:val="74FF3DCE"/>
    <w:lvl w:ilvl="0" w:tentative="0">
      <w:start w:val="1"/>
      <w:numFmt w:val="decimal"/>
      <w:suff w:val="nothing"/>
      <w:lvlText w:val="%1、"/>
      <w:lvlJc w:val="left"/>
    </w:lvl>
  </w:abstractNum>
  <w:abstractNum w:abstractNumId="133">
    <w:nsid w:val="74FFF1AB"/>
    <w:multiLevelType w:val="singleLevel"/>
    <w:tmpl w:val="74FFF1AB"/>
    <w:lvl w:ilvl="0" w:tentative="0">
      <w:start w:val="1"/>
      <w:numFmt w:val="decimal"/>
      <w:suff w:val="nothing"/>
      <w:lvlText w:val="%1、"/>
      <w:lvlJc w:val="left"/>
    </w:lvl>
  </w:abstractNum>
  <w:abstractNum w:abstractNumId="134">
    <w:nsid w:val="7B3A9F09"/>
    <w:multiLevelType w:val="singleLevel"/>
    <w:tmpl w:val="7B3A9F09"/>
    <w:lvl w:ilvl="0" w:tentative="0">
      <w:start w:val="1"/>
      <w:numFmt w:val="decimal"/>
      <w:suff w:val="nothing"/>
      <w:lvlText w:val="%1、"/>
      <w:lvlJc w:val="left"/>
    </w:lvl>
  </w:abstractNum>
  <w:abstractNum w:abstractNumId="135">
    <w:nsid w:val="7D973B71"/>
    <w:multiLevelType w:val="singleLevel"/>
    <w:tmpl w:val="7D973B71"/>
    <w:lvl w:ilvl="0" w:tentative="0">
      <w:start w:val="1"/>
      <w:numFmt w:val="decimal"/>
      <w:suff w:val="nothing"/>
      <w:lvlText w:val="%1、"/>
      <w:lvlJc w:val="left"/>
    </w:lvl>
  </w:abstractNum>
  <w:abstractNum w:abstractNumId="136">
    <w:nsid w:val="7DD38AA4"/>
    <w:multiLevelType w:val="singleLevel"/>
    <w:tmpl w:val="7DD38AA4"/>
    <w:lvl w:ilvl="0" w:tentative="0">
      <w:start w:val="1"/>
      <w:numFmt w:val="decimal"/>
      <w:suff w:val="nothing"/>
      <w:lvlText w:val="%1、"/>
      <w:lvlJc w:val="left"/>
    </w:lvl>
  </w:abstractNum>
  <w:abstractNum w:abstractNumId="137">
    <w:nsid w:val="7EAE1570"/>
    <w:multiLevelType w:val="singleLevel"/>
    <w:tmpl w:val="7EAE1570"/>
    <w:lvl w:ilvl="0" w:tentative="0">
      <w:start w:val="1"/>
      <w:numFmt w:val="decimal"/>
      <w:suff w:val="nothing"/>
      <w:lvlText w:val="%1、"/>
      <w:lvlJc w:val="left"/>
    </w:lvl>
  </w:abstractNum>
  <w:abstractNum w:abstractNumId="138">
    <w:nsid w:val="7EDE4464"/>
    <w:multiLevelType w:val="singleLevel"/>
    <w:tmpl w:val="7EDE4464"/>
    <w:lvl w:ilvl="0" w:tentative="0">
      <w:start w:val="1"/>
      <w:numFmt w:val="decimal"/>
      <w:suff w:val="nothing"/>
      <w:lvlText w:val="%1、"/>
      <w:lvlJc w:val="left"/>
    </w:lvl>
  </w:abstractNum>
  <w:abstractNum w:abstractNumId="139">
    <w:nsid w:val="7EEFB3FE"/>
    <w:multiLevelType w:val="singleLevel"/>
    <w:tmpl w:val="7EEFB3FE"/>
    <w:lvl w:ilvl="0" w:tentative="0">
      <w:start w:val="1"/>
      <w:numFmt w:val="decimal"/>
      <w:suff w:val="nothing"/>
      <w:lvlText w:val="%1、"/>
      <w:lvlJc w:val="left"/>
    </w:lvl>
  </w:abstractNum>
  <w:abstractNum w:abstractNumId="140">
    <w:nsid w:val="7F7A7F1C"/>
    <w:multiLevelType w:val="singleLevel"/>
    <w:tmpl w:val="7F7A7F1C"/>
    <w:lvl w:ilvl="0" w:tentative="0">
      <w:start w:val="1"/>
      <w:numFmt w:val="decimal"/>
      <w:suff w:val="nothing"/>
      <w:lvlText w:val="%1、"/>
      <w:lvlJc w:val="left"/>
    </w:lvl>
  </w:abstractNum>
  <w:abstractNum w:abstractNumId="141">
    <w:nsid w:val="7FBFC39C"/>
    <w:multiLevelType w:val="singleLevel"/>
    <w:tmpl w:val="7FBFC39C"/>
    <w:lvl w:ilvl="0" w:tentative="0">
      <w:start w:val="1"/>
      <w:numFmt w:val="decimal"/>
      <w:suff w:val="nothing"/>
      <w:lvlText w:val="%1、"/>
      <w:lvlJc w:val="left"/>
    </w:lvl>
  </w:abstractNum>
  <w:abstractNum w:abstractNumId="142">
    <w:nsid w:val="7FED1FE0"/>
    <w:multiLevelType w:val="singleLevel"/>
    <w:tmpl w:val="7FED1FE0"/>
    <w:lvl w:ilvl="0" w:tentative="0">
      <w:start w:val="1"/>
      <w:numFmt w:val="decimal"/>
      <w:suff w:val="nothing"/>
      <w:lvlText w:val="%1、"/>
      <w:lvlJc w:val="left"/>
    </w:lvl>
  </w:abstractNum>
  <w:abstractNum w:abstractNumId="143">
    <w:nsid w:val="7FF667DE"/>
    <w:multiLevelType w:val="singleLevel"/>
    <w:tmpl w:val="7FF667DE"/>
    <w:lvl w:ilvl="0" w:tentative="0">
      <w:start w:val="1"/>
      <w:numFmt w:val="decimal"/>
      <w:suff w:val="nothing"/>
      <w:lvlText w:val="%1、"/>
      <w:lvlJc w:val="left"/>
    </w:lvl>
  </w:abstractNum>
  <w:num w:numId="1">
    <w:abstractNumId w:val="28"/>
  </w:num>
  <w:num w:numId="2">
    <w:abstractNumId w:val="116"/>
  </w:num>
  <w:num w:numId="3">
    <w:abstractNumId w:val="117"/>
  </w:num>
  <w:num w:numId="4">
    <w:abstractNumId w:val="118"/>
  </w:num>
  <w:num w:numId="5">
    <w:abstractNumId w:val="119"/>
  </w:num>
  <w:num w:numId="6">
    <w:abstractNumId w:val="120"/>
  </w:num>
  <w:num w:numId="7">
    <w:abstractNumId w:val="115"/>
  </w:num>
  <w:num w:numId="8">
    <w:abstractNumId w:val="112"/>
  </w:num>
  <w:num w:numId="9">
    <w:abstractNumId w:val="15"/>
  </w:num>
  <w:num w:numId="10">
    <w:abstractNumId w:val="113"/>
  </w:num>
  <w:num w:numId="11">
    <w:abstractNumId w:val="43"/>
  </w:num>
  <w:num w:numId="12">
    <w:abstractNumId w:val="39"/>
  </w:num>
  <w:num w:numId="13">
    <w:abstractNumId w:val="20"/>
  </w:num>
  <w:num w:numId="14">
    <w:abstractNumId w:val="126"/>
  </w:num>
  <w:num w:numId="15">
    <w:abstractNumId w:val="124"/>
  </w:num>
  <w:num w:numId="16">
    <w:abstractNumId w:val="64"/>
  </w:num>
  <w:num w:numId="17">
    <w:abstractNumId w:val="86"/>
  </w:num>
  <w:num w:numId="18">
    <w:abstractNumId w:val="84"/>
  </w:num>
  <w:num w:numId="19">
    <w:abstractNumId w:val="67"/>
  </w:num>
  <w:num w:numId="20">
    <w:abstractNumId w:val="34"/>
  </w:num>
  <w:num w:numId="21">
    <w:abstractNumId w:val="29"/>
  </w:num>
  <w:num w:numId="22">
    <w:abstractNumId w:val="70"/>
  </w:num>
  <w:num w:numId="23">
    <w:abstractNumId w:val="114"/>
  </w:num>
  <w:num w:numId="24">
    <w:abstractNumId w:val="55"/>
  </w:num>
  <w:num w:numId="25">
    <w:abstractNumId w:val="48"/>
  </w:num>
  <w:num w:numId="26">
    <w:abstractNumId w:val="18"/>
  </w:num>
  <w:num w:numId="27">
    <w:abstractNumId w:val="129"/>
  </w:num>
  <w:num w:numId="28">
    <w:abstractNumId w:val="54"/>
  </w:num>
  <w:num w:numId="29">
    <w:abstractNumId w:val="93"/>
  </w:num>
  <w:num w:numId="30">
    <w:abstractNumId w:val="59"/>
  </w:num>
  <w:num w:numId="31">
    <w:abstractNumId w:val="60"/>
  </w:num>
  <w:num w:numId="32">
    <w:abstractNumId w:val="31"/>
  </w:num>
  <w:num w:numId="33">
    <w:abstractNumId w:val="30"/>
  </w:num>
  <w:num w:numId="34">
    <w:abstractNumId w:val="79"/>
  </w:num>
  <w:num w:numId="35">
    <w:abstractNumId w:val="100"/>
  </w:num>
  <w:num w:numId="36">
    <w:abstractNumId w:val="82"/>
  </w:num>
  <w:num w:numId="37">
    <w:abstractNumId w:val="8"/>
  </w:num>
  <w:num w:numId="38">
    <w:abstractNumId w:val="37"/>
  </w:num>
  <w:num w:numId="39">
    <w:abstractNumId w:val="7"/>
  </w:num>
  <w:num w:numId="40">
    <w:abstractNumId w:val="62"/>
  </w:num>
  <w:num w:numId="41">
    <w:abstractNumId w:val="88"/>
  </w:num>
  <w:num w:numId="42">
    <w:abstractNumId w:val="25"/>
  </w:num>
  <w:num w:numId="43">
    <w:abstractNumId w:val="21"/>
  </w:num>
  <w:num w:numId="44">
    <w:abstractNumId w:val="16"/>
  </w:num>
  <w:num w:numId="45">
    <w:abstractNumId w:val="71"/>
  </w:num>
  <w:num w:numId="46">
    <w:abstractNumId w:val="140"/>
  </w:num>
  <w:num w:numId="47">
    <w:abstractNumId w:val="35"/>
  </w:num>
  <w:num w:numId="48">
    <w:abstractNumId w:val="38"/>
  </w:num>
  <w:num w:numId="49">
    <w:abstractNumId w:val="99"/>
  </w:num>
  <w:num w:numId="50">
    <w:abstractNumId w:val="77"/>
  </w:num>
  <w:num w:numId="51">
    <w:abstractNumId w:val="50"/>
  </w:num>
  <w:num w:numId="52">
    <w:abstractNumId w:val="110"/>
  </w:num>
  <w:num w:numId="53">
    <w:abstractNumId w:val="87"/>
  </w:num>
  <w:num w:numId="54">
    <w:abstractNumId w:val="22"/>
  </w:num>
  <w:num w:numId="55">
    <w:abstractNumId w:val="19"/>
  </w:num>
  <w:num w:numId="56">
    <w:abstractNumId w:val="92"/>
  </w:num>
  <w:num w:numId="57">
    <w:abstractNumId w:val="132"/>
  </w:num>
  <w:num w:numId="58">
    <w:abstractNumId w:val="5"/>
  </w:num>
  <w:num w:numId="59">
    <w:abstractNumId w:val="27"/>
  </w:num>
  <w:num w:numId="60">
    <w:abstractNumId w:val="57"/>
  </w:num>
  <w:num w:numId="61">
    <w:abstractNumId w:val="143"/>
  </w:num>
  <w:num w:numId="62">
    <w:abstractNumId w:val="11"/>
  </w:num>
  <w:num w:numId="63">
    <w:abstractNumId w:val="47"/>
  </w:num>
  <w:num w:numId="64">
    <w:abstractNumId w:val="53"/>
  </w:num>
  <w:num w:numId="65">
    <w:abstractNumId w:val="127"/>
  </w:num>
  <w:num w:numId="66">
    <w:abstractNumId w:val="63"/>
  </w:num>
  <w:num w:numId="67">
    <w:abstractNumId w:val="42"/>
  </w:num>
  <w:num w:numId="68">
    <w:abstractNumId w:val="134"/>
  </w:num>
  <w:num w:numId="69">
    <w:abstractNumId w:val="89"/>
  </w:num>
  <w:num w:numId="70">
    <w:abstractNumId w:val="101"/>
  </w:num>
  <w:num w:numId="71">
    <w:abstractNumId w:val="103"/>
  </w:num>
  <w:num w:numId="72">
    <w:abstractNumId w:val="123"/>
  </w:num>
  <w:num w:numId="73">
    <w:abstractNumId w:val="131"/>
  </w:num>
  <w:num w:numId="74">
    <w:abstractNumId w:val="45"/>
  </w:num>
  <w:num w:numId="75">
    <w:abstractNumId w:val="94"/>
  </w:num>
  <w:num w:numId="76">
    <w:abstractNumId w:val="111"/>
  </w:num>
  <w:num w:numId="77">
    <w:abstractNumId w:val="12"/>
  </w:num>
  <w:num w:numId="78">
    <w:abstractNumId w:val="125"/>
  </w:num>
  <w:num w:numId="79">
    <w:abstractNumId w:val="46"/>
  </w:num>
  <w:num w:numId="80">
    <w:abstractNumId w:val="0"/>
  </w:num>
  <w:num w:numId="81">
    <w:abstractNumId w:val="44"/>
  </w:num>
  <w:num w:numId="82">
    <w:abstractNumId w:val="90"/>
  </w:num>
  <w:num w:numId="83">
    <w:abstractNumId w:val="52"/>
  </w:num>
  <w:num w:numId="84">
    <w:abstractNumId w:val="9"/>
  </w:num>
  <w:num w:numId="85">
    <w:abstractNumId w:val="135"/>
  </w:num>
  <w:num w:numId="86">
    <w:abstractNumId w:val="85"/>
  </w:num>
  <w:num w:numId="87">
    <w:abstractNumId w:val="49"/>
  </w:num>
  <w:num w:numId="88">
    <w:abstractNumId w:val="2"/>
  </w:num>
  <w:num w:numId="89">
    <w:abstractNumId w:val="40"/>
  </w:num>
  <w:num w:numId="90">
    <w:abstractNumId w:val="128"/>
  </w:num>
  <w:num w:numId="91">
    <w:abstractNumId w:val="106"/>
  </w:num>
  <w:num w:numId="92">
    <w:abstractNumId w:val="36"/>
  </w:num>
  <w:num w:numId="93">
    <w:abstractNumId w:val="109"/>
  </w:num>
  <w:num w:numId="94">
    <w:abstractNumId w:val="96"/>
  </w:num>
  <w:num w:numId="95">
    <w:abstractNumId w:val="91"/>
  </w:num>
  <w:num w:numId="96">
    <w:abstractNumId w:val="95"/>
  </w:num>
  <w:num w:numId="97">
    <w:abstractNumId w:val="10"/>
  </w:num>
  <w:num w:numId="98">
    <w:abstractNumId w:val="13"/>
  </w:num>
  <w:num w:numId="99">
    <w:abstractNumId w:val="130"/>
  </w:num>
  <w:num w:numId="100">
    <w:abstractNumId w:val="83"/>
  </w:num>
  <w:num w:numId="101">
    <w:abstractNumId w:val="58"/>
  </w:num>
  <w:num w:numId="102">
    <w:abstractNumId w:val="56"/>
  </w:num>
  <w:num w:numId="103">
    <w:abstractNumId w:val="17"/>
  </w:num>
  <w:num w:numId="104">
    <w:abstractNumId w:val="102"/>
  </w:num>
  <w:num w:numId="105">
    <w:abstractNumId w:val="14"/>
  </w:num>
  <w:num w:numId="106">
    <w:abstractNumId w:val="139"/>
  </w:num>
  <w:num w:numId="107">
    <w:abstractNumId w:val="80"/>
  </w:num>
  <w:num w:numId="108">
    <w:abstractNumId w:val="68"/>
  </w:num>
  <w:num w:numId="109">
    <w:abstractNumId w:val="104"/>
  </w:num>
  <w:num w:numId="110">
    <w:abstractNumId w:val="98"/>
  </w:num>
  <w:num w:numId="111">
    <w:abstractNumId w:val="61"/>
  </w:num>
  <w:num w:numId="112">
    <w:abstractNumId w:val="97"/>
  </w:num>
  <w:num w:numId="113">
    <w:abstractNumId w:val="32"/>
  </w:num>
  <w:num w:numId="114">
    <w:abstractNumId w:val="75"/>
  </w:num>
  <w:num w:numId="115">
    <w:abstractNumId w:val="41"/>
  </w:num>
  <w:num w:numId="116">
    <w:abstractNumId w:val="121"/>
  </w:num>
  <w:num w:numId="117">
    <w:abstractNumId w:val="72"/>
  </w:num>
  <w:num w:numId="118">
    <w:abstractNumId w:val="23"/>
  </w:num>
  <w:num w:numId="119">
    <w:abstractNumId w:val="24"/>
  </w:num>
  <w:num w:numId="120">
    <w:abstractNumId w:val="136"/>
  </w:num>
  <w:num w:numId="121">
    <w:abstractNumId w:val="65"/>
  </w:num>
  <w:num w:numId="122">
    <w:abstractNumId w:val="81"/>
  </w:num>
  <w:num w:numId="123">
    <w:abstractNumId w:val="73"/>
  </w:num>
  <w:num w:numId="124">
    <w:abstractNumId w:val="137"/>
  </w:num>
  <w:num w:numId="125">
    <w:abstractNumId w:val="142"/>
  </w:num>
  <w:num w:numId="126">
    <w:abstractNumId w:val="74"/>
  </w:num>
  <w:num w:numId="127">
    <w:abstractNumId w:val="51"/>
  </w:num>
  <w:num w:numId="128">
    <w:abstractNumId w:val="122"/>
  </w:num>
  <w:num w:numId="129">
    <w:abstractNumId w:val="1"/>
  </w:num>
  <w:num w:numId="130">
    <w:abstractNumId w:val="66"/>
  </w:num>
  <w:num w:numId="131">
    <w:abstractNumId w:val="133"/>
  </w:num>
  <w:num w:numId="132">
    <w:abstractNumId w:val="3"/>
  </w:num>
  <w:num w:numId="133">
    <w:abstractNumId w:val="6"/>
  </w:num>
  <w:num w:numId="134">
    <w:abstractNumId w:val="107"/>
  </w:num>
  <w:num w:numId="135">
    <w:abstractNumId w:val="33"/>
  </w:num>
  <w:num w:numId="136">
    <w:abstractNumId w:val="26"/>
  </w:num>
  <w:num w:numId="137">
    <w:abstractNumId w:val="76"/>
  </w:num>
  <w:num w:numId="138">
    <w:abstractNumId w:val="138"/>
  </w:num>
  <w:num w:numId="139">
    <w:abstractNumId w:val="4"/>
  </w:num>
  <w:num w:numId="140">
    <w:abstractNumId w:val="105"/>
  </w:num>
  <w:num w:numId="141">
    <w:abstractNumId w:val="141"/>
  </w:num>
  <w:num w:numId="142">
    <w:abstractNumId w:val="78"/>
  </w:num>
  <w:num w:numId="143">
    <w:abstractNumId w:val="108"/>
  </w:num>
  <w:num w:numId="144">
    <w:abstractNumId w:val="6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0ZDgxOTg2NDEwMGRlMjMwZWY2YTZkOGNhZmE1NzYifQ=="/>
  </w:docVars>
  <w:rsids>
    <w:rsidRoot w:val="40A15A81"/>
    <w:rsid w:val="00B25FB0"/>
    <w:rsid w:val="023F763D"/>
    <w:rsid w:val="065F5E83"/>
    <w:rsid w:val="072239C3"/>
    <w:rsid w:val="0781254D"/>
    <w:rsid w:val="087C0A7F"/>
    <w:rsid w:val="09CF6DEE"/>
    <w:rsid w:val="0AC515BB"/>
    <w:rsid w:val="0B62773F"/>
    <w:rsid w:val="0BDC3301"/>
    <w:rsid w:val="0D862ACF"/>
    <w:rsid w:val="0DE93236"/>
    <w:rsid w:val="1122167C"/>
    <w:rsid w:val="11604C92"/>
    <w:rsid w:val="117D7E50"/>
    <w:rsid w:val="14DD044C"/>
    <w:rsid w:val="156839D6"/>
    <w:rsid w:val="167D08C9"/>
    <w:rsid w:val="16DE7DF3"/>
    <w:rsid w:val="17BD2A82"/>
    <w:rsid w:val="17EC7D4E"/>
    <w:rsid w:val="19FC5530"/>
    <w:rsid w:val="1B9735BF"/>
    <w:rsid w:val="1C1F67D0"/>
    <w:rsid w:val="1C545A28"/>
    <w:rsid w:val="1D802432"/>
    <w:rsid w:val="213B1715"/>
    <w:rsid w:val="22330628"/>
    <w:rsid w:val="23DB76DF"/>
    <w:rsid w:val="27413274"/>
    <w:rsid w:val="293427AA"/>
    <w:rsid w:val="29577BCB"/>
    <w:rsid w:val="29951BE3"/>
    <w:rsid w:val="2C6922ED"/>
    <w:rsid w:val="2E8F1C72"/>
    <w:rsid w:val="338D7894"/>
    <w:rsid w:val="33A72C4E"/>
    <w:rsid w:val="348C2E8A"/>
    <w:rsid w:val="34E6739E"/>
    <w:rsid w:val="376436ED"/>
    <w:rsid w:val="387B3137"/>
    <w:rsid w:val="3D0843F8"/>
    <w:rsid w:val="3DF539B0"/>
    <w:rsid w:val="3EF8725E"/>
    <w:rsid w:val="3FF74C02"/>
    <w:rsid w:val="40A15A81"/>
    <w:rsid w:val="40FB31AB"/>
    <w:rsid w:val="41D61333"/>
    <w:rsid w:val="42DB23BC"/>
    <w:rsid w:val="45085AFA"/>
    <w:rsid w:val="47056F93"/>
    <w:rsid w:val="49431BB4"/>
    <w:rsid w:val="4A22142F"/>
    <w:rsid w:val="4AC85440"/>
    <w:rsid w:val="4C0502D8"/>
    <w:rsid w:val="52B54C41"/>
    <w:rsid w:val="52DB37FC"/>
    <w:rsid w:val="54036AE1"/>
    <w:rsid w:val="546A300E"/>
    <w:rsid w:val="548B3542"/>
    <w:rsid w:val="55C05B3D"/>
    <w:rsid w:val="56324B78"/>
    <w:rsid w:val="57364E01"/>
    <w:rsid w:val="5905591A"/>
    <w:rsid w:val="597A321A"/>
    <w:rsid w:val="59B57CBC"/>
    <w:rsid w:val="5A0F5DCC"/>
    <w:rsid w:val="5B15697F"/>
    <w:rsid w:val="5CDE0169"/>
    <w:rsid w:val="5D957C98"/>
    <w:rsid w:val="5E1D0E75"/>
    <w:rsid w:val="5F7E34EF"/>
    <w:rsid w:val="60195438"/>
    <w:rsid w:val="653B6D24"/>
    <w:rsid w:val="66161F0A"/>
    <w:rsid w:val="677A5055"/>
    <w:rsid w:val="679171F9"/>
    <w:rsid w:val="687B6378"/>
    <w:rsid w:val="68A43134"/>
    <w:rsid w:val="69A65B19"/>
    <w:rsid w:val="6B3713DD"/>
    <w:rsid w:val="6B4D7F19"/>
    <w:rsid w:val="6BD12C1C"/>
    <w:rsid w:val="6C90182A"/>
    <w:rsid w:val="6C9F2B66"/>
    <w:rsid w:val="6FC62671"/>
    <w:rsid w:val="71C233B0"/>
    <w:rsid w:val="71D419FC"/>
    <w:rsid w:val="7375407B"/>
    <w:rsid w:val="74020DA6"/>
    <w:rsid w:val="74C661FD"/>
    <w:rsid w:val="778D1A03"/>
    <w:rsid w:val="793D7D01"/>
    <w:rsid w:val="79E34305"/>
    <w:rsid w:val="7A0773B8"/>
    <w:rsid w:val="7E827B24"/>
    <w:rsid w:val="7EDA02E2"/>
    <w:rsid w:val="7F64148E"/>
    <w:rsid w:val="7F7C6B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szCs w:val="24"/>
      <w:lang w:val="en-US" w:eastAsia="zh-CN" w:bidi="ar-SA"/>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customStyle="1" w:styleId="2">
    <w:name w:val="BodyTextIndent"/>
    <w:basedOn w:val="1"/>
    <w:next w:val="1"/>
    <w:qFormat/>
    <w:uiPriority w:val="0"/>
    <w:pPr>
      <w:spacing w:line="480" w:lineRule="exact"/>
      <w:ind w:firstLine="555"/>
      <w:jc w:val="both"/>
      <w:textAlignment w:val="baseline"/>
    </w:pPr>
    <w:rPr>
      <w:rFonts w:eastAsia="方正仿宋简体"/>
      <w:kern w:val="2"/>
      <w:sz w:val="28"/>
      <w:szCs w:val="20"/>
      <w:lang w:val="en-US" w:eastAsia="zh-CN" w:bidi="ar-SA"/>
    </w:rPr>
  </w:style>
  <w:style w:type="paragraph" w:styleId="3">
    <w:name w:val="Normal Indent"/>
    <w:basedOn w:val="1"/>
    <w:qFormat/>
    <w:uiPriority w:val="0"/>
    <w:pPr>
      <w:ind w:firstLine="420"/>
    </w:pPr>
    <w:rPr>
      <w:szCs w:val="20"/>
    </w:rPr>
  </w:style>
  <w:style w:type="paragraph" w:styleId="4">
    <w:name w:val="annotation text"/>
    <w:basedOn w:val="1"/>
    <w:qFormat/>
    <w:uiPriority w:val="0"/>
    <w:pPr>
      <w:jc w:val="left"/>
    </w:pPr>
  </w:style>
  <w:style w:type="paragraph" w:styleId="5">
    <w:name w:val="Body Text"/>
    <w:basedOn w:val="1"/>
    <w:qFormat/>
    <w:uiPriority w:val="99"/>
    <w:pPr>
      <w:spacing w:after="120"/>
    </w:pPr>
    <w:rPr>
      <w:kern w:val="0"/>
      <w:sz w:val="24"/>
      <w:szCs w:val="20"/>
    </w:rPr>
  </w:style>
  <w:style w:type="paragraph" w:styleId="6">
    <w:name w:val="Plain Text"/>
    <w:basedOn w:val="1"/>
    <w:qFormat/>
    <w:uiPriority w:val="0"/>
    <w:rPr>
      <w:rFonts w:ascii="宋体" w:hAnsi="Courier New"/>
      <w:sz w:val="21"/>
      <w:szCs w:val="21"/>
    </w:rPr>
  </w:style>
  <w:style w:type="paragraph" w:styleId="7">
    <w:name w:val="footer"/>
    <w:basedOn w:val="1"/>
    <w:qFormat/>
    <w:uiPriority w:val="99"/>
    <w:pPr>
      <w:tabs>
        <w:tab w:val="center" w:pos="4153"/>
        <w:tab w:val="right" w:pos="8306"/>
      </w:tabs>
      <w:snapToGrid w:val="0"/>
      <w:jc w:val="left"/>
    </w:pPr>
    <w:rPr>
      <w:sz w:val="18"/>
      <w:szCs w:val="18"/>
    </w:rPr>
  </w:style>
  <w:style w:type="paragraph" w:styleId="8">
    <w:name w:val="header"/>
    <w:basedOn w:val="1"/>
    <w:next w:val="5"/>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39"/>
    <w:pPr>
      <w:spacing w:before="120" w:after="120" w:line="400" w:lineRule="exact"/>
      <w:ind w:firstLine="200" w:firstLineChars="200"/>
      <w:jc w:val="left"/>
    </w:pPr>
    <w:rPr>
      <w:rFonts w:ascii="Calibri" w:hAnsi="Calibri"/>
      <w:b/>
      <w:bCs/>
      <w:caps/>
      <w:sz w:val="24"/>
      <w:szCs w:val="20"/>
    </w:rPr>
  </w:style>
  <w:style w:type="paragraph" w:styleId="10">
    <w:name w:val="Body Text 2"/>
    <w:basedOn w:val="1"/>
    <w:qFormat/>
    <w:uiPriority w:val="0"/>
    <w:pPr>
      <w:spacing w:after="120" w:afterLines="0" w:line="480" w:lineRule="auto"/>
    </w:pPr>
    <w:rPr>
      <w:sz w:val="21"/>
      <w:szCs w:val="20"/>
    </w:rPr>
  </w:style>
  <w:style w:type="paragraph" w:styleId="11">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2">
    <w:name w:val="Title"/>
    <w:basedOn w:val="1"/>
    <w:next w:val="1"/>
    <w:qFormat/>
    <w:uiPriority w:val="0"/>
    <w:pPr>
      <w:spacing w:before="240" w:after="60"/>
      <w:jc w:val="center"/>
      <w:outlineLvl w:val="0"/>
    </w:pPr>
    <w:rPr>
      <w:rFonts w:ascii="Cambria" w:hAnsi="Cambria"/>
      <w:b/>
      <w:bCs/>
      <w:sz w:val="36"/>
      <w:szCs w:val="32"/>
    </w:rPr>
  </w:style>
  <w:style w:type="table" w:styleId="14">
    <w:name w:val="Table Grid"/>
    <w:basedOn w:val="1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qFormat/>
    <w:uiPriority w:val="0"/>
  </w:style>
  <w:style w:type="character" w:styleId="17">
    <w:name w:val="Hyperlink"/>
    <w:qFormat/>
    <w:uiPriority w:val="99"/>
    <w:rPr>
      <w:color w:val="000000"/>
      <w:u w:val="none"/>
    </w:rPr>
  </w:style>
  <w:style w:type="paragraph" w:customStyle="1" w:styleId="18">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table" w:customStyle="1" w:styleId="19">
    <w:name w:val="Table Normal"/>
    <w:unhideWhenUsed/>
    <w:qFormat/>
    <w:uiPriority w:val="2"/>
    <w:rPr>
      <w:lang w:val="en-US" w:eastAsia="zh-CN" w:bidi="ar-SA"/>
    </w:rPr>
    <w:tblPr>
      <w:tblCellMar>
        <w:top w:w="0" w:type="dxa"/>
        <w:left w:w="0" w:type="dxa"/>
        <w:bottom w:w="0" w:type="dxa"/>
        <w:right w:w="0" w:type="dxa"/>
      </w:tblCellMar>
    </w:tblPr>
  </w:style>
  <w:style w:type="paragraph" w:customStyle="1" w:styleId="20">
    <w:name w:val="Table Text"/>
    <w:basedOn w:val="1"/>
    <w:semiHidden/>
    <w:qFormat/>
    <w:uiPriority w:val="0"/>
    <w:rPr>
      <w:rFonts w:ascii="宋体" w:hAnsi="宋体" w:eastAsia="宋体" w:cs="宋体"/>
      <w:sz w:val="24"/>
      <w:szCs w:val="24"/>
      <w:lang w:val="en-US" w:eastAsia="en-US" w:bidi="ar-SA"/>
    </w:rPr>
  </w:style>
  <w:style w:type="character" w:customStyle="1" w:styleId="21">
    <w:name w:val="font11"/>
    <w:basedOn w:val="15"/>
    <w:qFormat/>
    <w:uiPriority w:val="0"/>
    <w:rPr>
      <w:rFonts w:hint="eastAsia" w:ascii="宋体" w:hAnsi="宋体" w:eastAsia="宋体" w:cs="宋体"/>
      <w:color w:val="FF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85</Pages>
  <Words>40393</Words>
  <Characters>46011</Characters>
  <Lines>0</Lines>
  <Paragraphs>0</Paragraphs>
  <TotalTime>0</TotalTime>
  <ScaleCrop>false</ScaleCrop>
  <LinksUpToDate>false</LinksUpToDate>
  <CharactersWithSpaces>49248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2023-09-19T06:34:00Z</dcterms:created>
  <dc:creator>Administrator</dc:creator>
  <cp:lastModifiedBy>Administrator</cp:lastModifiedBy>
  <dcterms:modified xsi:type="dcterms:W3CDTF">2023-11-24T10:40:38Z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E4899D2B6F2C4D7B8363F99F5EF31FEA_13</vt:lpwstr>
  </property>
</Properties>
</file>