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海南州人民检察院未成年人检察办案工作区设施设备项目</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eastAsia" w:ascii="宋体" w:hAnsi="宋体" w:cs="宋体"/>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2022-14</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海南州人民检察院未成年人检察办案工作区设施设备项目</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海南州人民检察院</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海南州政府采购服务中心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九、串通投标的认定及处理办法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jc w:val="both"/>
        <w:rPr>
          <w:rFonts w:hint="eastAsia" w:ascii="宋体" w:hAnsi="宋体" w:cs="宋体"/>
          <w:b/>
          <w:sz w:val="32"/>
          <w:szCs w:val="32"/>
          <w:lang w:val="zh-CN" w:eastAsia="zh-CN"/>
        </w:rPr>
      </w:pPr>
      <w:r>
        <w:rPr>
          <w:rFonts w:hint="eastAsia" w:ascii="宋体" w:hAnsi="宋体" w:cs="宋体"/>
          <w:b/>
          <w:sz w:val="32"/>
          <w:szCs w:val="32"/>
          <w:lang w:val="zh-CN" w:eastAsia="zh-CN"/>
        </w:rPr>
        <w:t>海南州人民检察院未成年人检察办案工作区设施设备项目</w:t>
      </w:r>
    </w:p>
    <w:p>
      <w:pPr>
        <w:jc w:val="both"/>
        <w:rPr>
          <w:rFonts w:hint="eastAsia" w:ascii="宋体" w:hAnsi="宋体"/>
          <w:lang w:val="zh-CN" w:eastAsia="zh-CN"/>
        </w:rPr>
      </w:pPr>
      <w:r>
        <w:rPr>
          <w:rFonts w:hint="eastAsia" w:ascii="宋体" w:hAnsi="宋体"/>
          <w:lang w:val="zh-CN" w:eastAsia="zh-CN"/>
        </w:rPr>
        <w:t>海南州政府采购服务中心受海南州人民检察院委托，拟对海南州人民检察院未成年人检察办案工作区设施设备项目进行国内竞争性磋商，欢迎符合条件的供应商前来参加投标。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lang w:val="zh-CN" w:eastAsia="zh-CN"/>
              </w:rPr>
              <w:t>南政采招竞磋（货物）</w:t>
            </w:r>
            <w:r>
              <w:rPr>
                <w:rFonts w:hint="eastAsia" w:ascii="宋体" w:hAnsi="宋体"/>
                <w:lang w:val="en-US" w:eastAsia="zh-CN"/>
              </w:rPr>
              <w:t>2022-14</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jc w:val="both"/>
              <w:rPr>
                <w:rFonts w:ascii="宋体" w:hAnsi="宋体" w:cs="宋体"/>
              </w:rPr>
            </w:pPr>
            <w:r>
              <w:rPr>
                <w:rFonts w:hint="eastAsia" w:ascii="宋体" w:hAnsi="宋体"/>
                <w:lang w:val="zh-CN" w:eastAsia="zh-CN"/>
              </w:rPr>
              <w:t>海南州人民检察院未成年人检察办案工作区设施设备项目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71.2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647"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线上：政采云平台https://www.zcygov.cn/</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陈先生</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15997044123</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cs="宋体"/>
                <w:color w:val="auto"/>
                <w:lang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2022-14</w:t>
            </w:r>
          </w:p>
          <w:p>
            <w:pPr>
              <w:autoSpaceDE w:val="0"/>
              <w:autoSpaceDN w:val="0"/>
              <w:adjustRightInd w:val="0"/>
              <w:spacing w:line="360" w:lineRule="auto"/>
              <w:ind w:left="1470" w:hanging="1470" w:hangingChars="700"/>
              <w:rPr>
                <w:rFonts w:hint="eastAsia" w:ascii="宋体" w:hAnsi="宋体" w:eastAsiaTheme="minorEastAsia"/>
                <w:lang w:val="en-US" w:eastAsia="zh-CN"/>
              </w:rPr>
            </w:pPr>
            <w:r>
              <w:rPr>
                <w:rFonts w:hint="eastAsia" w:ascii="宋体" w:hAnsi="宋体" w:cs="宋体" w:eastAsiaTheme="minorEastAsia"/>
                <w:color w:val="auto"/>
                <w:kern w:val="0"/>
                <w:sz w:val="21"/>
                <w:szCs w:val="24"/>
                <w:lang w:val="en-US" w:eastAsia="zh-CN" w:bidi="ar-SA"/>
              </w:rPr>
              <w:t>项目名称：</w:t>
            </w:r>
            <w:r>
              <w:rPr>
                <w:rFonts w:hint="eastAsia" w:ascii="宋体" w:hAnsi="宋体"/>
                <w:lang w:val="zh-CN" w:eastAsia="zh-CN"/>
              </w:rPr>
              <w:t>海南州人民检察院未成年人检察办案工作区设施设备项目</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cs="宋体" w:eastAsiaTheme="minorEastAsia"/>
                <w:color w:val="auto"/>
                <w:kern w:val="0"/>
                <w:sz w:val="21"/>
                <w:szCs w:val="24"/>
                <w:lang w:val="en-US" w:eastAsia="zh-CN" w:bidi="ar-SA"/>
              </w:rPr>
              <w:t>；</w:t>
            </w:r>
          </w:p>
          <w:p>
            <w:pPr>
              <w:autoSpaceDE w:val="0"/>
              <w:autoSpaceDN w:val="0"/>
              <w:adjustRightInd w:val="0"/>
              <w:spacing w:line="360" w:lineRule="auto"/>
              <w:ind w:left="1470" w:hanging="1470" w:hangingChars="700"/>
              <w:rPr>
                <w:rFonts w:hint="default"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保证金账号</w:t>
            </w:r>
            <w:r>
              <w:rPr>
                <w:rFonts w:hint="eastAsia" w:ascii="宋体" w:hAnsi="宋体" w:cs="宋体" w:eastAsiaTheme="minorEastAsia"/>
                <w:b/>
                <w:bCs/>
                <w:color w:val="0000FF"/>
                <w:kern w:val="0"/>
                <w:sz w:val="21"/>
                <w:szCs w:val="24"/>
                <w:lang w:val="en-US" w:eastAsia="zh-CN" w:bidi="ar-SA"/>
              </w:rPr>
              <w:t>：</w:t>
            </w:r>
            <w:r>
              <w:rPr>
                <w:rFonts w:hint="eastAsia" w:ascii="宋体" w:hAnsi="宋体" w:cs="宋体"/>
                <w:b/>
                <w:bCs/>
                <w:color w:val="000000" w:themeColor="text1"/>
                <w:kern w:val="0"/>
                <w:sz w:val="21"/>
                <w:szCs w:val="24"/>
                <w:lang w:val="en-US" w:eastAsia="zh-CN" w:bidi="ar-SA"/>
                <w14:textFill>
                  <w14:solidFill>
                    <w14:schemeClr w14:val="tx1"/>
                  </w14:solidFill>
                </w14:textFill>
              </w:rPr>
              <w:t>1401201000440191</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14000</w:t>
            </w:r>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16"/>
        <w:ind w:firstLine="482"/>
        <w:rPr>
          <w:rFonts w:hAnsi="宋体" w:cs="宋体"/>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p>
    <w:p>
      <w:pPr>
        <w:pStyle w:val="3"/>
        <w:ind w:firstLine="1054" w:firstLineChars="500"/>
        <w:jc w:val="center"/>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rPr>
      </w:pPr>
    </w:p>
    <w:p>
      <w:pPr>
        <w:rPr>
          <w:rFonts w:hint="eastAsia"/>
        </w:rPr>
      </w:pPr>
    </w:p>
    <w:p>
      <w:pPr>
        <w:pStyle w:val="2"/>
        <w:rPr>
          <w:rFonts w:hint="eastAsia"/>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lang w:val="zh-CN" w:eastAsia="zh-CN"/>
              </w:rPr>
              <w:t>海南州人民检察院未成年人检察办案工作区设施设备项目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lang w:val="zh-CN" w:eastAsia="zh-CN"/>
              </w:rPr>
              <w:t>南政采招竞磋（货物）</w:t>
            </w:r>
            <w:r>
              <w:rPr>
                <w:rFonts w:hint="eastAsia" w:ascii="宋体" w:hAnsi="宋体"/>
                <w:lang w:val="en-US" w:eastAsia="zh-CN"/>
              </w:rPr>
              <w:t>2022-14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71.2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ascii="宋体" w:hAnsi="宋体" w:cs="宋体"/>
                <w:color w:val="auto"/>
                <w:kern w:val="0"/>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ascii="Arial" w:hAnsi="Arial" w:cs="Arial"/>
                <w:color w:val="auto"/>
                <w:kern w:val="0"/>
                <w:lang w:val="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color w:val="auto"/>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FF"/>
                <w:kern w:val="0"/>
                <w:lang w:val="zh-CN"/>
              </w:rPr>
            </w:pPr>
            <w:r>
              <w:rPr>
                <w:rFonts w:hint="eastAsia" w:ascii="Arial" w:hAnsi="Arial" w:cs="Arial"/>
                <w:color w:val="0000FF"/>
                <w:kern w:val="0"/>
                <w:lang w:val="zh-CN"/>
              </w:rPr>
              <w:t>交货期</w:t>
            </w:r>
          </w:p>
        </w:tc>
        <w:tc>
          <w:tcPr>
            <w:tcW w:w="6962" w:type="dxa"/>
            <w:shd w:val="clear" w:color="000000" w:fill="FFFFFF"/>
            <w:vAlign w:val="center"/>
          </w:tcPr>
          <w:p>
            <w:pPr>
              <w:autoSpaceDE w:val="0"/>
              <w:autoSpaceDN w:val="0"/>
              <w:adjustRightInd w:val="0"/>
              <w:spacing w:line="320" w:lineRule="exact"/>
              <w:jc w:val="left"/>
              <w:rPr>
                <w:rFonts w:hint="default" w:ascii="Arial" w:hAnsi="Arial" w:cs="Arial"/>
                <w:color w:val="0000FF"/>
                <w:kern w:val="0"/>
                <w:lang w:val="en-US" w:eastAsia="zh-CN"/>
              </w:rPr>
            </w:pPr>
            <w:r>
              <w:rPr>
                <w:rFonts w:hint="eastAsia" w:ascii="Arial" w:hAnsi="Arial" w:cs="Arial"/>
                <w:color w:val="0000FF"/>
                <w:kern w:val="0"/>
                <w:lang w:val="zh-CN" w:eastAsia="zh-CN"/>
              </w:rPr>
              <w:t>交货期：签订采购合同后</w:t>
            </w:r>
            <w:r>
              <w:rPr>
                <w:rFonts w:hint="eastAsia" w:ascii="Arial" w:hAnsi="Arial" w:cs="Arial"/>
                <w:color w:val="0000FF"/>
                <w:kern w:val="0"/>
                <w:lang w:val="en-US" w:eastAsia="zh-CN"/>
              </w:rPr>
              <w:t>60个工作日内</w:t>
            </w:r>
          </w:p>
          <w:p>
            <w:pPr>
              <w:autoSpaceDE w:val="0"/>
              <w:autoSpaceDN w:val="0"/>
              <w:adjustRightInd w:val="0"/>
              <w:spacing w:line="320" w:lineRule="exact"/>
              <w:jc w:val="left"/>
              <w:rPr>
                <w:rFonts w:hint="eastAsia"/>
                <w:color w:val="0000FF"/>
                <w:lang w:eastAsia="zh-CN"/>
              </w:rPr>
            </w:pPr>
            <w:r>
              <w:rPr>
                <w:rFonts w:hint="eastAsia" w:ascii="Arial" w:hAnsi="Arial" w:cs="Arial"/>
                <w:color w:val="0000FF"/>
                <w:kern w:val="0"/>
                <w:lang w:val="zh-CN" w:eastAsia="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w:t>
            </w:r>
            <w:r>
              <w:rPr>
                <w:rFonts w:hint="eastAsia" w:ascii="Arial" w:hAnsi="Arial" w:cs="Arial"/>
                <w:color w:val="0000FF"/>
                <w:kern w:val="0"/>
                <w:lang w:val="en-US" w:eastAsia="zh-CN"/>
              </w:rPr>
              <w:t>通过</w:t>
            </w:r>
            <w:r>
              <w:rPr>
                <w:rFonts w:hint="eastAsia" w:ascii="Arial" w:hAnsi="Arial" w:cs="Arial"/>
                <w:color w:val="0000FF"/>
                <w:kern w:val="0"/>
                <w:lang w:val="zh-CN"/>
              </w:rPr>
              <w:t>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陈先生</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15997044123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cs="宋体"/>
                <w:color w:val="auto"/>
                <w:lang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rPr>
      </w:pPr>
    </w:p>
    <w:p>
      <w:pPr>
        <w:pStyle w:val="18"/>
        <w:ind w:left="0" w:leftChars="0" w:firstLine="0" w:firstLineChars="0"/>
        <w:rPr>
          <w:rFonts w:hint="eastAsia"/>
        </w:rPr>
      </w:pPr>
    </w:p>
    <w:p>
      <w:pPr>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376936728"/>
      <w:bookmarkStart w:id="6" w:name="_Toc11999"/>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76936729"/>
      <w:bookmarkStart w:id="8" w:name="_Toc325725998"/>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rPr>
        <w:t>1、符合《政府采购法》第二十二条规定的条件；</w:t>
      </w:r>
    </w:p>
    <w:p>
      <w:pPr>
        <w:widowControl/>
        <w:spacing w:line="340" w:lineRule="exact"/>
        <w:ind w:firstLine="210" w:firstLineChars="100"/>
        <w:jc w:val="left"/>
        <w:rPr>
          <w:rFonts w:hint="eastAsia" w:ascii="宋体" w:hAnsi="宋体" w:cs="宋体"/>
          <w:kern w:val="0"/>
        </w:rPr>
      </w:pPr>
      <w:r>
        <w:rPr>
          <w:rFonts w:hint="eastAsia" w:ascii="宋体" w:hAnsi="宋体" w:cs="宋体"/>
        </w:rPr>
        <w:t>2</w:t>
      </w:r>
      <w:r>
        <w:rPr>
          <w:rFonts w:hint="eastAsia" w:ascii="宋体" w:hAnsi="宋体" w:cs="宋体"/>
          <w:lang w:val="zh-CN"/>
        </w:rPr>
        <w:t>、</w:t>
      </w: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210" w:firstLineChars="10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ind w:firstLine="480"/>
        <w:rPr>
          <w:rFonts w:ascii="宋体" w:hAnsi="宋体"/>
          <w:lang w:val="zh-CN"/>
        </w:rPr>
      </w:pPr>
      <w:r>
        <w:rPr>
          <w:rFonts w:hint="eastAsia" w:ascii="宋体" w:hAnsi="宋体" w:cs="宋体"/>
          <w:kern w:val="0"/>
        </w:rPr>
        <w:t>5、本项目不接受供应商以联合体方式进行投标。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25726001"/>
      <w:bookmarkStart w:id="14" w:name="_Toc376936732"/>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76936733"/>
      <w:bookmarkStart w:id="17" w:name="_Toc325726002"/>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76936734"/>
      <w:bookmarkStart w:id="19" w:name="_Toc325726003"/>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壹万肆仟元</w:t>
      </w:r>
      <w:r>
        <w:rPr>
          <w:rFonts w:hint="eastAsia" w:ascii="宋体" w:hAnsi="宋体"/>
          <w:color w:val="FF0000"/>
        </w:rPr>
        <w:t>整  RMB</w:t>
      </w:r>
      <w:r>
        <w:rPr>
          <w:rFonts w:hint="eastAsia" w:ascii="宋体" w:hAnsi="宋体"/>
          <w:color w:val="FF0000"/>
          <w:lang w:eastAsia="zh-CN"/>
        </w:rPr>
        <w:t>:</w:t>
      </w:r>
      <w:r>
        <w:rPr>
          <w:rFonts w:hint="eastAsia" w:ascii="宋体" w:hAnsi="宋体"/>
          <w:color w:val="FF0000"/>
          <w:lang w:val="en-US" w:eastAsia="zh-CN"/>
        </w:rPr>
        <w:t>14000。</w:t>
      </w:r>
      <w:r>
        <w:rPr>
          <w:rFonts w:hint="eastAsia" w:ascii="宋体" w:hAnsi="宋体" w:cs="宋体"/>
          <w:lang w:val="zh-CN"/>
        </w:rPr>
        <w:t>具体时间以保证金到账时间为准。投标人须在投标截止期前按采购预算额度的2%缴纳投标保证金（具体数额以磋商文件中确定的数额为准）。本次采购活动中未中标且投标人未发生违规行为的，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autoSpaceDE w:val="0"/>
        <w:autoSpaceDN w:val="0"/>
        <w:adjustRightInd w:val="0"/>
        <w:ind w:firstLine="464" w:firstLineChars="221"/>
        <w:rPr>
          <w:rFonts w:ascii="宋体" w:hAnsi="宋体"/>
        </w:rPr>
      </w:pP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widowControl/>
        <w:spacing w:line="360" w:lineRule="exact"/>
        <w:ind w:firstLine="420" w:firstLineChars="200"/>
        <w:jc w:val="left"/>
        <w:rPr>
          <w:rFonts w:hint="eastAsia" w:ascii="宋体" w:hAnsi="宋体" w:cs="宋体"/>
          <w:color w:val="000000"/>
          <w:kern w:val="0"/>
          <w:lang w:val="zh-CN"/>
        </w:rPr>
      </w:pPr>
      <w:bookmarkStart w:id="37" w:name="_Toc11528"/>
      <w:bookmarkStart w:id="38" w:name="_Toc412617730"/>
      <w:bookmarkStart w:id="39" w:name="_Toc371090029"/>
      <w:bookmarkStart w:id="40" w:name="_Toc376936748"/>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jc w:val="center"/>
        <w:outlineLvl w:val="1"/>
        <w:rPr>
          <w:rFonts w:ascii="宋体" w:hAnsi="宋体"/>
          <w:b/>
          <w:bCs/>
          <w:kern w:val="0"/>
          <w:sz w:val="36"/>
          <w:szCs w:val="36"/>
        </w:rPr>
      </w:pP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bookmarkEnd w:id="37"/>
      <w:bookmarkEnd w:id="38"/>
      <w:r>
        <w:rPr>
          <w:rFonts w:hint="eastAsia" w:ascii="宋体" w:hAnsi="宋体" w:eastAsia="宋体" w:cs="Times New Roman"/>
          <w:b/>
          <w:bCs/>
          <w:kern w:val="0"/>
          <w:sz w:val="36"/>
          <w:szCs w:val="36"/>
        </w:rPr>
        <w:t xml:space="preserve"> </w:t>
      </w:r>
      <w:r>
        <w:rPr>
          <w:rFonts w:hint="eastAsia" w:ascii="宋体" w:hAnsi="宋体"/>
          <w:b/>
          <w:bCs/>
          <w:kern w:val="0"/>
          <w:sz w:val="36"/>
          <w:szCs w:val="36"/>
        </w:rPr>
        <w:t>网上投标</w:t>
      </w:r>
    </w:p>
    <w:p>
      <w:pPr>
        <w:widowControl/>
        <w:spacing w:before="624" w:beforeLines="200" w:after="624" w:afterLines="200"/>
        <w:jc w:val="center"/>
        <w:outlineLvl w:val="1"/>
        <w:rPr>
          <w:rFonts w:ascii="宋体" w:hAnsi="宋体"/>
          <w:b/>
          <w:bCs/>
          <w:kern w:val="0"/>
          <w:sz w:val="36"/>
          <w:szCs w:val="36"/>
        </w:rPr>
      </w:pPr>
    </w:p>
    <w:bookmarkEnd w:id="39"/>
    <w:bookmarkEnd w:id="40"/>
    <w:p>
      <w:pPr>
        <w:pStyle w:val="16"/>
        <w:spacing w:before="0" w:after="0" w:line="360" w:lineRule="auto"/>
        <w:jc w:val="left"/>
        <w:rPr>
          <w:rFonts w:hint="eastAsia" w:ascii="宋体" w:hAnsi="宋体" w:cs="宋体"/>
          <w:color w:val="000000"/>
          <w:lang w:val="zh-CN"/>
        </w:rPr>
      </w:pPr>
      <w:bookmarkStart w:id="41" w:name="_Toc515908185"/>
      <w:bookmarkStart w:id="42" w:name="_Toc412617732"/>
      <w:bookmarkStart w:id="43" w:name="_Toc325726017"/>
      <w:bookmarkStart w:id="44" w:name="_Toc373392583"/>
      <w:bookmarkStart w:id="45" w:name="_Toc371090030"/>
      <w:bookmarkStart w:id="46" w:name="_Toc376936749"/>
      <w:r>
        <w:rPr>
          <w:rFonts w:hint="eastAsia" w:ascii="宋体" w:hAnsi="宋体" w:cs="宋体"/>
          <w:color w:val="000000"/>
          <w:sz w:val="28"/>
          <w:szCs w:val="28"/>
          <w:lang w:val="zh-CN"/>
        </w:rPr>
        <w:t>13.</w:t>
      </w:r>
      <w:bookmarkEnd w:id="41"/>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pStyle w:val="10"/>
        <w:ind w:firstLine="480"/>
        <w:rPr>
          <w:rFonts w:hAnsi="宋体"/>
        </w:rPr>
      </w:pPr>
      <w:r>
        <w:rPr>
          <w:rFonts w:hint="eastAsia" w:hAnsi="宋体"/>
        </w:rPr>
        <w:t>1</w:t>
      </w:r>
      <w:r>
        <w:rPr>
          <w:rFonts w:hint="eastAsia" w:hAnsi="宋体"/>
          <w:lang w:eastAsia="zh-CN"/>
        </w:rPr>
        <w:t>2</w:t>
      </w:r>
      <w:r>
        <w:rPr>
          <w:rFonts w:hint="eastAsia" w:hAnsi="宋体"/>
        </w:rPr>
        <w:t>.1</w:t>
      </w:r>
      <w:r>
        <w:rPr>
          <w:rFonts w:hint="eastAsia" w:hAnsi="宋体"/>
          <w:lang w:eastAsia="zh-CN"/>
        </w:rPr>
        <w:t>供应商</w:t>
      </w:r>
      <w:r>
        <w:rPr>
          <w:rFonts w:hint="eastAsia" w:hAnsi="宋体"/>
        </w:rPr>
        <w:t>应在青海省政府采购电子化平台上报价并上传电子磋商响应文件。</w:t>
      </w:r>
    </w:p>
    <w:p>
      <w:pPr>
        <w:pStyle w:val="10"/>
        <w:ind w:firstLine="480"/>
        <w:rPr>
          <w:rFonts w:hint="eastAsia" w:hAnsi="宋体"/>
          <w:lang w:eastAsia="zh-CN"/>
        </w:rPr>
      </w:pPr>
      <w:r>
        <w:rPr>
          <w:rFonts w:hint="eastAsia" w:hAnsi="宋体"/>
        </w:rPr>
        <w:t>1</w:t>
      </w:r>
      <w:r>
        <w:rPr>
          <w:rFonts w:hint="eastAsia" w:hAnsi="宋体"/>
          <w:lang w:eastAsia="zh-CN"/>
        </w:rPr>
        <w:t>2</w:t>
      </w:r>
      <w:r>
        <w:rPr>
          <w:rFonts w:hint="eastAsia" w:hAnsi="宋体"/>
        </w:rPr>
        <w:t>.</w:t>
      </w:r>
      <w:r>
        <w:rPr>
          <w:rFonts w:hint="eastAsia" w:hAnsi="宋体"/>
          <w:lang w:eastAsia="zh-CN"/>
        </w:rPr>
        <w:t>2供应商</w:t>
      </w:r>
      <w:r>
        <w:rPr>
          <w:rFonts w:hint="eastAsia" w:hAnsi="宋体"/>
        </w:rPr>
        <w:t>应按包报价，填写交货期。</w:t>
      </w:r>
    </w:p>
    <w:p>
      <w:pPr>
        <w:pStyle w:val="10"/>
        <w:ind w:firstLine="480"/>
        <w:rPr>
          <w:rFonts w:hAnsi="宋体"/>
          <w:lang w:eastAsia="zh-CN"/>
        </w:rPr>
      </w:pPr>
      <w:r>
        <w:rPr>
          <w:rFonts w:hint="eastAsia" w:hAnsi="宋体"/>
          <w:lang w:eastAsia="zh-CN"/>
        </w:rPr>
        <w:t xml:space="preserve">12.3 </w:t>
      </w:r>
      <w:r>
        <w:rPr>
          <w:rFonts w:hint="eastAsia" w:hAnsi="宋体"/>
        </w:rPr>
        <w:t>开标时的“竞争性磋商首次报价表”由各</w:t>
      </w:r>
      <w:r>
        <w:rPr>
          <w:rFonts w:hint="eastAsia" w:hAnsi="宋体"/>
          <w:lang w:eastAsia="zh-CN"/>
        </w:rPr>
        <w:t>供应商</w:t>
      </w:r>
      <w:r>
        <w:rPr>
          <w:rFonts w:hint="eastAsia" w:hAnsi="宋体"/>
        </w:rPr>
        <w:t>网上报价生成。</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2"/>
      <w:bookmarkEnd w:id="43"/>
      <w:bookmarkEnd w:id="44"/>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w:t>
      </w:r>
      <w:r>
        <w:rPr>
          <w:rFonts w:hint="eastAsia" w:hAnsi="宋体"/>
          <w:szCs w:val="24"/>
          <w:lang w:eastAsia="zh-CN"/>
        </w:rPr>
        <w:t>上传至青海省政府采购网政采云平台</w:t>
      </w:r>
      <w:r>
        <w:rPr>
          <w:rFonts w:hint="eastAsia" w:hAnsi="宋体"/>
          <w:szCs w:val="24"/>
        </w:rPr>
        <w:t>。</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w:t>
      </w:r>
      <w:r>
        <w:rPr>
          <w:rFonts w:hint="eastAsia" w:hAnsi="宋体"/>
          <w:szCs w:val="24"/>
          <w:lang w:eastAsia="zh-CN"/>
        </w:rPr>
        <w:t>上传</w:t>
      </w:r>
      <w:r>
        <w:rPr>
          <w:rFonts w:hint="eastAsia" w:hAnsi="宋体"/>
          <w:szCs w:val="24"/>
        </w:rPr>
        <w:t>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5"/>
      <w:bookmarkEnd w:id="46"/>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7" w:name="_Toc376936750"/>
      <w:bookmarkStart w:id="48" w:name="_Toc325726019"/>
      <w:bookmarkStart w:id="49" w:name="_Toc11399"/>
      <w:r>
        <w:rPr>
          <w:rFonts w:hint="eastAsia" w:ascii="宋体" w:hAnsi="宋体"/>
          <w:b/>
          <w:bCs/>
          <w:kern w:val="0"/>
          <w:sz w:val="36"/>
          <w:szCs w:val="36"/>
        </w:rPr>
        <w:t>五、</w:t>
      </w:r>
      <w:bookmarkEnd w:id="47"/>
      <w:bookmarkEnd w:id="48"/>
      <w:r>
        <w:rPr>
          <w:rFonts w:hint="eastAsia" w:ascii="宋体" w:hAnsi="宋体"/>
          <w:b/>
          <w:bCs/>
          <w:kern w:val="0"/>
          <w:sz w:val="36"/>
          <w:szCs w:val="36"/>
        </w:rPr>
        <w:t>磋商过程</w:t>
      </w:r>
      <w:bookmarkEnd w:id="49"/>
    </w:p>
    <w:p>
      <w:pPr>
        <w:widowControl/>
        <w:spacing w:before="100" w:beforeAutospacing="1" w:after="100" w:afterAutospacing="1"/>
        <w:ind w:firstLine="542"/>
        <w:jc w:val="left"/>
        <w:outlineLvl w:val="2"/>
        <w:rPr>
          <w:rFonts w:ascii="宋体" w:hAnsi="宋体"/>
          <w:b/>
          <w:bCs/>
          <w:kern w:val="0"/>
          <w:sz w:val="27"/>
          <w:szCs w:val="27"/>
        </w:rPr>
      </w:pPr>
      <w:bookmarkStart w:id="50" w:name="_Toc376936751"/>
      <w:bookmarkStart w:id="51" w:name="_Toc325726020"/>
      <w:r>
        <w:rPr>
          <w:rFonts w:hint="eastAsia" w:ascii="宋体" w:hAnsi="宋体"/>
          <w:b/>
          <w:bCs/>
          <w:kern w:val="0"/>
          <w:sz w:val="27"/>
          <w:szCs w:val="27"/>
        </w:rPr>
        <w:t>16.</w:t>
      </w:r>
      <w:bookmarkEnd w:id="50"/>
      <w:bookmarkEnd w:id="51"/>
      <w:r>
        <w:rPr>
          <w:rFonts w:hint="eastAsia" w:ascii="宋体" w:hAnsi="宋体"/>
          <w:b/>
          <w:bCs/>
          <w:kern w:val="0"/>
          <w:sz w:val="27"/>
          <w:szCs w:val="27"/>
        </w:rPr>
        <w:t>磋商过程</w:t>
      </w:r>
    </w:p>
    <w:p>
      <w:pPr>
        <w:ind w:firstLine="480"/>
        <w:rPr>
          <w:rFonts w:hint="eastAsia" w:ascii="宋体" w:hAnsi="宋体"/>
        </w:rPr>
      </w:pPr>
      <w:bookmarkStart w:id="52" w:name="_Toc376936752"/>
      <w:bookmarkStart w:id="53" w:name="_Toc10899"/>
      <w:bookmarkStart w:id="54" w:name="_Toc325726021"/>
      <w:r>
        <w:rPr>
          <w:rFonts w:hint="eastAsia" w:ascii="宋体" w:hAnsi="宋体"/>
          <w:lang w:val="en-US" w:eastAsia="zh-CN"/>
        </w:rPr>
        <w:t>16</w:t>
      </w:r>
      <w:r>
        <w:rPr>
          <w:rFonts w:hint="eastAsia" w:ascii="宋体" w:hAnsi="宋体"/>
        </w:rPr>
        <w:t>.1采购人、集中采购机构在青海省政府采购</w:t>
      </w:r>
      <w:r>
        <w:rPr>
          <w:rFonts w:hint="eastAsia" w:ascii="宋体" w:hAnsi="宋体"/>
          <w:lang w:eastAsia="zh-CN"/>
        </w:rPr>
        <w:t>政采云</w:t>
      </w:r>
      <w:r>
        <w:rPr>
          <w:rFonts w:hint="eastAsia" w:ascii="宋体" w:hAnsi="宋体"/>
        </w:rPr>
        <w:t>电子化平台上组织磋商活动，时间和地点以本磋商文件中确定的为准。</w:t>
      </w:r>
    </w:p>
    <w:p>
      <w:pPr>
        <w:ind w:firstLine="480"/>
        <w:rPr>
          <w:rFonts w:hint="eastAsia" w:ascii="宋体" w:hAnsi="宋体"/>
        </w:rPr>
      </w:pPr>
      <w:r>
        <w:rPr>
          <w:rFonts w:hint="eastAsia" w:ascii="宋体" w:hAnsi="宋体"/>
          <w:lang w:val="en-US" w:eastAsia="zh-CN"/>
        </w:rPr>
        <w:t>16</w:t>
      </w:r>
      <w:r>
        <w:rPr>
          <w:rFonts w:hint="eastAsia" w:ascii="宋体" w:hAnsi="宋体"/>
        </w:rPr>
        <w:t>.2开标后，供应商在青海省政府采购</w:t>
      </w:r>
      <w:r>
        <w:rPr>
          <w:rFonts w:hint="eastAsia" w:ascii="宋体" w:hAnsi="宋体"/>
          <w:lang w:eastAsia="zh-CN"/>
        </w:rPr>
        <w:t>政采云</w:t>
      </w:r>
      <w:r>
        <w:rPr>
          <w:rFonts w:hint="eastAsia" w:ascii="宋体" w:hAnsi="宋体"/>
        </w:rPr>
        <w:t>电子化平台上报价与磋商响应文件内容不一致的，以网上报价为准。若拒绝接受，其投标无效。</w:t>
      </w:r>
    </w:p>
    <w:p>
      <w:pPr>
        <w:ind w:firstLine="480"/>
        <w:rPr>
          <w:rFonts w:hint="eastAsia" w:ascii="宋体" w:hAnsi="宋体"/>
        </w:rPr>
      </w:pPr>
      <w:r>
        <w:rPr>
          <w:rFonts w:hint="eastAsia" w:ascii="宋体" w:hAnsi="宋体"/>
          <w:lang w:val="en-US" w:eastAsia="zh-CN"/>
        </w:rPr>
        <w:t>16</w:t>
      </w:r>
      <w:r>
        <w:rPr>
          <w:rFonts w:hint="eastAsia" w:ascii="宋体" w:hAnsi="宋体"/>
        </w:rPr>
        <w:t>.3磋商工作由集中采购机构组织，采购人、采购管理、纪检监察等有关方面代表可根据采购项目的具体情况列席，并对开标过程签字确认。</w:t>
      </w:r>
    </w:p>
    <w:p>
      <w:pPr>
        <w:ind w:firstLine="480"/>
        <w:rPr>
          <w:rFonts w:hint="eastAsia" w:ascii="宋体" w:hAnsi="宋体"/>
        </w:rPr>
      </w:pPr>
      <w:r>
        <w:rPr>
          <w:rFonts w:hint="eastAsia" w:ascii="宋体" w:hAnsi="宋体"/>
          <w:lang w:val="en-US" w:eastAsia="zh-CN"/>
        </w:rPr>
        <w:t>16</w:t>
      </w:r>
      <w:r>
        <w:rPr>
          <w:rFonts w:hint="eastAsia" w:ascii="宋体" w:hAnsi="宋体"/>
        </w:rPr>
        <w:t>.4 开标后供应商必须在规定的时间内解密文件，未能按时完成解密等原因导致上传的磋商响应文件损坏无法正常打开的，将会被视为无效投标。</w:t>
      </w: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2"/>
      <w:bookmarkEnd w:id="53"/>
      <w:bookmarkEnd w:id="54"/>
    </w:p>
    <w:p>
      <w:pPr>
        <w:widowControl/>
        <w:spacing w:before="100" w:beforeAutospacing="1" w:after="100" w:afterAutospacing="1"/>
        <w:ind w:firstLine="542"/>
        <w:jc w:val="left"/>
        <w:outlineLvl w:val="2"/>
        <w:rPr>
          <w:rFonts w:ascii="宋体" w:hAnsi="宋体"/>
          <w:b/>
          <w:bCs/>
          <w:kern w:val="0"/>
          <w:sz w:val="27"/>
          <w:szCs w:val="27"/>
        </w:rPr>
      </w:pPr>
      <w:bookmarkStart w:id="55" w:name="_Toc325726022"/>
      <w:bookmarkStart w:id="56" w:name="_Toc376936753"/>
      <w:r>
        <w:rPr>
          <w:rFonts w:hint="eastAsia" w:ascii="宋体" w:hAnsi="宋体"/>
          <w:b/>
          <w:bCs/>
          <w:kern w:val="0"/>
          <w:sz w:val="27"/>
          <w:szCs w:val="27"/>
        </w:rPr>
        <w:t>17.磋商小组</w:t>
      </w:r>
      <w:bookmarkEnd w:id="55"/>
      <w:bookmarkEnd w:id="56"/>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7" w:name="_Toc325726023"/>
      <w:bookmarkStart w:id="58" w:name="_Toc376936754"/>
      <w:r>
        <w:rPr>
          <w:rFonts w:hint="eastAsia" w:ascii="宋体" w:hAnsi="宋体"/>
          <w:b/>
          <w:bCs/>
          <w:kern w:val="0"/>
          <w:sz w:val="27"/>
          <w:szCs w:val="27"/>
        </w:rPr>
        <w:t>18.磋商程序</w:t>
      </w:r>
      <w:bookmarkEnd w:id="57"/>
      <w:bookmarkEnd w:id="58"/>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hint="eastAsia" w:ascii="宋体" w:hAnsi="宋体"/>
        </w:rPr>
      </w:pPr>
      <w:r>
        <w:rPr>
          <w:rFonts w:hint="eastAsia" w:ascii="宋体" w:hAnsi="宋体"/>
        </w:rPr>
        <w:t>（2）符合性审查部分没有按磋商文件规定和要求签字、盖章的；</w:t>
      </w:r>
    </w:p>
    <w:p>
      <w:pPr>
        <w:ind w:firstLine="480"/>
        <w:jc w:val="left"/>
        <w:rPr>
          <w:rFonts w:hint="eastAsia" w:ascii="宋体" w:hAnsi="宋体"/>
        </w:rPr>
      </w:pPr>
      <w:r>
        <w:rPr>
          <w:rFonts w:hint="eastAsia" w:ascii="宋体" w:hAnsi="宋体"/>
        </w:rPr>
        <w:t>（3）供应商网上报价与磋商响应文件报价不一致且不接受网上报价的；或最后磋商报价出现两个或两个以上报价方案的；</w:t>
      </w:r>
    </w:p>
    <w:p>
      <w:pPr>
        <w:ind w:firstLine="480"/>
        <w:jc w:val="left"/>
        <w:rPr>
          <w:rFonts w:hint="eastAsia" w:ascii="宋体" w:hAnsi="宋体"/>
        </w:rPr>
      </w:pPr>
      <w:r>
        <w:rPr>
          <w:rFonts w:hint="eastAsia" w:ascii="宋体" w:hAnsi="宋体"/>
        </w:rPr>
        <w:t>（4）产品交货期、质保期、投标有效期不能满足磋商文件要求的；</w:t>
      </w:r>
    </w:p>
    <w:p>
      <w:pPr>
        <w:ind w:firstLine="480"/>
        <w:jc w:val="left"/>
        <w:rPr>
          <w:rFonts w:hint="eastAsia" w:ascii="宋体" w:hAnsi="宋体"/>
        </w:rPr>
      </w:pPr>
      <w:r>
        <w:rPr>
          <w:rFonts w:hint="eastAsia" w:ascii="宋体" w:hAnsi="宋体"/>
        </w:rPr>
        <w:t>（5）投标报价超过磋商文件规定的采购预算；</w:t>
      </w:r>
    </w:p>
    <w:p>
      <w:pPr>
        <w:ind w:firstLine="480"/>
        <w:jc w:val="left"/>
        <w:rPr>
          <w:rFonts w:hint="eastAsia" w:ascii="宋体" w:hAnsi="宋体"/>
        </w:rPr>
      </w:pPr>
      <w:r>
        <w:rPr>
          <w:rFonts w:hint="eastAsia" w:ascii="宋体" w:hAnsi="宋体"/>
        </w:rPr>
        <w:t>（6）投标产品的技术规格、技术标准明显不符合采购项目要求的；</w:t>
      </w:r>
    </w:p>
    <w:p>
      <w:pPr>
        <w:ind w:firstLine="480"/>
        <w:jc w:val="left"/>
        <w:rPr>
          <w:rFonts w:hint="eastAsia" w:ascii="宋体" w:hAnsi="宋体"/>
        </w:rPr>
      </w:pPr>
      <w:r>
        <w:rPr>
          <w:rFonts w:hint="eastAsia" w:ascii="宋体" w:hAnsi="宋体"/>
        </w:rPr>
        <w:t>（7）投标产品未完全满足磋商文件确定的重要技术指标、参数的；</w:t>
      </w:r>
    </w:p>
    <w:p>
      <w:pPr>
        <w:ind w:firstLine="480"/>
        <w:jc w:val="left"/>
        <w:rPr>
          <w:rFonts w:hint="eastAsia" w:ascii="宋体" w:hAnsi="宋体"/>
        </w:rPr>
      </w:pPr>
      <w:r>
        <w:rPr>
          <w:rFonts w:hint="eastAsia" w:ascii="宋体" w:hAnsi="宋体"/>
        </w:rPr>
        <w:t>（8）磋商响应文件含有采购人不能接受的附加条件的；</w:t>
      </w:r>
    </w:p>
    <w:p>
      <w:pPr>
        <w:ind w:firstLine="480"/>
        <w:jc w:val="left"/>
        <w:rPr>
          <w:rFonts w:hint="eastAsia" w:ascii="宋体" w:hAnsi="宋体"/>
        </w:rPr>
      </w:pPr>
      <w:r>
        <w:rPr>
          <w:rFonts w:hint="eastAsia" w:ascii="宋体" w:hAnsi="宋体"/>
        </w:rPr>
        <w:t>（9）磋商小组认为应按无效投标处理的其他情况；</w:t>
      </w:r>
    </w:p>
    <w:p>
      <w:pPr>
        <w:ind w:firstLine="480"/>
        <w:jc w:val="left"/>
        <w:rPr>
          <w:rFonts w:hint="eastAsia" w:ascii="宋体" w:hAnsi="宋体"/>
        </w:rPr>
      </w:pPr>
      <w:r>
        <w:rPr>
          <w:rFonts w:hint="eastAsia" w:ascii="宋体" w:hAnsi="宋体"/>
        </w:rPr>
        <w:t>（10）法律、法规规定的其他情形。</w:t>
      </w:r>
    </w:p>
    <w:p>
      <w:pPr>
        <w:ind w:firstLine="480"/>
        <w:jc w:val="left"/>
        <w:rPr>
          <w:rFonts w:hint="eastAsia" w:ascii="宋体" w:hAnsi="宋体"/>
        </w:rPr>
      </w:pPr>
      <w:bookmarkStart w:id="59" w:name="_Toc376936755"/>
      <w:bookmarkStart w:id="60" w:name="_Toc325726024"/>
      <w:r>
        <w:rPr>
          <w:rFonts w:hint="eastAsia" w:ascii="宋体" w:hAnsi="宋体"/>
        </w:rPr>
        <w:t>18.3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ind w:firstLine="480"/>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w:t>
      </w:r>
      <w:bookmarkStart w:id="61" w:name="_Toc7083446"/>
      <w:r>
        <w:rPr>
          <w:rFonts w:hint="eastAsia" w:ascii="宋体" w:hAnsi="宋体" w:cs="宋体"/>
          <w:lang w:val="en-US" w:eastAsia="zh-CN"/>
        </w:rPr>
        <w:t xml:space="preserve">      </w:t>
      </w:r>
      <w:r>
        <w:rPr>
          <w:rFonts w:hint="eastAsia" w:ascii="宋体" w:hAnsi="宋体"/>
          <w:lang w:val="en-US" w:eastAsia="zh-CN"/>
        </w:rPr>
        <w:t>18.5</w:t>
      </w:r>
      <w:r>
        <w:rPr>
          <w:rFonts w:hint="eastAsia" w:ascii="宋体" w:hAnsi="宋体"/>
        </w:rPr>
        <w:t>磋商小组确定满足相关规定数量的合格供应商，在青海省政府采购</w:t>
      </w:r>
      <w:r>
        <w:rPr>
          <w:rFonts w:hint="eastAsia" w:ascii="宋体" w:hAnsi="宋体"/>
          <w:lang w:eastAsia="zh-CN"/>
        </w:rPr>
        <w:t>政采云</w:t>
      </w:r>
      <w:r>
        <w:rPr>
          <w:rFonts w:hint="eastAsia" w:ascii="宋体" w:hAnsi="宋体"/>
        </w:rPr>
        <w:t>电子化平台上按规定的时间填写最后报价。如果在规定的时间内不填写，最后报价的确定以首次报价为准，不接受者视为无效投标。</w:t>
      </w:r>
      <w:bookmarkEnd w:id="61"/>
    </w:p>
    <w:p>
      <w:pPr>
        <w:ind w:firstLine="480"/>
        <w:jc w:val="left"/>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2" w:name="_Toc108806898"/>
      <w:bookmarkStart w:id="63" w:name="_Toc496004012"/>
      <w:r>
        <w:rPr>
          <w:rFonts w:hint="eastAsia" w:ascii="宋体" w:hAnsi="宋体"/>
          <w:b/>
          <w:bCs/>
          <w:kern w:val="0"/>
          <w:sz w:val="27"/>
          <w:szCs w:val="27"/>
        </w:rPr>
        <w:t>19.答疑的方式和情形</w:t>
      </w:r>
      <w:bookmarkEnd w:id="62"/>
      <w:bookmarkEnd w:id="63"/>
    </w:p>
    <w:p>
      <w:pPr>
        <w:ind w:firstLine="480"/>
        <w:jc w:val="left"/>
        <w:rPr>
          <w:rFonts w:hint="eastAsia" w:ascii="宋体" w:hAnsi="宋体"/>
        </w:rPr>
      </w:pPr>
      <w:r>
        <w:rPr>
          <w:rFonts w:hint="eastAsia" w:ascii="宋体" w:hAnsi="宋体"/>
        </w:rPr>
        <w:t>19.1答疑方式：详见第一部分投标人须知前附表“答疑方式”。</w:t>
      </w:r>
    </w:p>
    <w:p>
      <w:pPr>
        <w:ind w:firstLine="480"/>
        <w:jc w:val="left"/>
        <w:rPr>
          <w:rFonts w:hint="eastAsia" w:ascii="宋体" w:hAnsi="宋体"/>
        </w:rPr>
      </w:pPr>
      <w:r>
        <w:rPr>
          <w:rFonts w:hint="eastAsia" w:ascii="宋体" w:hAnsi="宋体"/>
        </w:rPr>
        <w:t>19.2磋商小组在对磋商响应文件的有效性、完整性和响应程度进行审查时，可以要求供应商对响应文件中含义不明确、同类问题表述不一致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ind w:firstLine="542"/>
        <w:jc w:val="left"/>
        <w:outlineLvl w:val="2"/>
        <w:rPr>
          <w:rFonts w:ascii="宋体" w:hAnsi="宋体"/>
          <w:color w:val="000000"/>
        </w:rPr>
      </w:pPr>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59"/>
      <w:bookmarkEnd w:id="60"/>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磋商报价、技术水平、履约及售后服务能力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ind w:firstLine="480"/>
        <w:jc w:val="left"/>
        <w:rPr>
          <w:rFonts w:ascii="宋体" w:hAnsi="宋体"/>
        </w:rPr>
      </w:pPr>
      <w:r>
        <w:rPr>
          <w:rFonts w:hint="eastAsia" w:ascii="宋体" w:hAnsi="宋体"/>
          <w:lang w:val="en-US" w:eastAsia="zh-CN"/>
        </w:rPr>
        <w:t>20.3</w:t>
      </w:r>
      <w:r>
        <w:rPr>
          <w:rFonts w:hint="eastAsia" w:ascii="宋体" w:hAnsi="宋体"/>
        </w:rPr>
        <w:t>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bookmarkStart w:id="64" w:name="_Toc325726025"/>
            <w:bookmarkStart w:id="65" w:name="_Toc376936756"/>
            <w:bookmarkStart w:id="66" w:name="_Toc29958"/>
            <w:r>
              <w:rPr>
                <w:rFonts w:hint="eastAsia" w:ascii="宋体" w:hAnsi="宋体"/>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商务部分（满分</w:t>
            </w:r>
            <w:r>
              <w:rPr>
                <w:rFonts w:hint="eastAsia" w:ascii="宋体" w:hAnsi="宋体"/>
              </w:rPr>
              <w:t>30</w:t>
            </w:r>
            <w:r>
              <w:rPr>
                <w:rFonts w:hint="eastAsia" w:ascii="宋体" w:hAnsi="宋体"/>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lang w:val="zh-CN"/>
              </w:rPr>
              <w:t>技术部分（满分</w:t>
            </w:r>
            <w:r>
              <w:rPr>
                <w:rFonts w:hint="eastAsia" w:ascii="宋体" w:hAnsi="宋体"/>
              </w:rPr>
              <w:t>70</w:t>
            </w:r>
            <w:r>
              <w:rPr>
                <w:rFonts w:hint="eastAsia" w:ascii="宋体" w:hAnsi="宋体"/>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rPr>
              <w:t xml:space="preserve">    </w:t>
            </w:r>
            <w:r>
              <w:rPr>
                <w:rFonts w:hint="eastAsia" w:ascii="宋体" w:hAnsi="宋体"/>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70</w:t>
            </w:r>
          </w:p>
        </w:tc>
      </w:tr>
    </w:tbl>
    <w:p>
      <w:pPr>
        <w:ind w:firstLine="480"/>
        <w:rPr>
          <w:rFonts w:hint="eastAsia" w:ascii="宋体" w:hAnsi="宋体"/>
          <w:lang w:val="zh-CN"/>
        </w:rPr>
      </w:pPr>
      <w:r>
        <w:rPr>
          <w:rFonts w:hint="eastAsia" w:ascii="宋体" w:hAnsi="宋体"/>
          <w:lang w:val="zh-CN"/>
        </w:rPr>
        <w:t>具体项目及评分细则：</w:t>
      </w:r>
    </w:p>
    <w:p>
      <w:pPr>
        <w:ind w:firstLine="480"/>
        <w:rPr>
          <w:rFonts w:hint="eastAsia" w:ascii="宋体" w:hAnsi="宋体"/>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 xml:space="preserve">商务部分                                                                                            </w:t>
            </w:r>
            <w:r>
              <w:rPr>
                <w:rFonts w:hint="eastAsia" w:ascii="宋体" w:hAnsi="宋体"/>
                <w:lang w:val="en-US" w:eastAsia="zh-CN"/>
              </w:rPr>
              <w:t>30</w:t>
            </w:r>
            <w:r>
              <w:rPr>
                <w:rFonts w:hint="eastAsia" w:ascii="宋体" w:hAnsi="宋体"/>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rPr>
                <w:rFonts w:hint="eastAsia" w:ascii="宋体" w:hAnsi="宋体"/>
                <w:lang w:val="zh-CN"/>
              </w:rPr>
            </w:pPr>
            <w:r>
              <w:rPr>
                <w:rFonts w:hint="eastAsia" w:ascii="宋体" w:hAnsi="宋体"/>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技术部分</w:t>
            </w:r>
            <w:r>
              <w:rPr>
                <w:rFonts w:hint="eastAsia" w:ascii="宋体" w:hAnsi="宋体"/>
                <w:lang w:val="en-US" w:eastAsia="zh-CN"/>
              </w:rPr>
              <w:t>70</w:t>
            </w:r>
            <w:r>
              <w:rPr>
                <w:rFonts w:hint="eastAsia" w:ascii="宋体" w:hAnsi="宋体"/>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33</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针对本项目投标技术参数和配置完全满足或高于招标文件要求的得</w:t>
            </w:r>
            <w:r>
              <w:rPr>
                <w:rFonts w:hint="eastAsia" w:ascii="宋体" w:hAnsi="宋体"/>
                <w:lang w:val="en-US" w:eastAsia="zh-CN"/>
              </w:rPr>
              <w:t>33</w:t>
            </w:r>
            <w:bookmarkStart w:id="160" w:name="_GoBack"/>
            <w:bookmarkEnd w:id="160"/>
            <w:r>
              <w:rPr>
                <w:rFonts w:hint="eastAsia" w:ascii="宋体" w:hAnsi="宋体"/>
                <w:lang w:val="zh-CN"/>
              </w:rPr>
              <w:t>分；主要参数满足招标文件要求，有细微偏离每一项偏离扣</w:t>
            </w:r>
            <w:r>
              <w:rPr>
                <w:rFonts w:hint="eastAsia" w:ascii="宋体" w:hAnsi="宋体"/>
                <w:lang w:val="en-US" w:eastAsia="zh-CN"/>
              </w:rPr>
              <w:t>3</w:t>
            </w:r>
            <w:r>
              <w:rPr>
                <w:rFonts w:hint="eastAsia" w:ascii="宋体" w:hAnsi="宋体"/>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rPr>
            </w:pPr>
            <w:r>
              <w:rPr>
                <w:rFonts w:hint="eastAsia" w:ascii="宋体" w:hAnsi="宋体"/>
              </w:rPr>
              <w:t>方案设计</w:t>
            </w:r>
          </w:p>
          <w:p>
            <w:pPr>
              <w:ind w:firstLine="480"/>
              <w:rPr>
                <w:rFonts w:hint="eastAsia" w:ascii="宋体" w:hAnsi="宋体"/>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w:t>
            </w:r>
            <w:r>
              <w:rPr>
                <w:rFonts w:hint="eastAsia" w:ascii="宋体" w:hAnsi="宋体"/>
                <w:lang w:val="en-US" w:eastAsia="zh-CN"/>
              </w:rPr>
              <w:t>10</w:t>
            </w:r>
            <w:r>
              <w:rPr>
                <w:rFonts w:hint="eastAsia" w:ascii="宋体" w:hAnsi="宋体"/>
              </w:rPr>
              <w:t>分；需求分析、理解基本准确的得</w:t>
            </w:r>
            <w:r>
              <w:rPr>
                <w:rFonts w:hint="eastAsia" w:ascii="宋体" w:hAnsi="宋体"/>
                <w:lang w:val="en-US" w:eastAsia="zh-CN"/>
              </w:rPr>
              <w:t>7</w:t>
            </w:r>
            <w:r>
              <w:rPr>
                <w:rFonts w:hint="eastAsia" w:ascii="宋体" w:hAnsi="宋体"/>
              </w:rPr>
              <w:t>分；需求分析、理解不准确的得</w:t>
            </w:r>
            <w:r>
              <w:rPr>
                <w:rFonts w:hint="eastAsia" w:ascii="宋体" w:hAnsi="宋体"/>
                <w:lang w:val="en-US" w:eastAsia="zh-CN"/>
              </w:rPr>
              <w:t>4</w:t>
            </w:r>
            <w:r>
              <w:rPr>
                <w:rFonts w:hint="eastAsia" w:ascii="宋体" w:hAnsi="宋体"/>
              </w:rPr>
              <w:t>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实施方案</w:t>
            </w:r>
          </w:p>
          <w:p>
            <w:pPr>
              <w:ind w:firstLine="480"/>
              <w:rPr>
                <w:rFonts w:hint="eastAsia" w:ascii="宋体" w:hAnsi="宋体"/>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根据本项目采购需求，编制详细的项目实施方案，包括但不限于①实施计划②实施进度③质量控制措施④设备安装点位图、连接图和系统图。方案完全符合要求且思路清晰、科学、完整，阐述详实，符合采购需求的得</w:t>
            </w:r>
            <w:r>
              <w:rPr>
                <w:rFonts w:hint="eastAsia" w:ascii="宋体" w:hAnsi="宋体"/>
                <w:lang w:val="en-US" w:eastAsia="zh-CN"/>
              </w:rPr>
              <w:t>10</w:t>
            </w:r>
            <w:r>
              <w:rPr>
                <w:rFonts w:hint="eastAsia" w:ascii="宋体" w:hAnsi="宋体"/>
              </w:rPr>
              <w:t>分；方案较为可行，阐述基本充分的得</w:t>
            </w:r>
            <w:r>
              <w:rPr>
                <w:rFonts w:hint="eastAsia" w:ascii="宋体" w:hAnsi="宋体"/>
                <w:lang w:val="en-US" w:eastAsia="zh-CN"/>
              </w:rPr>
              <w:t>7</w:t>
            </w:r>
            <w:r>
              <w:rPr>
                <w:rFonts w:hint="eastAsia" w:ascii="宋体" w:hAnsi="宋体"/>
              </w:rPr>
              <w:t>分；方案一般，阐述不够充分的得</w:t>
            </w:r>
            <w:r>
              <w:rPr>
                <w:rFonts w:hint="eastAsia" w:ascii="宋体" w:hAnsi="宋体"/>
                <w:lang w:val="en-US" w:eastAsia="zh-CN"/>
              </w:rPr>
              <w:t>4</w:t>
            </w:r>
            <w:r>
              <w:rPr>
                <w:rFonts w:hint="eastAsia" w:ascii="宋体" w:hAnsi="宋体"/>
              </w:rPr>
              <w:t>分；未提供方案不得分。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rPr>
            </w:pPr>
            <w:r>
              <w:rPr>
                <w:rFonts w:hint="eastAsia" w:ascii="宋体" w:hAnsi="宋体"/>
                <w:lang w:val="en-US" w:eastAsia="zh-CN"/>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1、针对该项目须有完善的售后服务体系。包含：售后服务机构和人员</w:t>
            </w:r>
            <w:r>
              <w:rPr>
                <w:rFonts w:hint="eastAsia" w:ascii="宋体" w:hAnsi="宋体"/>
                <w:lang w:val="zh-CN" w:eastAsia="zh-CN"/>
              </w:rPr>
              <w:t>、</w:t>
            </w:r>
            <w:r>
              <w:rPr>
                <w:rFonts w:hint="eastAsia" w:ascii="宋体" w:hAnsi="宋体"/>
                <w:lang w:val="zh-CN"/>
              </w:rPr>
              <w:t>售后服务内容和流程</w:t>
            </w:r>
            <w:r>
              <w:rPr>
                <w:rFonts w:hint="eastAsia" w:ascii="宋体" w:hAnsi="宋体"/>
                <w:lang w:val="zh-CN" w:eastAsia="zh-CN"/>
              </w:rPr>
              <w:t>、</w:t>
            </w:r>
            <w:r>
              <w:rPr>
                <w:rFonts w:hint="eastAsia" w:ascii="宋体" w:hAnsi="宋体"/>
                <w:lang w:val="zh-CN"/>
              </w:rPr>
              <w:t>售后服务响应时间和质量</w:t>
            </w:r>
            <w:r>
              <w:rPr>
                <w:rFonts w:hint="eastAsia" w:ascii="宋体" w:hAnsi="宋体"/>
                <w:lang w:val="zh-CN" w:eastAsia="zh-CN"/>
              </w:rPr>
              <w:t>、</w:t>
            </w:r>
            <w:r>
              <w:rPr>
                <w:rFonts w:hint="eastAsia" w:ascii="宋体" w:hAnsi="宋体"/>
                <w:lang w:val="zh-CN"/>
              </w:rPr>
              <w:t>售后服务方式和特色</w:t>
            </w:r>
            <w:r>
              <w:rPr>
                <w:rFonts w:hint="eastAsia" w:ascii="宋体" w:hAnsi="宋体"/>
                <w:lang w:val="zh-CN" w:eastAsia="zh-CN"/>
              </w:rPr>
              <w:t>、</w:t>
            </w:r>
            <w:r>
              <w:rPr>
                <w:rFonts w:hint="eastAsia" w:ascii="宋体" w:hAnsi="宋体"/>
                <w:lang w:val="zh-CN"/>
              </w:rPr>
              <w:t>详尽的组织配送及验收</w:t>
            </w:r>
            <w:r>
              <w:rPr>
                <w:rFonts w:hint="eastAsia" w:ascii="宋体" w:hAnsi="宋体"/>
                <w:lang w:val="zh-CN" w:eastAsia="zh-CN"/>
              </w:rPr>
              <w:t>。</w:t>
            </w:r>
            <w:r>
              <w:rPr>
                <w:rFonts w:hint="eastAsia" w:ascii="宋体" w:hAnsi="宋体"/>
                <w:lang w:val="zh-CN"/>
              </w:rPr>
              <w:t>进行横向比较</w:t>
            </w:r>
            <w:r>
              <w:rPr>
                <w:rFonts w:hint="eastAsia" w:ascii="宋体" w:hAnsi="宋体"/>
                <w:lang w:val="zh-CN" w:eastAsia="zh-CN"/>
              </w:rPr>
              <w:t>，</w:t>
            </w:r>
            <w:r>
              <w:rPr>
                <w:rFonts w:hint="eastAsia" w:ascii="宋体" w:hAnsi="宋体"/>
                <w:lang w:val="zh-CN"/>
              </w:rPr>
              <w:t>方优秀得</w:t>
            </w:r>
            <w:r>
              <w:rPr>
                <w:rFonts w:hint="eastAsia" w:ascii="宋体" w:hAnsi="宋体"/>
                <w:lang w:val="en-US" w:eastAsia="zh-CN"/>
              </w:rPr>
              <w:t>7</w:t>
            </w:r>
            <w:r>
              <w:rPr>
                <w:rFonts w:hint="eastAsia" w:ascii="宋体" w:hAnsi="宋体"/>
                <w:lang w:val="zh-CN"/>
              </w:rPr>
              <w:t>分，良好得</w:t>
            </w:r>
            <w:r>
              <w:rPr>
                <w:rFonts w:hint="eastAsia" w:ascii="宋体" w:hAnsi="宋体"/>
                <w:lang w:val="en-US" w:eastAsia="zh-CN"/>
              </w:rPr>
              <w:t>4</w:t>
            </w:r>
            <w:r>
              <w:rPr>
                <w:rFonts w:hint="eastAsia" w:ascii="宋体" w:hAnsi="宋体"/>
                <w:lang w:val="zh-CN"/>
              </w:rPr>
              <w:t>分，一般得</w:t>
            </w:r>
            <w:r>
              <w:rPr>
                <w:rFonts w:hint="eastAsia" w:ascii="宋体" w:hAnsi="宋体"/>
                <w:lang w:val="en-US" w:eastAsia="zh-CN"/>
              </w:rPr>
              <w:t>1</w:t>
            </w:r>
            <w:r>
              <w:rPr>
                <w:rFonts w:hint="eastAsia" w:ascii="宋体" w:hAnsi="宋体"/>
                <w:lang w:val="zh-CN"/>
              </w:rPr>
              <w:t>分，差或未提供不得分。</w:t>
            </w:r>
          </w:p>
          <w:p>
            <w:pPr>
              <w:ind w:firstLine="480"/>
              <w:rPr>
                <w:rFonts w:hint="eastAsia" w:ascii="宋体" w:hAnsi="宋体"/>
                <w:lang w:val="zh-CN"/>
              </w:rPr>
            </w:pPr>
            <w:r>
              <w:rPr>
                <w:rFonts w:hint="eastAsia" w:ascii="宋体" w:hAnsi="宋体"/>
                <w:lang w:val="zh-CN"/>
              </w:rPr>
              <w:t>2.提供售后服务相关承诺的，得1分；未提供不得分。</w:t>
            </w:r>
          </w:p>
          <w:p>
            <w:pPr>
              <w:ind w:firstLine="480"/>
              <w:rPr>
                <w:rFonts w:hint="eastAsia" w:ascii="宋体" w:hAnsi="宋体"/>
                <w:lang w:val="en-US" w:eastAsia="zh-CN"/>
              </w:rPr>
            </w:pPr>
            <w:r>
              <w:rPr>
                <w:rFonts w:hint="eastAsia" w:ascii="宋体" w:hAnsi="宋体"/>
                <w:lang w:val="en-US" w:eastAsia="zh-CN"/>
              </w:rPr>
              <w:t>3、</w:t>
            </w:r>
            <w:r>
              <w:rPr>
                <w:rFonts w:hint="eastAsia" w:ascii="宋体" w:hAnsi="宋体"/>
                <w:lang w:val="zh-CN" w:eastAsia="zh-CN"/>
              </w:rPr>
              <w:t>在青海省有服务机构或有合作性服务机构的，得</w:t>
            </w:r>
            <w:r>
              <w:rPr>
                <w:rFonts w:hint="eastAsia" w:ascii="宋体" w:hAnsi="宋体"/>
                <w:lang w:val="en-US" w:eastAsia="zh-CN"/>
              </w:rPr>
              <w:t>2</w:t>
            </w:r>
            <w:r>
              <w:rPr>
                <w:rFonts w:hint="eastAsia" w:ascii="宋体" w:hAnsi="宋体"/>
                <w:lang w:val="zh-CN" w:eastAsia="zh-CN"/>
              </w:rPr>
              <w:t>分；</w:t>
            </w:r>
            <w:r>
              <w:rPr>
                <w:rFonts w:hint="eastAsia" w:ascii="宋体" w:hAnsi="宋体"/>
                <w:lang w:val="en-US" w:eastAsia="zh-CN"/>
              </w:rPr>
              <w:t>,</w:t>
            </w:r>
            <w:r>
              <w:rPr>
                <w:rFonts w:hint="eastAsia" w:ascii="宋体" w:hAnsi="宋体"/>
                <w:lang w:val="zh-CN" w:eastAsia="zh-CN"/>
              </w:rPr>
              <w:t>没有的不得分。（需提供合作性服务机构的相关证明材料）。</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eastAsia="zh-CN"/>
              </w:rPr>
            </w:pPr>
            <w:r>
              <w:rPr>
                <w:rFonts w:hint="eastAsia" w:ascii="宋体" w:hAnsi="宋体"/>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投标产品为节能产品得</w:t>
            </w:r>
            <w:r>
              <w:rPr>
                <w:rFonts w:hint="eastAsia" w:ascii="宋体" w:hAnsi="宋体"/>
                <w:lang w:val="en-US" w:eastAsia="zh-CN"/>
              </w:rPr>
              <w:t>1</w:t>
            </w:r>
            <w:r>
              <w:rPr>
                <w:rFonts w:hint="eastAsia" w:ascii="宋体" w:hAnsi="宋体"/>
                <w:lang w:val="zh-CN"/>
              </w:rPr>
              <w:t>分；投标产品为环保产品得</w:t>
            </w:r>
            <w:r>
              <w:rPr>
                <w:rFonts w:hint="eastAsia" w:ascii="宋体" w:hAnsi="宋体"/>
                <w:lang w:val="en-US" w:eastAsia="zh-CN"/>
              </w:rPr>
              <w:t>1</w:t>
            </w:r>
            <w:r>
              <w:rPr>
                <w:rFonts w:hint="eastAsia" w:ascii="宋体" w:hAnsi="宋体"/>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 xml:space="preserve">提供自2019年以来类似项目业绩证明材料，每提供1份得 </w:t>
            </w:r>
            <w:r>
              <w:rPr>
                <w:rFonts w:hint="eastAsia" w:ascii="宋体" w:hAnsi="宋体"/>
                <w:lang w:val="en-US" w:eastAsia="zh-CN"/>
              </w:rPr>
              <w:t>1</w:t>
            </w:r>
            <w:r>
              <w:rPr>
                <w:rFonts w:hint="eastAsia" w:ascii="宋体" w:hAnsi="宋体"/>
              </w:rPr>
              <w:t>分,满分</w:t>
            </w:r>
            <w:r>
              <w:rPr>
                <w:rFonts w:hint="eastAsia" w:ascii="宋体" w:hAnsi="宋体"/>
                <w:lang w:val="en-US" w:eastAsia="zh-CN"/>
              </w:rPr>
              <w:t>3</w:t>
            </w:r>
            <w:r>
              <w:rPr>
                <w:rFonts w:hint="eastAsia" w:ascii="宋体" w:hAnsi="宋体"/>
              </w:rPr>
              <w:t>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gridAfter w:val="3"/>
          <w:wAfter w:w="7593" w:type="dxa"/>
          <w:cantSplit/>
          <w:trHeight w:val="965" w:hRule="atLeast"/>
          <w:jc w:val="center"/>
        </w:trPr>
        <w:tc>
          <w:tcPr>
            <w:tcW w:w="929" w:type="dxa"/>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4"/>
      <w:bookmarkEnd w:id="65"/>
      <w:r>
        <w:rPr>
          <w:rFonts w:hint="eastAsia" w:ascii="宋体" w:hAnsi="宋体"/>
          <w:b/>
          <w:bCs/>
          <w:kern w:val="0"/>
          <w:sz w:val="36"/>
          <w:szCs w:val="36"/>
        </w:rPr>
        <w:t>确定成交供应商</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7"/>
      <w:bookmarkStart w:id="68" w:name="_Toc325726026"/>
      <w:bookmarkStart w:id="69" w:name="_Toc108806901"/>
      <w:bookmarkStart w:id="70" w:name="_Toc325726030"/>
      <w:bookmarkStart w:id="71" w:name="_Toc376936761"/>
      <w:bookmarkStart w:id="72" w:name="_Toc27899"/>
      <w:r>
        <w:rPr>
          <w:rFonts w:hint="eastAsia" w:ascii="宋体" w:hAnsi="宋体"/>
          <w:b/>
          <w:bCs/>
          <w:kern w:val="0"/>
          <w:sz w:val="27"/>
          <w:szCs w:val="27"/>
        </w:rPr>
        <w:t>21.推荐并确定成交</w:t>
      </w:r>
      <w:bookmarkEnd w:id="67"/>
      <w:bookmarkEnd w:id="68"/>
      <w:r>
        <w:rPr>
          <w:rFonts w:hint="eastAsia" w:ascii="宋体" w:hAnsi="宋体"/>
          <w:b/>
          <w:bCs/>
          <w:kern w:val="0"/>
          <w:sz w:val="27"/>
          <w:szCs w:val="27"/>
        </w:rPr>
        <w:t>供应商</w:t>
      </w:r>
      <w:bookmarkEnd w:id="69"/>
    </w:p>
    <w:p>
      <w:pPr>
        <w:ind w:firstLine="480"/>
        <w:jc w:val="left"/>
        <w:rPr>
          <w:rFonts w:hint="eastAsia" w:ascii="宋体" w:hAnsi="宋体"/>
        </w:rPr>
      </w:pPr>
      <w:r>
        <w:rPr>
          <w:rFonts w:hint="eastAsia" w:ascii="宋体" w:hAnsi="宋体"/>
        </w:rPr>
        <w:t>21.1</w:t>
      </w:r>
      <w:r>
        <w:t xml:space="preserve"> 磋商小组根据综合评分情况，按照评审得分由高到低顺序推荐3名以上成交候选供应商，并编写评审报告。采购人从评审报告提出的成交候选供应商中，按照排序由高到低的原则确定成交供应商，也可以书面授权磋商小组直接确定成交供应商。</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325726028"/>
      <w:bookmarkStart w:id="74" w:name="_Toc108806902"/>
      <w:bookmarkStart w:id="75" w:name="_Toc376936759"/>
      <w:r>
        <w:rPr>
          <w:rFonts w:hint="eastAsia" w:ascii="宋体" w:hAnsi="宋体"/>
          <w:b/>
          <w:bCs/>
          <w:kern w:val="0"/>
          <w:sz w:val="27"/>
          <w:szCs w:val="27"/>
        </w:rPr>
        <w:t>22.成交通知</w:t>
      </w:r>
      <w:bookmarkEnd w:id="73"/>
      <w:bookmarkEnd w:id="74"/>
      <w:bookmarkEnd w:id="75"/>
    </w:p>
    <w:p>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bookmarkEnd w:id="70"/>
    <w:bookmarkEnd w:id="71"/>
    <w:bookmarkEnd w:id="72"/>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6" w:name="_Toc108806903"/>
      <w:bookmarkStart w:id="77" w:name="_Toc376936758"/>
      <w:bookmarkStart w:id="78" w:name="_Toc373954603"/>
      <w:bookmarkStart w:id="79" w:name="_Toc375576842"/>
      <w:bookmarkStart w:id="80" w:name="_Toc373936315"/>
      <w:r>
        <w:rPr>
          <w:rFonts w:hint="eastAsia" w:ascii="宋体" w:hAnsi="宋体"/>
          <w:b/>
          <w:bCs/>
          <w:kern w:val="0"/>
          <w:sz w:val="36"/>
          <w:szCs w:val="36"/>
          <w:lang w:eastAsia="zh-CN"/>
        </w:rPr>
        <w:t>八</w:t>
      </w:r>
      <w:r>
        <w:rPr>
          <w:rFonts w:hint="eastAsia" w:ascii="宋体" w:hAnsi="宋体"/>
          <w:b/>
          <w:bCs/>
          <w:kern w:val="0"/>
          <w:sz w:val="36"/>
          <w:szCs w:val="36"/>
        </w:rPr>
        <w:t>、授予合同</w:t>
      </w:r>
      <w:bookmarkEnd w:id="76"/>
      <w:bookmarkEnd w:id="7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60"/>
      <w:bookmarkStart w:id="82" w:name="_Toc325726029"/>
      <w:bookmarkStart w:id="83" w:name="_Toc108806904"/>
      <w:r>
        <w:rPr>
          <w:rFonts w:hint="eastAsia" w:ascii="宋体" w:hAnsi="宋体"/>
          <w:b/>
          <w:bCs/>
          <w:kern w:val="0"/>
          <w:sz w:val="27"/>
          <w:szCs w:val="27"/>
        </w:rPr>
        <w:t>23.签订合同</w:t>
      </w:r>
      <w:bookmarkEnd w:id="81"/>
      <w:bookmarkEnd w:id="82"/>
      <w:bookmarkEnd w:id="83"/>
    </w:p>
    <w:p>
      <w:pPr>
        <w:ind w:firstLine="480"/>
        <w:jc w:val="left"/>
        <w:rPr>
          <w:rFonts w:hint="eastAsia" w:ascii="宋体" w:hAnsi="宋体"/>
        </w:rPr>
      </w:pPr>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省政府采购中心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23.7采购人与成交供应商应当根据合同的约定依法履行合同义务。政府采购合同的履行、违约责任和解决争议的方法等适用《民法典》。</w:t>
      </w:r>
    </w:p>
    <w:p>
      <w:pPr>
        <w:ind w:firstLine="480"/>
        <w:jc w:val="left"/>
        <w:rPr>
          <w:rFonts w:hint="eastAsia" w:ascii="宋体" w:hAnsi="宋体"/>
        </w:rPr>
      </w:pPr>
      <w:r>
        <w:rPr>
          <w:rFonts w:hint="eastAsia" w:ascii="宋体" w:hAnsi="宋体"/>
        </w:rPr>
        <w:t>23.8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hint="eastAsia" w:ascii="宋体" w:hAnsi="宋体"/>
        </w:rPr>
      </w:pPr>
      <w:r>
        <w:rPr>
          <w:rFonts w:hint="eastAsia" w:ascii="宋体" w:hAnsi="宋体"/>
        </w:rPr>
        <w:t>23.9</w:t>
      </w:r>
      <w:r>
        <w:rPr>
          <w:rFonts w:ascii="宋体" w:hAnsi="宋体"/>
        </w:rPr>
        <w:t xml:space="preserve"> </w:t>
      </w:r>
      <w:r>
        <w:rPr>
          <w:rFonts w:hint="eastAsia" w:ascii="宋体" w:hAnsi="宋体"/>
        </w:rPr>
        <w:t>采购人应当加强对成交供应商的履约管理，并按照采购合同约定，及时向中标人支付采购资金。对于中标人违反采购合同约定的行为，采购人应当及时处理，依法追究其违约责任。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4" w:name="_Toc108806905"/>
      <w:r>
        <w:rPr>
          <w:rFonts w:hint="eastAsia" w:ascii="宋体" w:hAnsi="宋体"/>
          <w:b/>
          <w:bCs/>
          <w:kern w:val="0"/>
          <w:sz w:val="36"/>
          <w:szCs w:val="36"/>
          <w:lang w:eastAsia="zh-CN"/>
        </w:rPr>
        <w:t>九</w:t>
      </w:r>
      <w:r>
        <w:rPr>
          <w:rFonts w:hint="eastAsia" w:ascii="宋体" w:hAnsi="宋体"/>
          <w:b/>
          <w:bCs/>
          <w:kern w:val="0"/>
          <w:sz w:val="36"/>
          <w:szCs w:val="36"/>
        </w:rPr>
        <w:t>、串通投标的认定及处理办法</w:t>
      </w:r>
      <w:bookmarkEnd w:id="84"/>
    </w:p>
    <w:p>
      <w:pPr>
        <w:widowControl/>
        <w:spacing w:before="100" w:beforeAutospacing="1" w:after="100" w:afterAutospacing="1"/>
        <w:ind w:firstLine="542"/>
        <w:jc w:val="left"/>
        <w:outlineLvl w:val="2"/>
        <w:rPr>
          <w:rFonts w:hint="eastAsia" w:ascii="宋体" w:hAnsi="宋体"/>
          <w:b/>
          <w:bCs/>
          <w:kern w:val="0"/>
          <w:sz w:val="27"/>
          <w:szCs w:val="27"/>
        </w:rPr>
      </w:pPr>
      <w:bookmarkStart w:id="85" w:name="_Toc108806906"/>
      <w:bookmarkStart w:id="86" w:name="_Toc496189563"/>
      <w:bookmarkStart w:id="87" w:name="_Toc496004020"/>
      <w:r>
        <w:rPr>
          <w:rFonts w:hint="eastAsia" w:ascii="宋体" w:hAnsi="宋体"/>
          <w:b/>
          <w:bCs/>
          <w:kern w:val="0"/>
          <w:sz w:val="27"/>
          <w:szCs w:val="27"/>
        </w:rPr>
        <w:t>24.串通投标的情形</w:t>
      </w:r>
      <w:bookmarkEnd w:id="85"/>
      <w:bookmarkEnd w:id="86"/>
      <w:bookmarkEnd w:id="87"/>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hint="eastAsia" w:ascii="宋体" w:hAnsi="宋体"/>
        </w:rPr>
      </w:pPr>
      <w:r>
        <w:rPr>
          <w:rFonts w:hint="eastAsia" w:ascii="宋体" w:hAnsi="宋体"/>
        </w:rPr>
        <w:t>（5）</w:t>
      </w:r>
      <w:r>
        <w:rPr>
          <w:rFonts w:ascii="宋体" w:hAnsi="宋体"/>
        </w:rPr>
        <w:t>不同供应商的磋商响应文件相互混装。</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8" w:name="_Toc108806907"/>
      <w:r>
        <w:rPr>
          <w:rFonts w:hint="eastAsia" w:ascii="宋体" w:hAnsi="宋体"/>
          <w:b/>
          <w:bCs/>
          <w:kern w:val="0"/>
          <w:sz w:val="36"/>
          <w:szCs w:val="36"/>
          <w:lang w:eastAsia="zh-CN"/>
        </w:rPr>
        <w:t>十</w:t>
      </w:r>
      <w:r>
        <w:rPr>
          <w:rFonts w:hint="eastAsia" w:ascii="宋体" w:hAnsi="宋体"/>
          <w:b/>
          <w:bCs/>
          <w:kern w:val="0"/>
          <w:sz w:val="36"/>
          <w:szCs w:val="36"/>
        </w:rPr>
        <w:t>、磋商活动终止</w:t>
      </w:r>
      <w:bookmarkEnd w:id="8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108806908"/>
      <w:bookmarkStart w:id="90" w:name="_Toc325726031"/>
      <w:bookmarkStart w:id="91" w:name="_Toc376936762"/>
      <w:r>
        <w:rPr>
          <w:rFonts w:hint="eastAsia" w:ascii="宋体" w:hAnsi="宋体"/>
          <w:b/>
          <w:bCs/>
          <w:kern w:val="0"/>
          <w:sz w:val="27"/>
          <w:szCs w:val="27"/>
        </w:rPr>
        <w:t>25. 终止情形</w:t>
      </w:r>
      <w:bookmarkEnd w:id="89"/>
    </w:p>
    <w:p>
      <w:pPr>
        <w:ind w:firstLine="480"/>
        <w:jc w:val="left"/>
        <w:rPr>
          <w:rFonts w:hint="eastAsia" w:ascii="宋体" w:hAnsi="宋体"/>
        </w:rPr>
      </w:pPr>
      <w:r>
        <w:rPr>
          <w:rFonts w:hint="eastAsia" w:ascii="宋体" w:hAnsi="宋体"/>
        </w:rPr>
        <w:t>25.1在竞争性磋商采购中，出现下列情形之一的，终止磋商活动：</w:t>
      </w:r>
      <w:bookmarkEnd w:id="90"/>
      <w:bookmarkEnd w:id="91"/>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92"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3" w:name="_Toc376936763"/>
      <w:bookmarkStart w:id="94" w:name="_Toc108806909"/>
      <w:r>
        <w:rPr>
          <w:rFonts w:hint="eastAsia" w:ascii="宋体" w:hAnsi="宋体"/>
          <w:b/>
          <w:bCs/>
          <w:kern w:val="0"/>
          <w:sz w:val="36"/>
          <w:szCs w:val="36"/>
        </w:rPr>
        <w:t>十</w:t>
      </w:r>
      <w:r>
        <w:rPr>
          <w:rFonts w:hint="eastAsia" w:ascii="宋体" w:hAnsi="宋体"/>
          <w:b/>
          <w:bCs/>
          <w:kern w:val="0"/>
          <w:sz w:val="36"/>
          <w:szCs w:val="36"/>
          <w:lang w:eastAsia="zh-CN"/>
        </w:rPr>
        <w:t>一</w:t>
      </w:r>
      <w:r>
        <w:rPr>
          <w:rFonts w:hint="eastAsia" w:ascii="宋体" w:hAnsi="宋体"/>
          <w:b/>
          <w:bCs/>
          <w:kern w:val="0"/>
          <w:sz w:val="36"/>
          <w:szCs w:val="36"/>
        </w:rPr>
        <w:t>、处罚</w:t>
      </w:r>
      <w:bookmarkEnd w:id="92"/>
      <w:bookmarkEnd w:id="93"/>
      <w:bookmarkEnd w:id="9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376936764"/>
      <w:bookmarkStart w:id="96" w:name="_Toc108806910"/>
      <w:bookmarkStart w:id="97" w:name="_Toc325726033"/>
      <w:r>
        <w:rPr>
          <w:rFonts w:hint="eastAsia" w:ascii="宋体" w:hAnsi="宋体"/>
          <w:b/>
          <w:bCs/>
          <w:kern w:val="0"/>
          <w:sz w:val="27"/>
          <w:szCs w:val="27"/>
        </w:rPr>
        <w:t>26.处罚情形</w:t>
      </w:r>
      <w:bookmarkEnd w:id="95"/>
      <w:bookmarkEnd w:id="96"/>
      <w:bookmarkEnd w:id="97"/>
    </w:p>
    <w:p>
      <w:pPr>
        <w:ind w:firstLine="480"/>
        <w:jc w:val="left"/>
        <w:rPr>
          <w:rFonts w:hint="eastAsia" w:ascii="宋体" w:hAnsi="宋体"/>
        </w:rPr>
      </w:pPr>
      <w:r>
        <w:rPr>
          <w:rFonts w:hint="eastAsia" w:ascii="宋体" w:hAnsi="宋体"/>
        </w:rPr>
        <w:t>26.1有下列情形之一的，成交供应商的成交结果无效，履约保证金不予退还。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8" w:name="_Toc108806911"/>
      <w:bookmarkStart w:id="99" w:name="_Toc376936765"/>
      <w:bookmarkStart w:id="100" w:name="_Toc325726034"/>
      <w:r>
        <w:rPr>
          <w:rFonts w:hint="eastAsia" w:ascii="宋体" w:hAnsi="宋体"/>
          <w:b/>
          <w:bCs/>
          <w:kern w:val="0"/>
          <w:sz w:val="36"/>
          <w:szCs w:val="36"/>
        </w:rPr>
        <w:t>十</w:t>
      </w:r>
      <w:r>
        <w:rPr>
          <w:rFonts w:hint="eastAsia" w:ascii="宋体" w:hAnsi="宋体"/>
          <w:b/>
          <w:bCs/>
          <w:kern w:val="0"/>
          <w:sz w:val="36"/>
          <w:szCs w:val="36"/>
          <w:lang w:eastAsia="zh-CN"/>
        </w:rPr>
        <w:t>二</w:t>
      </w:r>
      <w:r>
        <w:rPr>
          <w:rFonts w:hint="eastAsia" w:ascii="宋体" w:hAnsi="宋体"/>
          <w:b/>
          <w:bCs/>
          <w:kern w:val="0"/>
          <w:sz w:val="36"/>
          <w:szCs w:val="36"/>
        </w:rPr>
        <w:t>、其他</w:t>
      </w:r>
      <w:bookmarkEnd w:id="98"/>
      <w:bookmarkEnd w:id="99"/>
      <w:bookmarkEnd w:id="100"/>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78"/>
      <w:bookmarkEnd w:id="79"/>
      <w:bookmarkEnd w:id="80"/>
      <w:bookmarkStart w:id="101" w:name="_Toc23641"/>
      <w:bookmarkStart w:id="102" w:name="_Toc376936767"/>
      <w:bookmarkStart w:id="10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10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center"/>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海南州人民检察院未成年人检察办案工作区设施设备项目</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2022-14</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2022-14</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hint="default" w:ascii="宋体" w:hAnsi="Calibri" w:cs="宋体" w:eastAsiaTheme="minorEastAsia"/>
          <w:kern w:val="0"/>
          <w:lang w:val="en-US" w:eastAsia="zh-CN"/>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kern w:val="0"/>
          <w:u w:val="single"/>
          <w:lang w:val="en-US" w:eastAsia="zh-CN"/>
        </w:rPr>
        <w:t xml:space="preserve">         </w:t>
      </w:r>
      <w:r>
        <w:rPr>
          <w:rFonts w:hint="eastAsia" w:ascii="宋体" w:hAnsi="Calibri" w:cs="宋体"/>
          <w:kern w:val="0"/>
          <w:lang w:val="zh-CN"/>
        </w:rPr>
        <w:t>；交货地点</w:t>
      </w:r>
      <w:r>
        <w:rPr>
          <w:rFonts w:hint="eastAsia" w:ascii="宋体" w:hAnsi="Calibri" w:cs="宋体"/>
          <w:kern w:val="0"/>
          <w:u w:val="single"/>
          <w:lang w:val="zh-CN"/>
        </w:rPr>
        <w:t>：</w:t>
      </w:r>
      <w:r>
        <w:rPr>
          <w:rFonts w:hint="eastAsia" w:ascii="宋体" w:hAnsi="Calibri" w:cs="宋体"/>
          <w:kern w:val="0"/>
          <w:u w:val="single"/>
          <w:lang w:val="en-US" w:eastAsia="zh-CN"/>
        </w:rPr>
        <w:t xml:space="preserve">              </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10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102"/>
      <w:bookmarkEnd w:id="103"/>
      <w:r>
        <w:rPr>
          <w:rFonts w:hint="eastAsia" w:ascii="宋体"/>
          <w:b/>
          <w:kern w:val="28"/>
          <w:sz w:val="36"/>
          <w:szCs w:val="20"/>
        </w:rPr>
        <w:t>磋商响应文件格式</w:t>
      </w:r>
      <w:bookmarkEnd w:id="10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10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10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10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107" w:name="_Toc376936768"/>
      <w:bookmarkStart w:id="108" w:name="_Toc325726037"/>
      <w:r>
        <w:rPr>
          <w:rFonts w:hint="eastAsia" w:ascii="宋体"/>
          <w:b/>
          <w:sz w:val="28"/>
          <w:szCs w:val="28"/>
        </w:rPr>
        <w:t>：磋商函</w:t>
      </w:r>
      <w:bookmarkEnd w:id="106"/>
      <w:bookmarkEnd w:id="107"/>
      <w:bookmarkEnd w:id="10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w:t>
      </w:r>
      <w:r>
        <w:rPr>
          <w:rFonts w:hint="eastAsia" w:ascii="宋体" w:hAnsi="宋体"/>
          <w:b/>
          <w:lang w:eastAsia="zh-CN"/>
        </w:rPr>
        <w:t>服务</w:t>
      </w:r>
      <w:r>
        <w:rPr>
          <w:rFonts w:hint="eastAsia" w:ascii="宋体" w:hAnsi="宋体"/>
          <w:b/>
        </w:rPr>
        <w:t>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10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10" w:name="_Toc325726038"/>
      <w:bookmarkStart w:id="111" w:name="_Toc376936769"/>
      <w:r>
        <w:rPr>
          <w:rFonts w:hint="eastAsia" w:ascii="宋体"/>
          <w:b/>
          <w:sz w:val="28"/>
          <w:szCs w:val="28"/>
        </w:rPr>
        <w:t>：</w:t>
      </w:r>
      <w:bookmarkEnd w:id="110"/>
      <w:bookmarkEnd w:id="111"/>
      <w:r>
        <w:rPr>
          <w:rFonts w:hint="eastAsia" w:ascii="宋体"/>
          <w:b/>
          <w:sz w:val="28"/>
          <w:szCs w:val="28"/>
        </w:rPr>
        <w:t>竞争性磋商首次报价表</w:t>
      </w:r>
      <w:bookmarkEnd w:id="10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1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3" w:name="_Toc325726043"/>
      <w:bookmarkStart w:id="114" w:name="_Toc376936774"/>
      <w:bookmarkStart w:id="115" w:name="_Toc325726042"/>
      <w:bookmarkStart w:id="116" w:name="_Toc376936773"/>
      <w:r>
        <w:rPr>
          <w:rFonts w:hint="eastAsia" w:ascii="宋体"/>
          <w:b/>
          <w:sz w:val="28"/>
          <w:szCs w:val="28"/>
        </w:rPr>
        <w:t>5：法定代表人证明书</w:t>
      </w:r>
      <w:bookmarkEnd w:id="112"/>
      <w:bookmarkEnd w:id="113"/>
      <w:bookmarkEnd w:id="11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15"/>
    <w:bookmarkEnd w:id="116"/>
    <w:p>
      <w:pPr>
        <w:widowControl/>
        <w:snapToGrid w:val="0"/>
        <w:spacing w:line="360" w:lineRule="auto"/>
        <w:outlineLvl w:val="1"/>
        <w:rPr>
          <w:rFonts w:ascii="宋体"/>
          <w:b/>
          <w:sz w:val="28"/>
          <w:szCs w:val="28"/>
        </w:rPr>
      </w:pPr>
      <w:bookmarkStart w:id="117" w:name="_Toc201287639"/>
      <w:bookmarkStart w:id="11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19" w:name="_Toc3299"/>
    </w:p>
    <w:p>
      <w:pPr>
        <w:widowControl/>
        <w:snapToGrid w:val="0"/>
        <w:spacing w:line="360" w:lineRule="auto"/>
        <w:outlineLvl w:val="1"/>
        <w:rPr>
          <w:rFonts w:ascii="宋体"/>
          <w:b/>
          <w:sz w:val="28"/>
          <w:szCs w:val="28"/>
        </w:rPr>
      </w:pPr>
      <w:r>
        <w:rPr>
          <w:rFonts w:hint="eastAsia" w:ascii="宋体"/>
          <w:b/>
          <w:sz w:val="28"/>
          <w:szCs w:val="28"/>
        </w:rPr>
        <w:t>附件</w:t>
      </w:r>
      <w:bookmarkEnd w:id="117"/>
      <w:bookmarkEnd w:id="118"/>
      <w:r>
        <w:rPr>
          <w:rFonts w:hint="eastAsia" w:ascii="宋体"/>
          <w:b/>
          <w:sz w:val="28"/>
          <w:szCs w:val="28"/>
        </w:rPr>
        <w:t>6：法定代表人授权书</w:t>
      </w:r>
      <w:bookmarkEnd w:id="11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20" w:name="_Toc5234"/>
      <w:r>
        <w:rPr>
          <w:rFonts w:hint="eastAsia" w:ascii="宋体"/>
          <w:b/>
          <w:sz w:val="28"/>
          <w:szCs w:val="28"/>
        </w:rPr>
        <w:t>附件7：投标人承诺函</w:t>
      </w:r>
      <w:bookmarkEnd w:id="12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2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22" w:name="_Toc365019584"/>
      <w:bookmarkStart w:id="123" w:name="_Toc351475542"/>
      <w:bookmarkStart w:id="124" w:name="_Toc376936779"/>
      <w:r>
        <w:rPr>
          <w:rFonts w:hint="eastAsia" w:ascii="宋体"/>
          <w:b/>
          <w:sz w:val="28"/>
          <w:szCs w:val="28"/>
        </w:rPr>
        <w:t>8：供应商诚信承诺书</w:t>
      </w:r>
      <w:bookmarkEnd w:id="121"/>
      <w:bookmarkEnd w:id="122"/>
      <w:bookmarkEnd w:id="123"/>
      <w:bookmarkEnd w:id="12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25" w:name="_Toc455574903"/>
      <w:bookmarkStart w:id="126" w:name="_Toc444158184"/>
      <w:bookmarkStart w:id="127" w:name="_Toc451264359"/>
      <w:bookmarkStart w:id="128" w:name="_Toc450574560"/>
      <w:bookmarkStart w:id="129" w:name="_Toc458873058"/>
      <w:bookmarkStart w:id="130" w:name="_Toc8762"/>
      <w:bookmarkStart w:id="131" w:name="_Toc451333907"/>
      <w:bookmarkStart w:id="13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25"/>
      <w:bookmarkEnd w:id="126"/>
      <w:bookmarkEnd w:id="127"/>
      <w:bookmarkEnd w:id="128"/>
      <w:bookmarkEnd w:id="129"/>
      <w:bookmarkEnd w:id="130"/>
      <w:bookmarkEnd w:id="131"/>
      <w:bookmarkEnd w:id="13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33" w:name="_Toc14112"/>
      <w:r>
        <w:rPr>
          <w:rFonts w:hint="eastAsia" w:ascii="宋体"/>
          <w:b/>
          <w:sz w:val="28"/>
          <w:szCs w:val="28"/>
        </w:rPr>
        <w:t>附件10：财务状况、缴纳税收和社会保障资金证明</w:t>
      </w:r>
      <w:bookmarkEnd w:id="13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3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35" w:name="_Toc11118"/>
      <w:bookmarkStart w:id="136" w:name="_Toc427748103"/>
      <w:r>
        <w:rPr>
          <w:rFonts w:hint="eastAsia" w:ascii="宋体"/>
          <w:b/>
          <w:sz w:val="28"/>
          <w:szCs w:val="28"/>
        </w:rPr>
        <w:t>附件</w:t>
      </w:r>
      <w:bookmarkStart w:id="137" w:name="_Toc325726049"/>
      <w:bookmarkStart w:id="138" w:name="_Toc376936781"/>
      <w:r>
        <w:rPr>
          <w:rFonts w:hint="eastAsia" w:ascii="宋体"/>
          <w:b/>
          <w:sz w:val="28"/>
          <w:szCs w:val="28"/>
        </w:rPr>
        <w:t>11：</w:t>
      </w:r>
      <w:bookmarkEnd w:id="137"/>
      <w:bookmarkEnd w:id="138"/>
      <w:r>
        <w:rPr>
          <w:rFonts w:hint="eastAsia" w:ascii="宋体"/>
          <w:b/>
          <w:sz w:val="28"/>
          <w:szCs w:val="28"/>
        </w:rPr>
        <w:t>具备履行合同所必须的设备和专业技术能力证明</w:t>
      </w:r>
      <w:bookmarkEnd w:id="135"/>
      <w:bookmarkEnd w:id="13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3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3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4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41" w:name="_Toc325726048"/>
      <w:bookmarkEnd w:id="14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w:t>
      </w:r>
      <w:r>
        <w:rPr>
          <w:rFonts w:hint="eastAsia" w:ascii="宋体" w:hAnsi="宋体"/>
          <w:b/>
          <w:lang w:eastAsia="zh-CN"/>
        </w:rPr>
        <w:t>服务</w:t>
      </w:r>
      <w:r>
        <w:rPr>
          <w:rFonts w:hint="eastAsia" w:ascii="宋体" w:hAnsi="宋体"/>
          <w:b/>
          <w:bCs/>
        </w:rPr>
        <w:t>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34"/>
    <w:p>
      <w:pPr>
        <w:widowControl/>
        <w:snapToGrid w:val="0"/>
        <w:spacing w:line="360" w:lineRule="auto"/>
        <w:outlineLvl w:val="1"/>
        <w:rPr>
          <w:rFonts w:ascii="宋体"/>
          <w:b/>
          <w:sz w:val="28"/>
          <w:szCs w:val="28"/>
        </w:rPr>
      </w:pPr>
      <w:bookmarkStart w:id="142" w:name="_Toc17663"/>
      <w:bookmarkStart w:id="14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42"/>
      <w:bookmarkEnd w:id="14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44" w:name="_Toc416363470"/>
      <w:bookmarkStart w:id="14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4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w:t>
      </w:r>
      <w:r>
        <w:rPr>
          <w:rFonts w:hint="eastAsia" w:ascii="宋体" w:hAnsi="宋体"/>
          <w:b/>
          <w:lang w:eastAsia="zh-CN"/>
        </w:rPr>
        <w:t>服务</w:t>
      </w:r>
      <w:r>
        <w:rPr>
          <w:rFonts w:hint="eastAsia" w:ascii="宋体" w:hAnsi="宋体"/>
          <w:b/>
          <w:bCs/>
        </w:rPr>
        <w:t>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44"/>
      <w:r>
        <w:rPr>
          <w:rFonts w:hint="eastAsia" w:ascii="宋体"/>
          <w:b/>
          <w:sz w:val="28"/>
          <w:szCs w:val="28"/>
        </w:rPr>
        <w:t>磋商最终报价表</w:t>
      </w:r>
      <w:bookmarkEnd w:id="14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47" w:name="_Toc325726051"/>
      <w:bookmarkStart w:id="148" w:name="_Toc376936782"/>
    </w:p>
    <w:p>
      <w:pPr>
        <w:keepNext/>
        <w:keepLines/>
        <w:widowControl/>
        <w:snapToGrid w:val="0"/>
        <w:spacing w:line="400" w:lineRule="atLeast"/>
        <w:jc w:val="center"/>
        <w:outlineLvl w:val="0"/>
        <w:rPr>
          <w:rFonts w:ascii="宋体"/>
          <w:b/>
          <w:kern w:val="28"/>
          <w:sz w:val="36"/>
          <w:szCs w:val="20"/>
        </w:rPr>
      </w:pPr>
      <w:bookmarkStart w:id="149" w:name="_Toc9737"/>
      <w:r>
        <w:rPr>
          <w:rFonts w:hint="eastAsia" w:ascii="宋体"/>
          <w:b/>
          <w:kern w:val="28"/>
          <w:sz w:val="36"/>
          <w:szCs w:val="20"/>
        </w:rPr>
        <w:t>第五部分  磋商及采购项目服务要求</w:t>
      </w:r>
      <w:bookmarkEnd w:id="147"/>
      <w:bookmarkEnd w:id="148"/>
      <w:bookmarkEnd w:id="149"/>
    </w:p>
    <w:p>
      <w:pPr>
        <w:widowControl/>
        <w:spacing w:before="624" w:beforeLines="200" w:after="624" w:afterLines="200"/>
        <w:jc w:val="center"/>
        <w:outlineLvl w:val="1"/>
        <w:rPr>
          <w:rFonts w:ascii="宋体" w:hAnsi="宋体"/>
          <w:b/>
          <w:bCs/>
          <w:kern w:val="0"/>
          <w:sz w:val="36"/>
          <w:szCs w:val="36"/>
        </w:rPr>
      </w:pPr>
      <w:bookmarkStart w:id="150" w:name="_Toc16906"/>
      <w:bookmarkStart w:id="151" w:name="_Toc376936783"/>
      <w:bookmarkStart w:id="152" w:name="_Toc325726052"/>
      <w:r>
        <w:rPr>
          <w:rFonts w:hint="eastAsia" w:ascii="宋体" w:hAnsi="宋体"/>
          <w:b/>
          <w:bCs/>
          <w:kern w:val="0"/>
          <w:sz w:val="36"/>
          <w:szCs w:val="36"/>
        </w:rPr>
        <w:t>一、磋商要求</w:t>
      </w:r>
      <w:bookmarkEnd w:id="150"/>
      <w:bookmarkEnd w:id="151"/>
      <w:bookmarkEnd w:id="152"/>
    </w:p>
    <w:p>
      <w:pPr>
        <w:widowControl/>
        <w:spacing w:before="100" w:beforeAutospacing="1" w:after="100" w:afterAutospacing="1"/>
        <w:ind w:firstLine="542"/>
        <w:jc w:val="left"/>
        <w:outlineLvl w:val="2"/>
        <w:rPr>
          <w:rFonts w:ascii="宋体" w:hAnsi="宋体"/>
          <w:b/>
          <w:bCs/>
          <w:kern w:val="0"/>
          <w:sz w:val="27"/>
          <w:szCs w:val="27"/>
        </w:rPr>
      </w:pPr>
      <w:bookmarkStart w:id="153" w:name="_Toc376936784"/>
      <w:bookmarkStart w:id="154" w:name="_Toc325726053"/>
      <w:r>
        <w:rPr>
          <w:rFonts w:hint="eastAsia" w:ascii="宋体" w:hAnsi="宋体"/>
          <w:b/>
          <w:bCs/>
          <w:kern w:val="0"/>
          <w:sz w:val="27"/>
          <w:szCs w:val="27"/>
        </w:rPr>
        <w:t>1、磋商说明</w:t>
      </w:r>
      <w:bookmarkEnd w:id="153"/>
      <w:bookmarkEnd w:id="15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55" w:name="_Toc26125"/>
      <w:bookmarkStart w:id="156" w:name="_Toc515908233"/>
      <w:r>
        <w:rPr>
          <w:rFonts w:hint="eastAsia" w:ascii="宋体" w:hAnsi="宋体" w:cs="宋体"/>
          <w:color w:val="000000"/>
          <w:sz w:val="28"/>
          <w:szCs w:val="28"/>
        </w:rPr>
        <w:t>2.</w:t>
      </w:r>
      <w:bookmarkEnd w:id="155"/>
      <w:bookmarkStart w:id="157" w:name="_Toc1475"/>
      <w:r>
        <w:rPr>
          <w:rFonts w:hint="eastAsia" w:ascii="宋体" w:hAnsi="宋体" w:cs="宋体"/>
          <w:color w:val="000000"/>
          <w:sz w:val="28"/>
          <w:szCs w:val="28"/>
          <w:lang w:val="zh-CN"/>
        </w:rPr>
        <w:t>重要指标</w:t>
      </w:r>
      <w:bookmarkEnd w:id="156"/>
      <w:bookmarkEnd w:id="157"/>
    </w:p>
    <w:p>
      <w:pPr>
        <w:autoSpaceDE w:val="0"/>
        <w:autoSpaceDN w:val="0"/>
        <w:spacing w:line="360" w:lineRule="auto"/>
        <w:ind w:firstLine="420" w:firstLineChars="200"/>
        <w:rPr>
          <w:rFonts w:ascii="宋体" w:hAnsi="宋体" w:cs="宋体"/>
          <w:color w:val="000000"/>
        </w:rPr>
      </w:pPr>
      <w:bookmarkStart w:id="15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5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58"/>
      <w:bookmarkEnd w:id="15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w:t>
      </w:r>
      <w:r>
        <w:rPr>
          <w:rFonts w:hint="eastAsia" w:ascii="宋体" w:hAnsi="宋体" w:cs="宋体"/>
          <w:color w:val="000000"/>
          <w:kern w:val="0"/>
          <w:lang w:val="zh-CN" w:eastAsia="zh-CN"/>
        </w:rPr>
        <w:t>签订采购合同后</w:t>
      </w:r>
      <w:r>
        <w:rPr>
          <w:rFonts w:hint="eastAsia" w:ascii="宋体" w:hAnsi="宋体" w:cs="宋体"/>
          <w:color w:val="000000"/>
          <w:kern w:val="0"/>
          <w:lang w:val="en-US" w:eastAsia="zh-CN"/>
        </w:rPr>
        <w:t>60个工作日内</w:t>
      </w:r>
    </w:p>
    <w:p>
      <w:pPr>
        <w:autoSpaceDE w:val="0"/>
        <w:autoSpaceDN w:val="0"/>
        <w:spacing w:line="360" w:lineRule="auto"/>
        <w:ind w:firstLine="420" w:firstLineChars="200"/>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rPr>
        <w:t>3</w:t>
      </w:r>
      <w:r>
        <w:rPr>
          <w:rFonts w:hint="eastAsia" w:ascii="宋体" w:hAnsi="宋体"/>
          <w:lang w:val="zh-CN"/>
        </w:rPr>
        <w:t xml:space="preserve">.2.交货地点：交付甲方指定地方 </w:t>
      </w:r>
    </w:p>
    <w:tbl>
      <w:tblPr>
        <w:tblStyle w:val="19"/>
        <w:tblW w:w="8288" w:type="dxa"/>
        <w:tblInd w:w="113" w:type="dxa"/>
        <w:tblLayout w:type="fixed"/>
        <w:tblCellMar>
          <w:top w:w="0" w:type="dxa"/>
          <w:left w:w="108" w:type="dxa"/>
          <w:bottom w:w="0" w:type="dxa"/>
          <w:right w:w="108" w:type="dxa"/>
        </w:tblCellMar>
      </w:tblPr>
      <w:tblGrid>
        <w:gridCol w:w="500"/>
        <w:gridCol w:w="1040"/>
        <w:gridCol w:w="5428"/>
        <w:gridCol w:w="675"/>
        <w:gridCol w:w="645"/>
      </w:tblGrid>
      <w:tr>
        <w:tblPrEx>
          <w:tblCellMar>
            <w:top w:w="0" w:type="dxa"/>
            <w:left w:w="108" w:type="dxa"/>
            <w:bottom w:w="0" w:type="dxa"/>
            <w:right w:w="108" w:type="dxa"/>
          </w:tblCellMar>
        </w:tblPrEx>
        <w:trPr>
          <w:trHeight w:val="600" w:hRule="atLeast"/>
        </w:trPr>
        <w:tc>
          <w:tcPr>
            <w:tcW w:w="8288" w:type="dxa"/>
            <w:gridSpan w:val="5"/>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lang w:val="en-US" w:eastAsia="zh-CN"/>
              </w:rPr>
            </w:pPr>
            <w:r>
              <w:rPr>
                <w:rFonts w:hint="eastAsia" w:ascii="方正小标宋_GBK" w:hAnsi="方正小标宋_GBK" w:eastAsia="方正小标宋_GBK" w:cs="方正小标宋_GBK"/>
                <w:b w:val="0"/>
                <w:bCs w:val="0"/>
                <w:color w:val="000000"/>
                <w:kern w:val="0"/>
                <w:sz w:val="24"/>
                <w:szCs w:val="24"/>
                <w:lang w:val="en-US" w:eastAsia="zh-CN"/>
              </w:rPr>
              <w:t>海南藏族自治州人民检察院未成年人检察办案工作区设施设备参数</w:t>
            </w:r>
          </w:p>
        </w:tc>
      </w:tr>
      <w:tr>
        <w:tblPrEx>
          <w:tblCellMar>
            <w:top w:w="0" w:type="dxa"/>
            <w:left w:w="108" w:type="dxa"/>
            <w:bottom w:w="0" w:type="dxa"/>
            <w:right w:w="108" w:type="dxa"/>
          </w:tblCellMar>
        </w:tblPrEx>
        <w:trPr>
          <w:trHeight w:val="600" w:hRule="atLeast"/>
        </w:trPr>
        <w:tc>
          <w:tcPr>
            <w:tcW w:w="50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104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设备名称</w:t>
            </w:r>
          </w:p>
        </w:tc>
        <w:tc>
          <w:tcPr>
            <w:tcW w:w="542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设备技术参数</w:t>
            </w:r>
          </w:p>
        </w:tc>
        <w:tc>
          <w:tcPr>
            <w:tcW w:w="67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数量</w:t>
            </w:r>
          </w:p>
        </w:tc>
        <w:tc>
          <w:tcPr>
            <w:tcW w:w="6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w:t>
            </w:r>
          </w:p>
        </w:tc>
      </w:tr>
      <w:tr>
        <w:tblPrEx>
          <w:tblCellMar>
            <w:top w:w="0" w:type="dxa"/>
            <w:left w:w="108" w:type="dxa"/>
            <w:bottom w:w="0" w:type="dxa"/>
            <w:right w:w="108" w:type="dxa"/>
          </w:tblCellMar>
        </w:tblPrEx>
        <w:trPr>
          <w:trHeight w:val="312" w:hRule="atLeast"/>
        </w:trPr>
        <w:tc>
          <w:tcPr>
            <w:tcW w:w="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手持式评估系统</w:t>
            </w:r>
          </w:p>
        </w:tc>
        <w:tc>
          <w:tcPr>
            <w:tcW w:w="5428" w:type="dxa"/>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一、功能要求：</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1、适用人群：涉案及被害、被侵害未成年人</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2、使用场景：个体精准内隐评估</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3、报告管理：出具个体评估结论报告，数据上传数据平台 。</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4、通过心率分析，评估分析，对个体进行综合评估，了解评估人目前身心状态，数据可自动上传数据中心，系统自动判定轻、中、重程度，并自动生成个体报告及帮扶帮教方案方案</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二、功能特点：</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1、登录方式：支持刷卡登录；</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2、评估类型：分为涉案人员和被害人员两类；</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3、档案建立：具备建立个体、群体电子档案录入信息功能；</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4、生物评估：可了解压力、疲劳、愤怒、抑郁、悲伤等生理因子的状态；</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5、身心评估3-5分钟；</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6、具备错误操作智能提示功能；</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7、个体报告：数据可上传到数据管理平台，同步后可查看个体评估报告；</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8、报告内容：基本信息、波形图、散点图、生理因子、心理因子、报告结论、帮教方案；</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9、报告结论：根据评估状态，给出相对应建议方案；</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10、帮教方案：根据评估状态，给出相对应的训练方案及干预方案；</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三、主机参数：</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1、主机尺寸：约256*238*33mm</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2、主机设备便携式。支持单机版模式、联网版双模式；</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3、主机材质为金属材质，防腐蚀，强度高。</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4、单机运行续航时间大于8小时</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5、主机屏幕大于等于10.1寸</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6、设备接口具备：LEMO口、网口、供电口</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7、主机参数：CPU六核、DDR4G、EMMC16G </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8、额定功率：13W/9、电压/电流：220V/0.1A/10、主机设备包括：主机与底座，可分离通过底座向主机供电 </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四、传感器</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1、医疗级别生物传感器，与主机设备可靠连接/2、范围：40mmhg-200mmHg，±10%/3、测量范围：30-200BMP,±2%或2BMP/4、额定功率：小于等于0.1W /5、传感器材质采用金属外壳</w:t>
            </w:r>
          </w:p>
          <w:p>
            <w:pPr>
              <w:widowControl/>
              <w:spacing w:after="24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五、其他</w:t>
            </w:r>
          </w:p>
          <w:p>
            <w:pPr>
              <w:widowControl/>
              <w:spacing w:after="24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提供软件著作证书</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音波放松训练系统</w:t>
            </w:r>
          </w:p>
        </w:tc>
        <w:tc>
          <w:tcPr>
            <w:tcW w:w="54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一、功能要求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1、适用人群：涉案及被害、被侵害未成年人</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根据数据平台生成的解决方案，数据平台自定下发音波放松训练方案，系统根据评估结果自动出具训练音乐种类及难度，无需专业人士操作。训练过程中，采集基础值，设定目标值，进行训练，通过同频共振方法被训练人员放松心情、缓解疲劳，悲观、压抑、不安、恐惧</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二、功能特点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1、登录方式：支持账号密码和刷卡登录</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2、根据系统平台评估的结果自动分配音乐种类</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3、训练难度：两级</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4、训练阶段：采集基础值阶段、设定训练目标值。具备自主式、智能化生物反馈训练功能</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5、智能调控：未达到训练放松结果自动跳转下首曲目</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6、音乐类型：3类或以上</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7、数据同步到数据平台，生成帮教成果趋势分析</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8、训练结束后生成个体训练报告，训练报告可自动上传数据管理平台</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9、查看历史训练记录</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三、控制端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1、主机屏幕大于等于10.1寸</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2、主机参数：CPU六核、DDR4G、EMMC16G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3、支持NFC刷卡</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四、传感器</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1、分辨率量化深度12bit；</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2、EMG采样率：1HZ</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3、材质：铝合金</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五、主机参数</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1、机体尺寸： 约2070mm x 850mm x 1260mm</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2、系统主机采用金属铝材质，防腐蚀，强度高、经久经用</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3、音乐播放设备：双声道+头戴式耳机</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4、可调节音波震动大小</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5、可调节声音大小</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6、机体接口具备：网口、供电口、LEMO口、音频口</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7、电压220VAC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六、其他</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提供相关软件著作证书</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催眠减压训练系统</w:t>
            </w:r>
          </w:p>
        </w:tc>
        <w:tc>
          <w:tcPr>
            <w:tcW w:w="54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一、功能要求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1、适用人群：涉案及被害、被侵害未成年人；</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2、根据数据平台生成的解决方案，数据平台自定下发催眠减压训练方案，系统根据评估结果自动出具训练催眠种类及难度，无需专业人士操作。在引导训练过程中，进行全面的压力释放训练</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二、功能特点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1、登录方式：支持账号密码和刷卡登录</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2、催眠音乐种类：三类以上</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3、根据系统平台评估的结果自动分配催眠乐种类</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4、数据同步到数据平台，生成帮教成果趋势分析</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5、训练结束后生成个体训练报告，训练报告可自动上传数据管理平台</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6、查看历史训练记录</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三、控制端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1、主机屏幕大于等于10.1寸</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2、主机参数：CPU六核、DDR4G、EMMC16G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3、支持NFC刷卡</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四、传感器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1、分辨率量化深度16bit；</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2、采样率：不低于512HZ</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3、额定功率：&lt;15mA</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4、采集通道数：不少于3通道</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5、材质：ABS</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五、主机参数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1、机体尺寸约： 2200mm x 860mm x 1060mm</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2、系统主机采用金属铝材质，防腐蚀，强度高。</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3、可调节声音大小</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 机体接口具备：网口、供电口、LEMO口、音频口</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5、电压220VAC   </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xml:space="preserve">六、其他 </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提供相关软件著作证书</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未成年人精准帮教数据管理平台</w:t>
            </w:r>
          </w:p>
        </w:tc>
        <w:tc>
          <w:tcPr>
            <w:tcW w:w="54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一、功能要求</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、数据管理平台是将前端采集的数据进行运算，并汇总分析，能够提供解决方案。同时将解决方案下达到后端的训练设备，无需专业人员的操作，便可进行后端的训练。</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二、功能特点</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数据汇总：根据不同层级进行汇总</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数据管理：可根据不同因素进行管理</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数据分析：不同维度进行分析。</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数据报告：可形成不同维度的汇总报告</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三、自定义</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系统名称可根据用户要求定制</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四、档案管理</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可新增人员账号及档案信息，绑定卡，可对账号增删改查。</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五、报告管理</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具有个体评估报告、解决方案、个体训练报告、趋势发展；</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六、系统设置</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权限管理：不同权限登录不同的功能页面。</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七</w:t>
            </w:r>
            <w:r>
              <w:rPr>
                <w:rFonts w:hint="eastAsia" w:ascii="仿宋" w:hAnsi="仿宋" w:eastAsia="仿宋" w:cs="仿宋"/>
                <w:color w:val="000000"/>
                <w:kern w:val="0"/>
                <w:sz w:val="20"/>
                <w:szCs w:val="20"/>
              </w:rPr>
              <w:t>、其他</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提供相关软件著作证书</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套</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存储系统服务器</w:t>
            </w:r>
          </w:p>
        </w:tc>
        <w:tc>
          <w:tcPr>
            <w:tcW w:w="54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CPU：1颗 x86架构HYGON处理器，核数≥8核，频率≥2.2GHz 内存32G DDR4，4根内存插槽，最大支持扩展至128GB 支持单条容量16GB/32GB 内存频率支持2666/2400MHz 支持内存RAS技术 硬盘：1块960G SSD盘 阵列卡</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网络传输设备</w:t>
            </w:r>
          </w:p>
        </w:tc>
        <w:tc>
          <w:tcPr>
            <w:tcW w:w="54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可用千兆电接口数量≥8，可用千兆光接口数量≥2</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支持独立的console管理串口交换容量：336Gbps/3.36Tbps转发性能：25Mpps/80Mpps</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提供工信部入网许可证，入网检测报告证明及CCC证书</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支持802.3ad规定的链路聚合功能</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支持MAC地址绑定功能</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支持按端口划分VLAN，支持VLAN TRUNK</w:t>
            </w:r>
            <w:r>
              <w:rPr>
                <w:rFonts w:hint="eastAsia" w:ascii="仿宋" w:hAnsi="仿宋" w:eastAsia="仿宋" w:cs="仿宋"/>
                <w:color w:val="000000"/>
                <w:kern w:val="0"/>
                <w:sz w:val="20"/>
                <w:szCs w:val="20"/>
                <w:lang w:val="en-US" w:eastAsia="zh-CN"/>
              </w:rPr>
              <w:t>支持</w:t>
            </w:r>
            <w:r>
              <w:rPr>
                <w:rFonts w:hint="eastAsia" w:ascii="仿宋" w:hAnsi="仿宋" w:eastAsia="仿宋" w:cs="仿宋"/>
                <w:color w:val="000000"/>
                <w:kern w:val="0"/>
                <w:sz w:val="20"/>
                <w:szCs w:val="20"/>
              </w:rPr>
              <w:t>IPv4/IPv6 静态路由，支持RIP/RIPng，OSPFV1/V2/V3</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台</w:t>
            </w:r>
          </w:p>
        </w:tc>
      </w:tr>
      <w:tr>
        <w:tblPrEx>
          <w:tblCellMar>
            <w:top w:w="0" w:type="dxa"/>
            <w:left w:w="108" w:type="dxa"/>
            <w:bottom w:w="0" w:type="dxa"/>
            <w:right w:w="108" w:type="dxa"/>
          </w:tblCellMar>
        </w:tblPrEx>
        <w:trPr>
          <w:trHeight w:val="600" w:hRule="atLeast"/>
        </w:trPr>
        <w:tc>
          <w:tcPr>
            <w:tcW w:w="50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办案区智能访客一体机</w:t>
            </w:r>
          </w:p>
        </w:tc>
        <w:tc>
          <w:tcPr>
            <w:tcW w:w="5428"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设备配置参数：CPU：四核，2GHz；内存：4G；固态硬盘：64G（公安部检验报告证明）</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设备内置居民身份证阅读器安全模块；可读取并显示居民身份证芯片内的数据。（公安部检验报告证明）</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支持200W像素高清摄像；摄像角度可调。（公安部检验报告证明）</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设备支持访客黑名单管理功能。（公安部检验报告证明）</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设备具有双网口设计。（公安部检验报告证明）</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rPr>
              <w:t>设备具有人证比对功能：对来访者进行现场人脸抓拍，与来访者的身份证芯片内的照片进行实时比对，确保实名实证；人证合一后，设备才能进行访客登记操作；认证比对时间：≤1.5s。</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w:t>
            </w:r>
            <w:r>
              <w:rPr>
                <w:rFonts w:hint="eastAsia" w:ascii="仿宋" w:hAnsi="仿宋" w:eastAsia="仿宋" w:cs="仿宋"/>
                <w:color w:val="000000"/>
                <w:kern w:val="0"/>
                <w:sz w:val="20"/>
                <w:szCs w:val="20"/>
              </w:rPr>
              <w:t>设备支持读取并发放IC卡作为访客卡。</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8、</w:t>
            </w:r>
            <w:r>
              <w:rPr>
                <w:rFonts w:hint="eastAsia" w:ascii="仿宋" w:hAnsi="仿宋" w:eastAsia="仿宋" w:cs="仿宋"/>
                <w:color w:val="000000"/>
                <w:kern w:val="0"/>
                <w:sz w:val="20"/>
                <w:szCs w:val="20"/>
              </w:rPr>
              <w:t>设备内置激光扫码器，可识别访客单上的条形码或二维码完成签离。</w:t>
            </w:r>
          </w:p>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rPr>
              <w:t>设备的系统及各主要组成部分应有表明其工作正常的自检功能。</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w:t>
            </w:r>
          </w:p>
        </w:tc>
        <w:tc>
          <w:tcPr>
            <w:tcW w:w="6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台</w:t>
            </w:r>
          </w:p>
        </w:tc>
      </w:tr>
      <w:tr>
        <w:tblPrEx>
          <w:tblCellMar>
            <w:top w:w="0" w:type="dxa"/>
            <w:left w:w="108" w:type="dxa"/>
            <w:bottom w:w="0" w:type="dxa"/>
            <w:right w:w="108" w:type="dxa"/>
          </w:tblCellMar>
        </w:tblPrEx>
        <w:trPr>
          <w:trHeight w:val="600" w:hRule="atLeast"/>
        </w:trPr>
        <w:tc>
          <w:tcPr>
            <w:tcW w:w="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系统集成服务</w:t>
            </w:r>
          </w:p>
        </w:tc>
        <w:tc>
          <w:tcPr>
            <w:tcW w:w="5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系统安装集成调试及培训等</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w:t>
            </w:r>
          </w:p>
        </w:tc>
      </w:tr>
      <w:tr>
        <w:tblPrEx>
          <w:tblCellMar>
            <w:top w:w="0" w:type="dxa"/>
            <w:left w:w="108" w:type="dxa"/>
            <w:bottom w:w="0" w:type="dxa"/>
            <w:right w:w="108" w:type="dxa"/>
          </w:tblCellMar>
        </w:tblPrEx>
        <w:trPr>
          <w:trHeight w:val="600" w:hRule="atLeast"/>
        </w:trPr>
        <w:tc>
          <w:tcPr>
            <w:tcW w:w="828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1.交货、安装时间：合同签订后</w:t>
            </w:r>
            <w:r>
              <w:rPr>
                <w:rFonts w:hint="eastAsia" w:ascii="仿宋" w:hAnsi="仿宋" w:eastAsia="仿宋" w:cs="仿宋"/>
                <w:color w:val="000000"/>
                <w:kern w:val="0"/>
                <w:sz w:val="20"/>
                <w:szCs w:val="20"/>
                <w:lang w:val="en-US" w:eastAsia="zh-CN"/>
              </w:rPr>
              <w:t>60</w:t>
            </w:r>
            <w:r>
              <w:rPr>
                <w:rFonts w:hint="eastAsia" w:ascii="仿宋" w:hAnsi="仿宋" w:eastAsia="仿宋" w:cs="仿宋"/>
                <w:color w:val="000000"/>
                <w:kern w:val="0"/>
                <w:sz w:val="20"/>
                <w:szCs w:val="20"/>
              </w:rPr>
              <w:t>个工作日内</w:t>
            </w:r>
            <w:r>
              <w:rPr>
                <w:rFonts w:hint="eastAsia" w:ascii="仿宋" w:hAnsi="仿宋" w:eastAsia="仿宋" w:cs="仿宋"/>
                <w:color w:val="000000"/>
                <w:kern w:val="0"/>
                <w:sz w:val="20"/>
                <w:szCs w:val="20"/>
                <w:lang w:eastAsia="zh-CN"/>
              </w:rPr>
              <w:t>。</w:t>
            </w:r>
          </w:p>
          <w:p>
            <w:pPr>
              <w:widowControl/>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2.交货、安装地点：采购单位指定地点</w:t>
            </w:r>
            <w:r>
              <w:rPr>
                <w:rFonts w:hint="eastAsia" w:ascii="仿宋" w:hAnsi="仿宋" w:eastAsia="仿宋" w:cs="仿宋"/>
                <w:color w:val="000000"/>
                <w:kern w:val="0"/>
                <w:sz w:val="20"/>
                <w:szCs w:val="20"/>
                <w:lang w:eastAsia="zh-CN"/>
              </w:rPr>
              <w:t>。</w:t>
            </w:r>
          </w:p>
          <w:p>
            <w:pPr>
              <w:widowControl/>
              <w:jc w:val="left"/>
              <w:rPr>
                <w:rFonts w:hint="eastAsia" w:ascii="仿宋" w:hAnsi="仿宋" w:eastAsia="仿宋_GB2312"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质保期：验收</w:t>
            </w:r>
            <w:r>
              <w:rPr>
                <w:rFonts w:hint="eastAsia" w:ascii="仿宋" w:hAnsi="仿宋" w:eastAsia="仿宋" w:cs="仿宋"/>
                <w:color w:val="000000"/>
                <w:kern w:val="0"/>
                <w:sz w:val="20"/>
                <w:szCs w:val="20"/>
                <w:lang w:val="en-US" w:eastAsia="zh-CN"/>
              </w:rPr>
              <w:t>通过</w:t>
            </w:r>
            <w:r>
              <w:rPr>
                <w:rFonts w:hint="eastAsia" w:ascii="仿宋" w:hAnsi="仿宋" w:eastAsia="仿宋" w:cs="仿宋"/>
                <w:color w:val="000000"/>
                <w:kern w:val="0"/>
                <w:sz w:val="20"/>
                <w:szCs w:val="20"/>
              </w:rPr>
              <w:t>后一年</w:t>
            </w:r>
            <w:r>
              <w:rPr>
                <w:rFonts w:hint="eastAsia" w:ascii="仿宋" w:hAnsi="仿宋" w:eastAsia="仿宋" w:cs="仿宋"/>
                <w:color w:val="000000"/>
                <w:kern w:val="0"/>
                <w:sz w:val="20"/>
                <w:szCs w:val="20"/>
                <w:lang w:val="en-US" w:eastAsia="zh-CN"/>
              </w:rPr>
              <w:t>。</w:t>
            </w:r>
          </w:p>
        </w:tc>
      </w:tr>
    </w:tbl>
    <w:p>
      <w:pPr>
        <w:pStyle w:val="4"/>
        <w:ind w:left="0" w:leftChars="0" w:firstLine="0" w:firstLineChars="0"/>
        <w:rPr>
          <w:sz w:val="16"/>
          <w:szCs w:val="1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EA62F9F9"/>
    <w:multiLevelType w:val="singleLevel"/>
    <w:tmpl w:val="EA62F9F9"/>
    <w:lvl w:ilvl="0" w:tentative="0">
      <w:start w:val="1"/>
      <w:numFmt w:val="decimal"/>
      <w:suff w:val="nothing"/>
      <w:lvlText w:val="%1、"/>
      <w:lvlJc w:val="left"/>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25009C6"/>
    <w:rsid w:val="02F05C02"/>
    <w:rsid w:val="04D53301"/>
    <w:rsid w:val="06CB49BC"/>
    <w:rsid w:val="08E76CA7"/>
    <w:rsid w:val="093A0527"/>
    <w:rsid w:val="0A1F3511"/>
    <w:rsid w:val="0B3058C2"/>
    <w:rsid w:val="0B4561D8"/>
    <w:rsid w:val="0BE4656C"/>
    <w:rsid w:val="0CCA6A5A"/>
    <w:rsid w:val="0CCB1A98"/>
    <w:rsid w:val="0D2E6468"/>
    <w:rsid w:val="0D5551A1"/>
    <w:rsid w:val="0E72260D"/>
    <w:rsid w:val="0E88554E"/>
    <w:rsid w:val="0F461756"/>
    <w:rsid w:val="0FFC3E38"/>
    <w:rsid w:val="10655296"/>
    <w:rsid w:val="110F482C"/>
    <w:rsid w:val="117B73B8"/>
    <w:rsid w:val="1222022D"/>
    <w:rsid w:val="12770487"/>
    <w:rsid w:val="137537A0"/>
    <w:rsid w:val="13ED41C3"/>
    <w:rsid w:val="14471250"/>
    <w:rsid w:val="15803032"/>
    <w:rsid w:val="16363C50"/>
    <w:rsid w:val="16D5785B"/>
    <w:rsid w:val="16FA7C41"/>
    <w:rsid w:val="17F44BD1"/>
    <w:rsid w:val="18325499"/>
    <w:rsid w:val="18540B02"/>
    <w:rsid w:val="19EF684E"/>
    <w:rsid w:val="1B305E07"/>
    <w:rsid w:val="1BB77AA7"/>
    <w:rsid w:val="1C00792F"/>
    <w:rsid w:val="1C2A7637"/>
    <w:rsid w:val="1D797B68"/>
    <w:rsid w:val="1D941017"/>
    <w:rsid w:val="1DC570BC"/>
    <w:rsid w:val="1E8250DF"/>
    <w:rsid w:val="1EA77640"/>
    <w:rsid w:val="209356DC"/>
    <w:rsid w:val="21BD5A33"/>
    <w:rsid w:val="22065904"/>
    <w:rsid w:val="225036DD"/>
    <w:rsid w:val="22750BBC"/>
    <w:rsid w:val="23546B2A"/>
    <w:rsid w:val="23840684"/>
    <w:rsid w:val="245C15BE"/>
    <w:rsid w:val="24D07BDD"/>
    <w:rsid w:val="25407FA3"/>
    <w:rsid w:val="254F7FAB"/>
    <w:rsid w:val="262D0B5D"/>
    <w:rsid w:val="27432734"/>
    <w:rsid w:val="280138B3"/>
    <w:rsid w:val="29271BD7"/>
    <w:rsid w:val="29514455"/>
    <w:rsid w:val="29AB5249"/>
    <w:rsid w:val="2D3F63C6"/>
    <w:rsid w:val="2D884D49"/>
    <w:rsid w:val="2DB07026"/>
    <w:rsid w:val="2E831FAE"/>
    <w:rsid w:val="2E83423A"/>
    <w:rsid w:val="2EC2262A"/>
    <w:rsid w:val="2FB92D05"/>
    <w:rsid w:val="31603DCF"/>
    <w:rsid w:val="3236538A"/>
    <w:rsid w:val="328C43AE"/>
    <w:rsid w:val="334A7474"/>
    <w:rsid w:val="342D43FD"/>
    <w:rsid w:val="3458468A"/>
    <w:rsid w:val="34A7360E"/>
    <w:rsid w:val="350167C8"/>
    <w:rsid w:val="350174A7"/>
    <w:rsid w:val="35A16444"/>
    <w:rsid w:val="35D65BC2"/>
    <w:rsid w:val="36351D4A"/>
    <w:rsid w:val="36AE2CE5"/>
    <w:rsid w:val="38FC2539"/>
    <w:rsid w:val="3A04027A"/>
    <w:rsid w:val="3AEF67DA"/>
    <w:rsid w:val="3B0A6EFC"/>
    <w:rsid w:val="3B857233"/>
    <w:rsid w:val="3BB77A3D"/>
    <w:rsid w:val="3DD75419"/>
    <w:rsid w:val="40032014"/>
    <w:rsid w:val="420D5FDD"/>
    <w:rsid w:val="427A0559"/>
    <w:rsid w:val="42A25C90"/>
    <w:rsid w:val="435475B9"/>
    <w:rsid w:val="43805F00"/>
    <w:rsid w:val="44221565"/>
    <w:rsid w:val="447C0AC8"/>
    <w:rsid w:val="44D3289B"/>
    <w:rsid w:val="44D501D8"/>
    <w:rsid w:val="45C36491"/>
    <w:rsid w:val="45FC6910"/>
    <w:rsid w:val="463072F8"/>
    <w:rsid w:val="468C7EB3"/>
    <w:rsid w:val="46DD0408"/>
    <w:rsid w:val="47554BC2"/>
    <w:rsid w:val="475A79E5"/>
    <w:rsid w:val="47D83AFB"/>
    <w:rsid w:val="4A0979E3"/>
    <w:rsid w:val="4A891AB9"/>
    <w:rsid w:val="4C046B66"/>
    <w:rsid w:val="4D31441A"/>
    <w:rsid w:val="4DA33303"/>
    <w:rsid w:val="4DC1579E"/>
    <w:rsid w:val="4E1965C1"/>
    <w:rsid w:val="4E4A5793"/>
    <w:rsid w:val="4E574B45"/>
    <w:rsid w:val="4F1A5239"/>
    <w:rsid w:val="4F484CD6"/>
    <w:rsid w:val="4FB51630"/>
    <w:rsid w:val="4FB86369"/>
    <w:rsid w:val="506352E2"/>
    <w:rsid w:val="50705D2B"/>
    <w:rsid w:val="50850C8F"/>
    <w:rsid w:val="51294D7E"/>
    <w:rsid w:val="513C4EBB"/>
    <w:rsid w:val="51A05027"/>
    <w:rsid w:val="52F60679"/>
    <w:rsid w:val="532629FD"/>
    <w:rsid w:val="53B776FC"/>
    <w:rsid w:val="53BD734D"/>
    <w:rsid w:val="53E422D4"/>
    <w:rsid w:val="55733B93"/>
    <w:rsid w:val="563A0BDB"/>
    <w:rsid w:val="574C44D8"/>
    <w:rsid w:val="57B90641"/>
    <w:rsid w:val="58500EFB"/>
    <w:rsid w:val="587E123B"/>
    <w:rsid w:val="58B14F84"/>
    <w:rsid w:val="58D23CC6"/>
    <w:rsid w:val="58EE1672"/>
    <w:rsid w:val="59673D42"/>
    <w:rsid w:val="5A517EA9"/>
    <w:rsid w:val="5A833AEB"/>
    <w:rsid w:val="5AF948B7"/>
    <w:rsid w:val="5BFF71E2"/>
    <w:rsid w:val="5C9170E6"/>
    <w:rsid w:val="5CB163FD"/>
    <w:rsid w:val="5CC67242"/>
    <w:rsid w:val="5D9F4E4B"/>
    <w:rsid w:val="5E5971E6"/>
    <w:rsid w:val="5F1A1D6F"/>
    <w:rsid w:val="60471B32"/>
    <w:rsid w:val="60A60A51"/>
    <w:rsid w:val="60C05397"/>
    <w:rsid w:val="622A18F2"/>
    <w:rsid w:val="6385691F"/>
    <w:rsid w:val="63AE3C76"/>
    <w:rsid w:val="63FD11A2"/>
    <w:rsid w:val="640338E3"/>
    <w:rsid w:val="64346872"/>
    <w:rsid w:val="64861210"/>
    <w:rsid w:val="64881ACD"/>
    <w:rsid w:val="654579EF"/>
    <w:rsid w:val="65AC5BD6"/>
    <w:rsid w:val="664D3C1B"/>
    <w:rsid w:val="66B24375"/>
    <w:rsid w:val="68070918"/>
    <w:rsid w:val="69F4078E"/>
    <w:rsid w:val="6A1D49A0"/>
    <w:rsid w:val="6B122D3D"/>
    <w:rsid w:val="6B1E26EC"/>
    <w:rsid w:val="6B324ADA"/>
    <w:rsid w:val="6B4B7055"/>
    <w:rsid w:val="6B4E431A"/>
    <w:rsid w:val="6B712159"/>
    <w:rsid w:val="6BC02683"/>
    <w:rsid w:val="6C3B672C"/>
    <w:rsid w:val="6CB15F4E"/>
    <w:rsid w:val="6CE80425"/>
    <w:rsid w:val="6D2C38A5"/>
    <w:rsid w:val="6D3A22AE"/>
    <w:rsid w:val="6DC742B3"/>
    <w:rsid w:val="6E735281"/>
    <w:rsid w:val="6F8C57B4"/>
    <w:rsid w:val="6FB35F4E"/>
    <w:rsid w:val="70766151"/>
    <w:rsid w:val="71047186"/>
    <w:rsid w:val="710E3F90"/>
    <w:rsid w:val="72CD70F4"/>
    <w:rsid w:val="72EA5104"/>
    <w:rsid w:val="73487417"/>
    <w:rsid w:val="735D279F"/>
    <w:rsid w:val="737547B1"/>
    <w:rsid w:val="749F7D37"/>
    <w:rsid w:val="752C1A90"/>
    <w:rsid w:val="76F527FC"/>
    <w:rsid w:val="770976EA"/>
    <w:rsid w:val="775161BA"/>
    <w:rsid w:val="77F31FD6"/>
    <w:rsid w:val="78EA77B0"/>
    <w:rsid w:val="78F148D9"/>
    <w:rsid w:val="793850FF"/>
    <w:rsid w:val="797E30BE"/>
    <w:rsid w:val="79C832CB"/>
    <w:rsid w:val="7A1F0E89"/>
    <w:rsid w:val="7A6061C2"/>
    <w:rsid w:val="7BC31B3B"/>
    <w:rsid w:val="7C594C70"/>
    <w:rsid w:val="7C7C6F00"/>
    <w:rsid w:val="7C9A7C3C"/>
    <w:rsid w:val="7CCF0A8E"/>
    <w:rsid w:val="7CEA1F55"/>
    <w:rsid w:val="7D1A671A"/>
    <w:rsid w:val="7DCB394B"/>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52</Pages>
  <Words>26051</Words>
  <Characters>27654</Characters>
  <Lines>313</Lines>
  <Paragraphs>88</Paragraphs>
  <TotalTime>33</TotalTime>
  <ScaleCrop>false</ScaleCrop>
  <LinksUpToDate>false</LinksUpToDate>
  <CharactersWithSpaces>29859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青</cp:lastModifiedBy>
  <cp:lastPrinted>2022-05-06T02:29:00Z</cp:lastPrinted>
  <dcterms:modified xsi:type="dcterms:W3CDTF">2022-08-03T01:51:27Z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F86C61ED1BF94BB98B725FB0330898D4</vt:lpwstr>
  </property>
</Properties>
</file>