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hAnsi="宋体" w:cs="宋体"/>
          <w:b/>
          <w:sz w:val="48"/>
          <w:szCs w:val="48"/>
          <w:lang w:val="zh-CN"/>
        </w:rPr>
      </w:pPr>
    </w:p>
    <w:p>
      <w:pPr>
        <w:adjustRightInd w:val="0"/>
        <w:spacing w:line="360" w:lineRule="auto"/>
        <w:jc w:val="center"/>
        <w:textAlignment w:val="baseline"/>
        <w:rPr>
          <w:rFonts w:hint="eastAsia" w:ascii="宋体" w:hAnsi="宋体" w:cs="宋体" w:eastAsiaTheme="minorEastAsia"/>
          <w:b/>
          <w:sz w:val="48"/>
          <w:szCs w:val="48"/>
          <w:lang w:val="en-US" w:eastAsia="zh-CN"/>
        </w:rPr>
      </w:pPr>
      <w:r>
        <w:rPr>
          <w:rFonts w:hint="eastAsia" w:ascii="宋体" w:hAnsi="宋体" w:cs="宋体"/>
          <w:b/>
          <w:sz w:val="48"/>
          <w:szCs w:val="48"/>
          <w:lang w:val="zh-CN"/>
        </w:rPr>
        <w:t>海南州人大常委会会议室、党员活动室及代表之家改造项目</w:t>
      </w:r>
      <w:r>
        <w:rPr>
          <w:rFonts w:hint="eastAsia" w:ascii="宋体" w:hAnsi="宋体" w:cs="宋体"/>
          <w:b/>
          <w:sz w:val="48"/>
          <w:szCs w:val="48"/>
          <w:lang w:val="en-US" w:eastAsia="zh-CN"/>
        </w:rPr>
        <w:t>(第二次）</w:t>
      </w:r>
    </w:p>
    <w:p>
      <w:pPr>
        <w:adjustRightInd w:val="0"/>
        <w:spacing w:line="360" w:lineRule="auto"/>
        <w:jc w:val="center"/>
        <w:textAlignment w:val="baseline"/>
        <w:rPr>
          <w:rFonts w:ascii="宋体" w:hAnsi="宋体" w:cs="宋体"/>
          <w:b/>
          <w:sz w:val="48"/>
          <w:szCs w:val="48"/>
          <w:lang w:val="zh-CN"/>
        </w:rPr>
      </w:pPr>
    </w:p>
    <w:p>
      <w:pPr>
        <w:adjustRightInd w:val="0"/>
        <w:spacing w:line="360" w:lineRule="auto"/>
        <w:jc w:val="center"/>
        <w:textAlignment w:val="baseline"/>
        <w:rPr>
          <w:rFonts w:ascii="宋体" w:hAnsi="宋体" w:cs="宋体"/>
          <w:b/>
          <w:sz w:val="48"/>
          <w:szCs w:val="48"/>
          <w:lang w:val="zh-CN"/>
        </w:rPr>
      </w:pPr>
    </w:p>
    <w:p>
      <w:pPr>
        <w:adjustRightInd w:val="0"/>
        <w:spacing w:line="360" w:lineRule="auto"/>
        <w:jc w:val="center"/>
        <w:textAlignment w:val="baseline"/>
        <w:rPr>
          <w:rFonts w:ascii="宋体" w:hAnsi="宋体" w:cs="宋体"/>
          <w:b/>
          <w:sz w:val="48"/>
          <w:szCs w:val="48"/>
          <w:lang w:val="zh-CN"/>
        </w:rPr>
      </w:pPr>
      <w:r>
        <w:rPr>
          <w:rFonts w:hint="eastAsia" w:ascii="宋体" w:hAnsi="宋体" w:cs="宋体"/>
          <w:b/>
          <w:sz w:val="48"/>
          <w:szCs w:val="48"/>
          <w:lang w:val="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textAlignment w:val="baseline"/>
        <w:rPr>
          <w:rFonts w:ascii="宋体" w:hAnsi="宋体"/>
          <w:b/>
          <w:sz w:val="32"/>
          <w:szCs w:val="32"/>
        </w:rPr>
      </w:pPr>
      <w:r>
        <w:rPr>
          <w:rFonts w:hint="eastAsia" w:ascii="宋体" w:hAnsi="宋体"/>
          <w:b/>
          <w:sz w:val="32"/>
          <w:szCs w:val="32"/>
        </w:rPr>
        <w:t>采购项目编号：</w:t>
      </w:r>
      <w:r>
        <w:rPr>
          <w:rFonts w:hint="eastAsia" w:ascii="宋体" w:hAnsi="宋体" w:cs="宋体"/>
          <w:b/>
          <w:sz w:val="32"/>
          <w:szCs w:val="32"/>
        </w:rPr>
        <w:t>南政采招竞磋（货物）2022-11</w:t>
      </w:r>
    </w:p>
    <w:p>
      <w:pPr>
        <w:adjustRightInd w:val="0"/>
        <w:spacing w:line="360" w:lineRule="auto"/>
        <w:jc w:val="center"/>
        <w:textAlignment w:val="baseline"/>
        <w:rPr>
          <w:rFonts w:ascii="宋体" w:hAnsi="宋体" w:cs="宋体"/>
          <w:b/>
          <w:sz w:val="32"/>
          <w:szCs w:val="32"/>
        </w:rPr>
      </w:pPr>
      <w:r>
        <w:rPr>
          <w:rFonts w:hint="eastAsia" w:ascii="宋体" w:hAnsi="宋体"/>
          <w:b/>
          <w:sz w:val="32"/>
          <w:szCs w:val="32"/>
        </w:rPr>
        <w:t>采购项目名称：</w:t>
      </w:r>
      <w:r>
        <w:rPr>
          <w:rFonts w:hint="eastAsia" w:ascii="宋体" w:hAnsi="宋体" w:cs="宋体"/>
          <w:b/>
          <w:sz w:val="32"/>
          <w:szCs w:val="32"/>
          <w:lang w:val="zh-CN"/>
        </w:rPr>
        <w:t>海南州人大常委会会议室、党员活动室及代表之家改造项目</w:t>
      </w:r>
      <w:r>
        <w:rPr>
          <w:rFonts w:hint="eastAsia" w:ascii="宋体" w:hAnsi="宋体" w:cs="宋体"/>
          <w:b/>
          <w:sz w:val="32"/>
          <w:szCs w:val="32"/>
          <w:lang w:val="en-US" w:eastAsia="zh-CN"/>
        </w:rPr>
        <w:t>(第二次）</w:t>
      </w:r>
    </w:p>
    <w:p>
      <w:pPr>
        <w:autoSpaceDE w:val="0"/>
        <w:autoSpaceDN w:val="0"/>
        <w:adjustRightInd w:val="0"/>
        <w:spacing w:line="360" w:lineRule="auto"/>
        <w:ind w:left="2249" w:hanging="2249" w:hangingChars="700"/>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rPr>
        <w:t>海南州人民代表大会常务委员会办公室</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海南州政府采购中心</w:t>
      </w:r>
    </w:p>
    <w:p>
      <w:pPr>
        <w:adjustRightInd w:val="0"/>
        <w:spacing w:line="360" w:lineRule="auto"/>
        <w:ind w:firstLine="3855" w:firstLineChars="1200"/>
        <w:textAlignment w:val="baseline"/>
        <w:rPr>
          <w:rFonts w:ascii="宋体" w:hAnsi="宋体"/>
          <w:b/>
          <w:sz w:val="40"/>
          <w:szCs w:val="30"/>
        </w:rPr>
      </w:pPr>
      <w:r>
        <w:rPr>
          <w:rFonts w:hint="eastAsia" w:ascii="宋体" w:hAnsi="宋体"/>
          <w:b/>
          <w:bCs/>
          <w:sz w:val="32"/>
          <w:szCs w:val="32"/>
        </w:rPr>
        <w:t>2022年</w:t>
      </w:r>
      <w:r>
        <w:rPr>
          <w:rFonts w:hint="eastAsia" w:ascii="宋体" w:hAnsi="宋体"/>
          <w:b/>
          <w:bCs/>
          <w:sz w:val="32"/>
          <w:szCs w:val="32"/>
          <w:lang w:val="en-US" w:eastAsia="zh-CN"/>
        </w:rPr>
        <w:t>7</w:t>
      </w:r>
      <w:r>
        <w:rPr>
          <w:rFonts w:hint="eastAsia" w:ascii="宋体" w:hAnsi="宋体"/>
          <w:b/>
          <w:bCs/>
          <w:sz w:val="32"/>
          <w:szCs w:val="32"/>
        </w:rPr>
        <w:t>月</w:t>
      </w:r>
    </w:p>
    <w:p>
      <w:pPr>
        <w:adjustRightInd w:val="0"/>
        <w:spacing w:line="360" w:lineRule="auto"/>
        <w:ind w:firstLine="402" w:firstLineChars="100"/>
        <w:jc w:val="center"/>
        <w:textAlignment w:val="baseline"/>
        <w:rPr>
          <w:rFonts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rFonts w:hint="eastAsia" w:ascii="宋体" w:hAnsi="宋体" w:cs="宋体"/>
          <w:bCs/>
          <w:sz w:val="24"/>
          <w:szCs w:val="24"/>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firstLine="0"/>
        <w:rPr>
          <w:rFonts w:ascii="宋体" w:hAnsi="宋体" w:cs="宋体"/>
          <w:b/>
          <w:bCs/>
          <w:spacing w:val="-10"/>
          <w:sz w:val="32"/>
          <w:szCs w:val="32"/>
        </w:rPr>
      </w:pPr>
    </w:p>
    <w:p>
      <w:pPr>
        <w:pStyle w:val="4"/>
        <w:ind w:firstLine="0"/>
        <w:rPr>
          <w:rFonts w:ascii="宋体" w:hAnsi="宋体" w:cs="宋体"/>
          <w:b/>
          <w:bCs/>
          <w:spacing w:val="-10"/>
          <w:sz w:val="32"/>
          <w:szCs w:val="32"/>
        </w:rPr>
      </w:pPr>
    </w:p>
    <w:p>
      <w:pPr>
        <w:pStyle w:val="4"/>
        <w:ind w:firstLine="0"/>
        <w:rPr>
          <w:rFonts w:ascii="宋体" w:hAnsi="宋体" w:cs="宋体"/>
          <w:b/>
          <w:bCs/>
          <w:spacing w:val="-10"/>
          <w:sz w:val="32"/>
          <w:szCs w:val="32"/>
        </w:rPr>
      </w:pPr>
    </w:p>
    <w:p>
      <w:pPr>
        <w:adjustRightInd w:val="0"/>
        <w:spacing w:line="360" w:lineRule="auto"/>
        <w:textAlignment w:val="baseline"/>
        <w:rPr>
          <w:rFonts w:ascii="宋体" w:hAnsi="宋体" w:cs="宋体"/>
          <w:b/>
          <w:sz w:val="32"/>
          <w:szCs w:val="32"/>
        </w:rPr>
      </w:pPr>
    </w:p>
    <w:p>
      <w:pPr>
        <w:pStyle w:val="2"/>
      </w:pPr>
    </w:p>
    <w:p>
      <w:pPr>
        <w:jc w:val="center"/>
        <w:rPr>
          <w:rFonts w:hint="eastAsia" w:ascii="宋体" w:hAnsi="宋体" w:cs="宋体"/>
          <w:b/>
          <w:sz w:val="32"/>
          <w:szCs w:val="32"/>
          <w:lang w:val="en-US" w:eastAsia="zh-CN"/>
        </w:rPr>
      </w:pPr>
      <w:r>
        <w:rPr>
          <w:rFonts w:hint="eastAsia" w:ascii="宋体" w:hAnsi="宋体" w:cs="宋体"/>
          <w:b/>
          <w:sz w:val="32"/>
          <w:szCs w:val="32"/>
          <w:lang w:val="zh-CN"/>
        </w:rPr>
        <w:t>海南州人大常委会会议室、党员活动室及代表之家改造项目</w:t>
      </w:r>
      <w:r>
        <w:rPr>
          <w:rFonts w:hint="eastAsia" w:ascii="宋体" w:hAnsi="宋体" w:cs="宋体"/>
          <w:b/>
          <w:sz w:val="32"/>
          <w:szCs w:val="32"/>
          <w:lang w:val="en-US" w:eastAsia="zh-CN"/>
        </w:rPr>
        <w:t>(第二次）</w:t>
      </w:r>
    </w:p>
    <w:p>
      <w:pPr>
        <w:rPr>
          <w:rFonts w:ascii="宋体" w:hAnsi="宋体"/>
          <w:lang w:val="zh-CN"/>
        </w:rPr>
      </w:pPr>
      <w:r>
        <w:rPr>
          <w:rFonts w:hint="eastAsia" w:ascii="宋体" w:hAnsi="宋体"/>
          <w:lang w:val="zh-CN"/>
        </w:rPr>
        <w:t>海南州政府采购中心受海南州人大办公室委托，拟对海南州人大常委会会议室、党员活动室及代表之家改造项目</w:t>
      </w:r>
      <w:r>
        <w:rPr>
          <w:rFonts w:hint="eastAsia" w:ascii="宋体" w:hAnsi="宋体"/>
          <w:lang w:val="en-US" w:eastAsia="zh-CN"/>
        </w:rPr>
        <w:t>(第二次）</w:t>
      </w:r>
      <w:r>
        <w:rPr>
          <w:rFonts w:hint="eastAsia" w:ascii="宋体" w:hAnsi="宋体"/>
          <w:lang w:val="zh-CN"/>
        </w:rPr>
        <w:t>进行国内竞争性磋商，欢迎符合条件的供应商前来参加投标。</w:t>
      </w:r>
    </w:p>
    <w:tbl>
      <w:tblPr>
        <w:tblStyle w:val="19"/>
        <w:tblW w:w="8803" w:type="dxa"/>
        <w:jc w:val="center"/>
        <w:tblLayout w:type="fixed"/>
        <w:tblCellMar>
          <w:top w:w="0" w:type="dxa"/>
          <w:left w:w="0" w:type="dxa"/>
          <w:bottom w:w="0" w:type="dxa"/>
          <w:right w:w="0" w:type="dxa"/>
        </w:tblCellMar>
      </w:tblPr>
      <w:tblGrid>
        <w:gridCol w:w="2435"/>
        <w:gridCol w:w="6368"/>
      </w:tblGrid>
      <w:tr>
        <w:tblPrEx>
          <w:tblCellMar>
            <w:top w:w="0" w:type="dxa"/>
            <w:left w:w="0" w:type="dxa"/>
            <w:bottom w:w="0" w:type="dxa"/>
            <w:right w:w="0" w:type="dxa"/>
          </w:tblCellMar>
        </w:tblPrEx>
        <w:trPr>
          <w:trHeight w:val="401"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lang w:val="zh-CN"/>
              </w:rPr>
              <w:t>南政采招竞磋（货物）</w:t>
            </w:r>
            <w:r>
              <w:rPr>
                <w:rFonts w:hint="eastAsia" w:ascii="宋体" w:hAnsi="宋体"/>
              </w:rPr>
              <w:t>2022-11</w:t>
            </w:r>
          </w:p>
        </w:tc>
      </w:tr>
      <w:tr>
        <w:tblPrEx>
          <w:tblCellMar>
            <w:top w:w="0" w:type="dxa"/>
            <w:left w:w="0" w:type="dxa"/>
            <w:bottom w:w="0" w:type="dxa"/>
            <w:right w:w="0" w:type="dxa"/>
          </w:tblCellMar>
        </w:tblPrEx>
        <w:trPr>
          <w:trHeight w:val="28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368" w:type="dxa"/>
            <w:tcBorders>
              <w:top w:val="outset" w:color="auto" w:sz="6" w:space="0"/>
              <w:left w:val="outset" w:color="auto" w:sz="6" w:space="0"/>
              <w:bottom w:val="outset" w:color="auto" w:sz="6" w:space="0"/>
              <w:right w:val="outset" w:color="auto" w:sz="6" w:space="0"/>
            </w:tcBorders>
            <w:vAlign w:val="center"/>
          </w:tcPr>
          <w:p>
            <w:pPr>
              <w:adjustRightInd w:val="0"/>
              <w:spacing w:line="360" w:lineRule="auto"/>
              <w:textAlignment w:val="baseline"/>
              <w:rPr>
                <w:rFonts w:ascii="宋体" w:hAnsi="宋体"/>
                <w:lang w:val="zh-CN"/>
              </w:rPr>
            </w:pPr>
            <w:r>
              <w:rPr>
                <w:rFonts w:hint="eastAsia" w:ascii="宋体" w:hAnsi="宋体"/>
                <w:lang w:val="zh-CN"/>
              </w:rPr>
              <w:t>海南州人大常委会会议室、党员活动室及代表之家改造项目</w:t>
            </w:r>
            <w:r>
              <w:rPr>
                <w:rFonts w:hint="eastAsia" w:ascii="宋体" w:hAnsi="宋体"/>
                <w:lang w:val="en-US" w:eastAsia="zh-CN"/>
              </w:rPr>
              <w:t>(第二次）</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人民币47.57万</w:t>
            </w:r>
          </w:p>
        </w:tc>
      </w:tr>
      <w:tr>
        <w:tblPrEx>
          <w:tblCellMar>
            <w:top w:w="0" w:type="dxa"/>
            <w:left w:w="0" w:type="dxa"/>
            <w:bottom w:w="0" w:type="dxa"/>
            <w:right w:w="0" w:type="dxa"/>
          </w:tblCellMar>
        </w:tblPrEx>
        <w:trPr>
          <w:trHeight w:val="42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368" w:type="dxa"/>
            <w:tcBorders>
              <w:top w:val="outset" w:color="auto" w:sz="6" w:space="0"/>
              <w:left w:val="outset" w:color="auto" w:sz="6" w:space="0"/>
              <w:bottom w:val="outset" w:color="auto" w:sz="6" w:space="0"/>
              <w:right w:val="outset" w:color="auto" w:sz="6" w:space="0"/>
            </w:tcBorders>
            <w:vAlign w:val="center"/>
          </w:tcPr>
          <w:p>
            <w:r>
              <w:rPr>
                <w:rFonts w:hint="eastAsia"/>
              </w:rPr>
              <w:t>无</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368"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参加政府采购活动前3年内在经营活动中没有重大违法记录的书面声明。（提供“信用中国”网站的查询截图，时间为投标截止时间前20天内）</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公告发布时间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2022年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13</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2022年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14</w:t>
            </w:r>
            <w:r>
              <w:rPr>
                <w:rFonts w:hint="eastAsia" w:ascii="宋体" w:hAnsi="宋体" w:cs="宋体"/>
                <w:color w:val="FF0000"/>
              </w:rPr>
              <w:t>日--2022年7月</w:t>
            </w:r>
            <w:r>
              <w:rPr>
                <w:rFonts w:hint="eastAsia" w:ascii="宋体" w:hAnsi="宋体" w:cs="宋体"/>
                <w:color w:val="FF0000"/>
                <w:lang w:val="en-US" w:eastAsia="zh-CN"/>
              </w:rPr>
              <w:t>20</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456"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368" w:type="dxa"/>
            <w:tcBorders>
              <w:top w:val="outset" w:color="auto" w:sz="6" w:space="0"/>
              <w:left w:val="outset" w:color="auto" w:sz="6" w:space="0"/>
              <w:bottom w:val="outset" w:color="auto" w:sz="6" w:space="0"/>
              <w:right w:val="outset" w:color="auto" w:sz="6" w:space="0"/>
            </w:tcBorders>
            <w:vAlign w:val="center"/>
          </w:tcPr>
          <w:p>
            <w:r>
              <w:rPr>
                <w:rFonts w:hint="eastAsia"/>
                <w:b/>
                <w:bCs/>
              </w:rPr>
              <w:t>政采云平台线上获取</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人民币0元/包</w:t>
            </w:r>
          </w:p>
        </w:tc>
      </w:tr>
      <w:tr>
        <w:tblPrEx>
          <w:tblCellMar>
            <w:top w:w="0" w:type="dxa"/>
            <w:left w:w="0" w:type="dxa"/>
            <w:bottom w:w="0" w:type="dxa"/>
            <w:right w:w="0" w:type="dxa"/>
          </w:tblCellMar>
        </w:tblPrEx>
        <w:trPr>
          <w:trHeight w:val="83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b/>
                <w:bCs/>
                <w:lang w:val="zh-CN"/>
              </w:rPr>
              <w:t>线上</w:t>
            </w:r>
            <w:r>
              <w:rPr>
                <w:rFonts w:hint="eastAsia" w:ascii="宋体" w:hAnsi="宋体" w:cs="宋体"/>
                <w:b/>
                <w:bCs/>
              </w:rPr>
              <w:t>：政采云平台：</w:t>
            </w:r>
            <w:r>
              <w:rPr>
                <w:rFonts w:hint="eastAsia" w:ascii="宋体" w:hAnsi="宋体" w:cs="宋体"/>
                <w:b/>
                <w:bCs/>
                <w:kern w:val="0"/>
              </w:rPr>
              <w:t>https://www.zcygov.cn/（</w:t>
            </w:r>
            <w:r>
              <w:rPr>
                <w:rFonts w:hint="eastAsia" w:ascii="宋体" w:hAnsi="宋体" w:cs="宋体"/>
                <w:b/>
                <w:bCs/>
                <w:kern w:val="0"/>
                <w:lang w:val="zh-CN"/>
              </w:rPr>
              <w:t>获取</w:t>
            </w:r>
            <w:r>
              <w:rPr>
                <w:rFonts w:hint="eastAsia" w:ascii="宋体" w:hAnsi="宋体" w:cs="宋体"/>
                <w:b/>
                <w:bCs/>
                <w:kern w:val="0"/>
              </w:rPr>
              <w:t>）</w:t>
            </w:r>
          </w:p>
        </w:tc>
      </w:tr>
      <w:tr>
        <w:tblPrEx>
          <w:tblCellMar>
            <w:top w:w="0" w:type="dxa"/>
            <w:left w:w="0" w:type="dxa"/>
            <w:bottom w:w="0" w:type="dxa"/>
            <w:right w:w="0" w:type="dxa"/>
          </w:tblCellMar>
        </w:tblPrEx>
        <w:trPr>
          <w:trHeight w:val="1647"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368"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ascii="宋体" w:hAnsi="宋体" w:cs="宋体"/>
                <w:kern w:val="0"/>
                <w:sz w:val="24"/>
              </w:rPr>
            </w:pPr>
            <w:r>
              <w:rPr>
                <w:rFonts w:hint="eastAsia" w:ascii="宋体" w:hAnsi="宋体" w:cs="宋体" w:eastAsiaTheme="minorEastAsia"/>
                <w:kern w:val="0"/>
                <w:lang w:val="zh-CN"/>
              </w:rPr>
              <w:t>营业执照副本复印件（加盖单位公章）、法定代表人证明书、法定代表人授权委托书（参考磋商文件格式（</w:t>
            </w:r>
            <w:r>
              <w:rPr>
                <w:rFonts w:hint="eastAsia" w:ascii="宋体" w:hAnsi="宋体" w:cs="宋体" w:eastAsiaTheme="minorEastAsia"/>
                <w:kern w:val="0"/>
              </w:rPr>
              <w:t>5、6</w:t>
            </w:r>
            <w:r>
              <w:rPr>
                <w:rFonts w:hint="eastAsia" w:ascii="宋体" w:hAnsi="宋体" w:cs="宋体" w:eastAsiaTheme="minorEastAsia"/>
                <w:kern w:val="0"/>
                <w:lang w:val="zh-CN"/>
              </w:rPr>
              <w:t>））及法定代表人身份证复印件、被授权人身份证复印件。以上资料除原件外均需加盖公章</w:t>
            </w:r>
            <w:r>
              <w:rPr>
                <w:rFonts w:hint="eastAsia" w:ascii="宋体" w:hAnsi="宋体" w:cs="宋体"/>
                <w:kern w:val="0"/>
                <w:sz w:val="24"/>
              </w:rPr>
              <w:t>。</w:t>
            </w:r>
          </w:p>
          <w:p>
            <w:pPr>
              <w:rPr>
                <w:rFonts w:ascii="宋体" w:hAnsi="宋体" w:cs="宋体"/>
              </w:rPr>
            </w:pPr>
            <w:r>
              <w:rPr>
                <w:rFonts w:hint="eastAsia" w:ascii="宋体" w:hAnsi="宋体" w:cs="宋体"/>
                <w:kern w:val="0"/>
                <w:lang w:val="zh-CN"/>
              </w:rPr>
              <w:t>（采购代理机构对以上资料留存备案。）</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2022年7月</w:t>
            </w:r>
            <w:r>
              <w:rPr>
                <w:rFonts w:hint="eastAsia" w:ascii="宋体" w:hAnsi="宋体" w:cs="宋体"/>
                <w:color w:val="FF0000"/>
                <w:lang w:val="en-US" w:eastAsia="zh-CN"/>
              </w:rPr>
              <w:t>25</w:t>
            </w:r>
            <w:r>
              <w:rPr>
                <w:rFonts w:hint="eastAsia" w:ascii="宋体" w:hAnsi="宋体" w:cs="宋体"/>
                <w:color w:val="FF0000"/>
              </w:rPr>
              <w:t>日14时30分</w:t>
            </w:r>
          </w:p>
        </w:tc>
      </w:tr>
      <w:tr>
        <w:tblPrEx>
          <w:tblCellMar>
            <w:top w:w="0" w:type="dxa"/>
            <w:left w:w="0" w:type="dxa"/>
            <w:bottom w:w="0" w:type="dxa"/>
            <w:right w:w="0" w:type="dxa"/>
          </w:tblCellMar>
        </w:tblPrEx>
        <w:trPr>
          <w:trHeight w:val="4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2022年7月</w:t>
            </w:r>
            <w:r>
              <w:rPr>
                <w:rFonts w:hint="eastAsia" w:ascii="宋体" w:hAnsi="宋体" w:cs="宋体"/>
                <w:color w:val="FF0000"/>
                <w:lang w:val="en-US" w:eastAsia="zh-CN"/>
              </w:rPr>
              <w:t>25</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368" w:type="dxa"/>
            <w:tcBorders>
              <w:top w:val="outset" w:color="auto" w:sz="6" w:space="0"/>
              <w:left w:val="outset" w:color="auto" w:sz="6" w:space="0"/>
              <w:bottom w:val="outset" w:color="auto" w:sz="6" w:space="0"/>
              <w:right w:val="outset" w:color="auto" w:sz="6" w:space="0"/>
            </w:tcBorders>
            <w:vAlign w:val="center"/>
          </w:tcPr>
          <w:p>
            <w:pPr>
              <w:pStyle w:val="15"/>
              <w:rPr>
                <w:b/>
                <w:bCs/>
                <w:sz w:val="21"/>
              </w:rPr>
            </w:pPr>
            <w:r>
              <w:rPr>
                <w:rFonts w:hint="eastAsia"/>
                <w:b/>
                <w:bCs/>
                <w:sz w:val="21"/>
                <w:lang w:val="zh-CN"/>
              </w:rPr>
              <w:t>线上</w:t>
            </w:r>
            <w:r>
              <w:rPr>
                <w:rFonts w:hint="eastAsia"/>
                <w:b/>
                <w:bCs/>
                <w:sz w:val="21"/>
              </w:rPr>
              <w:t>：</w:t>
            </w:r>
            <w:r>
              <w:rPr>
                <w:rFonts w:hint="eastAsia"/>
                <w:b/>
                <w:bCs/>
                <w:sz w:val="21"/>
                <w:lang w:val="zh-CN"/>
              </w:rPr>
              <w:t>政采云平台</w:t>
            </w:r>
            <w:r>
              <w:rPr>
                <w:rFonts w:hint="eastAsia"/>
                <w:b/>
                <w:bCs/>
                <w:sz w:val="21"/>
              </w:rPr>
              <w:t>https://www.zcygov.cn/</w:t>
            </w:r>
          </w:p>
          <w:p>
            <w:pPr>
              <w:pStyle w:val="15"/>
              <w:rPr>
                <w:rFonts w:eastAsia="宋体"/>
              </w:rPr>
            </w:pPr>
            <w:r>
              <w:rPr>
                <w:rFonts w:hint="eastAsia"/>
                <w:b/>
                <w:bCs/>
                <w:sz w:val="21"/>
                <w:lang w:val="zh-CN"/>
              </w:rPr>
              <w:t>线下：海南州公共资源交易有限责任公司开标室二</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ascii="宋体" w:hAnsi="宋体" w:cs="宋体"/>
              </w:rPr>
            </w:pPr>
            <w:r>
              <w:rPr>
                <w:rFonts w:hint="eastAsia" w:ascii="宋体" w:hAnsi="宋体" w:cs="宋体"/>
              </w:rPr>
              <w:t>采购人：</w:t>
            </w:r>
            <w:r>
              <w:rPr>
                <w:rFonts w:hint="eastAsia" w:ascii="宋体" w:hAnsi="宋体"/>
                <w:lang w:val="zh-CN"/>
              </w:rPr>
              <w:t>海南州人大办公室</w:t>
            </w:r>
          </w:p>
          <w:p>
            <w:pPr>
              <w:autoSpaceDE w:val="0"/>
              <w:autoSpaceDN w:val="0"/>
              <w:adjustRightInd w:val="0"/>
              <w:spacing w:line="360" w:lineRule="auto"/>
              <w:ind w:left="1470" w:hanging="1470" w:hangingChars="700"/>
              <w:rPr>
                <w:rFonts w:ascii="宋体" w:hAnsi="宋体" w:cs="宋体"/>
              </w:rPr>
            </w:pPr>
            <w:r>
              <w:rPr>
                <w:rFonts w:hint="eastAsia" w:ascii="宋体" w:hAnsi="宋体" w:cs="宋体"/>
                <w:lang w:val="zh-CN"/>
              </w:rPr>
              <w:t>联系人：宋先生</w:t>
            </w:r>
          </w:p>
          <w:p>
            <w:pPr>
              <w:rPr>
                <w:rFonts w:ascii="宋体" w:hAnsi="宋体" w:cs="宋体"/>
              </w:rPr>
            </w:pPr>
            <w:r>
              <w:rPr>
                <w:rFonts w:hint="eastAsia" w:ascii="宋体" w:hAnsi="宋体" w:cs="宋体"/>
                <w:lang w:val="zh-CN"/>
              </w:rPr>
              <w:t>联系电话：</w:t>
            </w:r>
            <w:r>
              <w:rPr>
                <w:rFonts w:hint="eastAsia" w:ascii="宋体" w:hAnsi="宋体" w:cs="宋体"/>
              </w:rPr>
              <w:t>13909740509</w:t>
            </w:r>
          </w:p>
        </w:tc>
      </w:tr>
      <w:tr>
        <w:tblPrEx>
          <w:tblCellMar>
            <w:top w:w="0" w:type="dxa"/>
            <w:left w:w="0" w:type="dxa"/>
            <w:bottom w:w="0" w:type="dxa"/>
            <w:right w:w="0" w:type="dxa"/>
          </w:tblCellMar>
        </w:tblPrEx>
        <w:trPr>
          <w:trHeight w:val="891"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海南州政府采购中心</w:t>
            </w:r>
          </w:p>
          <w:p>
            <w:pPr>
              <w:rPr>
                <w:rFonts w:ascii="宋体" w:hAnsi="宋体" w:cs="宋体"/>
              </w:rPr>
            </w:pPr>
            <w:r>
              <w:rPr>
                <w:rFonts w:hint="eastAsia" w:ascii="宋体" w:hAnsi="宋体" w:cs="宋体"/>
              </w:rPr>
              <w:t>联系人：李女士</w:t>
            </w:r>
          </w:p>
          <w:p>
            <w:pPr>
              <w:rPr>
                <w:rFonts w:ascii="宋体" w:hAnsi="宋体" w:cs="宋体"/>
                <w:sz w:val="28"/>
                <w:szCs w:val="28"/>
              </w:rPr>
            </w:pPr>
            <w:r>
              <w:rPr>
                <w:rFonts w:hint="eastAsia" w:ascii="宋体" w:hAnsi="宋体" w:cs="宋体"/>
              </w:rPr>
              <w:t>联系电话：0974-7553334</w:t>
            </w:r>
          </w:p>
        </w:tc>
      </w:tr>
      <w:tr>
        <w:tblPrEx>
          <w:tblCellMar>
            <w:top w:w="0" w:type="dxa"/>
            <w:left w:w="0" w:type="dxa"/>
            <w:bottom w:w="0" w:type="dxa"/>
            <w:right w:w="0" w:type="dxa"/>
          </w:tblCellMar>
        </w:tblPrEx>
        <w:trPr>
          <w:trHeight w:val="2241" w:hRule="atLeast"/>
          <w:jc w:val="center"/>
        </w:trPr>
        <w:tc>
          <w:tcPr>
            <w:tcW w:w="2435"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2保证金信息</w:t>
            </w:r>
          </w:p>
        </w:tc>
        <w:tc>
          <w:tcPr>
            <w:tcW w:w="6368"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ascii="宋体" w:hAnsi="宋体" w:cs="宋体"/>
                <w:kern w:val="0"/>
              </w:rPr>
            </w:pPr>
            <w:r>
              <w:rPr>
                <w:rFonts w:hint="eastAsia" w:ascii="宋体" w:hAnsi="宋体" w:cs="宋体"/>
                <w:kern w:val="0"/>
              </w:rPr>
              <w:t>分包编号：南政采招竞磋（货物）2022-11-1</w:t>
            </w:r>
          </w:p>
          <w:p>
            <w:pPr>
              <w:autoSpaceDE w:val="0"/>
              <w:autoSpaceDN w:val="0"/>
              <w:adjustRightInd w:val="0"/>
              <w:spacing w:line="360" w:lineRule="auto"/>
              <w:ind w:left="1470" w:hanging="1470" w:hangingChars="700"/>
              <w:rPr>
                <w:rFonts w:ascii="宋体" w:hAnsi="宋体" w:cs="宋体"/>
                <w:kern w:val="0"/>
              </w:rPr>
            </w:pPr>
            <w:r>
              <w:rPr>
                <w:rFonts w:hint="eastAsia" w:ascii="宋体" w:hAnsi="宋体" w:cs="宋体"/>
                <w:kern w:val="0"/>
              </w:rPr>
              <w:t>项目名称：</w:t>
            </w:r>
            <w:r>
              <w:rPr>
                <w:rFonts w:hint="eastAsia" w:ascii="宋体" w:hAnsi="宋体"/>
                <w:lang w:val="zh-CN"/>
              </w:rPr>
              <w:t>海南州人大常委会会议室、党员活动室及代表之家改造项目</w:t>
            </w:r>
            <w:r>
              <w:rPr>
                <w:rFonts w:hint="eastAsia" w:ascii="宋体" w:hAnsi="宋体"/>
                <w:lang w:val="en-US" w:eastAsia="zh-CN"/>
              </w:rPr>
              <w:t>(第二次）</w:t>
            </w:r>
            <w:r>
              <w:rPr>
                <w:rFonts w:hint="eastAsia" w:ascii="宋体" w:hAnsi="宋体" w:cs="宋体"/>
                <w:kern w:val="0"/>
              </w:rPr>
              <w:t xml:space="preserve">  分包一</w:t>
            </w:r>
          </w:p>
          <w:p>
            <w:pPr>
              <w:autoSpaceDE w:val="0"/>
              <w:autoSpaceDN w:val="0"/>
              <w:adjustRightInd w:val="0"/>
              <w:spacing w:line="360" w:lineRule="auto"/>
              <w:ind w:left="1470" w:hanging="1470" w:hangingChars="700"/>
              <w:rPr>
                <w:rFonts w:ascii="宋体" w:hAnsi="宋体" w:cs="宋体"/>
                <w:kern w:val="0"/>
              </w:rPr>
            </w:pPr>
            <w:r>
              <w:rPr>
                <w:rFonts w:hint="eastAsia" w:ascii="宋体" w:hAnsi="宋体" w:cs="宋体"/>
                <w:kern w:val="0"/>
              </w:rPr>
              <w:t>户名：海南州公共资源交易有限责任公司保证金专户；</w:t>
            </w:r>
          </w:p>
          <w:p>
            <w:pPr>
              <w:autoSpaceDE w:val="0"/>
              <w:autoSpaceDN w:val="0"/>
              <w:adjustRightInd w:val="0"/>
              <w:spacing w:line="360" w:lineRule="auto"/>
              <w:ind w:left="1470" w:hanging="1470" w:hangingChars="700"/>
              <w:rPr>
                <w:rFonts w:ascii="宋体" w:hAnsi="宋体" w:cs="宋体"/>
                <w:kern w:val="0"/>
              </w:rPr>
            </w:pPr>
            <w:r>
              <w:rPr>
                <w:rFonts w:hint="eastAsia" w:ascii="宋体" w:hAnsi="宋体" w:cs="宋体"/>
                <w:kern w:val="0"/>
              </w:rPr>
              <w:t>开户行：青海银行海南州分行；</w:t>
            </w:r>
          </w:p>
          <w:p>
            <w:pPr>
              <w:autoSpaceDE w:val="0"/>
              <w:autoSpaceDN w:val="0"/>
              <w:adjustRightInd w:val="0"/>
              <w:spacing w:line="360" w:lineRule="auto"/>
              <w:ind w:left="1470" w:hanging="1470" w:hangingChars="700"/>
              <w:rPr>
                <w:rFonts w:ascii="宋体" w:hAnsi="宋体" w:cs="宋体"/>
                <w:b/>
                <w:bCs/>
                <w:color w:val="0000FF"/>
                <w:kern w:val="0"/>
              </w:rPr>
            </w:pPr>
            <w:r>
              <w:rPr>
                <w:rFonts w:hint="eastAsia" w:ascii="宋体" w:hAnsi="宋体" w:cs="宋体"/>
                <w:kern w:val="0"/>
              </w:rPr>
              <w:t>保证金子账号：</w:t>
            </w:r>
            <w:r>
              <w:rPr>
                <w:rFonts w:hint="eastAsia" w:ascii="宋体" w:hAnsi="宋体" w:cs="宋体"/>
                <w:b/>
                <w:bCs/>
                <w:kern w:val="0"/>
              </w:rPr>
              <w:t>7779905201000437513</w:t>
            </w:r>
          </w:p>
          <w:p>
            <w:pPr>
              <w:autoSpaceDE w:val="0"/>
              <w:autoSpaceDN w:val="0"/>
              <w:adjustRightInd w:val="0"/>
              <w:spacing w:line="360" w:lineRule="auto"/>
              <w:ind w:left="1470" w:hanging="1470" w:hangingChars="700"/>
              <w:rPr>
                <w:rFonts w:ascii="宋体" w:hAnsi="宋体" w:cs="宋体"/>
                <w:kern w:val="0"/>
                <w:sz w:val="24"/>
              </w:rPr>
            </w:pPr>
            <w:r>
              <w:rPr>
                <w:rFonts w:hint="eastAsia" w:ascii="宋体" w:hAnsi="宋体" w:cs="宋体"/>
                <w:kern w:val="0"/>
              </w:rPr>
              <w:t>保证金金额：9500</w:t>
            </w:r>
            <w:bookmarkStart w:id="150" w:name="_GoBack"/>
            <w:bookmarkEnd w:id="150"/>
          </w:p>
        </w:tc>
      </w:tr>
      <w:tr>
        <w:tblPrEx>
          <w:tblCellMar>
            <w:top w:w="0" w:type="dxa"/>
            <w:left w:w="0" w:type="dxa"/>
            <w:bottom w:w="0" w:type="dxa"/>
            <w:right w:w="0" w:type="dxa"/>
          </w:tblCellMar>
        </w:tblPrEx>
        <w:trPr>
          <w:trHeight w:val="683" w:hRule="atLeast"/>
          <w:jc w:val="center"/>
        </w:trPr>
        <w:tc>
          <w:tcPr>
            <w:tcW w:w="2435"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lang w:val="zh-CN"/>
              </w:rPr>
            </w:pPr>
            <w:r>
              <w:rPr>
                <w:rFonts w:hint="eastAsia"/>
                <w:lang w:val="zh-CN"/>
              </w:rPr>
              <w:t>其他事项</w:t>
            </w:r>
          </w:p>
          <w:p>
            <w:pPr>
              <w:ind w:firstLine="296"/>
              <w:jc w:val="left"/>
            </w:pPr>
          </w:p>
        </w:tc>
        <w:tc>
          <w:tcPr>
            <w:tcW w:w="6368"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ascii="宋体" w:hAnsi="宋体" w:cs="宋体"/>
                <w:b/>
                <w:bCs/>
                <w:kern w:val="0"/>
                <w:sz w:val="24"/>
              </w:rPr>
            </w:pPr>
            <w:r>
              <w:rPr>
                <w:rFonts w:hint="eastAsia" w:ascii="宋体" w:hAnsi="宋体" w:cs="宋体"/>
                <w:b/>
                <w:bCs/>
                <w:kern w:val="0"/>
                <w:sz w:val="24"/>
              </w:rPr>
              <w:t>1.本次招标采用线上和线下都提交投标文件的方式进行采购，线上投标文件和线下投标文件必须在投标文件递交截止时间前上传平台和送达开标地点，线上投标文件和线下投标文件内容必须保持一致。</w:t>
            </w:r>
          </w:p>
          <w:p>
            <w:pPr>
              <w:autoSpaceDE w:val="0"/>
              <w:autoSpaceDN w:val="0"/>
              <w:adjustRightInd w:val="0"/>
              <w:jc w:val="left"/>
              <w:rPr>
                <w:rFonts w:ascii="宋体" w:hAnsi="宋体" w:cs="宋体"/>
              </w:rPr>
            </w:pPr>
            <w:r>
              <w:rPr>
                <w:rFonts w:hint="eastAsia" w:ascii="宋体" w:hAnsi="宋体" w:cs="宋体"/>
                <w:b/>
                <w:bCs/>
                <w:kern w:val="0"/>
                <w:sz w:val="24"/>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368"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3"/>
        <w:spacing w:line="400" w:lineRule="exact"/>
        <w:ind w:firstLine="5060" w:firstLineChars="2100"/>
        <w:rPr>
          <w:rFonts w:ascii="Arial" w:hAnsi="宋体" w:cs="宋体"/>
          <w:b/>
          <w:smallCaps/>
          <w:kern w:val="28"/>
          <w:sz w:val="24"/>
        </w:rPr>
      </w:pPr>
      <w:bookmarkStart w:id="0" w:name="_Toc24560"/>
      <w:bookmarkStart w:id="1" w:name="_Toc325725996"/>
      <w:r>
        <w:rPr>
          <w:rFonts w:hint="eastAsia" w:ascii="Arial" w:hAnsi="宋体" w:cs="宋体"/>
          <w:b/>
          <w:smallCaps/>
          <w:kern w:val="28"/>
          <w:sz w:val="24"/>
        </w:rPr>
        <w:t>海南州政府采购中心</w:t>
      </w:r>
    </w:p>
    <w:p>
      <w:pPr>
        <w:pStyle w:val="16"/>
        <w:ind w:firstLine="482"/>
        <w:rPr>
          <w:rFonts w:hAnsi="宋体" w:cs="宋体"/>
        </w:rPr>
      </w:pPr>
      <w:r>
        <w:rPr>
          <w:rFonts w:hint="eastAsia" w:hAnsi="宋体" w:cs="宋体"/>
          <w:sz w:val="24"/>
          <w:szCs w:val="24"/>
          <w:lang w:eastAsia="zh-CN"/>
        </w:rPr>
        <w:t xml:space="preserve">                                         2022年</w:t>
      </w:r>
      <w:r>
        <w:rPr>
          <w:rFonts w:hint="eastAsia" w:hAnsi="宋体" w:cs="宋体"/>
          <w:sz w:val="24"/>
          <w:szCs w:val="24"/>
          <w:lang w:val="en-US" w:eastAsia="zh-CN"/>
        </w:rPr>
        <w:t>7</w:t>
      </w:r>
      <w:r>
        <w:rPr>
          <w:rFonts w:hint="eastAsia" w:hAnsi="宋体" w:cs="宋体"/>
          <w:sz w:val="24"/>
          <w:szCs w:val="24"/>
          <w:lang w:eastAsia="zh-CN"/>
        </w:rPr>
        <w:t>月</w:t>
      </w:r>
      <w:r>
        <w:rPr>
          <w:rFonts w:hint="eastAsia" w:hAnsi="宋体" w:cs="宋体"/>
          <w:sz w:val="24"/>
          <w:szCs w:val="24"/>
          <w:lang w:val="en-US" w:eastAsia="zh-CN"/>
        </w:rPr>
        <w:t>13</w:t>
      </w:r>
      <w:r>
        <w:rPr>
          <w:rFonts w:hint="eastAsia" w:hAnsi="宋体" w:cs="宋体"/>
          <w:sz w:val="24"/>
          <w:szCs w:val="24"/>
          <w:lang w:eastAsia="zh-CN"/>
        </w:rPr>
        <w:t>日</w:t>
      </w:r>
    </w:p>
    <w:p>
      <w:pPr>
        <w:pStyle w:val="3"/>
        <w:ind w:firstLine="1054" w:firstLineChars="500"/>
        <w:jc w:val="center"/>
        <w:rPr>
          <w:rFonts w:hAnsi="宋体" w:cs="宋体"/>
          <w:b/>
          <w:bCs/>
        </w:rPr>
      </w:pP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hint="eastAsia" w:ascii="宋体" w:hAnsi="宋体" w:cs="宋体" w:eastAsiaTheme="minorEastAsia"/>
                <w:sz w:val="24"/>
                <w:lang w:val="en-US" w:eastAsia="zh-CN"/>
              </w:rPr>
            </w:pPr>
            <w:r>
              <w:rPr>
                <w:rFonts w:hint="eastAsia" w:ascii="宋体" w:hAnsi="宋体"/>
                <w:lang w:val="zh-CN"/>
              </w:rPr>
              <w:t>海南州人大常委会会议室、党员活动室及代表之家改造项目</w:t>
            </w:r>
            <w:r>
              <w:rPr>
                <w:rFonts w:hint="eastAsia" w:ascii="宋体" w:hAnsi="宋体"/>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ascii="宋体" w:hAnsi="宋体" w:eastAsia="宋体" w:cs="宋体"/>
                <w:kern w:val="0"/>
              </w:rPr>
            </w:pPr>
            <w:r>
              <w:rPr>
                <w:rFonts w:hint="eastAsia" w:ascii="宋体" w:hAnsi="宋体"/>
                <w:lang w:val="zh-CN"/>
              </w:rPr>
              <w:t>南政采招竞磋（货物）</w:t>
            </w:r>
            <w:r>
              <w:rPr>
                <w:rFonts w:hint="eastAsia" w:ascii="宋体" w:hAnsi="宋体"/>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人民币47.57万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color w:val="FF0000"/>
              </w:rPr>
            </w:pPr>
            <w:r>
              <w:rPr>
                <w:rFonts w:hint="eastAsia" w:ascii="宋体" w:hAnsi="宋体" w:cs="宋体"/>
                <w:color w:val="FF0000"/>
              </w:rPr>
              <w:t>2022年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13</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color w:val="FF0000"/>
              </w:rPr>
            </w:pPr>
            <w:r>
              <w:rPr>
                <w:rFonts w:hint="eastAsia" w:ascii="宋体" w:hAnsi="宋体" w:cs="宋体"/>
                <w:color w:val="FF0000"/>
              </w:rPr>
              <w:t>2022年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14</w:t>
            </w:r>
            <w:r>
              <w:rPr>
                <w:rFonts w:hint="eastAsia" w:ascii="宋体" w:hAnsi="宋体" w:cs="宋体"/>
                <w:color w:val="FF0000"/>
              </w:rPr>
              <w:t>日--2022年7月</w:t>
            </w:r>
            <w:r>
              <w:rPr>
                <w:rFonts w:hint="eastAsia" w:ascii="宋体" w:hAnsi="宋体" w:cs="宋体"/>
                <w:color w:val="FF0000"/>
                <w:lang w:val="en-US" w:eastAsia="zh-CN"/>
              </w:rPr>
              <w:t>20</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ascii="宋体" w:hAnsi="宋体" w:cs="宋体"/>
              </w:rPr>
            </w:pPr>
            <w:r>
              <w:rPr>
                <w:rFonts w:hint="eastAsia" w:ascii="宋体" w:hAnsi="宋体" w:cs="宋体"/>
                <w:b/>
                <w:bCs/>
                <w:lang w:val="zh-CN"/>
              </w:rPr>
              <w:t>线上</w:t>
            </w:r>
            <w:r>
              <w:rPr>
                <w:rFonts w:hint="eastAsia" w:ascii="宋体" w:hAnsi="宋体" w:cs="宋体"/>
                <w:b/>
                <w:bCs/>
              </w:rPr>
              <w:t>：政采云平台：https://www.zcygov.cn/在线上提交</w:t>
            </w:r>
          </w:p>
          <w:p>
            <w:pPr>
              <w:widowControl/>
              <w:spacing w:before="120" w:after="120" w:line="280" w:lineRule="exact"/>
              <w:rPr>
                <w:rFonts w:ascii="宋体" w:hAnsi="宋体" w:cs="宋体"/>
                <w:kern w:val="0"/>
              </w:rPr>
            </w:pPr>
            <w:r>
              <w:rPr>
                <w:rFonts w:hint="eastAsia" w:ascii="宋体" w:hAnsi="宋体" w:cs="宋体"/>
              </w:rPr>
              <w:t>注：</w:t>
            </w:r>
            <w:r>
              <w:rPr>
                <w:rFonts w:hint="eastAsia" w:ascii="宋体" w:hAnsi="宋体" w:cs="宋体"/>
                <w:lang w:val="zh-CN"/>
              </w:rPr>
              <w:t>投标供应商必须在报名时间截止前向采购代理机构提交报名资料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rPr>
            </w:pPr>
            <w:r>
              <w:rPr>
                <w:rFonts w:hint="eastAsia" w:ascii="宋体" w:hAnsi="宋体" w:cs="宋体"/>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参加政府采购活动前3年内在经营活动中没有重大违法记录的书面声明。（提供“信用中国”网站的查询截图，时间为投标截止时间前20天内）</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kern w:val="0"/>
              </w:rPr>
            </w:pPr>
            <w:r>
              <w:rPr>
                <w:rFonts w:hint="eastAsia" w:ascii="宋体" w:hAnsi="宋体" w:cs="宋体"/>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kern w:val="0"/>
              </w:rPr>
            </w:pPr>
            <w:r>
              <w:rPr>
                <w:rFonts w:hint="eastAsia" w:ascii="宋体" w:hAnsi="宋体" w:cs="宋体"/>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响应文件的密封</w:t>
            </w:r>
          </w:p>
        </w:tc>
        <w:tc>
          <w:tcPr>
            <w:tcW w:w="6962" w:type="dxa"/>
            <w:shd w:val="clear" w:color="000000" w:fill="FFFFFF"/>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响应文件外层密封袋的标注：采购项目名称、采购项目编号</w:t>
            </w:r>
            <w:r>
              <w:rPr>
                <w:rFonts w:hint="eastAsia" w:ascii="Arial" w:hAnsi="Arial" w:cs="Arial"/>
                <w:kern w:val="0"/>
                <w:lang w:val="zh-CN"/>
              </w:rPr>
              <w:t>、</w:t>
            </w:r>
            <w:r>
              <w:rPr>
                <w:rFonts w:ascii="Arial" w:hAnsi="Arial" w:cs="Arial"/>
                <w:kern w:val="0"/>
                <w:lang w:val="zh-CN"/>
              </w:rPr>
              <w:t>供应商名称、年月日以及“</w:t>
            </w:r>
            <w:r>
              <w:rPr>
                <w:rFonts w:hint="eastAsia" w:ascii="宋体" w:hAnsi="Cambria" w:cs="宋体"/>
                <w:kern w:val="0"/>
                <w:lang w:val="zh-CN"/>
              </w:rPr>
              <w:t>于</w:t>
            </w:r>
            <w:r>
              <w:rPr>
                <w:rFonts w:ascii="Arial" w:hAnsi="Arial" w:cs="Arial"/>
                <w:color w:val="FF0000"/>
                <w:kern w:val="0"/>
                <w:lang w:val="zh-CN"/>
              </w:rPr>
              <w:t>20</w:t>
            </w:r>
            <w:r>
              <w:rPr>
                <w:rFonts w:hint="eastAsia" w:ascii="Arial" w:hAnsi="Arial" w:cs="Arial"/>
                <w:color w:val="FF0000"/>
                <w:kern w:val="0"/>
              </w:rPr>
              <w:t>22</w:t>
            </w:r>
            <w:r>
              <w:rPr>
                <w:rFonts w:ascii="Arial" w:hAnsi="Arial" w:cs="Arial"/>
                <w:color w:val="FF0000"/>
                <w:kern w:val="0"/>
                <w:lang w:val="zh-CN"/>
              </w:rPr>
              <w:t>年</w:t>
            </w:r>
            <w:r>
              <w:rPr>
                <w:rFonts w:hint="eastAsia" w:ascii="Arial" w:hAnsi="Arial" w:cs="Arial"/>
                <w:color w:val="FF0000"/>
                <w:kern w:val="0"/>
              </w:rPr>
              <w:t>7</w:t>
            </w:r>
            <w:r>
              <w:rPr>
                <w:rFonts w:ascii="Arial" w:hAnsi="Arial" w:cs="Arial"/>
                <w:color w:val="FF0000"/>
                <w:kern w:val="0"/>
                <w:lang w:val="zh-CN"/>
              </w:rPr>
              <w:t>月</w:t>
            </w:r>
            <w:r>
              <w:rPr>
                <w:rFonts w:hint="eastAsia" w:ascii="Arial" w:hAnsi="Arial" w:cs="Arial"/>
                <w:color w:val="FF0000"/>
                <w:kern w:val="0"/>
                <w:lang w:val="en-US" w:eastAsia="zh-CN"/>
              </w:rPr>
              <w:t>25</w:t>
            </w:r>
            <w:r>
              <w:rPr>
                <w:rFonts w:ascii="Arial" w:hAnsi="Arial" w:cs="Arial"/>
                <w:color w:val="FF0000"/>
                <w:kern w:val="0"/>
                <w:lang w:val="zh-CN"/>
              </w:rPr>
              <w:t>日</w:t>
            </w:r>
            <w:r>
              <w:rPr>
                <w:rFonts w:hint="eastAsia" w:ascii="Arial" w:hAnsi="Arial" w:cs="Arial"/>
                <w:color w:val="FF0000"/>
              </w:rPr>
              <w:t>14时30分</w:t>
            </w:r>
            <w:r>
              <w:rPr>
                <w:rFonts w:hint="eastAsia" w:ascii="Arial" w:hAnsi="Arial" w:cs="Arial"/>
              </w:rPr>
              <w:t>（北京时间）</w:t>
            </w:r>
            <w:r>
              <w:rPr>
                <w:rFonts w:hint="eastAsia" w:ascii="宋体" w:hAnsi="Cambria" w:cs="宋体"/>
                <w:kern w:val="0"/>
                <w:lang w:val="zh-CN"/>
              </w:rPr>
              <w:t>之前不准启封</w:t>
            </w:r>
            <w:r>
              <w:rPr>
                <w:rFonts w:ascii="Arial" w:hAnsi="Arial" w:cs="Arial"/>
                <w:kern w:val="0"/>
                <w:lang w:val="zh-CN"/>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kern w:val="0"/>
                <w:lang w:val="zh-CN"/>
              </w:rPr>
            </w:pPr>
          </w:p>
          <w:p>
            <w:pPr>
              <w:rPr>
                <w:rFonts w:ascii="宋体" w:hAnsi="宋体" w:cs="宋体"/>
                <w:lang w:val="zh-CN"/>
              </w:rPr>
            </w:pPr>
            <w:r>
              <w:rPr>
                <w:rFonts w:hint="eastAsia" w:ascii="宋体" w:hAnsi="宋体" w:cs="宋体"/>
                <w:b/>
                <w:bCs/>
                <w:lang w:val="zh-CN"/>
              </w:rPr>
              <w:t>线上：</w:t>
            </w:r>
            <w:r>
              <w:rPr>
                <w:rFonts w:hint="eastAsia" w:ascii="宋体" w:hAnsi="宋体" w:cs="宋体"/>
                <w:b/>
                <w:bCs/>
              </w:rPr>
              <w:t>政采云平台：https://www.zcygov.cn/在线上提交</w:t>
            </w:r>
          </w:p>
          <w:p>
            <w:pPr>
              <w:autoSpaceDE w:val="0"/>
              <w:autoSpaceDN w:val="0"/>
              <w:adjustRightInd w:val="0"/>
              <w:spacing w:line="320" w:lineRule="exact"/>
              <w:jc w:val="left"/>
              <w:rPr>
                <w:rFonts w:ascii="Arial" w:hAnsi="Arial" w:cs="Arial"/>
                <w:kern w:val="0"/>
                <w:lang w:val="zh-CN"/>
              </w:rPr>
            </w:pPr>
            <w:r>
              <w:rPr>
                <w:rFonts w:hint="eastAsia" w:ascii="宋体" w:hAnsi="宋体" w:cs="宋体"/>
                <w:b/>
                <w:bCs/>
                <w:lang w:val="zh-CN"/>
              </w:rPr>
              <w:t>线下：现场递交（</w:t>
            </w:r>
            <w:r>
              <w:rPr>
                <w:rFonts w:hint="eastAsia" w:ascii="宋体" w:hAnsi="宋体" w:cs="宋体"/>
                <w:b/>
                <w:bCs/>
                <w:kern w:val="0"/>
                <w:lang w:val="zh-CN"/>
              </w:rPr>
              <w:t>海南州公共资源交易有限责任公司开标室二）</w:t>
            </w:r>
            <w:r>
              <w:rPr>
                <w:rFonts w:hint="eastAsia" w:ascii="宋体" w:hAnsi="宋体" w:cs="宋体"/>
                <w:b/>
                <w:bCs/>
              </w:rPr>
              <w:t>接受供应商以邮寄形式的响应文件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FF0000"/>
              </w:rPr>
            </w:pPr>
            <w:r>
              <w:rPr>
                <w:rFonts w:hint="eastAsia" w:ascii="宋体" w:hAnsi="宋体" w:cs="宋体"/>
                <w:color w:val="FF0000"/>
              </w:rPr>
              <w:t>2022年7月</w:t>
            </w:r>
            <w:r>
              <w:rPr>
                <w:rFonts w:hint="eastAsia" w:ascii="宋体" w:hAnsi="宋体" w:cs="宋体"/>
                <w:color w:val="FF0000"/>
                <w:lang w:val="en-US" w:eastAsia="zh-CN"/>
              </w:rPr>
              <w:t>25</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FF0000"/>
              </w:rPr>
            </w:pPr>
            <w:r>
              <w:rPr>
                <w:rFonts w:hint="eastAsia" w:ascii="宋体" w:hAnsi="宋体" w:cs="宋体"/>
                <w:color w:val="FF0000"/>
              </w:rPr>
              <w:t>2022年7月</w:t>
            </w:r>
            <w:r>
              <w:rPr>
                <w:rFonts w:hint="eastAsia" w:ascii="宋体" w:hAnsi="宋体" w:cs="宋体"/>
                <w:color w:val="FF0000"/>
                <w:lang w:val="en-US" w:eastAsia="zh-CN"/>
              </w:rPr>
              <w:t>25</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kern w:val="0"/>
                <w:lang w:val="zh-CN"/>
              </w:rPr>
            </w:pPr>
          </w:p>
          <w:p>
            <w:pPr>
              <w:rPr>
                <w:rFonts w:ascii="宋体" w:hAnsi="宋体" w:cs="宋体"/>
                <w:lang w:val="zh-CN"/>
              </w:rPr>
            </w:pPr>
            <w:r>
              <w:rPr>
                <w:rFonts w:hint="eastAsia" w:ascii="宋体" w:hAnsi="宋体" w:cs="宋体"/>
                <w:b/>
                <w:bCs/>
                <w:lang w:val="zh-CN"/>
              </w:rPr>
              <w:t>线上：</w:t>
            </w:r>
            <w:r>
              <w:rPr>
                <w:rFonts w:hint="eastAsia" w:ascii="宋体" w:hAnsi="宋体" w:cs="宋体"/>
                <w:b/>
                <w:bCs/>
              </w:rPr>
              <w:t>政采云平台：https://www.zcygov.cn/在线上提交</w:t>
            </w:r>
          </w:p>
          <w:p>
            <w:pPr>
              <w:pStyle w:val="15"/>
            </w:pPr>
            <w:r>
              <w:rPr>
                <w:rFonts w:hint="eastAsia"/>
                <w:b/>
                <w:bCs/>
                <w:lang w:val="zh-CN"/>
              </w:rPr>
              <w:t>线下：现场递交（</w:t>
            </w:r>
            <w:r>
              <w:rPr>
                <w:rFonts w:hint="eastAsia"/>
                <w:b/>
                <w:bCs/>
                <w:sz w:val="21"/>
                <w:lang w:val="zh-CN"/>
              </w:rPr>
              <w:t>海南州公共资源交易有限责任公司开标室二）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kern w:val="0"/>
              </w:rPr>
            </w:pPr>
            <w:r>
              <w:rPr>
                <w:rFonts w:ascii="Arial" w:hAnsi="Arial" w:cs="Arial"/>
                <w:kern w:val="0"/>
                <w:lang w:val="zh-CN"/>
              </w:rPr>
              <w:t>采用现场答疑。供应商须提供准确的联系方式（手机和固定电话），进行</w:t>
            </w:r>
            <w:r>
              <w:rPr>
                <w:rFonts w:hint="eastAsia" w:ascii="Arial" w:hAnsi="Arial" w:cs="Arial"/>
                <w:kern w:val="0"/>
                <w:lang w:val="zh-CN"/>
              </w:rPr>
              <w:t>电话</w:t>
            </w:r>
            <w:r>
              <w:rPr>
                <w:rFonts w:ascii="Arial" w:hAnsi="Arial" w:cs="Arial"/>
                <w:kern w:val="0"/>
                <w:lang w:val="zh-CN"/>
              </w:rPr>
              <w:t>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00" w:themeColor="text1"/>
                <w:kern w:val="0"/>
                <w:lang w:val="zh-CN"/>
              </w:rPr>
            </w:pPr>
            <w:r>
              <w:rPr>
                <w:rFonts w:hint="eastAsia" w:ascii="Arial" w:hAnsi="Arial" w:cs="Arial"/>
                <w:color w:val="000000" w:themeColor="text1"/>
                <w:kern w:val="0"/>
                <w:lang w:val="zh-CN"/>
              </w:rPr>
              <w:t>交货期</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FF0000"/>
                <w:kern w:val="0"/>
              </w:rPr>
            </w:pPr>
            <w:r>
              <w:rPr>
                <w:rFonts w:hint="eastAsia" w:ascii="Arial" w:hAnsi="Arial" w:cs="Arial"/>
                <w:color w:val="FF0000"/>
                <w:kern w:val="0"/>
                <w:lang w:val="zh-CN"/>
              </w:rPr>
              <w:t>交货期：签订采购合同后</w:t>
            </w:r>
            <w:r>
              <w:rPr>
                <w:rFonts w:hint="eastAsia" w:ascii="Arial" w:hAnsi="Arial" w:cs="Arial"/>
                <w:color w:val="FF0000"/>
                <w:kern w:val="0"/>
              </w:rPr>
              <w:t>30日内</w:t>
            </w:r>
          </w:p>
          <w:p>
            <w:pPr>
              <w:autoSpaceDE w:val="0"/>
              <w:autoSpaceDN w:val="0"/>
              <w:adjustRightInd w:val="0"/>
              <w:spacing w:line="320" w:lineRule="exact"/>
              <w:jc w:val="left"/>
            </w:pPr>
            <w:r>
              <w:rPr>
                <w:rFonts w:hint="eastAsia" w:ascii="Arial" w:hAnsi="Arial" w:cs="Arial"/>
                <w:color w:val="FF0000"/>
                <w:kern w:val="0"/>
                <w:lang w:val="zh-CN"/>
              </w:rPr>
              <w:t>交货地点地点：按采购单位要求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hint="eastAsia" w:ascii="Arial" w:hAnsi="Arial" w:cs="Arial"/>
                <w:kern w:val="0"/>
                <w:lang w:val="zh-CN"/>
              </w:rPr>
              <w:t>磋商有效期</w:t>
            </w:r>
          </w:p>
        </w:tc>
        <w:tc>
          <w:tcPr>
            <w:tcW w:w="6962" w:type="dxa"/>
            <w:shd w:val="clear" w:color="000000" w:fill="FFFFFF"/>
          </w:tcPr>
          <w:p>
            <w:pPr>
              <w:autoSpaceDE w:val="0"/>
              <w:autoSpaceDN w:val="0"/>
              <w:adjustRightInd w:val="0"/>
              <w:spacing w:line="320" w:lineRule="exact"/>
              <w:jc w:val="left"/>
              <w:rPr>
                <w:rFonts w:ascii="Arial" w:hAnsi="Arial" w:cs="Arial"/>
                <w:kern w:val="0"/>
                <w:lang w:val="zh-CN"/>
              </w:rPr>
            </w:pPr>
            <w:r>
              <w:rPr>
                <w:rFonts w:hint="eastAsia" w:ascii="Arial" w:hAnsi="Arial" w:cs="Arial"/>
                <w:kern w:val="0"/>
                <w:lang w:val="zh-CN"/>
              </w:rPr>
              <w:t>磋商有效期为自磋商开始之日起</w:t>
            </w:r>
            <w:r>
              <w:rPr>
                <w:rFonts w:hint="eastAsia" w:ascii="Arial" w:hAnsi="Arial" w:cs="Arial"/>
                <w:kern w:val="0"/>
              </w:rPr>
              <w:t>60</w:t>
            </w:r>
            <w:r>
              <w:rPr>
                <w:rFonts w:hint="eastAsia" w:ascii="Arial" w:hAnsi="Arial" w:cs="Arial"/>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hint="eastAsia" w:ascii="Arial" w:hAnsi="Arial" w:cs="Arial"/>
                <w:kern w:val="0"/>
                <w:lang w:val="zh-CN"/>
              </w:rPr>
              <w:t>免费质保期</w:t>
            </w:r>
          </w:p>
        </w:tc>
        <w:tc>
          <w:tcPr>
            <w:tcW w:w="6962" w:type="dxa"/>
            <w:shd w:val="clear" w:color="000000" w:fill="FFFFFF"/>
          </w:tcPr>
          <w:p>
            <w:pPr>
              <w:autoSpaceDE w:val="0"/>
              <w:autoSpaceDN w:val="0"/>
              <w:adjustRightInd w:val="0"/>
              <w:spacing w:line="320" w:lineRule="exact"/>
              <w:jc w:val="left"/>
              <w:rPr>
                <w:rFonts w:ascii="Arial" w:hAnsi="Arial" w:cs="Arial"/>
                <w:kern w:val="0"/>
                <w:lang w:val="zh-CN"/>
              </w:rPr>
            </w:pPr>
            <w:r>
              <w:rPr>
                <w:rFonts w:hint="eastAsia" w:ascii="Arial" w:hAnsi="Arial" w:cs="Arial"/>
                <w:color w:val="0000FF"/>
                <w:kern w:val="0"/>
                <w:lang w:val="zh-CN"/>
              </w:rPr>
              <w:t>验收合格后</w:t>
            </w:r>
            <w:r>
              <w:rPr>
                <w:rFonts w:hint="eastAsia" w:ascii="Arial" w:hAnsi="Arial" w:cs="Arial"/>
                <w:color w:val="0000FF"/>
                <w:kern w:val="0"/>
              </w:rPr>
              <w:t>1</w:t>
            </w:r>
            <w:r>
              <w:rPr>
                <w:rFonts w:hint="eastAsia" w:ascii="Arial" w:hAnsi="Arial" w:cs="Arial"/>
                <w:color w:val="0000FF"/>
                <w:kern w:val="0"/>
                <w:lang w:val="zh-CN"/>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kern w:val="0"/>
                <w:lang w:val="zh-CN"/>
              </w:rPr>
            </w:pPr>
            <w:r>
              <w:rPr>
                <w:rFonts w:hint="eastAsia" w:ascii="宋体" w:hAnsi="宋体" w:cs="宋体"/>
                <w:kern w:val="0"/>
                <w:lang w:val="zh-CN"/>
              </w:rPr>
              <w:t>采购合同全数返回采购代理机构鉴证，盖章。</w:t>
            </w:r>
          </w:p>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ascii="宋体" w:hAnsi="宋体" w:cs="宋体"/>
              </w:rPr>
            </w:pPr>
            <w:r>
              <w:rPr>
                <w:rFonts w:hint="eastAsia" w:ascii="宋体" w:hAnsi="宋体" w:cs="宋体"/>
              </w:rPr>
              <w:t>采购人：</w:t>
            </w:r>
            <w:r>
              <w:rPr>
                <w:rFonts w:hint="eastAsia" w:ascii="宋体" w:hAnsi="宋体"/>
                <w:lang w:val="zh-CN"/>
              </w:rPr>
              <w:t>海南州人大办公室</w:t>
            </w:r>
          </w:p>
          <w:p>
            <w:pPr>
              <w:autoSpaceDE w:val="0"/>
              <w:autoSpaceDN w:val="0"/>
              <w:adjustRightInd w:val="0"/>
              <w:spacing w:line="360" w:lineRule="auto"/>
              <w:ind w:left="1470" w:hanging="1470" w:hangingChars="700"/>
              <w:rPr>
                <w:rFonts w:ascii="宋体" w:hAnsi="宋体" w:cs="宋体"/>
              </w:rPr>
            </w:pPr>
            <w:r>
              <w:rPr>
                <w:rFonts w:hint="eastAsia" w:ascii="宋体" w:hAnsi="宋体" w:cs="宋体"/>
                <w:lang w:val="zh-CN"/>
              </w:rPr>
              <w:t>联系人：宋先生</w:t>
            </w:r>
          </w:p>
          <w:p>
            <w:pPr>
              <w:widowControl/>
              <w:spacing w:line="300" w:lineRule="exact"/>
              <w:rPr>
                <w:rFonts w:ascii="宋体" w:hAnsi="宋体"/>
              </w:rPr>
            </w:pPr>
            <w:r>
              <w:rPr>
                <w:rFonts w:hint="eastAsia" w:ascii="宋体" w:hAnsi="宋体" w:cs="宋体"/>
                <w:lang w:val="zh-CN"/>
              </w:rPr>
              <w:t>联系电话：</w:t>
            </w:r>
            <w:r>
              <w:rPr>
                <w:rFonts w:hint="eastAsia" w:ascii="宋体" w:hAnsi="宋体" w:cs="宋体"/>
              </w:rPr>
              <w:t>13909740509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rPr>
            </w:pPr>
            <w:r>
              <w:rPr>
                <w:rFonts w:hint="eastAsia" w:ascii="宋体" w:hAnsi="宋体" w:cs="宋体"/>
              </w:rPr>
              <w:t>海南州政府采购中心</w:t>
            </w:r>
          </w:p>
          <w:p>
            <w:pPr>
              <w:rPr>
                <w:rFonts w:ascii="宋体" w:hAnsi="宋体" w:cs="宋体"/>
              </w:rPr>
            </w:pPr>
            <w:r>
              <w:rPr>
                <w:rFonts w:hint="eastAsia" w:ascii="宋体" w:hAnsi="宋体" w:cs="宋体"/>
              </w:rPr>
              <w:t>联系人：李女士</w:t>
            </w:r>
          </w:p>
          <w:p>
            <w:pPr>
              <w:widowControl/>
              <w:spacing w:line="300" w:lineRule="exact"/>
              <w:rPr>
                <w:rFonts w:ascii="宋体" w:hAnsi="宋体" w:cs="宋体"/>
                <w:kern w:val="0"/>
              </w:rPr>
            </w:pPr>
            <w:r>
              <w:rPr>
                <w:rFonts w:hint="eastAsia" w:ascii="宋体" w:hAnsi="宋体" w:cs="宋体"/>
              </w:rPr>
              <w:t>联系电话：0974-7553334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rPr>
            </w:pPr>
            <w:r>
              <w:rPr>
                <w:rFonts w:hint="eastAsia" w:ascii="宋体" w:hAnsi="宋体"/>
              </w:rPr>
              <w:t xml:space="preserve">财政监管部门：海南州财政局  </w:t>
            </w:r>
          </w:p>
          <w:p>
            <w:pPr>
              <w:widowControl/>
              <w:spacing w:line="480" w:lineRule="exact"/>
              <w:jc w:val="left"/>
              <w:rPr>
                <w:rFonts w:ascii="宋体" w:hAnsi="宋体" w:eastAsia="宋体" w:cs="宋体"/>
                <w:kern w:val="0"/>
              </w:rPr>
            </w:pPr>
            <w:r>
              <w:rPr>
                <w:rFonts w:hint="eastAsia" w:ascii="宋体" w:hAnsi="宋体"/>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16620"/>
      <w:bookmarkStart w:id="3" w:name="_Toc376936727"/>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ascii="宋体"/>
          <w:b/>
          <w:kern w:val="28"/>
          <w:sz w:val="36"/>
          <w:szCs w:val="20"/>
        </w:rPr>
      </w:pPr>
    </w:p>
    <w:p>
      <w:pPr>
        <w:keepNext/>
        <w:keepLines/>
        <w:widowControl/>
        <w:snapToGrid w:val="0"/>
        <w:spacing w:line="400" w:lineRule="atLeast"/>
        <w:outlineLvl w:val="0"/>
        <w:rPr>
          <w:rFonts w:ascii="宋体"/>
          <w:b/>
          <w:kern w:val="28"/>
          <w:sz w:val="36"/>
          <w:szCs w:val="20"/>
        </w:rPr>
      </w:pPr>
    </w:p>
    <w:p>
      <w:pPr>
        <w:pStyle w:val="2"/>
        <w:rPr>
          <w:kern w:val="28"/>
          <w:sz w:val="36"/>
          <w:szCs w:val="20"/>
        </w:rPr>
      </w:pPr>
    </w:p>
    <w:p>
      <w:pPr>
        <w:pStyle w:val="18"/>
        <w:ind w:left="0" w:firstLine="0"/>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Lines="200" w:afterLines="200"/>
        <w:jc w:val="center"/>
        <w:outlineLvl w:val="1"/>
        <w:rPr>
          <w:rFonts w:ascii="宋体" w:hAnsi="宋体"/>
          <w:b/>
          <w:bCs/>
          <w:kern w:val="0"/>
          <w:sz w:val="36"/>
          <w:szCs w:val="36"/>
        </w:rPr>
      </w:pPr>
      <w:bookmarkStart w:id="5" w:name="_Toc11999"/>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76936729"/>
      <w:bookmarkStart w:id="8" w:name="_Toc325725998"/>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76936731"/>
      <w:bookmarkStart w:id="12" w:name="_Toc325726000"/>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lang w:val="zh-CN"/>
        </w:rPr>
        <w:t>&lt;1&gt;投标人的营业执照等证明文件，自然人的身份证明。</w:t>
      </w:r>
    </w:p>
    <w:p>
      <w:pPr>
        <w:ind w:firstLine="480"/>
        <w:rPr>
          <w:rFonts w:ascii="宋体" w:hAnsi="宋体"/>
          <w:lang w:val="zh-CN"/>
        </w:rPr>
      </w:pPr>
      <w:r>
        <w:rPr>
          <w:rFonts w:hint="eastAsia" w:ascii="宋体" w:hAnsi="宋体"/>
          <w:lang w:val="zh-CN"/>
        </w:rPr>
        <w:t>&lt;2&gt;财务状况报告，依法缴纳税收和社会保障资金的相关材料。</w:t>
      </w:r>
    </w:p>
    <w:p>
      <w:pPr>
        <w:ind w:firstLine="480"/>
        <w:rPr>
          <w:rFonts w:ascii="宋体" w:hAnsi="宋体"/>
          <w:lang w:val="zh-CN"/>
        </w:rPr>
      </w:pPr>
      <w:r>
        <w:rPr>
          <w:rFonts w:hint="eastAsia" w:ascii="宋体" w:hAnsi="宋体"/>
          <w:lang w:val="zh-CN"/>
        </w:rPr>
        <w:t>&lt;3&gt;具备履行合同所必需的设备和专业技术能力的证明材料。</w:t>
      </w:r>
    </w:p>
    <w:p>
      <w:pPr>
        <w:ind w:firstLine="480"/>
        <w:rPr>
          <w:rFonts w:ascii="宋体" w:hAnsi="宋体"/>
          <w:lang w:val="zh-CN"/>
        </w:rPr>
      </w:pPr>
      <w:r>
        <w:rPr>
          <w:rFonts w:hint="eastAsia" w:ascii="宋体" w:hAnsi="宋体"/>
          <w:lang w:val="zh-CN"/>
        </w:rPr>
        <w:t>&lt;4&gt;参加政府采购活动前3年内在经营活动中没有重大违法记录的书面声明。（提供“信用中国”网站的查询截图，时间为投标截止时间前20天内）</w:t>
      </w:r>
    </w:p>
    <w:p>
      <w:pPr>
        <w:ind w:firstLine="480"/>
        <w:rPr>
          <w:rFonts w:ascii="宋体" w:hAnsi="宋体"/>
          <w:lang w:val="zh-CN"/>
        </w:rPr>
      </w:pPr>
      <w:r>
        <w:rPr>
          <w:rFonts w:hint="eastAsia" w:ascii="宋体" w:hAnsi="宋体"/>
          <w:lang w:val="zh-CN"/>
        </w:rPr>
        <w:t>&lt;5&gt;具备法律、行政法规规定的其他条件的证明材料。</w:t>
      </w:r>
    </w:p>
    <w:p>
      <w:pPr>
        <w:ind w:firstLine="480"/>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tabs>
          <w:tab w:val="left" w:pos="840"/>
        </w:tabs>
        <w:ind w:firstLine="315" w:firstLineChars="150"/>
        <w:rPr>
          <w:rFonts w:ascii="宋体" w:hAnsi="宋体" w:cs="宋体"/>
        </w:rPr>
      </w:pPr>
      <w:r>
        <w:rPr>
          <w:rFonts w:hint="eastAsia" w:ascii="宋体" w:hAnsi="宋体" w:cs="宋体"/>
          <w:lang w:val="zh-CN"/>
        </w:rPr>
        <w:t>5、本项目不接受投标人以联合体方式进行投标；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25726001"/>
      <w:bookmarkStart w:id="14" w:name="_Toc376936732"/>
    </w:p>
    <w:p>
      <w:pPr>
        <w:widowControl/>
        <w:spacing w:beforeLines="200" w:afterLines="200"/>
        <w:jc w:val="center"/>
        <w:outlineLvl w:val="1"/>
        <w:rPr>
          <w:rFonts w:ascii="宋体" w:hAnsi="宋体"/>
          <w:b/>
          <w:bCs/>
          <w:kern w:val="0"/>
          <w:sz w:val="36"/>
          <w:szCs w:val="36"/>
        </w:rPr>
      </w:pPr>
      <w:bookmarkStart w:id="15" w:name="_Toc2364"/>
    </w:p>
    <w:p>
      <w:pPr>
        <w:widowControl/>
        <w:spacing w:beforeLines="200"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76936733"/>
      <w:bookmarkStart w:id="17" w:name="_Toc325726002"/>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76936734"/>
      <w:bookmarkStart w:id="19" w:name="_Toc325726003"/>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76936735"/>
      <w:bookmarkStart w:id="21" w:name="_Toc325726004"/>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Lines="200" w:afterLines="200"/>
        <w:jc w:val="center"/>
        <w:outlineLvl w:val="1"/>
        <w:rPr>
          <w:rFonts w:ascii="宋体" w:hAnsi="宋体"/>
          <w:b/>
          <w:bCs/>
          <w:kern w:val="0"/>
          <w:sz w:val="36"/>
          <w:szCs w:val="36"/>
        </w:rPr>
      </w:pPr>
      <w:bookmarkStart w:id="22" w:name="_Toc376936736"/>
      <w:bookmarkStart w:id="23" w:name="_Toc18613"/>
      <w:bookmarkStart w:id="24" w:name="_Toc325726005"/>
    </w:p>
    <w:p>
      <w:pPr>
        <w:widowControl/>
        <w:spacing w:beforeLines="200"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25726006"/>
      <w:bookmarkStart w:id="26" w:name="_Toc376936737"/>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76936743"/>
      <w:bookmarkStart w:id="30" w:name="_Toc325726012"/>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ascii="宋体" w:hAnsi="宋体" w:cs="宋体"/>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rPr>
        <w:t>玖仟伍佰元整  RMB:9500。</w:t>
      </w:r>
      <w:r>
        <w:rPr>
          <w:rFonts w:hint="eastAsia" w:ascii="宋体" w:hAnsi="宋体" w:cs="宋体"/>
          <w:lang w:val="zh-CN"/>
        </w:rPr>
        <w:t>具体时间以保证金到账时间为准。本次采购活动中未成交且投标人未发生违规行为的，</w:t>
      </w:r>
      <w:r>
        <w:rPr>
          <w:rFonts w:hint="eastAsia" w:ascii="宋体" w:hAnsi="宋体"/>
          <w:szCs w:val="20"/>
        </w:rPr>
        <w:t>由</w:t>
      </w:r>
      <w:r>
        <w:rPr>
          <w:rFonts w:hint="eastAsia" w:ascii="宋体" w:hAnsi="宋体"/>
          <w:color w:val="000000"/>
        </w:rPr>
        <w:t>采购代理机构</w:t>
      </w:r>
      <w:r>
        <w:rPr>
          <w:rFonts w:hint="eastAsia" w:ascii="宋体" w:hAnsi="宋体" w:cs="宋体"/>
          <w:lang w:val="zh-CN"/>
        </w:rPr>
        <w:t>在法定期限内退还磋商保证金；</w:t>
      </w:r>
      <w:r>
        <w:rPr>
          <w:rFonts w:hint="eastAsia" w:ascii="宋体" w:hAnsi="宋体"/>
          <w:szCs w:val="20"/>
        </w:rPr>
        <w:t>成交供应商的</w:t>
      </w:r>
      <w:r>
        <w:rPr>
          <w:rFonts w:hint="eastAsia" w:ascii="宋体" w:hAnsi="宋体" w:cs="宋体"/>
          <w:lang w:val="zh-CN"/>
        </w:rPr>
        <w:t>磋商保证金</w:t>
      </w:r>
      <w:r>
        <w:rPr>
          <w:rFonts w:hint="eastAsia" w:ascii="宋体" w:hAnsi="宋体"/>
          <w:szCs w:val="20"/>
        </w:rPr>
        <w:t>自采购合同签订之日起5个工作日内予以退还。</w:t>
      </w:r>
    </w:p>
    <w:p>
      <w:pPr>
        <w:autoSpaceDE w:val="0"/>
        <w:autoSpaceDN w:val="0"/>
        <w:adjustRightInd w:val="0"/>
        <w:ind w:firstLine="464" w:firstLineChars="221"/>
        <w:rPr>
          <w:rFonts w:ascii="宋体" w:hAnsi="宋体"/>
        </w:rPr>
      </w:pPr>
      <w:r>
        <w:rPr>
          <w:rFonts w:hint="eastAsia" w:ascii="宋体" w:hAnsi="宋体" w:cs="宋体"/>
          <w:lang w:val="zh-CN"/>
        </w:rPr>
        <w:t>9.2 投标人应</w:t>
      </w:r>
      <w:r>
        <w:rPr>
          <w:rFonts w:hint="eastAsia" w:ascii="宋体" w:hAnsi="宋体"/>
        </w:rPr>
        <w:t>将缴款证明扫描（或复印）件盖章后装订在磋商响应文件中。</w:t>
      </w:r>
    </w:p>
    <w:p>
      <w:pPr>
        <w:autoSpaceDE w:val="0"/>
        <w:autoSpaceDN w:val="0"/>
        <w:adjustRightInd w:val="0"/>
        <w:ind w:firstLine="464" w:firstLineChars="221"/>
        <w:rPr>
          <w:rFonts w:ascii="宋体" w:hAnsi="宋体"/>
        </w:rPr>
      </w:pPr>
      <w:r>
        <w:rPr>
          <w:rFonts w:hint="eastAsia" w:ascii="宋体" w:hAnsi="宋体" w:cs="宋体"/>
          <w:lang w:val="zh-CN"/>
        </w:rPr>
        <w:t xml:space="preserve">9.3 </w:t>
      </w:r>
      <w:r>
        <w:rPr>
          <w:rFonts w:hint="eastAsia" w:ascii="宋体" w:hAnsi="宋体"/>
        </w:rPr>
        <w:t>投标人磋商现场签到时，须将</w:t>
      </w:r>
      <w:r>
        <w:rPr>
          <w:rFonts w:hint="eastAsia" w:hAnsi="宋体"/>
        </w:rPr>
        <w:t>磋商响应文件</w:t>
      </w:r>
      <w:r>
        <w:rPr>
          <w:rFonts w:hint="eastAsia" w:ascii="宋体" w:hAnsi="宋体"/>
        </w:rPr>
        <w:t>和电子标书一并提交</w:t>
      </w:r>
      <w:r>
        <w:rPr>
          <w:rFonts w:hint="eastAsia" w:hAnsi="宋体"/>
        </w:rPr>
        <w:t>（电子标书与书面磋商响应文件内容必须完全相同，包括磋商文件要求的签字、盖章）。</w:t>
      </w:r>
      <w:r>
        <w:rPr>
          <w:rFonts w:hint="eastAsia" w:ascii="宋体" w:hAnsi="宋体"/>
        </w:rPr>
        <w:t>否则，</w:t>
      </w:r>
      <w:r>
        <w:rPr>
          <w:rFonts w:hint="eastAsia" w:hAnsi="宋体"/>
        </w:rPr>
        <w:t>视为无效响应</w:t>
      </w:r>
      <w:r>
        <w:rPr>
          <w:rFonts w:hint="eastAsia"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76936739"/>
      <w:bookmarkStart w:id="34" w:name="_Toc325726008"/>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412617729"/>
      <w:bookmarkStart w:id="36" w:name="_Toc373392580"/>
      <w:r>
        <w:rPr>
          <w:rFonts w:hint="eastAsia" w:ascii="宋体" w:hAnsi="宋体"/>
          <w:b/>
          <w:bCs/>
          <w:kern w:val="0"/>
          <w:sz w:val="27"/>
          <w:szCs w:val="27"/>
        </w:rPr>
        <w:t>12.磋商响应文件编印和签署</w:t>
      </w:r>
      <w:bookmarkEnd w:id="35"/>
      <w:bookmarkEnd w:id="36"/>
    </w:p>
    <w:p>
      <w:pPr>
        <w:pStyle w:val="10"/>
        <w:ind w:firstLine="480"/>
        <w:rPr>
          <w:rFonts w:hAnsi="宋体"/>
          <w:color w:val="000000"/>
          <w:szCs w:val="24"/>
        </w:rPr>
      </w:pPr>
      <w:r>
        <w:rPr>
          <w:rFonts w:hint="eastAsia" w:hAnsi="宋体"/>
          <w:szCs w:val="24"/>
        </w:rPr>
        <w:t>12.</w:t>
      </w:r>
      <w:r>
        <w:rPr>
          <w:rFonts w:hint="eastAsia" w:hAnsi="宋体"/>
          <w:color w:val="000000"/>
          <w:szCs w:val="24"/>
        </w:rPr>
        <w:t>1 投标人须提交一式四份磋商响应文件（一份正本、三份副本）</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10"/>
        <w:ind w:firstLine="480"/>
        <w:rPr>
          <w:rFonts w:hAnsi="宋体"/>
          <w:color w:val="000000"/>
          <w:szCs w:val="24"/>
        </w:rPr>
      </w:pPr>
      <w:r>
        <w:rPr>
          <w:rFonts w:hint="eastAsia" w:hAnsi="宋体"/>
          <w:color w:val="000000"/>
          <w:szCs w:val="24"/>
        </w:rPr>
        <w:t>12.2磋商响应文件的正、副本均需打印，并由投标人的法定代表人或委托代理人按要求签字、盖章。</w:t>
      </w:r>
    </w:p>
    <w:p>
      <w:pPr>
        <w:pStyle w:val="10"/>
        <w:ind w:firstLine="480"/>
        <w:rPr>
          <w:rFonts w:hAnsi="宋体"/>
          <w:color w:val="000000"/>
          <w:szCs w:val="24"/>
        </w:rPr>
      </w:pPr>
      <w:r>
        <w:rPr>
          <w:rFonts w:hint="eastAsia" w:hAnsi="宋体"/>
          <w:color w:val="000000"/>
          <w:szCs w:val="24"/>
        </w:rPr>
        <w:t>12.3磋商响应文件中不得行间插字、涂改或增删，如有修改错漏处，须由投标人法定代表人或其委托代理人签字和盖章。</w:t>
      </w:r>
    </w:p>
    <w:p>
      <w:pPr>
        <w:pStyle w:val="10"/>
        <w:ind w:firstLine="480"/>
        <w:rPr>
          <w:rFonts w:hAnsi="宋体"/>
          <w:color w:val="000000"/>
          <w:szCs w:val="24"/>
        </w:rPr>
      </w:pPr>
      <w:r>
        <w:rPr>
          <w:rFonts w:hint="eastAsia" w:hAnsi="宋体"/>
          <w:color w:val="000000"/>
          <w:szCs w:val="24"/>
        </w:rPr>
        <w:t xml:space="preserve">12.4要求投标人提交电子标书（u盘）一份。 </w:t>
      </w:r>
    </w:p>
    <w:p>
      <w:pPr>
        <w:widowControl/>
        <w:spacing w:beforeLines="200" w:afterLines="200"/>
        <w:jc w:val="center"/>
        <w:outlineLvl w:val="1"/>
        <w:rPr>
          <w:rFonts w:ascii="宋体" w:hAnsi="宋体"/>
          <w:b/>
          <w:bCs/>
          <w:kern w:val="0"/>
          <w:sz w:val="36"/>
          <w:szCs w:val="36"/>
        </w:rPr>
      </w:pPr>
      <w:bookmarkStart w:id="37" w:name="_Toc412617730"/>
      <w:bookmarkStart w:id="38" w:name="_Toc11528"/>
      <w:bookmarkStart w:id="39" w:name="_Toc371090029"/>
      <w:bookmarkStart w:id="40" w:name="_Toc376936748"/>
    </w:p>
    <w:p>
      <w:pPr>
        <w:widowControl/>
        <w:spacing w:beforeLines="200" w:afterLines="200"/>
        <w:jc w:val="center"/>
        <w:outlineLvl w:val="1"/>
        <w:rPr>
          <w:rFonts w:ascii="宋体" w:hAnsi="宋体"/>
          <w:b/>
          <w:bCs/>
          <w:kern w:val="0"/>
          <w:sz w:val="36"/>
          <w:szCs w:val="36"/>
        </w:rPr>
      </w:pPr>
      <w:r>
        <w:rPr>
          <w:rFonts w:hint="eastAsia" w:ascii="宋体" w:hAnsi="宋体"/>
          <w:b/>
          <w:bCs/>
          <w:kern w:val="0"/>
          <w:sz w:val="36"/>
          <w:szCs w:val="36"/>
        </w:rPr>
        <w:t>四、磋商响应文件的递交</w:t>
      </w:r>
      <w:bookmarkEnd w:id="37"/>
      <w:bookmarkEnd w:id="38"/>
    </w:p>
    <w:p>
      <w:pPr>
        <w:widowControl/>
        <w:spacing w:before="100" w:beforeAutospacing="1" w:after="100" w:afterAutospacing="1"/>
        <w:ind w:firstLine="542"/>
        <w:jc w:val="left"/>
        <w:outlineLvl w:val="2"/>
        <w:rPr>
          <w:rFonts w:ascii="宋体" w:hAnsi="宋体"/>
          <w:b/>
          <w:bCs/>
          <w:kern w:val="0"/>
          <w:sz w:val="27"/>
          <w:szCs w:val="27"/>
        </w:rPr>
      </w:pPr>
      <w:bookmarkStart w:id="41" w:name="_Toc373392582"/>
      <w:bookmarkStart w:id="42" w:name="_Toc412617731"/>
      <w:bookmarkStart w:id="43" w:name="_Toc325726016"/>
      <w:r>
        <w:rPr>
          <w:rFonts w:hint="eastAsia" w:ascii="宋体" w:hAnsi="宋体"/>
          <w:b/>
          <w:bCs/>
          <w:kern w:val="0"/>
          <w:sz w:val="27"/>
          <w:szCs w:val="27"/>
        </w:rPr>
        <w:t>13.磋商响应文件的密封和标记</w:t>
      </w:r>
      <w:bookmarkEnd w:id="41"/>
      <w:bookmarkEnd w:id="42"/>
      <w:bookmarkEnd w:id="43"/>
    </w:p>
    <w:p>
      <w:pPr>
        <w:pStyle w:val="10"/>
        <w:ind w:firstLine="480"/>
        <w:rPr>
          <w:rFonts w:hAnsi="宋体"/>
          <w:szCs w:val="24"/>
        </w:rPr>
      </w:pPr>
      <w:r>
        <w:rPr>
          <w:rFonts w:hint="eastAsia" w:hAnsi="宋体"/>
          <w:szCs w:val="24"/>
        </w:rPr>
        <w:t>13.1投标人应将磋商响应文件正、副本分别封装在自行定制的“投标专用袋”中，并按要求标明磋商项目编号、采购项目名称、投标人的名称等。</w:t>
      </w:r>
    </w:p>
    <w:p>
      <w:pPr>
        <w:ind w:firstLine="382" w:firstLineChars="182"/>
        <w:rPr>
          <w:rFonts w:hAnsi="宋体"/>
        </w:rPr>
      </w:pPr>
      <w:r>
        <w:rPr>
          <w:rFonts w:hint="eastAsia" w:ascii="宋体" w:hAnsi="宋体"/>
        </w:rPr>
        <w:t>13.2</w:t>
      </w:r>
      <w:r>
        <w:rPr>
          <w:rFonts w:hint="eastAsia" w:hAnsi="宋体"/>
        </w:rPr>
        <w:t>电子标书（u盘）单独放入信封袋中，加贴封签，并在封签处加盖公章，</w:t>
      </w:r>
      <w:r>
        <w:rPr>
          <w:rFonts w:hint="eastAsia"/>
        </w:rPr>
        <w:t>投标人签到时与磋商保证金缴款证明（原件）一并提交。</w:t>
      </w:r>
    </w:p>
    <w:p>
      <w:pPr>
        <w:pStyle w:val="10"/>
        <w:ind w:firstLine="480"/>
        <w:rPr>
          <w:rFonts w:hAnsi="宋体"/>
          <w:szCs w:val="24"/>
        </w:rPr>
      </w:pPr>
      <w:r>
        <w:rPr>
          <w:rFonts w:hint="eastAsia" w:hAnsi="宋体"/>
          <w:szCs w:val="24"/>
        </w:rPr>
        <w:t>13.3密封后的磋商响应文件均应：</w:t>
      </w:r>
    </w:p>
    <w:p>
      <w:pPr>
        <w:pStyle w:val="10"/>
        <w:ind w:firstLine="480"/>
        <w:rPr>
          <w:rFonts w:hAnsi="宋体"/>
          <w:szCs w:val="24"/>
        </w:rPr>
      </w:pPr>
      <w:r>
        <w:rPr>
          <w:rFonts w:hint="eastAsia" w:hAnsi="宋体"/>
          <w:szCs w:val="24"/>
        </w:rPr>
        <w:t>（1）按“投标人投标前须知”注明的时间、地址送达；</w:t>
      </w:r>
    </w:p>
    <w:p>
      <w:pPr>
        <w:pStyle w:val="10"/>
        <w:ind w:firstLine="480"/>
        <w:rPr>
          <w:rFonts w:hAnsi="宋体"/>
          <w:szCs w:val="24"/>
        </w:rPr>
      </w:pPr>
      <w:r>
        <w:rPr>
          <w:rFonts w:hint="eastAsia" w:hAnsi="宋体"/>
          <w:szCs w:val="24"/>
        </w:rPr>
        <w:t>（2） 投标专用袋用</w:t>
      </w:r>
      <w:r>
        <w:rPr>
          <w:rFonts w:hint="eastAsia" w:hAnsi="宋体"/>
          <w:color w:val="FF0000"/>
          <w:szCs w:val="24"/>
        </w:rPr>
        <w:t>“于2022年  月  日14：30之</w:t>
      </w:r>
      <w:r>
        <w:rPr>
          <w:rFonts w:hint="eastAsia" w:hAnsi="宋体"/>
          <w:szCs w:val="24"/>
        </w:rPr>
        <w:t>前不准启封”标签密封。</w:t>
      </w:r>
    </w:p>
    <w:p>
      <w:pPr>
        <w:pStyle w:val="10"/>
        <w:ind w:firstLine="480"/>
        <w:rPr>
          <w:rFonts w:hAnsi="宋体"/>
          <w:szCs w:val="24"/>
          <w:shd w:val="pct10" w:color="auto" w:fill="FFFFFF"/>
        </w:rPr>
      </w:pPr>
      <w:r>
        <w:rPr>
          <w:rFonts w:hint="eastAsia" w:hAnsi="宋体"/>
          <w:szCs w:val="24"/>
        </w:rPr>
        <w:t>13.4如果投标人未按第13．1－13．3条要求将磋商响应文件密封或在密封袋上加写标记的，</w:t>
      </w:r>
      <w:r>
        <w:rPr>
          <w:rFonts w:hint="eastAsia" w:hAnsi="宋体"/>
          <w:color w:val="000000"/>
        </w:rPr>
        <w:t>采购代理机构</w:t>
      </w:r>
      <w:r>
        <w:rPr>
          <w:rFonts w:hint="eastAsia" w:hAnsi="宋体"/>
          <w:szCs w:val="24"/>
        </w:rPr>
        <w:t>将不予受理。</w:t>
      </w:r>
    </w:p>
    <w:p>
      <w:pPr>
        <w:pStyle w:val="10"/>
        <w:ind w:firstLine="480"/>
        <w:rPr>
          <w:rFonts w:hAnsi="宋体"/>
          <w:szCs w:val="24"/>
        </w:rPr>
      </w:pPr>
      <w:r>
        <w:rPr>
          <w:rFonts w:hint="eastAsia" w:hAnsi="宋体"/>
          <w:szCs w:val="24"/>
        </w:rPr>
        <w:t>13.5投标人以电报、电话、传真形式投标的，</w:t>
      </w:r>
      <w:r>
        <w:rPr>
          <w:rFonts w:hint="eastAsia" w:hAnsi="宋体"/>
          <w:color w:val="000000"/>
        </w:rPr>
        <w:t>采购代理机构</w:t>
      </w:r>
      <w:r>
        <w:rPr>
          <w:rFonts w:hint="eastAsia" w:hAnsi="宋体"/>
          <w:szCs w:val="24"/>
        </w:rPr>
        <w:t>概不接受。</w:t>
      </w:r>
    </w:p>
    <w:bookmarkEnd w:id="39"/>
    <w:bookmarkEnd w:id="40"/>
    <w:p>
      <w:pPr>
        <w:widowControl/>
        <w:spacing w:before="100" w:beforeAutospacing="1" w:after="100" w:afterAutospacing="1"/>
        <w:ind w:firstLine="542"/>
        <w:jc w:val="left"/>
        <w:outlineLvl w:val="2"/>
        <w:rPr>
          <w:rFonts w:ascii="宋体" w:hAnsi="宋体"/>
          <w:b/>
          <w:bCs/>
          <w:kern w:val="0"/>
          <w:sz w:val="27"/>
          <w:szCs w:val="27"/>
        </w:rPr>
      </w:pPr>
      <w:bookmarkStart w:id="44" w:name="_Toc412617732"/>
      <w:bookmarkStart w:id="45" w:name="_Toc325726017"/>
      <w:bookmarkStart w:id="46" w:name="_Toc373392583"/>
      <w:bookmarkStart w:id="47" w:name="_Toc371090030"/>
      <w:bookmarkStart w:id="48" w:name="_Toc376936749"/>
      <w:r>
        <w:rPr>
          <w:rFonts w:hint="eastAsia" w:ascii="宋体" w:hAnsi="宋体"/>
          <w:b/>
          <w:bCs/>
          <w:kern w:val="0"/>
          <w:sz w:val="27"/>
          <w:szCs w:val="27"/>
        </w:rPr>
        <w:t>14.递送磋商响应文件的地点、截止日期</w:t>
      </w:r>
      <w:bookmarkEnd w:id="44"/>
      <w:bookmarkEnd w:id="45"/>
      <w:bookmarkEnd w:id="46"/>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14.2所有磋商响应文件都必须按“投标人须知前附表”中规定的磋商截止时间之前送至磋商地点。</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将拒绝接受在磋商截止时间之后送达的磋商响应文件。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7"/>
      <w:bookmarkEnd w:id="48"/>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Lines="200" w:afterLines="200"/>
        <w:jc w:val="center"/>
        <w:outlineLvl w:val="1"/>
        <w:rPr>
          <w:rFonts w:ascii="宋体" w:hAnsi="宋体"/>
          <w:b/>
          <w:bCs/>
          <w:kern w:val="0"/>
          <w:sz w:val="36"/>
          <w:szCs w:val="36"/>
        </w:rPr>
      </w:pPr>
      <w:bookmarkStart w:id="49" w:name="_Toc376936750"/>
      <w:bookmarkStart w:id="50" w:name="_Toc325726019"/>
      <w:bookmarkStart w:id="51" w:name="_Toc11399"/>
      <w:r>
        <w:rPr>
          <w:rFonts w:hint="eastAsia" w:ascii="宋体" w:hAnsi="宋体"/>
          <w:b/>
          <w:bCs/>
          <w:kern w:val="0"/>
          <w:sz w:val="36"/>
          <w:szCs w:val="36"/>
        </w:rPr>
        <w:t>五、</w:t>
      </w:r>
      <w:bookmarkEnd w:id="49"/>
      <w:bookmarkEnd w:id="50"/>
      <w:r>
        <w:rPr>
          <w:rFonts w:hint="eastAsia" w:ascii="宋体" w:hAnsi="宋体"/>
          <w:b/>
          <w:bCs/>
          <w:kern w:val="0"/>
          <w:sz w:val="36"/>
          <w:szCs w:val="36"/>
        </w:rPr>
        <w:t>磋商过程</w:t>
      </w:r>
      <w:bookmarkEnd w:id="51"/>
    </w:p>
    <w:p>
      <w:pPr>
        <w:widowControl/>
        <w:spacing w:before="100" w:beforeAutospacing="1" w:after="100" w:afterAutospacing="1"/>
        <w:ind w:firstLine="542"/>
        <w:jc w:val="left"/>
        <w:outlineLvl w:val="2"/>
        <w:rPr>
          <w:rFonts w:ascii="宋体" w:hAnsi="宋体"/>
          <w:b/>
          <w:bCs/>
          <w:kern w:val="0"/>
          <w:sz w:val="27"/>
          <w:szCs w:val="27"/>
        </w:rPr>
      </w:pPr>
      <w:bookmarkStart w:id="52" w:name="_Toc376936751"/>
      <w:bookmarkStart w:id="53" w:name="_Toc325726020"/>
      <w:r>
        <w:rPr>
          <w:rFonts w:hint="eastAsia" w:ascii="宋体" w:hAnsi="宋体"/>
          <w:b/>
          <w:bCs/>
          <w:kern w:val="0"/>
          <w:sz w:val="27"/>
          <w:szCs w:val="27"/>
        </w:rPr>
        <w:t>16.</w:t>
      </w:r>
      <w:bookmarkEnd w:id="52"/>
      <w:bookmarkEnd w:id="53"/>
      <w:r>
        <w:rPr>
          <w:rFonts w:hint="eastAsia" w:ascii="宋体" w:hAnsi="宋体"/>
          <w:b/>
          <w:bCs/>
          <w:kern w:val="0"/>
          <w:sz w:val="27"/>
          <w:szCs w:val="27"/>
        </w:rPr>
        <w:t>磋商过程</w:t>
      </w:r>
    </w:p>
    <w:p>
      <w:pPr>
        <w:ind w:firstLine="480"/>
        <w:jc w:val="left"/>
        <w:rPr>
          <w:rFonts w:ascii="宋体" w:hAnsi="宋体"/>
          <w:color w:val="000000"/>
        </w:rPr>
      </w:pPr>
      <w:r>
        <w:rPr>
          <w:rFonts w:hint="eastAsia" w:ascii="宋体" w:hAnsi="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ind w:firstLine="480"/>
        <w:jc w:val="left"/>
        <w:rPr>
          <w:rFonts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b/>
          <w:bCs/>
          <w:kern w:val="0"/>
          <w:sz w:val="36"/>
          <w:szCs w:val="36"/>
        </w:rPr>
      </w:pPr>
      <w:r>
        <w:rPr>
          <w:rFonts w:hint="eastAsia" w:ascii="宋体" w:hAnsi="宋体"/>
          <w:color w:val="000000"/>
        </w:rPr>
        <w:t>16.4磋商过程有专人记录，并存档备查。</w:t>
      </w:r>
      <w:bookmarkStart w:id="54" w:name="_Toc376936752"/>
      <w:bookmarkStart w:id="55" w:name="_Toc10899"/>
      <w:bookmarkStart w:id="56" w:name="_Toc325726021"/>
    </w:p>
    <w:p>
      <w:pPr>
        <w:widowControl/>
        <w:spacing w:beforeLines="200"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4"/>
      <w:bookmarkEnd w:id="55"/>
      <w:bookmarkEnd w:id="56"/>
    </w:p>
    <w:p>
      <w:pPr>
        <w:widowControl/>
        <w:spacing w:before="100" w:beforeAutospacing="1" w:after="100" w:afterAutospacing="1"/>
        <w:ind w:firstLine="542"/>
        <w:jc w:val="left"/>
        <w:outlineLvl w:val="2"/>
        <w:rPr>
          <w:rFonts w:ascii="宋体" w:hAnsi="宋体"/>
          <w:b/>
          <w:bCs/>
          <w:kern w:val="0"/>
          <w:sz w:val="27"/>
          <w:szCs w:val="27"/>
        </w:rPr>
      </w:pPr>
      <w:bookmarkStart w:id="57" w:name="_Toc376936753"/>
      <w:bookmarkStart w:id="58" w:name="_Toc325726022"/>
      <w:r>
        <w:rPr>
          <w:rFonts w:hint="eastAsia" w:ascii="宋体" w:hAnsi="宋体"/>
          <w:b/>
          <w:bCs/>
          <w:kern w:val="0"/>
          <w:sz w:val="27"/>
          <w:szCs w:val="27"/>
        </w:rPr>
        <w:t>17.磋商小组</w:t>
      </w:r>
      <w:bookmarkEnd w:id="57"/>
      <w:bookmarkEnd w:id="58"/>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9" w:name="_Toc325726023"/>
      <w:bookmarkStart w:id="60" w:name="_Toc376936754"/>
      <w:r>
        <w:rPr>
          <w:rFonts w:hint="eastAsia" w:ascii="宋体" w:hAnsi="宋体"/>
          <w:b/>
          <w:bCs/>
          <w:kern w:val="0"/>
          <w:sz w:val="27"/>
          <w:szCs w:val="27"/>
        </w:rPr>
        <w:t>18.磋商程序</w:t>
      </w:r>
      <w:bookmarkEnd w:id="59"/>
      <w:bookmarkEnd w:id="60"/>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ascii="宋体" w:hAnsi="宋体"/>
          <w:color w:val="000000"/>
        </w:rPr>
      </w:pPr>
      <w:r>
        <w:rPr>
          <w:rFonts w:hint="eastAsia" w:ascii="宋体" w:hAnsi="宋体" w:cs="楷体_GB2312"/>
          <w:color w:val="000000"/>
          <w:lang w:val="zh-CN"/>
        </w:rPr>
        <w:t>（3）未按磋商文件要求提供相关资料的；</w:t>
      </w:r>
    </w:p>
    <w:p>
      <w:pPr>
        <w:ind w:firstLine="480"/>
        <w:jc w:val="left"/>
        <w:rPr>
          <w:rFonts w:ascii="宋体" w:hAnsi="宋体"/>
          <w:color w:val="000000"/>
        </w:rPr>
      </w:pPr>
      <w:r>
        <w:rPr>
          <w:rFonts w:hint="eastAsia" w:ascii="宋体" w:hAnsi="宋体"/>
          <w:color w:val="000000"/>
        </w:rPr>
        <w:t>（4）磋商响应文件内容没有按磋商文件规定编写，编印和签署及要求签字、盖章的；</w:t>
      </w:r>
    </w:p>
    <w:p>
      <w:pPr>
        <w:ind w:firstLine="480"/>
        <w:jc w:val="left"/>
        <w:rPr>
          <w:rFonts w:ascii="宋体" w:hAnsi="宋体"/>
          <w:color w:val="000000"/>
        </w:rPr>
      </w:pPr>
      <w:r>
        <w:rPr>
          <w:rFonts w:hint="eastAsia" w:ascii="宋体" w:hAnsi="宋体"/>
          <w:color w:val="000000"/>
        </w:rPr>
        <w:t>（5）磋商响应文件编排混乱导致磋商小组无法评标的；</w:t>
      </w:r>
    </w:p>
    <w:p>
      <w:pPr>
        <w:ind w:firstLine="480"/>
        <w:jc w:val="left"/>
        <w:rPr>
          <w:rFonts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ascii="宋体" w:hAnsi="宋体"/>
          <w:color w:val="000000"/>
        </w:rPr>
      </w:pPr>
      <w:r>
        <w:rPr>
          <w:rFonts w:hint="eastAsia" w:ascii="宋体" w:hAnsi="宋体"/>
          <w:color w:val="000000"/>
        </w:rPr>
        <w:t>（7）磋商项目的服务内容、服务标准明显不符合采购项目要求的；</w:t>
      </w:r>
    </w:p>
    <w:p>
      <w:pPr>
        <w:ind w:firstLine="480"/>
        <w:jc w:val="left"/>
        <w:rPr>
          <w:rFonts w:ascii="宋体" w:hAnsi="宋体"/>
          <w:color w:val="000000"/>
        </w:rPr>
      </w:pPr>
      <w:r>
        <w:rPr>
          <w:rFonts w:hint="eastAsia" w:ascii="宋体" w:hAnsi="宋体"/>
          <w:color w:val="000000"/>
        </w:rPr>
        <w:t>（8）磋商响应文件中附有采购人不能接受的条件的；</w:t>
      </w:r>
    </w:p>
    <w:p>
      <w:pPr>
        <w:ind w:firstLine="480"/>
        <w:jc w:val="left"/>
        <w:rPr>
          <w:rFonts w:ascii="宋体" w:hAnsi="宋体"/>
          <w:color w:val="000000"/>
        </w:rPr>
      </w:pPr>
      <w:r>
        <w:rPr>
          <w:rFonts w:hint="eastAsia" w:ascii="宋体" w:hAnsi="宋体"/>
          <w:color w:val="000000"/>
        </w:rPr>
        <w:t>（9）磋商小组认为应按无效响应处理的其他情况；</w:t>
      </w:r>
    </w:p>
    <w:p>
      <w:pPr>
        <w:ind w:firstLine="420" w:firstLineChars="200"/>
        <w:jc w:val="left"/>
        <w:rPr>
          <w:rFonts w:ascii="宋体" w:hAnsi="宋体"/>
          <w:color w:val="000000"/>
        </w:rPr>
      </w:pPr>
      <w:r>
        <w:rPr>
          <w:rFonts w:hint="eastAsia" w:ascii="宋体" w:hAnsi="宋体"/>
          <w:color w:val="000000"/>
        </w:rPr>
        <w:t>（10）磋商响应文件中所提供产品不符合《省级行政事业单位通用办公设备配置标准表》的；</w:t>
      </w:r>
    </w:p>
    <w:p>
      <w:pPr>
        <w:ind w:firstLine="480"/>
        <w:jc w:val="left"/>
        <w:rPr>
          <w:rFonts w:ascii="宋体" w:hAnsi="宋体"/>
          <w:color w:val="000000"/>
        </w:rPr>
      </w:pPr>
      <w:r>
        <w:rPr>
          <w:rFonts w:hint="eastAsia" w:ascii="宋体" w:hAnsi="宋体"/>
          <w:color w:val="000000"/>
        </w:rPr>
        <w:t>（11）法律、法规规定的其他情形。</w:t>
      </w:r>
    </w:p>
    <w:p>
      <w:pPr>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磋商响应文件有上述情形之一的，磋商小组应当要求投标人在规定的时间内予以澄清、说明。澄清说明材料由投标人法定代表人或委托代理人在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pacing w:before="100" w:beforeAutospacing="1" w:after="100" w:afterAutospacing="1"/>
        <w:ind w:firstLine="542"/>
        <w:jc w:val="left"/>
        <w:outlineLvl w:val="2"/>
        <w:rPr>
          <w:rFonts w:ascii="宋体" w:hAnsi="宋体"/>
          <w:color w:val="000000"/>
        </w:rPr>
      </w:pPr>
      <w:bookmarkStart w:id="61" w:name="_Toc325726024"/>
      <w:bookmarkStart w:id="62" w:name="_Toc376936755"/>
      <w:r>
        <w:rPr>
          <w:rFonts w:hint="eastAsia" w:ascii="宋体" w:hAnsi="宋体"/>
          <w:b/>
          <w:bCs/>
          <w:kern w:val="0"/>
          <w:sz w:val="27"/>
          <w:szCs w:val="27"/>
        </w:rPr>
        <w:t>19.评审办法</w:t>
      </w:r>
      <w:bookmarkEnd w:id="61"/>
      <w:bookmarkEnd w:id="62"/>
    </w:p>
    <w:p>
      <w:pPr>
        <w:ind w:firstLine="480"/>
        <w:jc w:val="left"/>
        <w:rPr>
          <w:rFonts w:ascii="宋体" w:hAnsi="宋体"/>
        </w:rPr>
      </w:pPr>
      <w:r>
        <w:rPr>
          <w:rFonts w:hint="eastAsia" w:ascii="宋体" w:hAnsi="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评审内容分为商务部分（磋商最后报价）、技术部分二部分组成（满分100分）。</w:t>
      </w:r>
    </w:p>
    <w:p>
      <w:pPr>
        <w:ind w:firstLine="480"/>
        <w:jc w:val="left"/>
        <w:rPr>
          <w:rFonts w:ascii="宋体" w:hAnsi="宋体"/>
        </w:rPr>
      </w:pPr>
      <w:r>
        <w:rPr>
          <w:rFonts w:hint="eastAsia" w:ascii="宋体" w:hAnsi="宋体"/>
        </w:rPr>
        <w:t>19.2评审标准和分值分配：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宋体" w:cs="宋体"/>
                <w:color w:val="000000"/>
                <w:lang w:val="zh-CN"/>
              </w:rPr>
            </w:pPr>
            <w:bookmarkStart w:id="63" w:name="_Toc325726025"/>
            <w:bookmarkStart w:id="64" w:name="_Toc376936756"/>
            <w:bookmarkStart w:id="65" w:name="_Toc29958"/>
            <w:r>
              <w:rPr>
                <w:rFonts w:hint="eastAsia" w:ascii="宋体" w:hAnsi="宋体" w:cs="宋体"/>
                <w:color w:val="000000"/>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商务部分（满分</w:t>
            </w:r>
            <w:r>
              <w:rPr>
                <w:rFonts w:hint="eastAsia" w:ascii="宋体" w:hAnsi="宋体" w:cs="宋体"/>
                <w:color w:val="000000"/>
              </w:rPr>
              <w:t>30</w:t>
            </w:r>
            <w:r>
              <w:rPr>
                <w:rFonts w:hint="eastAsia" w:ascii="宋体" w:hAnsi="宋体" w:cs="宋体"/>
                <w:color w:val="000000"/>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rPr>
            </w:pPr>
            <w:r>
              <w:rPr>
                <w:rFonts w:hint="eastAsia" w:ascii="宋体" w:hAnsi="宋体" w:cs="宋体"/>
                <w:color w:val="000000"/>
              </w:rPr>
              <w:t>30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技术部分（满分</w:t>
            </w:r>
            <w:r>
              <w:rPr>
                <w:rFonts w:hint="eastAsia" w:ascii="宋体" w:hAnsi="宋体" w:cs="宋体"/>
                <w:color w:val="000000"/>
              </w:rPr>
              <w:t>70</w:t>
            </w:r>
            <w:r>
              <w:rPr>
                <w:rFonts w:hint="eastAsia" w:ascii="宋体" w:hAnsi="宋体" w:cs="宋体"/>
                <w:color w:val="000000"/>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80"/>
              <w:jc w:val="left"/>
              <w:rPr>
                <w:rFonts w:ascii="宋体" w:hAnsi="宋体" w:cs="宋体"/>
                <w:color w:val="000000"/>
              </w:rPr>
            </w:pPr>
            <w:r>
              <w:rPr>
                <w:rFonts w:hint="eastAsia" w:ascii="宋体" w:hAnsi="宋体" w:cs="宋体"/>
                <w:color w:val="000000"/>
              </w:rPr>
              <w:t>70</w:t>
            </w:r>
          </w:p>
        </w:tc>
      </w:tr>
    </w:tbl>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具体项目及评分细则：</w:t>
      </w:r>
    </w:p>
    <w:p>
      <w:pPr>
        <w:autoSpaceDE w:val="0"/>
        <w:autoSpaceDN w:val="0"/>
        <w:adjustRightInd w:val="0"/>
        <w:ind w:firstLine="480"/>
        <w:jc w:val="left"/>
        <w:rPr>
          <w:rFonts w:ascii="宋体" w:hAnsi="宋体" w:cs="宋体"/>
          <w:color w:val="000000"/>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宋体" w:cs="宋体"/>
                <w:color w:val="000000"/>
                <w:lang w:val="zh-CN"/>
              </w:rPr>
            </w:pPr>
            <w:r>
              <w:rPr>
                <w:rFonts w:hint="eastAsia" w:ascii="宋体" w:hAnsi="宋体" w:cs="宋体"/>
                <w:color w:val="000000"/>
                <w:lang w:val="zh-CN"/>
              </w:rPr>
              <w:t>满分 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评审标准</w:t>
            </w:r>
          </w:p>
        </w:tc>
      </w:tr>
      <w:tr>
        <w:tblPrEx>
          <w:tblCellMar>
            <w:top w:w="0" w:type="dxa"/>
            <w:left w:w="108" w:type="dxa"/>
            <w:bottom w:w="0" w:type="dxa"/>
            <w:right w:w="108" w:type="dxa"/>
          </w:tblCellMar>
        </w:tblPrEx>
        <w:trPr>
          <w:trHeight w:val="2362"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rPr>
              <w:t>商务部分                                                                                            30</w:t>
            </w:r>
            <w:r>
              <w:rPr>
                <w:rFonts w:hint="eastAsia" w:ascii="宋体" w:hAnsi="宋体" w:cs="宋体"/>
                <w:color w:val="000000"/>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宋体" w:cs="宋体"/>
                <w:color w:val="000000"/>
              </w:rPr>
            </w:pPr>
            <w:r>
              <w:rPr>
                <w:rFonts w:hint="eastAsia" w:ascii="宋体" w:hAnsi="宋体" w:cs="宋体"/>
                <w:color w:val="000000"/>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技术部分</w:t>
            </w:r>
            <w:r>
              <w:rPr>
                <w:rFonts w:hint="eastAsia" w:ascii="宋体" w:hAnsi="宋体" w:cs="宋体"/>
                <w:color w:val="000000"/>
              </w:rPr>
              <w:t>70分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20" w:firstLineChars="200"/>
              <w:jc w:val="left"/>
              <w:rPr>
                <w:rFonts w:ascii="宋体" w:hAnsi="宋体" w:cs="宋体"/>
                <w:color w:val="000000"/>
                <w:lang w:val="zh-CN"/>
              </w:rPr>
            </w:pPr>
            <w:r>
              <w:rPr>
                <w:rFonts w:hint="eastAsia" w:ascii="宋体" w:hAnsi="宋体" w:cs="宋体"/>
                <w:color w:val="000000"/>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宋体" w:cs="宋体"/>
                <w:color w:val="000000"/>
              </w:rPr>
            </w:pPr>
            <w:r>
              <w:rPr>
                <w:rFonts w:hint="eastAsia" w:ascii="宋体" w:hAnsi="宋体" w:cs="宋体"/>
                <w:color w:val="000000"/>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针对本项目投标技术参数和配置完全满足或高于招标文件要求的得</w:t>
            </w:r>
            <w:r>
              <w:rPr>
                <w:rFonts w:hint="eastAsia" w:ascii="宋体" w:hAnsi="宋体" w:cs="宋体"/>
                <w:color w:val="000000"/>
              </w:rPr>
              <w:t>30</w:t>
            </w:r>
            <w:r>
              <w:rPr>
                <w:rFonts w:hint="eastAsia" w:ascii="宋体" w:hAnsi="宋体" w:cs="宋体"/>
                <w:color w:val="000000"/>
                <w:lang w:val="zh-CN"/>
              </w:rPr>
              <w:t>分；主要参数满足招标文件要求，有细微偏离每一项偏离扣</w:t>
            </w:r>
            <w:r>
              <w:rPr>
                <w:rFonts w:hint="eastAsia" w:ascii="宋体" w:hAnsi="宋体" w:cs="宋体"/>
                <w:color w:val="000000"/>
              </w:rPr>
              <w:t>2</w:t>
            </w:r>
            <w:r>
              <w:rPr>
                <w:rFonts w:hint="eastAsia" w:ascii="宋体" w:hAnsi="宋体" w:cs="宋体"/>
                <w:color w:val="000000"/>
                <w:lang w:val="zh-CN"/>
              </w:rPr>
              <w:t>分，扣完为止。</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20" w:firstLineChars="200"/>
              <w:jc w:val="left"/>
              <w:rPr>
                <w:rFonts w:ascii="宋体" w:hAnsi="宋体" w:cs="宋体"/>
                <w:color w:val="000000"/>
              </w:rPr>
            </w:pPr>
            <w:r>
              <w:rPr>
                <w:rFonts w:hint="eastAsia" w:ascii="宋体" w:hAnsi="宋体" w:cs="宋体"/>
                <w:color w:val="000000"/>
              </w:rPr>
              <w:t>方案设计</w:t>
            </w:r>
          </w:p>
          <w:p>
            <w:pPr>
              <w:autoSpaceDE w:val="0"/>
              <w:autoSpaceDN w:val="0"/>
              <w:adjustRightInd w:val="0"/>
              <w:ind w:firstLine="480"/>
              <w:jc w:val="left"/>
              <w:rPr>
                <w:rFonts w:ascii="宋体" w:hAnsi="宋体" w:cs="宋体"/>
                <w:color w:val="000000"/>
                <w:lang w:val="zh-CN"/>
              </w:rPr>
            </w:pP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rPr>
            </w:pPr>
            <w:r>
              <w:rPr>
                <w:rFonts w:hint="eastAsia" w:ascii="宋体" w:hAnsi="宋体" w:cs="宋体"/>
                <w:color w:val="000000"/>
              </w:rPr>
              <w:t>（10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rPr>
              <w:t>投标人须根据项目采购需求，编制项目总体建设方案，内容至少包括本项目建设背景、现状和存在的问题、项目建设需求和意义，提出项目建设的整体设计思路。对用户现状、总体建设目标、建设范围、建设需求及必要性理解正确，对业务流程理解透彻和阐述详细且精准，提出切实可行方案的得10分；需求分析、理解基本准确的得8分；需求分析、理解不准确的得5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20" w:firstLineChars="200"/>
              <w:jc w:val="left"/>
              <w:rPr>
                <w:rFonts w:ascii="宋体" w:hAnsi="宋体" w:cs="宋体"/>
                <w:color w:val="000000"/>
              </w:rPr>
            </w:pPr>
            <w:r>
              <w:rPr>
                <w:rFonts w:hint="eastAsia" w:ascii="宋体" w:hAnsi="宋体" w:cs="宋体"/>
                <w:color w:val="000000"/>
              </w:rPr>
              <w:t>实施方案</w:t>
            </w:r>
          </w:p>
          <w:p>
            <w:pPr>
              <w:autoSpaceDE w:val="0"/>
              <w:autoSpaceDN w:val="0"/>
              <w:adjustRightInd w:val="0"/>
              <w:ind w:firstLine="480"/>
              <w:jc w:val="left"/>
              <w:rPr>
                <w:rFonts w:ascii="宋体" w:hAnsi="宋体" w:cs="宋体"/>
                <w:color w:val="000000"/>
                <w:lang w:val="zh-CN"/>
              </w:rPr>
            </w:pP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rPr>
            </w:pPr>
            <w:r>
              <w:rPr>
                <w:rFonts w:hint="eastAsia" w:ascii="宋体" w:hAnsi="宋体" w:cs="宋体"/>
                <w:color w:val="000000"/>
              </w:rPr>
              <w:t>（10</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rPr>
              <w:t>投标人根据本项目采购需求，编制详细的项目实施方案，包括但不限于①实施计划②实施进度③质量控制措施④设备安装点位图、连接图和系统图。方案完全符合要求且思路清晰、科学、完整，阐述详实，符合采购需求的得10分；方案较为可行，阐述基本充分的得8分；方案一般，阐述不够充分的得5分；未提供方案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20" w:firstLineChars="200"/>
              <w:jc w:val="left"/>
              <w:rPr>
                <w:rFonts w:ascii="宋体" w:hAnsi="宋体" w:cs="宋体"/>
                <w:color w:val="000000"/>
              </w:rPr>
            </w:pPr>
            <w:r>
              <w:rPr>
                <w:rFonts w:hint="eastAsia" w:ascii="宋体" w:hAnsi="宋体" w:cs="宋体"/>
                <w:color w:val="000000"/>
                <w:lang w:val="zh-CN"/>
              </w:rPr>
              <w:t>售后服务</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default" w:ascii="宋体" w:hAnsi="宋体" w:cs="宋体" w:eastAsiaTheme="minorEastAsia"/>
                <w:color w:val="000000"/>
                <w:lang w:val="en-US" w:eastAsia="zh-CN"/>
              </w:rPr>
            </w:pPr>
            <w:r>
              <w:rPr>
                <w:rFonts w:hint="eastAsia" w:ascii="宋体" w:hAnsi="宋体" w:cs="宋体"/>
                <w:color w:val="000000"/>
                <w:lang w:val="en-US" w:eastAsia="zh-CN"/>
              </w:rPr>
              <w:t>12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lang w:val="zh-CN"/>
              </w:rPr>
            </w:pPr>
            <w:r>
              <w:rPr>
                <w:rFonts w:hint="eastAsia"/>
                <w:lang w:val="zh-CN"/>
              </w:rPr>
              <w:t>1、针对该项目须有完善的售后服务体系。包含：售后服务机构和人员、售后服务内容和流程、售后服务响应时间和质量、售后服务方式和特色、详尽的组织配送及验收。进行横向比较，方优秀得</w:t>
            </w:r>
            <w:r>
              <w:rPr>
                <w:rFonts w:hint="eastAsia"/>
              </w:rPr>
              <w:t>7</w:t>
            </w:r>
            <w:r>
              <w:rPr>
                <w:rFonts w:hint="eastAsia"/>
                <w:lang w:val="zh-CN"/>
              </w:rPr>
              <w:t>分，良好得</w:t>
            </w:r>
            <w:r>
              <w:rPr>
                <w:rFonts w:hint="eastAsia"/>
              </w:rPr>
              <w:t>4</w:t>
            </w:r>
            <w:r>
              <w:rPr>
                <w:rFonts w:hint="eastAsia"/>
                <w:lang w:val="zh-CN"/>
              </w:rPr>
              <w:t>分，一般得</w:t>
            </w:r>
            <w:r>
              <w:rPr>
                <w:rFonts w:hint="eastAsia"/>
              </w:rPr>
              <w:t>2</w:t>
            </w:r>
            <w:r>
              <w:rPr>
                <w:rFonts w:hint="eastAsia"/>
                <w:lang w:val="zh-CN"/>
              </w:rPr>
              <w:t>分，差或未提供不得分。</w:t>
            </w:r>
          </w:p>
          <w:p>
            <w:pPr>
              <w:autoSpaceDE w:val="0"/>
              <w:autoSpaceDN w:val="0"/>
              <w:adjustRightInd w:val="0"/>
              <w:ind w:firstLine="480"/>
              <w:jc w:val="left"/>
              <w:rPr>
                <w:rFonts w:hint="eastAsia"/>
                <w:lang w:val="zh-CN"/>
              </w:rPr>
            </w:pPr>
            <w:r>
              <w:rPr>
                <w:rFonts w:hint="eastAsia"/>
                <w:lang w:val="zh-CN"/>
              </w:rPr>
              <w:t>2.提供售后服务相关承诺的，得1分；未提供不得分。</w:t>
            </w:r>
          </w:p>
          <w:p>
            <w:pPr>
              <w:pStyle w:val="2"/>
              <w:ind w:firstLine="420" w:firstLineChars="200"/>
              <w:jc w:val="both"/>
              <w:rPr>
                <w:lang w:val="zh-CN"/>
              </w:rPr>
            </w:pPr>
            <w:r>
              <w:rPr>
                <w:rFonts w:hint="eastAsia" w:asciiTheme="minorHAnsi" w:cstheme="minorBidi"/>
                <w:b w:val="0"/>
                <w:kern w:val="2"/>
                <w:sz w:val="21"/>
                <w:szCs w:val="24"/>
                <w:lang w:val="en-US" w:eastAsia="zh-CN" w:bidi="ar-SA"/>
              </w:rPr>
              <w:t>3、</w:t>
            </w:r>
            <w:r>
              <w:rPr>
                <w:rFonts w:hint="eastAsia" w:asciiTheme="minorHAnsi" w:hAnsiTheme="minorHAnsi" w:eastAsiaTheme="minorEastAsia" w:cstheme="minorBidi"/>
                <w:b w:val="0"/>
                <w:kern w:val="2"/>
                <w:sz w:val="21"/>
                <w:szCs w:val="24"/>
                <w:lang w:val="zh-CN" w:eastAsia="zh-CN" w:bidi="ar-SA"/>
              </w:rPr>
              <w:t>在青海省有服务机构的，得4分；有合作性服务机构的,得2分，没有的不得分。（需提供合作性服务机构的工商营业执照、税务登记证、组织机构代码证及售后服务计划、措施)等相关证明材料）。</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ascii="宋体" w:hAnsi="宋体" w:cs="宋体"/>
                <w:color w:val="000000"/>
              </w:rPr>
            </w:pPr>
            <w:r>
              <w:rPr>
                <w:rFonts w:hint="eastAsia" w:ascii="宋体" w:hAnsi="宋体" w:cs="宋体"/>
                <w:color w:val="000000"/>
              </w:rPr>
              <w:t>节能和环保</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ascii="宋体" w:hAnsi="宋体" w:cs="宋体"/>
                <w:color w:val="000000"/>
              </w:rPr>
            </w:pPr>
            <w:r>
              <w:rPr>
                <w:rFonts w:hint="eastAsia" w:ascii="宋体" w:hAnsi="宋体" w:cs="宋体"/>
                <w:color w:val="000000"/>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投标产品为节能产品得</w:t>
            </w:r>
            <w:r>
              <w:rPr>
                <w:rFonts w:hint="eastAsia" w:ascii="宋体" w:hAnsi="宋体" w:cs="宋体"/>
                <w:color w:val="000000"/>
              </w:rPr>
              <w:t>1</w:t>
            </w:r>
            <w:r>
              <w:rPr>
                <w:rFonts w:hint="eastAsia" w:ascii="宋体" w:hAnsi="宋体" w:cs="宋体"/>
                <w:color w:val="000000"/>
                <w:lang w:val="zh-CN"/>
              </w:rPr>
              <w:t>分；投标产品为环保产品得</w:t>
            </w:r>
            <w:r>
              <w:rPr>
                <w:rFonts w:hint="eastAsia" w:ascii="宋体" w:hAnsi="宋体" w:cs="宋体"/>
                <w:color w:val="000000"/>
              </w:rPr>
              <w:t>1</w:t>
            </w:r>
            <w:r>
              <w:rPr>
                <w:rFonts w:hint="eastAsia" w:ascii="宋体" w:hAnsi="宋体" w:cs="宋体"/>
                <w:color w:val="000000"/>
                <w:lang w:val="zh-CN"/>
              </w:rPr>
              <w:t>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ascii="宋体" w:hAnsi="宋体" w:cs="宋体"/>
                <w:color w:val="000000"/>
                <w:lang w:val="zh-CN"/>
              </w:rPr>
            </w:pPr>
            <w:r>
              <w:rPr>
                <w:rFonts w:hint="eastAsia" w:ascii="宋体" w:hAnsi="宋体" w:cs="宋体"/>
                <w:color w:val="000000"/>
              </w:rPr>
              <w:t>自主创新产品</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ascii="宋体" w:hAnsi="宋体" w:cs="宋体"/>
                <w:color w:val="000000"/>
              </w:rPr>
            </w:pPr>
            <w:r>
              <w:rPr>
                <w:rFonts w:hint="eastAsia" w:ascii="宋体" w:hAnsi="宋体" w:cs="宋体"/>
                <w:color w:val="000000"/>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lang w:val="zh-CN"/>
              </w:rPr>
              <w:t>投标产品属自主知识产权的，得2分，反之不得分。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ascii="宋体" w:hAnsi="宋体" w:cs="宋体"/>
                <w:color w:val="000000"/>
                <w:lang w:val="zh-CN"/>
              </w:rPr>
            </w:pPr>
            <w:r>
              <w:rPr>
                <w:rFonts w:hint="eastAsia" w:ascii="宋体" w:hAnsi="宋体" w:cs="宋体"/>
                <w:color w:val="000000"/>
                <w:lang w:val="zh-CN"/>
              </w:rPr>
              <w:t>业绩情况</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ascii="宋体" w:hAnsi="宋体" w:cs="宋体"/>
                <w:color w:val="000000"/>
              </w:rPr>
            </w:pPr>
            <w:r>
              <w:rPr>
                <w:rFonts w:hint="eastAsia" w:ascii="宋体" w:hAnsi="宋体" w:cs="宋体"/>
                <w:color w:val="000000"/>
              </w:rPr>
              <w:t>4</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ascii="宋体" w:hAnsi="宋体" w:cs="宋体"/>
                <w:color w:val="000000"/>
                <w:lang w:val="zh-CN"/>
              </w:rPr>
            </w:pPr>
            <w:r>
              <w:rPr>
                <w:rFonts w:hint="eastAsia" w:ascii="宋体" w:hAnsi="宋体" w:cs="宋体"/>
                <w:color w:val="000000"/>
              </w:rPr>
              <w:t>提供自2019年以来类似项目业绩证明材料，每提供1份得 1分,满分4分；不提供不得分。（提供包含合同首页、标的及金额所在页、供货合同签字盖章页的扫描或复印件证明。签订合同时原件备查）。</w:t>
            </w:r>
          </w:p>
        </w:tc>
      </w:tr>
    </w:tbl>
    <w:p>
      <w:pPr>
        <w:widowControl/>
        <w:spacing w:beforeLines="200" w:afterLines="200"/>
        <w:outlineLvl w:val="1"/>
        <w:rPr>
          <w:rFonts w:ascii="宋体" w:hAnsi="宋体"/>
          <w:b/>
          <w:bCs/>
          <w:kern w:val="0"/>
          <w:sz w:val="36"/>
          <w:szCs w:val="36"/>
        </w:rPr>
      </w:pPr>
    </w:p>
    <w:p>
      <w:pPr>
        <w:widowControl/>
        <w:spacing w:beforeLines="200" w:afterLines="200"/>
        <w:jc w:val="center"/>
        <w:outlineLvl w:val="1"/>
        <w:rPr>
          <w:rFonts w:ascii="宋体" w:hAnsi="宋体"/>
          <w:b/>
          <w:bCs/>
          <w:kern w:val="0"/>
          <w:sz w:val="36"/>
          <w:szCs w:val="36"/>
        </w:rPr>
      </w:pPr>
      <w:r>
        <w:rPr>
          <w:rFonts w:hint="eastAsia" w:ascii="宋体" w:hAnsi="宋体"/>
          <w:b/>
          <w:bCs/>
          <w:kern w:val="0"/>
          <w:sz w:val="36"/>
          <w:szCs w:val="36"/>
        </w:rPr>
        <w:t>七、</w:t>
      </w:r>
      <w:bookmarkEnd w:id="63"/>
      <w:bookmarkEnd w:id="64"/>
      <w:r>
        <w:rPr>
          <w:rFonts w:hint="eastAsia" w:ascii="宋体" w:hAnsi="宋体"/>
          <w:b/>
          <w:bCs/>
          <w:kern w:val="0"/>
          <w:sz w:val="36"/>
          <w:szCs w:val="36"/>
        </w:rPr>
        <w:t>确定成交供应商</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376936757"/>
      <w:bookmarkStart w:id="67" w:name="_Toc325726026"/>
      <w:r>
        <w:rPr>
          <w:rFonts w:hint="eastAsia" w:ascii="宋体" w:hAnsi="宋体"/>
          <w:b/>
          <w:bCs/>
          <w:kern w:val="0"/>
          <w:sz w:val="27"/>
          <w:szCs w:val="27"/>
        </w:rPr>
        <w:t>20.推荐并确定成交</w:t>
      </w:r>
      <w:bookmarkEnd w:id="66"/>
      <w:bookmarkEnd w:id="67"/>
      <w:r>
        <w:rPr>
          <w:rFonts w:hint="eastAsia" w:ascii="宋体" w:hAnsi="宋体"/>
          <w:b/>
          <w:bCs/>
          <w:kern w:val="0"/>
          <w:sz w:val="27"/>
          <w:szCs w:val="27"/>
        </w:rPr>
        <w:t>供应商</w:t>
      </w:r>
    </w:p>
    <w:p>
      <w:pPr>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68" w:name="_Toc325726027"/>
    </w:p>
    <w:p>
      <w:pPr>
        <w:widowControl/>
        <w:spacing w:before="100" w:beforeAutospacing="1" w:after="100" w:afterAutospacing="1"/>
        <w:ind w:firstLine="542"/>
        <w:jc w:val="left"/>
        <w:outlineLvl w:val="2"/>
        <w:rPr>
          <w:rFonts w:ascii="宋体" w:hAnsi="宋体"/>
          <w:b/>
          <w:bCs/>
          <w:kern w:val="0"/>
          <w:sz w:val="27"/>
          <w:szCs w:val="27"/>
        </w:rPr>
      </w:pPr>
      <w:bookmarkStart w:id="69" w:name="_Toc325726028"/>
      <w:bookmarkStart w:id="70" w:name="_Toc376936759"/>
      <w:r>
        <w:rPr>
          <w:rFonts w:hint="eastAsia" w:ascii="宋体" w:hAnsi="宋体"/>
          <w:b/>
          <w:bCs/>
          <w:kern w:val="0"/>
          <w:sz w:val="27"/>
          <w:szCs w:val="27"/>
        </w:rPr>
        <w:t>21.成交通知</w:t>
      </w:r>
      <w:bookmarkEnd w:id="69"/>
      <w:bookmarkEnd w:id="70"/>
    </w:p>
    <w:p>
      <w:pPr>
        <w:ind w:firstLine="480"/>
        <w:jc w:val="left"/>
        <w:rPr>
          <w:rFonts w:ascii="宋体" w:hAnsi="宋体"/>
        </w:rPr>
      </w:pPr>
      <w:r>
        <w:rPr>
          <w:rFonts w:hint="eastAsia" w:ascii="宋体" w:hAnsi="宋体"/>
        </w:rPr>
        <w:t>21.1采购代理机构自成交供应商确定之日起2个工作日内发出《成交通知书》，。</w:t>
      </w:r>
    </w:p>
    <w:p>
      <w:pPr>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pPr>
        <w:widowControl/>
        <w:spacing w:beforeLines="200" w:afterLines="200"/>
        <w:jc w:val="center"/>
        <w:outlineLvl w:val="1"/>
        <w:rPr>
          <w:rFonts w:ascii="宋体" w:hAnsi="宋体"/>
          <w:b/>
          <w:bCs/>
          <w:kern w:val="0"/>
          <w:sz w:val="36"/>
          <w:szCs w:val="36"/>
        </w:rPr>
      </w:pPr>
      <w:bookmarkStart w:id="71" w:name="_Toc22876"/>
      <w:bookmarkStart w:id="72" w:name="_Toc376936758"/>
      <w:r>
        <w:rPr>
          <w:rFonts w:hint="eastAsia" w:ascii="宋体" w:hAnsi="宋体"/>
          <w:b/>
          <w:bCs/>
          <w:kern w:val="0"/>
          <w:sz w:val="36"/>
          <w:szCs w:val="36"/>
        </w:rPr>
        <w:t>八、授予合同</w:t>
      </w:r>
      <w:bookmarkEnd w:id="68"/>
      <w:bookmarkEnd w:id="71"/>
      <w:bookmarkEnd w:id="72"/>
    </w:p>
    <w:p>
      <w:pPr>
        <w:widowControl/>
        <w:spacing w:before="100" w:beforeAutospacing="1" w:after="100" w:afterAutospacing="1"/>
        <w:ind w:firstLine="542"/>
        <w:jc w:val="left"/>
        <w:outlineLvl w:val="2"/>
        <w:rPr>
          <w:rFonts w:ascii="宋体" w:hAnsi="宋体"/>
          <w:b/>
          <w:bCs/>
          <w:kern w:val="0"/>
          <w:sz w:val="27"/>
          <w:szCs w:val="27"/>
        </w:rPr>
      </w:pPr>
      <w:bookmarkStart w:id="73" w:name="_Toc325726029"/>
      <w:bookmarkStart w:id="74" w:name="_Toc376936760"/>
      <w:r>
        <w:rPr>
          <w:rFonts w:hint="eastAsia" w:ascii="宋体" w:hAnsi="宋体"/>
          <w:b/>
          <w:bCs/>
          <w:kern w:val="0"/>
          <w:sz w:val="27"/>
          <w:szCs w:val="27"/>
        </w:rPr>
        <w:t>22.签订合同</w:t>
      </w:r>
      <w:bookmarkEnd w:id="73"/>
      <w:bookmarkEnd w:id="74"/>
    </w:p>
    <w:p>
      <w:pPr>
        <w:ind w:firstLine="480"/>
        <w:jc w:val="left"/>
        <w:rPr>
          <w:rFonts w:ascii="宋体" w:hAnsi="宋体"/>
        </w:rPr>
      </w:pPr>
      <w:bookmarkStart w:id="75" w:name="_Toc325726030"/>
      <w:bookmarkStart w:id="76" w:name="_Toc376936761"/>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pPr>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jc w:val="left"/>
        <w:rPr>
          <w:rFonts w:ascii="宋体" w:hAnsi="宋体"/>
        </w:rPr>
      </w:pPr>
      <w:r>
        <w:rPr>
          <w:rFonts w:hint="eastAsia" w:ascii="宋体" w:hAnsi="宋体"/>
        </w:rPr>
        <w:t>22.3成交供应商在法定期限内无正当理由拒签合同的，按违约处理。同时，采购代理机构和采购人可依成交供应商候选人排序重新确定成交供应商，并协调双方签订采购合同。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b/>
          <w:bCs/>
          <w:kern w:val="0"/>
          <w:sz w:val="36"/>
          <w:szCs w:val="36"/>
        </w:rPr>
      </w:pPr>
      <w:r>
        <w:rPr>
          <w:rFonts w:hint="eastAsia" w:ascii="宋体" w:hAnsi="宋体"/>
        </w:rPr>
        <w:t>22.4磋商文件、成交供应商的磋商响应文件、《成交通知书》及其澄清、说明文件等，均为签订采购合同的依据。</w:t>
      </w:r>
      <w:bookmarkStart w:id="77" w:name="_Toc27899"/>
    </w:p>
    <w:p>
      <w:pPr>
        <w:widowControl/>
        <w:spacing w:beforeLines="200" w:afterLines="200"/>
        <w:jc w:val="center"/>
        <w:outlineLvl w:val="1"/>
        <w:rPr>
          <w:rFonts w:ascii="宋体" w:hAnsi="宋体"/>
          <w:b/>
          <w:bCs/>
          <w:kern w:val="0"/>
          <w:sz w:val="36"/>
          <w:szCs w:val="36"/>
        </w:rPr>
      </w:pPr>
      <w:r>
        <w:rPr>
          <w:rFonts w:hint="eastAsia" w:ascii="宋体" w:hAnsi="宋体"/>
          <w:b/>
          <w:bCs/>
          <w:kern w:val="0"/>
          <w:sz w:val="36"/>
          <w:szCs w:val="36"/>
        </w:rPr>
        <w:t>九、</w:t>
      </w:r>
      <w:bookmarkEnd w:id="75"/>
      <w:bookmarkEnd w:id="76"/>
      <w:r>
        <w:rPr>
          <w:rFonts w:hint="eastAsia" w:ascii="宋体" w:hAnsi="宋体"/>
          <w:b/>
          <w:bCs/>
          <w:kern w:val="0"/>
          <w:sz w:val="36"/>
          <w:szCs w:val="36"/>
        </w:rPr>
        <w:t>磋商活动终止</w:t>
      </w:r>
      <w:bookmarkEnd w:id="77"/>
    </w:p>
    <w:p>
      <w:pPr>
        <w:widowControl/>
        <w:spacing w:before="100" w:beforeAutospacing="1" w:after="100" w:afterAutospacing="1"/>
        <w:ind w:firstLine="542"/>
        <w:jc w:val="left"/>
        <w:outlineLvl w:val="2"/>
        <w:rPr>
          <w:rFonts w:ascii="宋体" w:hAnsi="宋体"/>
          <w:b/>
          <w:bCs/>
          <w:kern w:val="0"/>
          <w:sz w:val="27"/>
          <w:szCs w:val="27"/>
        </w:rPr>
      </w:pPr>
      <w:bookmarkStart w:id="78" w:name="_Toc325726031"/>
      <w:bookmarkStart w:id="79" w:name="_Toc376936762"/>
      <w:r>
        <w:rPr>
          <w:rFonts w:hint="eastAsia" w:ascii="宋体" w:hAnsi="宋体"/>
          <w:b/>
          <w:bCs/>
          <w:kern w:val="0"/>
          <w:sz w:val="27"/>
          <w:szCs w:val="27"/>
        </w:rPr>
        <w:t>23. 终止情形</w:t>
      </w:r>
    </w:p>
    <w:p>
      <w:pPr>
        <w:ind w:firstLine="480"/>
        <w:jc w:val="left"/>
        <w:rPr>
          <w:rFonts w:ascii="宋体" w:hAnsi="宋体"/>
        </w:rPr>
      </w:pPr>
      <w:r>
        <w:rPr>
          <w:rFonts w:hint="eastAsia" w:ascii="宋体" w:hAnsi="宋体"/>
        </w:rPr>
        <w:t>23.1在竞争性磋商采购中，出现下列情形之一的，终止磋商活动：</w:t>
      </w:r>
      <w:bookmarkEnd w:id="78"/>
      <w:bookmarkEnd w:id="79"/>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说明原因</w:t>
      </w:r>
      <w:r>
        <w:rPr>
          <w:rFonts w:hint="eastAsia" w:ascii="宋体" w:hAnsi="Courier New"/>
          <w:szCs w:val="20"/>
        </w:rPr>
        <w:t>。</w:t>
      </w:r>
      <w:bookmarkStart w:id="80" w:name="_Toc325726032"/>
    </w:p>
    <w:p>
      <w:pPr>
        <w:widowControl/>
        <w:spacing w:beforeLines="200" w:afterLines="200"/>
        <w:jc w:val="center"/>
        <w:outlineLvl w:val="1"/>
        <w:rPr>
          <w:rFonts w:ascii="宋体" w:hAnsi="宋体"/>
          <w:b/>
          <w:bCs/>
          <w:kern w:val="0"/>
          <w:sz w:val="36"/>
          <w:szCs w:val="36"/>
        </w:rPr>
      </w:pPr>
      <w:bookmarkStart w:id="81" w:name="_Toc376936763"/>
      <w:bookmarkStart w:id="82" w:name="_Toc3366"/>
      <w:r>
        <w:rPr>
          <w:rFonts w:hint="eastAsia" w:ascii="宋体" w:hAnsi="宋体"/>
          <w:b/>
          <w:bCs/>
          <w:kern w:val="0"/>
          <w:sz w:val="36"/>
          <w:szCs w:val="36"/>
        </w:rPr>
        <w:t>十、处罚</w:t>
      </w:r>
      <w:bookmarkEnd w:id="80"/>
      <w:bookmarkEnd w:id="81"/>
      <w:bookmarkEnd w:id="82"/>
    </w:p>
    <w:p>
      <w:pPr>
        <w:widowControl/>
        <w:spacing w:before="100" w:beforeAutospacing="1" w:after="100" w:afterAutospacing="1"/>
        <w:ind w:firstLine="542"/>
        <w:jc w:val="left"/>
        <w:outlineLvl w:val="2"/>
        <w:rPr>
          <w:rFonts w:ascii="宋体" w:hAnsi="宋体"/>
          <w:b/>
          <w:bCs/>
          <w:kern w:val="0"/>
          <w:sz w:val="27"/>
          <w:szCs w:val="27"/>
        </w:rPr>
      </w:pPr>
      <w:bookmarkStart w:id="83" w:name="_Toc325726033"/>
      <w:bookmarkStart w:id="84" w:name="_Toc376936764"/>
      <w:r>
        <w:rPr>
          <w:rFonts w:hint="eastAsia" w:ascii="宋体" w:hAnsi="宋体"/>
          <w:b/>
          <w:bCs/>
          <w:kern w:val="0"/>
          <w:sz w:val="27"/>
          <w:szCs w:val="27"/>
        </w:rPr>
        <w:t>24.处罚情形</w:t>
      </w:r>
      <w:bookmarkEnd w:id="83"/>
      <w:bookmarkEnd w:id="84"/>
    </w:p>
    <w:p>
      <w:pPr>
        <w:ind w:firstLine="480"/>
        <w:jc w:val="left"/>
        <w:rPr>
          <w:rFonts w:ascii="宋体" w:hAnsi="宋体"/>
        </w:rPr>
      </w:pPr>
      <w:r>
        <w:rPr>
          <w:rFonts w:hint="eastAsia" w:ascii="宋体" w:hAnsi="宋体"/>
        </w:rPr>
        <w:t>有下列情形之一的，投标人的磋商保证金不予退还；成交供应商的成交结果无效，履约保证金不予退还。情节严重的，报州财政局依法进行处理：</w:t>
      </w:r>
    </w:p>
    <w:p>
      <w:pPr>
        <w:ind w:firstLine="480"/>
        <w:jc w:val="left"/>
        <w:rPr>
          <w:rFonts w:ascii="宋体" w:hAnsi="宋体"/>
        </w:rPr>
      </w:pPr>
      <w:r>
        <w:rPr>
          <w:rFonts w:hint="eastAsia" w:ascii="宋体" w:hAnsi="宋体"/>
        </w:rPr>
        <w:t>24.1投标人在提交响应文件截止时间之后撤回响应文件的。</w:t>
      </w:r>
    </w:p>
    <w:p>
      <w:pPr>
        <w:ind w:firstLine="480"/>
        <w:jc w:val="left"/>
        <w:rPr>
          <w:rFonts w:ascii="宋体" w:hAnsi="宋体"/>
        </w:rPr>
      </w:pPr>
      <w:r>
        <w:rPr>
          <w:rFonts w:hint="eastAsia" w:ascii="宋体" w:hAnsi="宋体"/>
        </w:rPr>
        <w:t>24.2投标人在响应文件中提供虚假材料的。</w:t>
      </w:r>
    </w:p>
    <w:p>
      <w:pPr>
        <w:ind w:firstLine="480"/>
        <w:jc w:val="left"/>
        <w:rPr>
          <w:rFonts w:ascii="宋体" w:hAnsi="宋体"/>
        </w:rPr>
      </w:pPr>
      <w:r>
        <w:rPr>
          <w:rFonts w:hint="eastAsia" w:ascii="宋体" w:hAnsi="宋体"/>
        </w:rPr>
        <w:t>24.3采取不正当手段诋毁、排挤其他供应商的。</w:t>
      </w:r>
    </w:p>
    <w:p>
      <w:pPr>
        <w:ind w:firstLine="384" w:firstLineChars="183"/>
        <w:jc w:val="left"/>
        <w:rPr>
          <w:rFonts w:ascii="宋体" w:hAnsi="宋体"/>
        </w:rPr>
      </w:pPr>
      <w:r>
        <w:rPr>
          <w:rFonts w:hint="eastAsia" w:ascii="宋体" w:hAnsi="宋体"/>
        </w:rPr>
        <w:t>24.4有恶意串通等不正当竞争行为的。</w:t>
      </w:r>
    </w:p>
    <w:p>
      <w:pPr>
        <w:ind w:firstLine="480"/>
        <w:jc w:val="left"/>
        <w:rPr>
          <w:rFonts w:ascii="宋体" w:hAnsi="宋体"/>
        </w:rPr>
      </w:pPr>
      <w:r>
        <w:rPr>
          <w:rFonts w:hint="eastAsia" w:ascii="宋体" w:hAnsi="宋体"/>
        </w:rPr>
        <w:t>24.5成交后无正当理由拒不与采购人签订采购合同的。</w:t>
      </w:r>
    </w:p>
    <w:p>
      <w:pPr>
        <w:ind w:firstLine="480"/>
        <w:jc w:val="left"/>
        <w:rPr>
          <w:rFonts w:ascii="宋体" w:hAnsi="宋体"/>
        </w:rPr>
      </w:pPr>
      <w:r>
        <w:rPr>
          <w:rFonts w:hint="eastAsia" w:ascii="宋体" w:hAnsi="宋体"/>
        </w:rPr>
        <w:t>24.6未按照磋商文件、磋商响应文件确定的事项签订采购合同的。</w:t>
      </w:r>
    </w:p>
    <w:p>
      <w:pPr>
        <w:ind w:firstLine="480"/>
        <w:jc w:val="left"/>
        <w:rPr>
          <w:rFonts w:ascii="宋体" w:hAnsi="宋体"/>
        </w:rPr>
      </w:pPr>
      <w:r>
        <w:rPr>
          <w:rFonts w:hint="eastAsia" w:ascii="宋体" w:hAnsi="宋体"/>
        </w:rPr>
        <w:t>24.7擅自变更、中止或者终止政府采购合同的。</w:t>
      </w:r>
    </w:p>
    <w:p>
      <w:pPr>
        <w:ind w:firstLine="480"/>
        <w:jc w:val="left"/>
        <w:rPr>
          <w:rFonts w:ascii="宋体" w:hAnsi="宋体"/>
        </w:rPr>
      </w:pPr>
      <w:r>
        <w:rPr>
          <w:rFonts w:hint="eastAsia" w:ascii="宋体" w:hAnsi="宋体"/>
        </w:rPr>
        <w:t>24.8成交供应商签订合同后，因种种原因不能履约或无故拖延履约期的。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widowControl/>
        <w:spacing w:beforeLines="200" w:afterLines="200"/>
        <w:jc w:val="center"/>
        <w:outlineLvl w:val="1"/>
        <w:rPr>
          <w:rFonts w:ascii="宋体" w:hAnsi="宋体"/>
          <w:b/>
          <w:bCs/>
          <w:kern w:val="0"/>
          <w:sz w:val="36"/>
          <w:szCs w:val="36"/>
        </w:rPr>
      </w:pPr>
      <w:bookmarkStart w:id="85" w:name="_Toc325726034"/>
      <w:bookmarkStart w:id="86" w:name="_Toc376936765"/>
      <w:bookmarkStart w:id="87" w:name="_Toc1212"/>
      <w:r>
        <w:rPr>
          <w:rFonts w:hint="eastAsia" w:ascii="宋体" w:hAnsi="宋体"/>
          <w:b/>
          <w:bCs/>
          <w:kern w:val="0"/>
          <w:sz w:val="36"/>
          <w:szCs w:val="36"/>
        </w:rPr>
        <w:t>十一、其他</w:t>
      </w:r>
      <w:bookmarkEnd w:id="85"/>
      <w:bookmarkEnd w:id="86"/>
      <w:bookmarkEnd w:id="87"/>
    </w:p>
    <w:p>
      <w:pPr>
        <w:ind w:firstLine="480"/>
        <w:jc w:val="left"/>
        <w:rPr>
          <w:color w:val="000000"/>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88" w:name="_Toc373954603"/>
      <w:bookmarkStart w:id="89" w:name="_Toc375576842"/>
      <w:bookmarkStart w:id="90" w:name="_Toc373936315"/>
    </w:p>
    <w:p>
      <w:pPr>
        <w:pStyle w:val="3"/>
        <w:ind w:firstLine="720"/>
        <w:rPr>
          <w:color w:val="000000"/>
        </w:rPr>
      </w:pPr>
    </w:p>
    <w:p>
      <w:pPr>
        <w:pStyle w:val="3"/>
        <w:ind w:firstLine="720"/>
        <w:rPr>
          <w:color w:val="000000"/>
        </w:rPr>
      </w:pPr>
    </w:p>
    <w:p>
      <w:pPr>
        <w:pStyle w:val="3"/>
        <w:ind w:firstLine="720"/>
        <w:rPr>
          <w:color w:val="000000"/>
        </w:rPr>
      </w:pPr>
    </w:p>
    <w:p>
      <w:pPr>
        <w:pStyle w:val="3"/>
        <w:ind w:firstLine="720"/>
        <w:rPr>
          <w:color w:val="000000"/>
        </w:rPr>
      </w:pPr>
    </w:p>
    <w:p>
      <w:pPr>
        <w:pStyle w:val="3"/>
        <w:ind w:firstLine="720"/>
        <w:rPr>
          <w:color w:val="000000"/>
        </w:rPr>
      </w:pPr>
    </w:p>
    <w:p>
      <w:pPr>
        <w:pStyle w:val="3"/>
        <w:ind w:firstLine="720"/>
        <w:rPr>
          <w:color w:val="000000"/>
        </w:rPr>
      </w:pPr>
    </w:p>
    <w:p>
      <w:pPr>
        <w:pStyle w:val="3"/>
        <w:ind w:firstLine="720"/>
        <w:rPr>
          <w:color w:val="000000"/>
        </w:rPr>
      </w:pPr>
    </w:p>
    <w:p>
      <w:pPr>
        <w:pStyle w:val="3"/>
        <w:ind w:firstLine="720"/>
        <w:rPr>
          <w:color w:val="000000"/>
        </w:rPr>
      </w:pPr>
    </w:p>
    <w:p>
      <w:pPr>
        <w:pStyle w:val="3"/>
        <w:ind w:firstLine="720"/>
        <w:rPr>
          <w:color w:val="000000"/>
        </w:rPr>
      </w:pPr>
    </w:p>
    <w:p>
      <w:pPr>
        <w:pStyle w:val="3"/>
        <w:rPr>
          <w:color w:val="000000"/>
        </w:rPr>
      </w:pPr>
    </w:p>
    <w:p>
      <w:pPr>
        <w:pStyle w:val="16"/>
        <w:rPr>
          <w:rFonts w:ascii="宋体" w:hAnsi="宋体"/>
          <w:bCs/>
          <w:smallCaps w:val="0"/>
          <w:kern w:val="0"/>
          <w:szCs w:val="36"/>
          <w:lang w:eastAsia="zh-CN"/>
        </w:rPr>
      </w:pPr>
    </w:p>
    <w:p>
      <w:pPr>
        <w:pStyle w:val="3"/>
        <w:rPr>
          <w:rFonts w:hAnsi="宋体"/>
          <w:b/>
          <w:bCs/>
          <w:kern w:val="0"/>
          <w:sz w:val="36"/>
          <w:szCs w:val="36"/>
        </w:rPr>
      </w:pPr>
    </w:p>
    <w:p>
      <w:pPr>
        <w:pStyle w:val="3"/>
        <w:rPr>
          <w:rFonts w:hAnsi="宋体"/>
          <w:b/>
          <w:bCs/>
          <w:kern w:val="0"/>
          <w:sz w:val="36"/>
          <w:szCs w:val="36"/>
        </w:rPr>
      </w:pPr>
    </w:p>
    <w:p>
      <w:pPr>
        <w:pStyle w:val="3"/>
        <w:rPr>
          <w:rFonts w:hAnsi="宋体"/>
          <w:b/>
          <w:bCs/>
          <w:kern w:val="0"/>
          <w:sz w:val="36"/>
          <w:szCs w:val="36"/>
        </w:rPr>
      </w:pPr>
    </w:p>
    <w:p>
      <w:pPr>
        <w:pStyle w:val="6"/>
        <w:rPr>
          <w:rFonts w:ascii="宋体" w:hAnsi="宋体"/>
          <w:b/>
          <w:bCs/>
          <w:kern w:val="0"/>
          <w:sz w:val="36"/>
          <w:szCs w:val="36"/>
        </w:rPr>
      </w:pPr>
    </w:p>
    <w:p>
      <w:pPr>
        <w:pStyle w:val="6"/>
        <w:rPr>
          <w:rFonts w:ascii="宋体" w:hAnsi="宋体"/>
          <w:b/>
          <w:bCs/>
          <w:kern w:val="0"/>
          <w:sz w:val="36"/>
          <w:szCs w:val="36"/>
        </w:rPr>
      </w:pPr>
    </w:p>
    <w:p>
      <w:pPr>
        <w:pStyle w:val="3"/>
        <w:rPr>
          <w:rFonts w:hint="eastAsia" w:hAnsi="宋体"/>
          <w:b/>
          <w:bCs/>
          <w:kern w:val="0"/>
          <w:sz w:val="36"/>
          <w:szCs w:val="36"/>
        </w:rPr>
      </w:pPr>
    </w:p>
    <w:p>
      <w:pPr>
        <w:pStyle w:val="3"/>
        <w:rPr>
          <w:rFonts w:hint="eastAsia" w:hAnsi="宋体"/>
          <w:b/>
          <w:bCs/>
          <w:kern w:val="0"/>
          <w:sz w:val="36"/>
          <w:szCs w:val="36"/>
        </w:rPr>
      </w:pPr>
    </w:p>
    <w:p>
      <w:pPr>
        <w:pStyle w:val="3"/>
        <w:rPr>
          <w:rFonts w:hint="eastAsia" w:hAnsi="宋体"/>
          <w:b/>
          <w:bCs/>
          <w:kern w:val="0"/>
          <w:sz w:val="36"/>
          <w:szCs w:val="36"/>
        </w:rPr>
      </w:pPr>
    </w:p>
    <w:p>
      <w:pPr>
        <w:pStyle w:val="3"/>
        <w:rPr>
          <w:rFonts w:hint="eastAsia" w:hAnsi="宋体"/>
          <w:b/>
          <w:bCs/>
          <w:kern w:val="0"/>
          <w:sz w:val="36"/>
          <w:szCs w:val="36"/>
        </w:rPr>
      </w:pPr>
    </w:p>
    <w:p>
      <w:pPr>
        <w:pStyle w:val="3"/>
        <w:rPr>
          <w:rFonts w:hAnsi="宋体"/>
          <w:b/>
          <w:bCs/>
          <w:kern w:val="0"/>
          <w:sz w:val="36"/>
          <w:szCs w:val="36"/>
          <w:lang w:val="zh-CN"/>
        </w:rPr>
      </w:pPr>
      <w:r>
        <w:rPr>
          <w:rFonts w:hint="eastAsia" w:hAnsi="宋体"/>
          <w:b/>
          <w:bCs/>
          <w:kern w:val="0"/>
          <w:sz w:val="36"/>
          <w:szCs w:val="36"/>
        </w:rPr>
        <w:t xml:space="preserve">第三部分 </w:t>
      </w:r>
      <w:bookmarkEnd w:id="88"/>
      <w:bookmarkEnd w:id="89"/>
      <w:bookmarkEnd w:id="90"/>
      <w:bookmarkStart w:id="91" w:name="_Toc23641"/>
      <w:bookmarkStart w:id="92" w:name="_Toc376936767"/>
      <w:bookmarkStart w:id="93" w:name="_Toc325726036"/>
      <w:r>
        <w:rPr>
          <w:rFonts w:hint="eastAsia" w:hAnsi="宋体"/>
          <w:b/>
          <w:bCs/>
          <w:kern w:val="0"/>
          <w:sz w:val="36"/>
          <w:szCs w:val="36"/>
          <w:lang w:val="zh-CN"/>
        </w:rPr>
        <w:t>第四部分 海南州政府采购项目合同书</w:t>
      </w:r>
      <w:bookmarkEnd w:id="91"/>
    </w:p>
    <w:p>
      <w:pPr>
        <w:autoSpaceDE w:val="0"/>
        <w:autoSpaceDN w:val="0"/>
        <w:adjustRightInd w:val="0"/>
        <w:spacing w:line="360" w:lineRule="auto"/>
        <w:ind w:firstLine="560"/>
        <w:rPr>
          <w:rFonts w:ascii="Calibri" w:hAnsi="Calibri" w:cs="Calibri"/>
          <w:kern w:val="0"/>
          <w:sz w:val="28"/>
          <w:szCs w:val="28"/>
        </w:rPr>
      </w:pP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p>
    <w:p>
      <w:pPr>
        <w:pStyle w:val="2"/>
      </w:pPr>
    </w:p>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p>
    <w:p>
      <w:pPr>
        <w:adjustRightInd w:val="0"/>
        <w:spacing w:line="360" w:lineRule="auto"/>
        <w:jc w:val="center"/>
        <w:textAlignment w:val="baseline"/>
        <w:rPr>
          <w:rFonts w:ascii="宋体" w:hAnsi="宋体" w:cs="宋体"/>
          <w:b/>
          <w:sz w:val="32"/>
          <w:szCs w:val="32"/>
          <w:lang w:val="zh-CN"/>
        </w:rPr>
      </w:pPr>
      <w:r>
        <w:rPr>
          <w:rFonts w:hint="eastAsia"/>
          <w:b/>
          <w:sz w:val="30"/>
          <w:szCs w:val="30"/>
        </w:rPr>
        <w:t>采</w:t>
      </w:r>
      <w:r>
        <w:rPr>
          <w:rFonts w:hint="eastAsia" w:ascii="宋体" w:hAnsi="宋体" w:cs="宋体"/>
          <w:b/>
          <w:sz w:val="32"/>
          <w:szCs w:val="32"/>
          <w:lang w:val="zh-CN"/>
        </w:rPr>
        <w:t>购项目名</w:t>
      </w:r>
      <w:r>
        <w:rPr>
          <w:rFonts w:hint="eastAsia"/>
          <w:b/>
          <w:sz w:val="30"/>
          <w:szCs w:val="30"/>
        </w:rPr>
        <w:t>称：</w:t>
      </w:r>
      <w:r>
        <w:rPr>
          <w:rFonts w:hint="eastAsia" w:ascii="宋体" w:hAnsi="宋体" w:cs="宋体"/>
          <w:b/>
          <w:sz w:val="32"/>
          <w:szCs w:val="32"/>
          <w:lang w:val="zh-CN"/>
        </w:rPr>
        <w:t>海南州人大常委会会议室、党员活动室及代表之家改造项目（第二次）</w:t>
      </w: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南政采招竞磋（货物）2022-11</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NZCZJC-2022-11</w:t>
      </w:r>
    </w:p>
    <w:p>
      <w:pPr>
        <w:spacing w:line="276" w:lineRule="auto"/>
        <w:rPr>
          <w:b/>
          <w:sz w:val="30"/>
          <w:szCs w:val="30"/>
        </w:rPr>
      </w:pPr>
      <w:r>
        <w:rPr>
          <w:rFonts w:hint="eastAsia"/>
          <w:b/>
          <w:sz w:val="30"/>
          <w:szCs w:val="30"/>
        </w:rPr>
        <w:t>合同金额（人民币）：</w:t>
      </w:r>
    </w:p>
    <w:p>
      <w:pPr>
        <w:spacing w:line="276" w:lineRule="auto"/>
        <w:jc w:val="left"/>
        <w:rPr>
          <w:b/>
          <w:sz w:val="30"/>
          <w:szCs w:val="30"/>
        </w:rPr>
      </w:pPr>
      <w:r>
        <w:rPr>
          <w:rFonts w:hint="eastAsia"/>
          <w:b/>
          <w:sz w:val="30"/>
          <w:szCs w:val="30"/>
        </w:rPr>
        <w:t>采购人（甲方）：（盖章）</w:t>
      </w:r>
    </w:p>
    <w:p>
      <w:pPr>
        <w:spacing w:line="276" w:lineRule="auto"/>
        <w:jc w:val="left"/>
        <w:rPr>
          <w:b/>
          <w:sz w:val="30"/>
          <w:szCs w:val="30"/>
        </w:rPr>
      </w:pPr>
      <w:r>
        <w:rPr>
          <w:rFonts w:hint="eastAsia"/>
          <w:b/>
          <w:sz w:val="30"/>
          <w:szCs w:val="30"/>
        </w:rPr>
        <w:t>中标人（乙方）：（盖章）</w:t>
      </w:r>
    </w:p>
    <w:p>
      <w:pPr>
        <w:spacing w:line="276" w:lineRule="auto"/>
        <w:jc w:val="left"/>
        <w:rPr>
          <w:rFonts w:ascii="宋体" w:hAnsi="宋体"/>
          <w:b/>
          <w:bCs/>
          <w:lang w:val="zh-CN"/>
        </w:rPr>
      </w:pPr>
      <w:r>
        <w:rPr>
          <w:rFonts w:hint="eastAsia"/>
          <w:b/>
          <w:sz w:val="30"/>
          <w:szCs w:val="30"/>
        </w:rPr>
        <w:t>采购日期：</w:t>
      </w:r>
    </w:p>
    <w:p>
      <w:pPr>
        <w:pStyle w:val="2"/>
        <w:rPr>
          <w:rFonts w:hAnsi="宋体"/>
          <w:bCs/>
          <w:lang w:val="zh-CN"/>
        </w:rPr>
      </w:pPr>
    </w:p>
    <w:p>
      <w:pPr>
        <w:pStyle w:val="2"/>
        <w:rPr>
          <w:lang w:val="zh-CN"/>
        </w:rPr>
      </w:pPr>
    </w:p>
    <w:p>
      <w:pPr>
        <w:rPr>
          <w:lang w:val="zh-CN"/>
        </w:rPr>
      </w:pPr>
    </w:p>
    <w:p>
      <w:pPr>
        <w:pStyle w:val="2"/>
        <w:jc w:val="both"/>
        <w:rPr>
          <w:lang w:val="zh-CN"/>
        </w:rPr>
      </w:pPr>
    </w:p>
    <w:p>
      <w:pPr>
        <w:autoSpaceDE w:val="0"/>
        <w:autoSpaceDN w:val="0"/>
        <w:adjustRightInd w:val="0"/>
        <w:rPr>
          <w:rFonts w:ascii="宋体" w:hAnsi="宋体"/>
          <w:b/>
          <w:bCs/>
          <w:lang w:val="zh-CN"/>
        </w:rPr>
      </w:pPr>
    </w:p>
    <w:p>
      <w:pPr>
        <w:autoSpaceDE w:val="0"/>
        <w:autoSpaceDN w:val="0"/>
        <w:adjustRightInd w:val="0"/>
        <w:rPr>
          <w:rFonts w:ascii="宋体" w:hAnsi="宋体"/>
          <w:b/>
          <w:bCs/>
        </w:rPr>
      </w:pPr>
      <w:r>
        <w:rPr>
          <w:rFonts w:hint="eastAsia" w:ascii="宋体" w:hAnsi="宋体"/>
          <w:b/>
          <w:bCs/>
          <w:lang w:val="zh-CN"/>
        </w:rPr>
        <w:t>采购人（以下简称甲方）：</w:t>
      </w:r>
    </w:p>
    <w:p>
      <w:pPr>
        <w:rPr>
          <w:rFonts w:ascii="宋体" w:hAnsi="宋体"/>
          <w:b/>
          <w:bCs/>
          <w:lang w:val="zh-CN"/>
        </w:rPr>
      </w:pPr>
      <w:r>
        <w:rPr>
          <w:rFonts w:hint="eastAsia" w:ascii="宋体" w:hAnsi="宋体"/>
          <w:b/>
          <w:bCs/>
        </w:rPr>
        <w:t>中 标 人</w:t>
      </w:r>
      <w:r>
        <w:rPr>
          <w:rFonts w:hint="eastAsia" w:ascii="宋体" w:hAnsi="宋体"/>
          <w:b/>
          <w:bCs/>
          <w:lang w:val="zh-CN"/>
        </w:rPr>
        <w:t>（以下简称乙方）：</w:t>
      </w:r>
    </w:p>
    <w:p>
      <w:pPr>
        <w:ind w:firstLine="482"/>
        <w:rPr>
          <w:rFonts w:ascii="宋体" w:hAnsi="宋体"/>
          <w:b/>
          <w:bCs/>
          <w:lang w:val="zh-CN"/>
        </w:rPr>
      </w:pPr>
    </w:p>
    <w:p>
      <w:pPr>
        <w:pStyle w:val="7"/>
        <w:ind w:left="0" w:leftChars="0" w:firstLine="0"/>
        <w:rPr>
          <w:rFonts w:hAnsi="Calibri" w:cs="宋体"/>
          <w:kern w:val="0"/>
          <w:sz w:val="24"/>
          <w:lang w:val="zh-CN"/>
        </w:rPr>
      </w:pPr>
      <w:r>
        <w:rPr>
          <w:rFonts w:hint="eastAsia" w:hAnsi="Calibri" w:cs="宋体"/>
          <w:kern w:val="0"/>
          <w:sz w:val="24"/>
          <w:lang w:val="zh-CN"/>
        </w:rPr>
        <w:t>甲、乙双方根据</w:t>
      </w:r>
      <w:r>
        <w:rPr>
          <w:rFonts w:hint="eastAsia" w:hAnsi="Calibri" w:cs="宋体"/>
          <w:kern w:val="0"/>
          <w:sz w:val="24"/>
          <w:u w:val="single"/>
          <w:lang w:val="zh-CN"/>
        </w:rPr>
        <w:t>项目（项目编号：</w:t>
      </w:r>
      <w:r>
        <w:rPr>
          <w:rFonts w:hint="eastAsia" w:hAnsi="Calibri" w:cs="宋体"/>
          <w:kern w:val="0"/>
          <w:sz w:val="24"/>
          <w:lang w:val="zh-CN"/>
        </w:rPr>
        <w:t xml:space="preserve"> ）的竞争性磋商文件要求和采购代理机构出具的《中标通知书》，并经双方协商一致，签订本合同协议书。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2.招标文件的更正、变更公告；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19"/>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包号</w:t>
            </w: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r>
              <w:rPr>
                <w:rFonts w:hint="eastAsia" w:ascii="宋体" w:hAnsi="Calibri" w:cs="宋体"/>
                <w:kern w:val="0"/>
                <w:lang w:val="zh-CN"/>
              </w:rPr>
              <w:t>标的名称</w:t>
            </w: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型号规格</w:t>
            </w:r>
          </w:p>
          <w:p>
            <w:pPr>
              <w:autoSpaceDE w:val="0"/>
              <w:autoSpaceDN w:val="0"/>
              <w:adjustRightInd w:val="0"/>
              <w:rPr>
                <w:rFonts w:ascii="宋体" w:hAnsi="Calibri" w:cs="宋体"/>
                <w:kern w:val="0"/>
                <w:lang w:val="zh-CN"/>
              </w:rPr>
            </w:pPr>
            <w:r>
              <w:rPr>
                <w:rFonts w:hint="eastAsia" w:ascii="宋体" w:hAnsi="Calibri" w:cs="宋体"/>
                <w:kern w:val="0"/>
                <w:lang w:val="zh-CN"/>
              </w:rPr>
              <w:t>（按采购单位要求添加技术规格响应表）</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单价</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总价</w:t>
            </w: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 （大写）</w:t>
      </w:r>
      <w:r>
        <w:rPr>
          <w:rFonts w:hint="eastAsia" w:ascii="宋体" w:hAnsi="Calibri" w:cs="宋体"/>
          <w:kern w:val="0"/>
          <w:u w:val="single"/>
          <w:lang w:val="zh-CN"/>
        </w:rPr>
        <w:t xml:space="preserve">  （中标金额）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本合同以人民币进行结算，合同总价包括：产品费、检验费、手续费、包装费、运输费、保险费、系统集成费、安装调试费、税金及不可预见费等全部费用。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三、交货期、地点和要求</w:t>
      </w:r>
    </w:p>
    <w:p>
      <w:pPr>
        <w:autoSpaceDE w:val="0"/>
        <w:autoSpaceDN w:val="0"/>
        <w:adjustRightInd w:val="0"/>
        <w:ind w:firstLine="480"/>
        <w:rPr>
          <w:rFonts w:ascii="宋体" w:hAnsi="Calibri" w:cs="宋体"/>
          <w:kern w:val="0"/>
        </w:rPr>
      </w:pPr>
      <w:r>
        <w:rPr>
          <w:rFonts w:ascii="Calibri" w:hAnsi="Calibri" w:cs="Calibri"/>
          <w:kern w:val="0"/>
        </w:rPr>
        <w:t>1.</w:t>
      </w:r>
      <w:r>
        <w:rPr>
          <w:rFonts w:hint="eastAsia" w:ascii="宋体" w:hAnsi="Calibri" w:cs="宋体"/>
          <w:kern w:val="0"/>
          <w:lang w:val="zh-CN"/>
        </w:rPr>
        <w:t xml:space="preserve"> 交货期：；交货地点</w:t>
      </w:r>
      <w:r>
        <w:rPr>
          <w:rFonts w:hint="eastAsia" w:ascii="宋体" w:hAnsi="Calibri" w:cs="宋体"/>
          <w:kern w:val="0"/>
          <w:u w:val="single"/>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w:t>
      </w:r>
      <w:r>
        <w:rPr>
          <w:rFonts w:hint="eastAsia" w:ascii="宋体" w:hAnsi="Calibri" w:cs="宋体"/>
          <w:color w:val="000000"/>
          <w:kern w:val="0"/>
          <w:lang w:val="zh-CN"/>
        </w:rPr>
        <w:t>）后</w:t>
      </w:r>
      <w:r>
        <w:rPr>
          <w:rFonts w:hint="eastAsia" w:ascii="宋体" w:hAnsi="Calibri" w:cs="宋体"/>
          <w:color w:val="000000"/>
          <w:kern w:val="0"/>
          <w:u w:val="single"/>
          <w:lang w:val="zh-CN"/>
        </w:rPr>
        <w:t>10</w:t>
      </w:r>
      <w:r>
        <w:rPr>
          <w:rFonts w:hint="eastAsia" w:ascii="宋体" w:hAnsi="Calibri" w:cs="宋体"/>
          <w:color w:val="000000"/>
          <w:kern w:val="0"/>
          <w:lang w:val="zh-CN"/>
        </w:rPr>
        <w:t>个工作日</w:t>
      </w:r>
      <w:r>
        <w:rPr>
          <w:rFonts w:hint="eastAsia" w:ascii="宋体" w:hAnsi="Calibri" w:cs="宋体"/>
          <w:kern w:val="0"/>
          <w:lang w:val="zh-CN"/>
        </w:rPr>
        <w:t>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乙方向甲方提供产品相关完税销售发票。</w:t>
      </w:r>
    </w:p>
    <w:p>
      <w:pPr>
        <w:autoSpaceDE w:val="0"/>
        <w:autoSpaceDN w:val="0"/>
        <w:adjustRightInd w:val="0"/>
        <w:ind w:firstLine="480"/>
        <w:rPr>
          <w:rFonts w:ascii="Calibri" w:hAnsi="Calibri" w:cs="Calibri"/>
          <w:kern w:val="0"/>
        </w:rPr>
      </w:pPr>
      <w:r>
        <w:rPr>
          <w:rFonts w:hint="eastAsia" w:ascii="宋体" w:hAnsi="Calibri" w:cs="宋体"/>
          <w:kern w:val="0"/>
          <w:lang w:val="zh-CN"/>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双方协议商定</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color w:val="000000"/>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w:t>
      </w:r>
      <w:r>
        <w:rPr>
          <w:rFonts w:hint="eastAsia" w:ascii="宋体" w:hAnsi="Calibri" w:cs="宋体"/>
          <w:color w:val="000000"/>
          <w:kern w:val="0"/>
          <w:lang w:val="zh-CN"/>
        </w:rPr>
        <w:t>的</w:t>
      </w:r>
      <w:r>
        <w:rPr>
          <w:rFonts w:ascii="Calibri" w:hAnsi="Calibri" w:cs="Calibri"/>
          <w:color w:val="000000"/>
          <w:kern w:val="0"/>
        </w:rPr>
        <w:t>5%</w:t>
      </w:r>
      <w:r>
        <w:rPr>
          <w:rFonts w:hint="eastAsia" w:ascii="宋体" w:hAnsi="Calibri" w:cs="宋体"/>
          <w:color w:val="000000"/>
          <w:kern w:val="0"/>
          <w:lang w:val="zh-CN"/>
        </w:rPr>
        <w:t>，超过</w:t>
      </w:r>
      <w:r>
        <w:rPr>
          <w:rFonts w:hint="eastAsia" w:ascii="宋体" w:hAnsi="Calibri" w:cs="宋体"/>
          <w:color w:val="000000"/>
          <w:kern w:val="0"/>
          <w:u w:val="single"/>
          <w:lang w:val="zh-CN"/>
        </w:rPr>
        <w:t>15</w:t>
      </w:r>
      <w:r>
        <w:rPr>
          <w:rFonts w:hint="eastAsia" w:ascii="宋体" w:hAnsi="Calibri" w:cs="宋体"/>
          <w:color w:val="000000"/>
          <w:kern w:val="0"/>
          <w:lang w:val="zh-CN"/>
        </w:rPr>
        <w:t>天对方有权解除合同，违约方承担因此给对方造成的经济损失。</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5.</w:t>
      </w:r>
      <w:r>
        <w:rPr>
          <w:rFonts w:hint="eastAsia" w:ascii="宋体" w:hAnsi="Calibri" w:cs="宋体"/>
          <w:color w:val="000000"/>
          <w:kern w:val="0"/>
          <w:lang w:val="zh-CN"/>
        </w:rPr>
        <w:t>乙方未按本合同和投标文件中规定的服务承诺提供售后服务的，乙方应按本合同合计金额的</w:t>
      </w:r>
      <w:r>
        <w:rPr>
          <w:rFonts w:ascii="Calibri" w:hAnsi="Calibri" w:cs="Calibri"/>
          <w:color w:val="000000"/>
          <w:kern w:val="0"/>
        </w:rPr>
        <w:t>5%</w:t>
      </w:r>
      <w:r>
        <w:rPr>
          <w:rFonts w:hint="eastAsia" w:ascii="宋体" w:hAnsi="Calibri" w:cs="宋体"/>
          <w:color w:val="000000"/>
          <w:kern w:val="0"/>
          <w:lang w:val="zh-CN"/>
        </w:rPr>
        <w:t>向甲方支付违约金。</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6.</w:t>
      </w:r>
      <w:r>
        <w:rPr>
          <w:rFonts w:hint="eastAsia" w:ascii="宋体" w:hAnsi="Calibri"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7.</w:t>
      </w:r>
      <w:r>
        <w:rPr>
          <w:rFonts w:hint="eastAsia" w:ascii="宋体" w:hAnsi="Calibri" w:cs="宋体"/>
          <w:color w:val="000000"/>
          <w:kern w:val="0"/>
          <w:lang w:val="zh-CN"/>
        </w:rPr>
        <w:t>其它违约行为按违约货款额</w:t>
      </w:r>
      <w:r>
        <w:rPr>
          <w:rFonts w:ascii="Calibri" w:hAnsi="Calibri" w:cs="Calibri"/>
          <w:color w:val="000000"/>
          <w:kern w:val="0"/>
        </w:rPr>
        <w:t>5%</w:t>
      </w:r>
      <w:r>
        <w:rPr>
          <w:rFonts w:hint="eastAsia" w:ascii="宋体" w:hAnsi="Calibri" w:cs="宋体"/>
          <w:color w:val="000000"/>
          <w:kern w:val="0"/>
          <w:lang w:val="zh-CN"/>
        </w:rPr>
        <w:t>收取违约金并赔偿经济损失。</w:t>
      </w:r>
    </w:p>
    <w:p>
      <w:pPr>
        <w:autoSpaceDE w:val="0"/>
        <w:autoSpaceDN w:val="0"/>
        <w:adjustRightInd w:val="0"/>
        <w:ind w:firstLine="480"/>
        <w:rPr>
          <w:rFonts w:ascii="Calibri" w:hAnsi="Calibri" w:cs="Calibri"/>
          <w:color w:val="000000"/>
          <w:kern w:val="0"/>
        </w:rPr>
      </w:pPr>
      <w:r>
        <w:rPr>
          <w:rFonts w:hint="eastAsia" w:ascii="宋体" w:hAnsi="Calibri" w:cs="宋体"/>
          <w:color w:val="000000"/>
          <w:kern w:val="0"/>
          <w:lang w:val="zh-CN"/>
        </w:rPr>
        <w:t>七、不可抗力</w:t>
      </w:r>
    </w:p>
    <w:p>
      <w:pPr>
        <w:autoSpaceDE w:val="0"/>
        <w:autoSpaceDN w:val="0"/>
        <w:adjustRightInd w:val="0"/>
        <w:ind w:firstLine="480"/>
        <w:rPr>
          <w:rFonts w:ascii="宋体" w:hAnsi="Calibri" w:cs="宋体"/>
          <w:color w:val="000000"/>
          <w:kern w:val="0"/>
          <w:lang w:val="zh-CN"/>
        </w:rPr>
      </w:pPr>
      <w:r>
        <w:rPr>
          <w:rFonts w:ascii="Calibri" w:hAnsi="Calibri" w:cs="Calibri"/>
          <w:color w:val="000000"/>
          <w:kern w:val="0"/>
        </w:rPr>
        <w:t>1.</w:t>
      </w:r>
      <w:r>
        <w:rPr>
          <w:rFonts w:hint="eastAsia" w:ascii="宋体" w:hAnsi="Calibri" w:cs="宋体"/>
          <w:color w:val="000000"/>
          <w:kern w:val="0"/>
          <w:lang w:val="zh-CN"/>
        </w:rPr>
        <w:t>不可抗力使合同的某些内容有变更必要的，双方应通过协商在</w:t>
      </w:r>
      <w:r>
        <w:rPr>
          <w:rFonts w:hint="eastAsia" w:ascii="宋体" w:hAnsi="Calibri" w:cs="宋体"/>
          <w:color w:val="000000"/>
          <w:kern w:val="0"/>
          <w:u w:val="single"/>
          <w:lang w:val="zh-CN"/>
        </w:rPr>
        <w:t xml:space="preserve">10 </w:t>
      </w:r>
      <w:r>
        <w:rPr>
          <w:rFonts w:hint="eastAsia" w:ascii="宋体" w:hAnsi="Calibri" w:cs="宋体"/>
          <w:color w:val="000000"/>
          <w:kern w:val="0"/>
          <w:lang w:val="zh-CN"/>
        </w:rPr>
        <w:t>天内达成进一步履行合同的协议，因不可抗力致使合同不能履行的，合同终止。</w:t>
      </w:r>
    </w:p>
    <w:p>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hint="eastAsia" w:ascii="宋体" w:hAnsi="Calibri" w:cs="宋体"/>
          <w:kern w:val="0"/>
          <w:lang w:val="zh-CN"/>
        </w:rPr>
        <w:t>除法律、法规规定的不可抗力情形外，双方约</w:t>
      </w:r>
      <w:r>
        <w:rPr>
          <w:rFonts w:hint="eastAsia" w:ascii="宋体" w:hAnsi="Calibri" w:cs="宋体"/>
          <w:color w:val="000000"/>
          <w:kern w:val="0"/>
          <w:lang w:val="zh-CN"/>
        </w:rPr>
        <w:t>定出现</w:t>
      </w:r>
      <w:r>
        <w:rPr>
          <w:rFonts w:hint="eastAsia" w:ascii="宋体" w:hAnsi="Calibri" w:cs="宋体"/>
          <w:color w:val="000000"/>
          <w:kern w:val="0"/>
          <w:u w:val="single"/>
          <w:lang w:val="zh-CN"/>
        </w:rPr>
        <w:t>自然灾害</w:t>
      </w:r>
      <w:r>
        <w:rPr>
          <w:rFonts w:hint="eastAsia" w:ascii="宋体" w:hAnsi="Calibri" w:cs="宋体"/>
          <w:color w:val="000000"/>
          <w:kern w:val="0"/>
          <w:lang w:val="zh-CN"/>
        </w:rPr>
        <w:t>情况</w:t>
      </w:r>
      <w:r>
        <w:rPr>
          <w:rFonts w:hint="eastAsia" w:ascii="宋体" w:hAnsi="Calibri" w:cs="宋体"/>
          <w:kern w:val="0"/>
          <w:lang w:val="zh-CN"/>
        </w:rPr>
        <w:t>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w:t>
      </w:r>
      <w:r>
        <w:rPr>
          <w:rFonts w:hint="eastAsia" w:ascii="宋体" w:hAnsi="Calibri" w:cs="宋体"/>
          <w:kern w:val="0"/>
          <w:u w:val="single"/>
          <w:lang w:val="zh-CN"/>
        </w:rPr>
        <w:t>甲方</w:t>
      </w:r>
      <w:r>
        <w:rPr>
          <w:rFonts w:hint="eastAsia" w:ascii="宋体" w:hAnsi="Calibri" w:cs="宋体"/>
          <w:kern w:val="0"/>
          <w:lang w:val="zh-CN"/>
        </w:rPr>
        <w:t>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本合同一式八份，经双方签字，并加盖公章即为生效。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本合同未尽事宜，按经济合同法有关规定处理。</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本合同的组成包含《合同通用条款》，可自行在青海政府采购网下载《合同通用条款》。</w:t>
      </w:r>
    </w:p>
    <w:p>
      <w:pPr>
        <w:autoSpaceDE w:val="0"/>
        <w:autoSpaceDN w:val="0"/>
        <w:adjustRightInd w:val="0"/>
        <w:ind w:firstLine="480"/>
        <w:rPr>
          <w:rFonts w:ascii="Calibri" w:hAnsi="Calibri" w:cs="Calibri"/>
          <w:kern w:val="0"/>
        </w:rPr>
      </w:pP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甲方（盖章）：乙方（盖章）：</w:t>
      </w: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ascii="Calibri" w:hAnsi="Calibri" w:cs="Calibri"/>
          <w:kern w:val="0"/>
        </w:rPr>
      </w:pPr>
      <w:r>
        <w:rPr>
          <w:rFonts w:hint="eastAsia" w:ascii="宋体" w:hAnsi="Calibri" w:cs="宋体"/>
          <w:kern w:val="0"/>
          <w:lang w:val="zh-CN"/>
        </w:rPr>
        <w:t>开户银行：</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联系电话：账号：</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p>
    <w:p>
      <w:pPr>
        <w:autoSpaceDE w:val="0"/>
        <w:autoSpaceDN w:val="0"/>
        <w:adjustRightInd w:val="0"/>
        <w:ind w:firstLine="1155" w:firstLineChars="550"/>
        <w:rPr>
          <w:rFonts w:ascii="Calibri" w:hAnsi="Calibri" w:cs="Calibri"/>
          <w:kern w:val="0"/>
        </w:rPr>
      </w:pPr>
      <w:r>
        <w:rPr>
          <w:rFonts w:hint="eastAsia" w:ascii="宋体" w:hAnsi="Calibri" w:cs="宋体"/>
          <w:kern w:val="0"/>
          <w:lang w:val="zh-CN"/>
        </w:rPr>
        <w:t>签约时间：年月日</w:t>
      </w: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采购代理机构：海南州政府采购中心</w:t>
      </w:r>
    </w:p>
    <w:p>
      <w:pPr>
        <w:autoSpaceDE w:val="0"/>
        <w:autoSpaceDN w:val="0"/>
        <w:adjustRightInd w:val="0"/>
        <w:ind w:firstLine="480"/>
        <w:rPr>
          <w:rFonts w:ascii="Calibri" w:hAnsi="Calibri" w:cs="Calibri"/>
          <w:kern w:val="0"/>
        </w:rPr>
      </w:pPr>
      <w:r>
        <w:rPr>
          <w:rFonts w:hint="eastAsia" w:ascii="宋体" w:hAnsi="Calibri" w:cs="宋体"/>
          <w:kern w:val="0"/>
          <w:lang w:val="zh-CN"/>
        </w:rPr>
        <w:t>负责人或经办人：</w:t>
      </w: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合同备案间：年月日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9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bookmarkEnd w:id="92"/>
      <w:bookmarkEnd w:id="93"/>
      <w:r>
        <w:rPr>
          <w:rFonts w:hint="eastAsia" w:ascii="宋体"/>
          <w:b/>
          <w:kern w:val="28"/>
          <w:sz w:val="36"/>
          <w:szCs w:val="20"/>
        </w:rPr>
        <w:t>磋商响应文件格式</w:t>
      </w:r>
      <w:bookmarkEnd w:id="9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9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95"/>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p>
    <w:p>
      <w:pPr>
        <w:spacing w:line="500" w:lineRule="exact"/>
        <w:ind w:firstLine="643"/>
        <w:jc w:val="center"/>
        <w:rPr>
          <w:rFonts w:ascii="宋体" w:hAnsi="宋体"/>
          <w:b/>
          <w:sz w:val="32"/>
        </w:rPr>
      </w:pPr>
    </w:p>
    <w:p>
      <w:pPr>
        <w:spacing w:line="500" w:lineRule="exact"/>
        <w:ind w:firstLine="643"/>
        <w:jc w:val="center"/>
        <w:rPr>
          <w:rFonts w:ascii="宋体" w:hAnsi="宋体"/>
          <w:b/>
          <w:sz w:val="32"/>
        </w:rPr>
      </w:pPr>
      <w:r>
        <w:rPr>
          <w:rFonts w:hint="eastAsia" w:ascii="宋体" w:hAnsi="宋体"/>
          <w:b/>
          <w:sz w:val="32"/>
        </w:rPr>
        <w:t xml:space="preserve">               投标人：（公章）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9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97" w:name="_Toc376936768"/>
      <w:bookmarkStart w:id="98" w:name="_Toc325726037"/>
      <w:r>
        <w:rPr>
          <w:rFonts w:hint="eastAsia" w:ascii="宋体"/>
          <w:b/>
          <w:sz w:val="28"/>
          <w:szCs w:val="28"/>
        </w:rPr>
        <w:t>：磋商函</w:t>
      </w:r>
      <w:bookmarkEnd w:id="96"/>
      <w:bookmarkEnd w:id="97"/>
      <w:bookmarkEnd w:id="9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 xml:space="preserve">我们收到（项目编号）磋商文件，经研究，法定代表人（姓名、职务）正式授权（委托代理人姓名、职务）代表投标人（投标人名称、地址）提交磋商响应文件。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宋体" w:hAnsi="宋体"/>
          <w:b/>
        </w:rPr>
        <w:t>投标人：（公章）</w:t>
      </w:r>
    </w:p>
    <w:p>
      <w:pPr>
        <w:ind w:firstLine="482"/>
        <w:jc w:val="center"/>
        <w:rPr>
          <w:rFonts w:ascii="宋体" w:hAnsi="宋体"/>
          <w:b/>
        </w:rPr>
      </w:pPr>
      <w:r>
        <w:rPr>
          <w:rFonts w:hint="eastAsia" w:ascii="宋体" w:hAnsi="宋体"/>
          <w:b/>
        </w:rPr>
        <w:t xml:space="preserve">        法定代表人或委托代理人：（签字或盖章）</w:t>
      </w:r>
    </w:p>
    <w:p>
      <w:pPr>
        <w:ind w:firstLine="480"/>
        <w:jc w:val="center"/>
        <w:rPr>
          <w:b/>
        </w:rPr>
      </w:pP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99" w:name="_Toc12362"/>
    </w:p>
    <w:p>
      <w:pPr>
        <w:pStyle w:val="2"/>
      </w:pPr>
    </w:p>
    <w:p>
      <w:pPr>
        <w:widowControl/>
        <w:snapToGrid w:val="0"/>
        <w:spacing w:line="360" w:lineRule="auto"/>
        <w:outlineLvl w:val="1"/>
        <w:rPr>
          <w:rFonts w:ascii="宋体"/>
          <w:b/>
          <w:sz w:val="28"/>
          <w:szCs w:val="28"/>
        </w:rPr>
      </w:pPr>
    </w:p>
    <w:p>
      <w:pPr>
        <w:pStyle w:val="2"/>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00" w:name="_Toc325726038"/>
      <w:bookmarkStart w:id="101" w:name="_Toc376936769"/>
      <w:r>
        <w:rPr>
          <w:rFonts w:hint="eastAsia" w:ascii="宋体"/>
          <w:b/>
          <w:sz w:val="28"/>
          <w:szCs w:val="28"/>
        </w:rPr>
        <w:t>：</w:t>
      </w:r>
      <w:bookmarkEnd w:id="100"/>
      <w:bookmarkEnd w:id="101"/>
      <w:r>
        <w:rPr>
          <w:rFonts w:hint="eastAsia" w:ascii="宋体"/>
          <w:b/>
          <w:sz w:val="28"/>
          <w:szCs w:val="28"/>
        </w:rPr>
        <w:t>竞争性磋商首次报价表</w:t>
      </w:r>
      <w:bookmarkEnd w:id="9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投标人：（公章）</w:t>
      </w:r>
    </w:p>
    <w:p>
      <w:pPr>
        <w:ind w:firstLine="482"/>
        <w:jc w:val="center"/>
        <w:rPr>
          <w:rFonts w:ascii="宋体" w:hAnsi="宋体"/>
          <w:b/>
        </w:rPr>
      </w:pPr>
      <w:r>
        <w:rPr>
          <w:rFonts w:hint="eastAsia" w:ascii="宋体" w:hAnsi="宋体"/>
          <w:b/>
        </w:rPr>
        <w:t xml:space="preserve">                  法定代表人或委托代理人：（签字或盖章）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02" w:name="_Toc10980"/>
      <w:r>
        <w:rPr>
          <w:rFonts w:hint="eastAsia" w:ascii="宋体"/>
          <w:b/>
          <w:sz w:val="28"/>
          <w:szCs w:val="28"/>
        </w:rPr>
        <w:t>附件4：分项报价表</w:t>
      </w:r>
    </w:p>
    <w:p>
      <w:pPr>
        <w:ind w:firstLine="2711" w:firstLineChars="750"/>
        <w:rPr>
          <w:rFonts w:ascii="宋体" w:hAnsi="宋体"/>
          <w:b/>
          <w:sz w:val="36"/>
          <w:szCs w:val="36"/>
        </w:rPr>
      </w:pPr>
      <w:r>
        <w:rPr>
          <w:rFonts w:hint="eastAsia" w:ascii="宋体" w:hAnsi="宋体"/>
          <w:b/>
          <w:sz w:val="36"/>
          <w:szCs w:val="36"/>
        </w:rPr>
        <w:t xml:space="preserve">    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年   月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
      <w:pPr>
        <w:widowControl/>
        <w:snapToGrid w:val="0"/>
        <w:spacing w:line="360" w:lineRule="auto"/>
        <w:outlineLvl w:val="1"/>
        <w:rPr>
          <w:rFonts w:ascii="宋体"/>
          <w:b/>
          <w:sz w:val="28"/>
          <w:szCs w:val="28"/>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年   月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03" w:name="_Toc325726043"/>
      <w:bookmarkStart w:id="104" w:name="_Toc376936774"/>
      <w:bookmarkStart w:id="105" w:name="_Toc325726042"/>
      <w:bookmarkStart w:id="106" w:name="_Toc376936773"/>
      <w:r>
        <w:rPr>
          <w:rFonts w:hint="eastAsia" w:ascii="宋体"/>
          <w:b/>
          <w:sz w:val="28"/>
          <w:szCs w:val="28"/>
        </w:rPr>
        <w:t>5：法定代表人证明书</w:t>
      </w:r>
      <w:bookmarkEnd w:id="102"/>
      <w:bookmarkEnd w:id="103"/>
      <w:bookmarkEnd w:id="10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性别：年龄：民族：</w:t>
      </w:r>
    </w:p>
    <w:p>
      <w:pPr>
        <w:autoSpaceDE w:val="0"/>
        <w:autoSpaceDN w:val="0"/>
        <w:adjustRightInd w:val="0"/>
        <w:ind w:firstLine="480"/>
        <w:jc w:val="left"/>
        <w:rPr>
          <w:rFonts w:ascii="宋体" w:hAnsi="宋体" w:cs="宋体"/>
          <w:kern w:val="0"/>
        </w:rPr>
      </w:pPr>
      <w:r>
        <w:rPr>
          <w:rFonts w:hint="eastAsia" w:ascii="宋体" w:hAnsi="宋体" w:cs="宋体"/>
          <w:kern w:val="0"/>
        </w:rPr>
        <w:t>地址：</w:t>
      </w:r>
    </w:p>
    <w:p>
      <w:pPr>
        <w:autoSpaceDE w:val="0"/>
        <w:autoSpaceDN w:val="0"/>
        <w:adjustRightInd w:val="0"/>
        <w:ind w:firstLine="480"/>
        <w:jc w:val="left"/>
        <w:rPr>
          <w:rFonts w:ascii="宋体" w:hAnsi="宋体"/>
          <w:u w:val="single"/>
        </w:rPr>
      </w:pPr>
      <w:r>
        <w:rPr>
          <w:rFonts w:hint="eastAsia" w:ascii="宋体" w:hAnsi="宋体" w:cs="宋体"/>
          <w:kern w:val="0"/>
        </w:rPr>
        <w:t>身份证号码：</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投标人：（公章）</w:t>
      </w:r>
    </w:p>
    <w:p>
      <w:pPr>
        <w:ind w:firstLine="3162" w:firstLineChars="1500"/>
        <w:rPr>
          <w:rFonts w:ascii="宋体" w:hAnsi="宋体"/>
          <w:b/>
        </w:rPr>
      </w:pPr>
      <w:r>
        <w:rPr>
          <w:rFonts w:hint="eastAsia" w:ascii="宋体" w:hAnsi="宋体"/>
          <w:b/>
        </w:rPr>
        <w:t>法定代表人：（签字）</w:t>
      </w:r>
    </w:p>
    <w:p>
      <w:pPr>
        <w:ind w:firstLine="482"/>
        <w:jc w:val="center"/>
        <w:rPr>
          <w:rFonts w:ascii="宋体" w:hAnsi="宋体"/>
          <w:b/>
        </w:rPr>
      </w:pPr>
      <w:r>
        <w:rPr>
          <w:rFonts w:hint="eastAsia" w:ascii="宋体" w:hAnsi="宋体"/>
          <w:b/>
        </w:rPr>
        <w:t xml:space="preserve">               年   月   日</w:t>
      </w:r>
    </w:p>
    <w:bookmarkEnd w:id="105"/>
    <w:bookmarkEnd w:id="106"/>
    <w:p>
      <w:pPr>
        <w:widowControl/>
        <w:snapToGrid w:val="0"/>
        <w:spacing w:line="360" w:lineRule="auto"/>
        <w:outlineLvl w:val="1"/>
        <w:rPr>
          <w:rFonts w:ascii="宋体"/>
          <w:b/>
          <w:sz w:val="28"/>
          <w:szCs w:val="28"/>
        </w:rPr>
      </w:pPr>
      <w:bookmarkStart w:id="107" w:name="_Toc201287639"/>
      <w:bookmarkStart w:id="108" w:name="_Toc3247567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09" w:name="_Toc3299"/>
    </w:p>
    <w:p>
      <w:pPr>
        <w:widowControl/>
        <w:snapToGrid w:val="0"/>
        <w:spacing w:line="360" w:lineRule="auto"/>
        <w:outlineLvl w:val="1"/>
        <w:rPr>
          <w:rFonts w:ascii="宋体"/>
          <w:b/>
          <w:sz w:val="28"/>
          <w:szCs w:val="28"/>
        </w:rPr>
      </w:pPr>
      <w:r>
        <w:rPr>
          <w:rFonts w:hint="eastAsia" w:ascii="宋体"/>
          <w:b/>
          <w:sz w:val="28"/>
          <w:szCs w:val="28"/>
        </w:rPr>
        <w:t>附件</w:t>
      </w:r>
      <w:bookmarkEnd w:id="107"/>
      <w:bookmarkEnd w:id="108"/>
      <w:r>
        <w:rPr>
          <w:rFonts w:hint="eastAsia" w:ascii="宋体"/>
          <w:b/>
          <w:sz w:val="28"/>
          <w:szCs w:val="28"/>
        </w:rPr>
        <w:t>6：法定代表人授权书</w:t>
      </w:r>
      <w:bookmarkEnd w:id="10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 年月日起至 年月日止。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   授权人（法定代表人）签字：</w:t>
      </w:r>
    </w:p>
    <w:p>
      <w:pPr>
        <w:ind w:firstLine="480"/>
        <w:rPr>
          <w:rFonts w:ascii="宋体" w:hAnsi="宋体"/>
        </w:rPr>
      </w:pPr>
      <w:r>
        <w:rPr>
          <w:rFonts w:hint="eastAsia" w:ascii="宋体" w:hAnsi="宋体"/>
        </w:rPr>
        <w:t>职务：                   职务：</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62" w:firstLineChars="1737"/>
        <w:rPr>
          <w:rFonts w:ascii="宋体" w:hAnsi="宋体"/>
          <w:b/>
        </w:rPr>
      </w:pPr>
      <w:r>
        <w:rPr>
          <w:rFonts w:hint="eastAsia" w:ascii="宋体" w:hAnsi="宋体"/>
          <w:b/>
        </w:rPr>
        <w:t>投标人：（公章）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10" w:name="_Toc5234"/>
      <w:r>
        <w:rPr>
          <w:rFonts w:hint="eastAsia" w:ascii="宋体"/>
          <w:b/>
          <w:sz w:val="28"/>
          <w:szCs w:val="28"/>
        </w:rPr>
        <w:t>附件7：投标人承诺函</w:t>
      </w:r>
      <w:bookmarkEnd w:id="11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关于贵方2022年月</w:t>
      </w:r>
      <w:r>
        <w:rPr>
          <w:rFonts w:hint="eastAsia" w:ascii="宋体" w:hAnsi="宋体"/>
          <w:lang w:val="en-US" w:eastAsia="zh-CN"/>
        </w:rPr>
        <w:t xml:space="preserve"> </w:t>
      </w:r>
      <w:r>
        <w:rPr>
          <w:rFonts w:hint="eastAsia" w:ascii="宋体" w:hAnsi="宋体"/>
        </w:rPr>
        <w:t>日 （项目编号）采购项目，本签字人愿意参加磋商，提供采购项目服务要求的所有服务，并证实提交的所有资料是准确的和真实的。同时，我代表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投标人：（公章）</w:t>
      </w:r>
    </w:p>
    <w:p>
      <w:pPr>
        <w:ind w:firstLine="482"/>
        <w:jc w:val="center"/>
        <w:rPr>
          <w:rFonts w:ascii="宋体" w:hAnsi="宋体"/>
          <w:b/>
        </w:rPr>
      </w:pPr>
      <w:r>
        <w:rPr>
          <w:rFonts w:hint="eastAsia" w:ascii="宋体" w:hAnsi="宋体"/>
          <w:b/>
        </w:rPr>
        <w:t xml:space="preserve">                    法定代表人或委托代理人：（签字或盖章）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1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2" w:name="_Toc365019584"/>
      <w:bookmarkStart w:id="113" w:name="_Toc351475542"/>
      <w:bookmarkStart w:id="114" w:name="_Toc376936779"/>
      <w:r>
        <w:rPr>
          <w:rFonts w:hint="eastAsia" w:ascii="宋体"/>
          <w:b/>
          <w:sz w:val="28"/>
          <w:szCs w:val="28"/>
        </w:rPr>
        <w:t>8：供应商诚信承诺书</w:t>
      </w:r>
      <w:bookmarkEnd w:id="111"/>
      <w:bookmarkEnd w:id="112"/>
      <w:bookmarkEnd w:id="113"/>
      <w:bookmarkEnd w:id="11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为了诚实、客观、有序地参与海南州政府采购活动，愿就以下内容作出承诺：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二、参加海南州政府采购中心组织的政府采购活动时，严格按照磋商文件的规定和要求提供所需的相关材料，并对所提供的各类资料的真实性负责，不虚假应标，不虚列业绩。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投标人：（公章）</w:t>
      </w:r>
    </w:p>
    <w:p>
      <w:pPr>
        <w:spacing w:line="360" w:lineRule="auto"/>
        <w:ind w:firstLine="482"/>
        <w:jc w:val="center"/>
        <w:rPr>
          <w:rFonts w:ascii="宋体" w:hAnsi="宋体"/>
          <w:b/>
        </w:rPr>
      </w:pPr>
      <w:r>
        <w:rPr>
          <w:rFonts w:hint="eastAsia" w:ascii="宋体" w:hAnsi="宋体"/>
          <w:b/>
        </w:rPr>
        <w:t xml:space="preserve">           法定代表人或委托代理人：（签字或盖章）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15" w:name="_Toc455574903"/>
      <w:bookmarkStart w:id="116" w:name="_Toc444158184"/>
      <w:bookmarkStart w:id="117" w:name="_Toc451264359"/>
      <w:bookmarkStart w:id="118" w:name="_Toc450574560"/>
      <w:bookmarkStart w:id="119" w:name="_Toc458873058"/>
      <w:bookmarkStart w:id="120" w:name="_Toc8762"/>
      <w:bookmarkStart w:id="121" w:name="_Toc451333907"/>
      <w:bookmarkStart w:id="122" w:name="_Toc44122974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15"/>
      <w:bookmarkEnd w:id="116"/>
      <w:bookmarkEnd w:id="117"/>
      <w:bookmarkEnd w:id="118"/>
      <w:bookmarkEnd w:id="119"/>
      <w:bookmarkEnd w:id="120"/>
      <w:bookmarkEnd w:id="121"/>
      <w:bookmarkEnd w:id="12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23" w:name="_Toc14112"/>
      <w:r>
        <w:rPr>
          <w:rFonts w:hint="eastAsia" w:ascii="宋体"/>
          <w:b/>
          <w:sz w:val="28"/>
          <w:szCs w:val="28"/>
        </w:rPr>
        <w:t>附件10：财务状况、缴纳税收和社会保障资金证明</w:t>
      </w:r>
      <w:bookmarkEnd w:id="12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firstLine="480"/>
        <w:jc w:val="left"/>
        <w:rPr>
          <w:rFonts w:ascii="宋体" w:hAnsi="宋体"/>
          <w:sz w:val="24"/>
        </w:rPr>
      </w:pPr>
      <w:r>
        <w:rPr>
          <w:rFonts w:hint="eastAsia" w:ascii="宋体" w:hAnsi="宋体"/>
          <w:sz w:val="24"/>
        </w:rPr>
        <w:t>经第三方机构出具的上一年度（2021年度）财务状况审计报告，包括资产负债表、现金流量表、利润表及其附注，扫描（或复印）件应全面、完整、清晰；新注册不满一年的企业提供基本开户银行出具的资信证明（同时提供基本存款账户开户许可证）。</w:t>
      </w:r>
    </w:p>
    <w:p>
      <w:pPr>
        <w:numPr>
          <w:ilvl w:val="0"/>
          <w:numId w:val="3"/>
        </w:numPr>
        <w:autoSpaceDE w:val="0"/>
        <w:autoSpaceDN w:val="0"/>
        <w:adjustRightInd w:val="0"/>
        <w:spacing w:line="400" w:lineRule="exact"/>
        <w:ind w:firstLine="480"/>
        <w:jc w:val="left"/>
        <w:rPr>
          <w:rFonts w:ascii="宋体" w:hAnsi="宋体"/>
          <w:sz w:val="24"/>
        </w:rPr>
      </w:pPr>
      <w:r>
        <w:rPr>
          <w:rFonts w:hint="eastAsia" w:ascii="宋体" w:hAnsi="宋体"/>
          <w:sz w:val="24"/>
        </w:rPr>
        <w:t>近三个月内</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2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25" w:name="_Toc11118"/>
      <w:bookmarkStart w:id="126" w:name="_Toc427748103"/>
      <w:r>
        <w:rPr>
          <w:rFonts w:hint="eastAsia" w:ascii="宋体"/>
          <w:b/>
          <w:sz w:val="28"/>
          <w:szCs w:val="28"/>
        </w:rPr>
        <w:t>附件</w:t>
      </w:r>
      <w:bookmarkStart w:id="127" w:name="_Toc325726049"/>
      <w:bookmarkStart w:id="128" w:name="_Toc376936781"/>
      <w:r>
        <w:rPr>
          <w:rFonts w:hint="eastAsia" w:ascii="宋体"/>
          <w:b/>
          <w:sz w:val="28"/>
          <w:szCs w:val="28"/>
        </w:rPr>
        <w:t>11：</w:t>
      </w:r>
      <w:bookmarkEnd w:id="127"/>
      <w:bookmarkEnd w:id="128"/>
      <w:r>
        <w:rPr>
          <w:rFonts w:hint="eastAsia" w:ascii="宋体"/>
          <w:b/>
          <w:sz w:val="28"/>
          <w:szCs w:val="28"/>
        </w:rPr>
        <w:t>具备履行合同所必须的设备和专业技术能力证明</w:t>
      </w:r>
      <w:bookmarkEnd w:id="125"/>
      <w:bookmarkEnd w:id="12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2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2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3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31" w:name="_Toc325726048"/>
      <w:bookmarkEnd w:id="13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：（公章）</w:t>
      </w:r>
    </w:p>
    <w:p>
      <w:pPr>
        <w:autoSpaceDE w:val="0"/>
        <w:autoSpaceDN w:val="0"/>
        <w:adjustRightInd w:val="0"/>
        <w:ind w:firstLine="3430" w:firstLineChars="1627"/>
        <w:rPr>
          <w:rFonts w:ascii="宋体" w:hAnsi="Cambria" w:cs="宋体"/>
          <w:b/>
          <w:bCs/>
          <w:kern w:val="0"/>
          <w:lang w:val="zh-CN"/>
        </w:rPr>
      </w:pPr>
      <w:r>
        <w:rPr>
          <w:rFonts w:hint="eastAsia" w:ascii="宋体" w:hAnsi="Cambria" w:cs="宋体"/>
          <w:b/>
          <w:bCs/>
          <w:kern w:val="0"/>
          <w:lang w:val="zh-CN"/>
        </w:rPr>
        <w:t>法定代表人或委托代理人： （签字）</w:t>
      </w:r>
    </w:p>
    <w:p>
      <w:pPr>
        <w:autoSpaceDE w:val="0"/>
        <w:autoSpaceDN w:val="0"/>
        <w:adjustRightInd w:val="0"/>
        <w:ind w:firstLine="2686" w:firstLineChars="1274"/>
        <w:rPr>
          <w:rFonts w:hint="eastAsia" w:ascii="宋体" w:hAnsi="Cambria" w:cs="宋体" w:eastAsiaTheme="minorEastAsia"/>
          <w:b/>
          <w:bCs/>
          <w:kern w:val="0"/>
          <w:lang w:val="en-US" w:eastAsia="zh-CN"/>
        </w:rPr>
      </w:pPr>
      <w:r>
        <w:rPr>
          <w:rFonts w:hint="eastAsia" w:ascii="宋体" w:hAnsi="Cambria" w:cs="宋体"/>
          <w:b/>
          <w:bCs/>
          <w:kern w:val="0"/>
          <w:lang w:val="en-US" w:eastAsia="zh-CN"/>
        </w:rPr>
        <w:t xml:space="preserve"> </w:t>
      </w:r>
    </w:p>
    <w:p>
      <w:pPr>
        <w:autoSpaceDE w:val="0"/>
        <w:autoSpaceDN w:val="0"/>
        <w:adjustRightInd w:val="0"/>
        <w:ind w:firstLine="5117" w:firstLineChars="2427"/>
        <w:rPr>
          <w:rFonts w:ascii="宋体" w:hAnsi="Cambria" w:cs="宋体"/>
          <w:b/>
          <w:bCs/>
          <w:kern w:val="0"/>
          <w:lang w:val="zh-CN"/>
        </w:rPr>
      </w:pP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24"/>
    <w:p>
      <w:pPr>
        <w:widowControl/>
        <w:snapToGrid w:val="0"/>
        <w:spacing w:line="360" w:lineRule="auto"/>
        <w:outlineLvl w:val="1"/>
        <w:rPr>
          <w:rFonts w:ascii="宋体"/>
          <w:b/>
          <w:sz w:val="28"/>
          <w:szCs w:val="28"/>
        </w:rPr>
      </w:pPr>
      <w:bookmarkStart w:id="132" w:name="_Toc17663"/>
      <w:bookmarkStart w:id="133" w:name="_Toc2872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32"/>
      <w:bookmarkEnd w:id="13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rPr>
          <w:rFonts w:ascii="宋体"/>
          <w:b/>
          <w:sz w:val="28"/>
          <w:szCs w:val="28"/>
        </w:rPr>
      </w:pPr>
    </w:p>
    <w:p>
      <w:pPr>
        <w:widowControl/>
        <w:snapToGrid w:val="0"/>
        <w:spacing w:line="360" w:lineRule="auto"/>
        <w:outlineLvl w:val="1"/>
        <w:rPr>
          <w:rFonts w:ascii="宋体"/>
          <w:b/>
          <w:sz w:val="28"/>
          <w:szCs w:val="28"/>
        </w:rPr>
      </w:pPr>
      <w:bookmarkStart w:id="134" w:name="_Toc416363470"/>
      <w:bookmarkStart w:id="13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rPr>
          <w:rFonts w:ascii="宋体"/>
          <w:b/>
          <w:sz w:val="28"/>
          <w:szCs w:val="28"/>
          <w:lang w:val="zh-CN"/>
        </w:rPr>
      </w:pPr>
    </w:p>
    <w:p>
      <w:pPr>
        <w:rPr>
          <w:rFonts w:ascii="宋体"/>
          <w:b/>
          <w:sz w:val="28"/>
          <w:szCs w:val="28"/>
          <w:lang w:val="zh-CN"/>
        </w:rPr>
      </w:pPr>
    </w:p>
    <w:p>
      <w:pPr>
        <w:rPr>
          <w:rFonts w:ascii="宋体"/>
          <w:b/>
          <w:sz w:val="28"/>
          <w:szCs w:val="28"/>
          <w:lang w:val="zh-CN"/>
        </w:rPr>
      </w:pPr>
      <w:r>
        <w:rPr>
          <w:rFonts w:hint="eastAsia" w:ascii="宋体"/>
          <w:b/>
          <w:sz w:val="28"/>
          <w:szCs w:val="28"/>
          <w:lang w:val="zh-CN"/>
        </w:rPr>
        <w:t>附件16：</w:t>
      </w:r>
      <w:bookmarkEnd w:id="136"/>
      <w:r>
        <w:rPr>
          <w:rFonts w:hint="eastAsia" w:ascii="宋体"/>
          <w:b/>
          <w:sz w:val="28"/>
          <w:szCs w:val="28"/>
          <w:lang w:val="zh-CN"/>
        </w:rPr>
        <w:t>中小企业声明函（货物）</w:t>
      </w:r>
    </w:p>
    <w:p>
      <w:pPr>
        <w:widowControl/>
        <w:snapToGrid w:val="0"/>
        <w:spacing w:line="360" w:lineRule="auto"/>
        <w:outlineLvl w:val="1"/>
        <w:rPr>
          <w:rFonts w:ascii="宋体"/>
          <w:b/>
          <w:sz w:val="28"/>
          <w:szCs w:val="28"/>
          <w:lang w:val="zh-CN"/>
        </w:rPr>
      </w:pPr>
    </w:p>
    <w:p>
      <w:pPr>
        <w:rPr>
          <w:lang w:val="zh-CN"/>
        </w:rPr>
      </w:pPr>
    </w:p>
    <w:p>
      <w:pPr>
        <w:jc w:val="center"/>
        <w:rPr>
          <w:rFonts w:ascii="宋体" w:hAnsi="宋体"/>
          <w:b/>
          <w:sz w:val="36"/>
          <w:szCs w:val="36"/>
        </w:rPr>
      </w:pPr>
      <w:r>
        <w:rPr>
          <w:rFonts w:hint="eastAsia" w:ascii="宋体" w:hAnsi="宋体"/>
          <w:b/>
          <w:sz w:val="36"/>
          <w:szCs w:val="36"/>
        </w:rPr>
        <w:t>中小企业声明函（货物）</w:t>
      </w:r>
    </w:p>
    <w:p>
      <w:pPr>
        <w:ind w:firstLine="2367" w:firstLineChars="655"/>
        <w:rPr>
          <w:rFonts w:ascii="宋体" w:hAnsi="宋体"/>
          <w:b/>
          <w:sz w:val="36"/>
          <w:szCs w:val="36"/>
        </w:rPr>
      </w:pPr>
    </w:p>
    <w:p>
      <w:pPr>
        <w:spacing w:afterLines="50"/>
        <w:rPr>
          <w:rFonts w:ascii="宋体" w:hAnsi="宋体"/>
          <w:b/>
          <w:bCs/>
        </w:rPr>
      </w:pPr>
      <w:r>
        <w:rPr>
          <w:rFonts w:hint="eastAsia" w:ascii="宋体" w:hAnsi="宋体"/>
          <w:b/>
          <w:bCs/>
        </w:rPr>
        <w:t>致：海南州政府采购中心</w:t>
      </w:r>
    </w:p>
    <w:p>
      <w:pPr>
        <w:spacing w:line="360" w:lineRule="auto"/>
      </w:pPr>
    </w:p>
    <w:p>
      <w:pPr>
        <w:spacing w:line="360" w:lineRule="auto"/>
        <w:ind w:firstLine="480"/>
      </w:pPr>
      <w:r>
        <w:rPr>
          <w:rFonts w:hint="eastAsia"/>
        </w:rPr>
        <w:t>本公司（联合体） 郑重声明， 根据《政府采购促进中小企业发展管理办法》（财库﹝2020﹞46 号） 的规定， 本公司参加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从业人员人， 营业收入为万元， 资产总额为万元，属于</w:t>
      </w:r>
      <w:r>
        <w:rPr>
          <w:rFonts w:hint="eastAsia"/>
          <w:u w:val="single"/>
        </w:rPr>
        <w:t>（中型企业、 小型企业、 微型企业）</w:t>
      </w:r>
      <w:r>
        <w:rPr>
          <w:rFonts w:hint="eastAsia"/>
        </w:rPr>
        <w:t>；</w:t>
      </w:r>
    </w:p>
    <w:p>
      <w:pPr>
        <w:spacing w:line="360" w:lineRule="auto"/>
        <w:ind w:firstLine="480"/>
      </w:pPr>
      <w:r>
        <w:rPr>
          <w:rFonts w:hint="eastAsia"/>
        </w:rPr>
        <w:t>……</w:t>
      </w:r>
    </w:p>
    <w:p>
      <w:pPr>
        <w:spacing w:line="360" w:lineRule="auto"/>
        <w:ind w:firstLine="480"/>
      </w:pPr>
      <w:r>
        <w:rPr>
          <w:rFonts w:hint="eastAsia"/>
        </w:rPr>
        <w:t>本企业对上述声明内容的真实性负责。 如有虚假， 将依法承担相应责任。</w:t>
      </w:r>
    </w:p>
    <w:p>
      <w:pPr>
        <w:spacing w:line="360" w:lineRule="auto"/>
        <w:ind w:firstLine="480"/>
      </w:pPr>
    </w:p>
    <w:p>
      <w:pPr>
        <w:spacing w:line="360" w:lineRule="auto"/>
      </w:pPr>
      <w:r>
        <w:rPr>
          <w:rFonts w:hint="eastAsia"/>
        </w:rPr>
        <w:t>注：1、从业人员、营业收入、资产总额填报上一年度数据，无上一年度数据的新成立企业可不填报。</w:t>
      </w:r>
    </w:p>
    <w:p>
      <w:pPr>
        <w:spacing w:line="360" w:lineRule="auto"/>
        <w:ind w:firstLine="480"/>
      </w:pPr>
      <w:r>
        <w:rPr>
          <w:rFonts w:hint="eastAsia"/>
        </w:rPr>
        <w:t>2、</w:t>
      </w:r>
      <w:r>
        <w:rPr>
          <w:rFonts w:hint="eastAsia" w:ascii="宋体" w:hAnsi="宋体"/>
        </w:rPr>
        <w:t>若无此项内容，可不提供此函。</w:t>
      </w:r>
    </w:p>
    <w:p>
      <w:pPr>
        <w:spacing w:line="360" w:lineRule="auto"/>
      </w:pPr>
    </w:p>
    <w:p>
      <w:pPr>
        <w:spacing w:line="360" w:lineRule="auto"/>
        <w:ind w:right="480"/>
        <w:jc w:val="right"/>
        <w:rPr>
          <w:rFonts w:ascii="宋体" w:hAnsi="宋体"/>
          <w:b/>
        </w:rPr>
      </w:pPr>
      <w:r>
        <w:rPr>
          <w:rFonts w:hint="eastAsia" w:ascii="宋体" w:hAnsi="宋体"/>
          <w:b/>
        </w:rPr>
        <w:t>企业名称：（公章）</w:t>
      </w:r>
    </w:p>
    <w:p>
      <w:pPr>
        <w:spacing w:line="360" w:lineRule="auto"/>
        <w:ind w:firstLine="482"/>
        <w:jc w:val="right"/>
        <w:rPr>
          <w:rFonts w:ascii="宋体" w:hAnsi="宋体"/>
          <w:b/>
        </w:rPr>
      </w:pPr>
      <w:r>
        <w:rPr>
          <w:rFonts w:hint="eastAsia" w:ascii="宋体" w:hAnsi="宋体"/>
          <w:b/>
        </w:rPr>
        <w:t>企业法定代表人：（签字或盖章）</w:t>
      </w:r>
    </w:p>
    <w:p>
      <w:pPr>
        <w:ind w:right="480" w:firstLine="5271" w:firstLineChars="2500"/>
        <w:rPr>
          <w:rFonts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pStyle w:val="2"/>
        <w:jc w:val="both"/>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34"/>
      <w:r>
        <w:rPr>
          <w:rFonts w:hint="eastAsia" w:ascii="宋体"/>
          <w:b/>
          <w:sz w:val="28"/>
          <w:szCs w:val="28"/>
        </w:rPr>
        <w:t>磋商最终报价表</w:t>
      </w:r>
      <w:bookmarkEnd w:id="13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ascii="宋体" w:hAnsi="宋体"/>
                <w:b/>
              </w:rPr>
            </w:pPr>
            <w:r>
              <w:rPr>
                <w:rFonts w:hint="eastAsia" w:ascii="宋体" w:hAnsi="宋体"/>
                <w:b/>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投标人：（公章）</w:t>
      </w:r>
    </w:p>
    <w:p>
      <w:pPr>
        <w:ind w:firstLine="482"/>
        <w:jc w:val="center"/>
        <w:rPr>
          <w:rFonts w:ascii="宋体" w:hAnsi="宋体"/>
          <w:b/>
        </w:rPr>
      </w:pPr>
      <w:r>
        <w:rPr>
          <w:rFonts w:hint="eastAsia" w:ascii="宋体" w:hAnsi="宋体"/>
          <w:b/>
        </w:rPr>
        <w:t xml:space="preserve">     法定代表人或委托代理人：（签字或盖章）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37" w:name="_Toc325726051"/>
      <w:bookmarkStart w:id="138" w:name="_Toc376936782"/>
    </w:p>
    <w:p>
      <w:pPr>
        <w:keepNext/>
        <w:keepLines/>
        <w:widowControl/>
        <w:snapToGrid w:val="0"/>
        <w:spacing w:line="400" w:lineRule="atLeast"/>
        <w:jc w:val="center"/>
        <w:outlineLvl w:val="0"/>
        <w:rPr>
          <w:rFonts w:ascii="宋体"/>
          <w:b/>
          <w:kern w:val="28"/>
          <w:sz w:val="36"/>
          <w:szCs w:val="20"/>
        </w:rPr>
      </w:pPr>
      <w:bookmarkStart w:id="139" w:name="_Toc9737"/>
      <w:r>
        <w:rPr>
          <w:rFonts w:hint="eastAsia" w:ascii="宋体"/>
          <w:b/>
          <w:kern w:val="28"/>
          <w:sz w:val="36"/>
          <w:szCs w:val="20"/>
        </w:rPr>
        <w:t>第五部分  磋商及采购项目服务要求</w:t>
      </w:r>
      <w:bookmarkEnd w:id="137"/>
      <w:bookmarkEnd w:id="138"/>
      <w:bookmarkEnd w:id="139"/>
    </w:p>
    <w:p>
      <w:pPr>
        <w:widowControl/>
        <w:spacing w:beforeLines="200" w:afterLines="200"/>
        <w:jc w:val="center"/>
        <w:outlineLvl w:val="1"/>
        <w:rPr>
          <w:rFonts w:ascii="宋体" w:hAnsi="宋体"/>
          <w:b/>
          <w:bCs/>
          <w:kern w:val="0"/>
          <w:sz w:val="36"/>
          <w:szCs w:val="36"/>
        </w:rPr>
      </w:pPr>
      <w:bookmarkStart w:id="140" w:name="_Toc16906"/>
      <w:bookmarkStart w:id="141" w:name="_Toc376936783"/>
      <w:bookmarkStart w:id="142" w:name="_Toc325726052"/>
      <w:r>
        <w:rPr>
          <w:rFonts w:hint="eastAsia" w:ascii="宋体" w:hAnsi="宋体"/>
          <w:b/>
          <w:bCs/>
          <w:kern w:val="0"/>
          <w:sz w:val="36"/>
          <w:szCs w:val="36"/>
        </w:rPr>
        <w:t>一、磋商要求</w:t>
      </w:r>
      <w:bookmarkEnd w:id="140"/>
      <w:bookmarkEnd w:id="141"/>
      <w:bookmarkEnd w:id="142"/>
    </w:p>
    <w:p>
      <w:pPr>
        <w:widowControl/>
        <w:spacing w:before="100" w:beforeAutospacing="1" w:after="100" w:afterAutospacing="1"/>
        <w:ind w:firstLine="542"/>
        <w:jc w:val="left"/>
        <w:outlineLvl w:val="2"/>
        <w:rPr>
          <w:rFonts w:ascii="宋体" w:hAnsi="宋体"/>
          <w:b/>
          <w:bCs/>
          <w:kern w:val="0"/>
          <w:sz w:val="27"/>
          <w:szCs w:val="27"/>
        </w:rPr>
      </w:pPr>
      <w:bookmarkStart w:id="143" w:name="_Toc376936784"/>
      <w:bookmarkStart w:id="144" w:name="_Toc325726053"/>
      <w:r>
        <w:rPr>
          <w:rFonts w:hint="eastAsia" w:ascii="宋体" w:hAnsi="宋体"/>
          <w:b/>
          <w:bCs/>
          <w:kern w:val="0"/>
          <w:sz w:val="27"/>
          <w:szCs w:val="27"/>
        </w:rPr>
        <w:t>1、磋商说明</w:t>
      </w:r>
      <w:bookmarkEnd w:id="143"/>
      <w:bookmarkEnd w:id="14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45" w:name="_Toc26125"/>
      <w:bookmarkStart w:id="146" w:name="_Toc515908233"/>
      <w:r>
        <w:rPr>
          <w:rFonts w:hint="eastAsia" w:ascii="宋体" w:hAnsi="宋体" w:cs="宋体"/>
          <w:color w:val="000000"/>
          <w:sz w:val="28"/>
          <w:szCs w:val="28"/>
        </w:rPr>
        <w:t>2.</w:t>
      </w:r>
      <w:bookmarkEnd w:id="145"/>
      <w:bookmarkStart w:id="147" w:name="_Toc1475"/>
      <w:r>
        <w:rPr>
          <w:rFonts w:hint="eastAsia" w:ascii="宋体" w:hAnsi="宋体" w:cs="宋体"/>
          <w:color w:val="000000"/>
          <w:sz w:val="28"/>
          <w:szCs w:val="28"/>
          <w:lang w:val="zh-CN"/>
        </w:rPr>
        <w:t>重要指标</w:t>
      </w:r>
      <w:bookmarkEnd w:id="146"/>
      <w:bookmarkEnd w:id="147"/>
    </w:p>
    <w:p>
      <w:pPr>
        <w:autoSpaceDE w:val="0"/>
        <w:autoSpaceDN w:val="0"/>
        <w:spacing w:line="360" w:lineRule="auto"/>
        <w:ind w:firstLine="420" w:firstLineChars="200"/>
        <w:rPr>
          <w:rFonts w:ascii="宋体" w:hAnsi="宋体" w:cs="宋体"/>
          <w:color w:val="000000"/>
        </w:rPr>
      </w:pPr>
      <w:bookmarkStart w:id="148" w:name="_Toc18880"/>
      <w:r>
        <w:rPr>
          <w:rFonts w:hint="eastAsia" w:ascii="宋体" w:hAnsi="宋体" w:cs="宋体"/>
          <w:color w:val="000000"/>
          <w:kern w:val="0"/>
        </w:rPr>
        <w:t>2</w:t>
      </w:r>
      <w:r>
        <w:rPr>
          <w:rFonts w:hint="eastAsia" w:ascii="宋体" w:hAnsi="宋体" w:cs="宋体"/>
          <w:color w:val="000000"/>
          <w:kern w:val="0"/>
          <w:lang w:val="zh-CN"/>
        </w:rPr>
        <w:t>.1技术参数中除注明签订合同时提供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4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48"/>
      <w:bookmarkEnd w:id="149"/>
    </w:p>
    <w:p>
      <w:pPr>
        <w:autoSpaceDE w:val="0"/>
        <w:autoSpaceDN w:val="0"/>
        <w:spacing w:line="360" w:lineRule="auto"/>
        <w:ind w:firstLine="420" w:firstLineChars="200"/>
        <w:rPr>
          <w:rFonts w:ascii="宋体" w:hAnsi="宋体"/>
        </w:rPr>
      </w:pPr>
      <w:r>
        <w:rPr>
          <w:rFonts w:hint="eastAsia" w:ascii="宋体" w:hAnsi="宋体" w:cs="宋体"/>
          <w:color w:val="000000"/>
          <w:kern w:val="0"/>
        </w:rPr>
        <w:t>3</w:t>
      </w:r>
      <w:r>
        <w:rPr>
          <w:rFonts w:hint="eastAsia" w:ascii="宋体" w:hAnsi="宋体" w:cs="宋体"/>
          <w:color w:val="FF0000"/>
          <w:kern w:val="0"/>
          <w:lang w:val="zh-CN"/>
        </w:rPr>
        <w:t>.</w:t>
      </w:r>
      <w:r>
        <w:rPr>
          <w:rFonts w:hint="eastAsia" w:ascii="宋体" w:hAnsi="宋体"/>
          <w:lang w:val="zh-CN"/>
        </w:rPr>
        <w:t>1.交货时间：签订采购合同</w:t>
      </w:r>
      <w:r>
        <w:rPr>
          <w:rFonts w:hint="eastAsia" w:ascii="宋体" w:hAnsi="宋体"/>
        </w:rPr>
        <w:t>30日内安装交付使用</w:t>
      </w:r>
    </w:p>
    <w:p>
      <w:pPr>
        <w:autoSpaceDE w:val="0"/>
        <w:autoSpaceDN w:val="0"/>
        <w:spacing w:line="360" w:lineRule="auto"/>
        <w:ind w:firstLine="420" w:firstLineChars="200"/>
        <w:rPr>
          <w:rFonts w:ascii="宋体" w:hAnsi="宋体"/>
          <w:lang w:val="zh-CN"/>
        </w:rPr>
      </w:pPr>
      <w:r>
        <w:rPr>
          <w:rFonts w:hint="eastAsia" w:ascii="宋体" w:hAnsi="宋体"/>
        </w:rPr>
        <w:t>3</w:t>
      </w:r>
      <w:r>
        <w:rPr>
          <w:rFonts w:hint="eastAsia" w:ascii="宋体" w:hAnsi="宋体"/>
          <w:lang w:val="zh-CN"/>
        </w:rPr>
        <w:t xml:space="preserve">.2.交货地点：交付甲方指定地方 </w:t>
      </w:r>
    </w:p>
    <w:p>
      <w:pPr>
        <w:pStyle w:val="2"/>
        <w:rPr>
          <w:lang w:val="zh-CN"/>
        </w:rPr>
      </w:pPr>
      <w:r>
        <w:rPr>
          <w:lang w:val="zh-CN"/>
        </w:rPr>
        <w:br w:type="page"/>
      </w:r>
    </w:p>
    <w:p>
      <w:pPr>
        <w:adjustRightInd w:val="0"/>
        <w:spacing w:line="360" w:lineRule="auto"/>
        <w:jc w:val="center"/>
        <w:textAlignment w:val="baseline"/>
        <w:rPr>
          <w:rFonts w:ascii="宋体" w:hAnsi="宋体" w:cs="宋体"/>
          <w:b/>
          <w:sz w:val="48"/>
          <w:szCs w:val="48"/>
          <w:lang w:val="zh-CN"/>
        </w:rPr>
      </w:pPr>
      <w:r>
        <w:rPr>
          <w:rFonts w:hint="eastAsia" w:ascii="宋体" w:hAnsi="宋体" w:cs="宋体"/>
          <w:b/>
          <w:sz w:val="48"/>
          <w:szCs w:val="48"/>
          <w:lang w:val="zh-CN"/>
        </w:rPr>
        <w:t>海南州人大常委会会议室、党员活动室及代表之家改造项目参数</w:t>
      </w:r>
    </w:p>
    <w:p>
      <w:pPr>
        <w:autoSpaceDE w:val="0"/>
        <w:autoSpaceDN w:val="0"/>
        <w:spacing w:line="360" w:lineRule="auto"/>
        <w:ind w:firstLine="420" w:firstLineChars="200"/>
        <w:rPr>
          <w:rFonts w:ascii="宋体" w:hAnsi="宋体"/>
          <w:lang w:val="zh-CN"/>
        </w:rPr>
      </w:pPr>
    </w:p>
    <w:tbl>
      <w:tblPr>
        <w:tblStyle w:val="19"/>
        <w:tblW w:w="8010" w:type="dxa"/>
        <w:tblInd w:w="93" w:type="dxa"/>
        <w:tblLayout w:type="fixed"/>
        <w:tblCellMar>
          <w:top w:w="0" w:type="dxa"/>
          <w:left w:w="108" w:type="dxa"/>
          <w:bottom w:w="0" w:type="dxa"/>
          <w:right w:w="108" w:type="dxa"/>
        </w:tblCellMar>
      </w:tblPr>
      <w:tblGrid>
        <w:gridCol w:w="610"/>
        <w:gridCol w:w="17"/>
        <w:gridCol w:w="1133"/>
        <w:gridCol w:w="458"/>
        <w:gridCol w:w="4359"/>
        <w:gridCol w:w="16"/>
        <w:gridCol w:w="684"/>
        <w:gridCol w:w="726"/>
        <w:gridCol w:w="7"/>
      </w:tblGrid>
      <w:tr>
        <w:tblPrEx>
          <w:tblCellMar>
            <w:top w:w="0" w:type="dxa"/>
            <w:left w:w="108" w:type="dxa"/>
            <w:bottom w:w="0" w:type="dxa"/>
            <w:right w:w="108" w:type="dxa"/>
          </w:tblCellMar>
        </w:tblPrEx>
        <w:trPr>
          <w:gridAfter w:val="1"/>
          <w:wAfter w:w="7" w:type="dxa"/>
          <w:trHeight w:val="740" w:hRule="atLeast"/>
        </w:trPr>
        <w:tc>
          <w:tcPr>
            <w:tcW w:w="8003" w:type="dxa"/>
            <w:gridSpan w:val="8"/>
            <w:tcBorders>
              <w:top w:val="nil"/>
              <w:left w:val="nil"/>
              <w:bottom w:val="nil"/>
              <w:right w:val="nil"/>
            </w:tcBorders>
            <w:shd w:val="clear" w:color="auto" w:fill="auto"/>
            <w:vAlign w:val="center"/>
          </w:tcPr>
          <w:p>
            <w:pPr>
              <w:widowControl/>
              <w:jc w:val="center"/>
              <w:textAlignment w:val="center"/>
              <w:rPr>
                <w:rFonts w:ascii="微软雅黑 Light" w:hAnsi="微软雅黑 Light" w:eastAsia="微软雅黑 Light" w:cs="微软雅黑 Light"/>
                <w:color w:val="000000"/>
                <w:sz w:val="18"/>
                <w:szCs w:val="18"/>
              </w:rPr>
            </w:pPr>
            <w:r>
              <w:rPr>
                <w:rFonts w:hint="eastAsia" w:ascii="微软雅黑 Light" w:hAnsi="微软雅黑 Light" w:eastAsia="微软雅黑 Light" w:cs="微软雅黑 Light"/>
                <w:color w:val="000000"/>
                <w:kern w:val="0"/>
                <w:sz w:val="30"/>
                <w:szCs w:val="30"/>
              </w:rPr>
              <w:t>会议室LED大屏</w:t>
            </w:r>
          </w:p>
        </w:tc>
      </w:tr>
      <w:tr>
        <w:tblPrEx>
          <w:tblCellMar>
            <w:top w:w="0" w:type="dxa"/>
            <w:left w:w="108" w:type="dxa"/>
            <w:bottom w:w="0" w:type="dxa"/>
            <w:right w:w="108" w:type="dxa"/>
          </w:tblCellMar>
        </w:tblPrEx>
        <w:trPr>
          <w:gridAfter w:val="1"/>
          <w:wAfter w:w="7" w:type="dxa"/>
          <w:trHeight w:val="300" w:hRule="atLeast"/>
        </w:trPr>
        <w:tc>
          <w:tcPr>
            <w:tcW w:w="62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13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品</w:t>
            </w:r>
            <w:r>
              <w:rPr>
                <w:rStyle w:val="57"/>
                <w:rFonts w:hint="default"/>
              </w:rPr>
              <w:t>名</w:t>
            </w:r>
          </w:p>
        </w:tc>
        <w:tc>
          <w:tcPr>
            <w:tcW w:w="4817"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型号及规格</w:t>
            </w:r>
          </w:p>
        </w:tc>
        <w:tc>
          <w:tcPr>
            <w:tcW w:w="700"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gridAfter w:val="1"/>
          <w:wAfter w:w="7" w:type="dxa"/>
          <w:trHeight w:val="1050" w:hRule="atLeast"/>
        </w:trPr>
        <w:tc>
          <w:tcPr>
            <w:tcW w:w="6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133"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小间距LED显示屏7.2平方</w:t>
            </w:r>
          </w:p>
        </w:tc>
        <w:tc>
          <w:tcPr>
            <w:tcW w:w="4817" w:type="dxa"/>
            <w:gridSpan w:val="2"/>
            <w:vMerge w:val="restart"/>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1、像素点间距 1.66±0.05mm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2、像素构成   1R1G1B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3、像素密度  单元大小为320mm×160mm的像素密度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4、结构  LED显示屏显示部分结构可采用钢、铝、镀锌方管、塑料等材料，结构安全坚固。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5、显示效果  4K超清显示、色温均匀性好、亮度匀性好，对比度高、色域广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6、控制方式  同步控制系统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7、供电方式  支持电源均流DC4.2V～DC4.5V供电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8、整屏平整度 ≤0.1mm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9、模组平整度 ≤0.03mm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10、拼接缝  ≤0.03mm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11、模组结构 灯驱合一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12、单元板分辨率 18432Dots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13、亮度  ≥600Cd/m²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14、亮度均匀性 ≥98%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15、亮度调节 支持亮度调节功能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16、水平视角 ≥160°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17、垂直视角 ≥160°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18、对比度  ≥7000：1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19、刷新率  刷新率达到3840Hz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20、画面延时 ≤500ns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21、噪声  1m范围内，测试4个位置（前后左右）噪音不大于2dB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22、信噪比  ≥47dB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23、换帧频率 60Hz，支持120Hz等3D显示技术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24、峰值功耗 ≤400W/m²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25、输入电压 4.2±0.1V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26、最大电流 ≤5A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27、模组表面绝缘 绝缘电阻应为5000MΩ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28、平均无故障时间 MTBF平均无故障时间≥20000h；MTTR平均修复时间≤20分钟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29、一键点屏  支持一键点屏技术，开机后自动识别系统连接，无需重置系统配置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（提供第三方证明材料，并加盖原厂公章）</w:t>
            </w:r>
          </w:p>
        </w:tc>
        <w:tc>
          <w:tcPr>
            <w:tcW w:w="700"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w:t>
            </w:r>
          </w:p>
        </w:tc>
        <w:tc>
          <w:tcPr>
            <w:tcW w:w="726" w:type="dxa"/>
            <w:vMerge w:val="restart"/>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24"/>
              </w:rPr>
            </w:pPr>
            <w:r>
              <w:rPr>
                <w:rFonts w:hint="eastAsia" w:ascii="宋体" w:hAnsi="宋体" w:eastAsia="宋体" w:cs="宋体"/>
                <w:color w:val="000000"/>
                <w:sz w:val="24"/>
              </w:rPr>
              <w:t>7.2</w:t>
            </w: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6" w:type="dxa"/>
            <w:vMerge w:val="continue"/>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2025" w:hRule="atLeast"/>
        </w:trPr>
        <w:tc>
          <w:tcPr>
            <w:tcW w:w="6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13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控制接收系统</w:t>
            </w:r>
          </w:p>
        </w:tc>
        <w:tc>
          <w:tcPr>
            <w:tcW w:w="4817" w:type="dxa"/>
            <w:gridSpan w:val="2"/>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1.集成HUB320。</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2.单卡支持32组RGB信号并行输出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3.单卡最大带载512×384像素点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4.支持色度、亮度一体化逐点校正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5.支持低亮高灰以及色温调节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6.支持修缝技术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7.支持任意抽行抽列抽点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8.快速升级和快速发送校正系数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9.支持网线检测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10.支持1~1/64扫之间的任意扫描类型，支持595等串行译码扫描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11.支持任意抽点，支持数据偏移，可轻松实现异型屏、球形屏等创意显示屏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12.支持DC3.3V~6V超宽工作电压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提供厂家售后服务承诺书和项目授权书；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为保证信号传输的稳定性，接收卡需支持一帧延迟，发送端到显示端延迟达到一帧（并提供CNAS、ilac-MRA的第三方厂家盖章检测报告）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为保证接收卡能够持久运行，需具有电击和能量危险的防护（并提供CMA、CNAS、ilac-MRA的第三方厂家盖章检测报告）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为保证显示屏整体亮度的一致性，接收卡需支持一键修缝功能（并提供CNAS、ilac-MRA的第三方厂家盖章检测报告）</w:t>
            </w:r>
          </w:p>
        </w:tc>
        <w:tc>
          <w:tcPr>
            <w:tcW w:w="700"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72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28</w:t>
            </w: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2380"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480"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4"/>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1305" w:hRule="atLeast"/>
        </w:trPr>
        <w:tc>
          <w:tcPr>
            <w:tcW w:w="6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13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视频处理器</w:t>
            </w:r>
          </w:p>
        </w:tc>
        <w:tc>
          <w:tcPr>
            <w:tcW w:w="4817" w:type="dxa"/>
            <w:gridSpan w:val="2"/>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1.支持1路DP1.4、1路HDMI2.0输入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2.支持2路HDMI1.4和2路DVI输入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3.支持最大带载1048万像素，最宽16384像素，或最高8192像素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4.支持最大输入分辨率4096×2160@60Hz，支持自定义分辨率设置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5.支持16路千兆网口输出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6.支持对视频信号任意切换，裁剪，拼接，缩放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7.支持6画面显示，位置，大小可自由调节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8.支持精确颜色管理，调整显示屏色域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9.支持视频同步锁相技术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10.支持独立音频输入输出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11.支持HDMI和DP音频解析输出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12.支持LAN口控制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13.支持手机端APP控制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14.支持RS232串口协议控制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15.支持主动式3D显示功能（选配）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16.支持HDCP协议的高带宽数字内容保护技术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17.支持亮度和色温调节</w:t>
            </w:r>
            <w:r>
              <w:rPr>
                <w:rStyle w:val="58"/>
                <w:rFonts w:eastAsia="宋体"/>
              </w:rPr>
              <w:t></w:t>
            </w:r>
            <w:r>
              <w:rPr>
                <w:rStyle w:val="39"/>
              </w:rPr>
              <w:t>支持精确颜色管理，调整显示屏色域</w:t>
            </w:r>
            <w:r>
              <w:rPr>
                <w:rStyle w:val="39"/>
              </w:rPr>
              <w:br w:type="textWrapping"/>
            </w:r>
            <w:r>
              <w:rPr>
                <w:rStyle w:val="39"/>
              </w:rPr>
              <w:t>18.支持视频同步锁相技术</w:t>
            </w:r>
            <w:r>
              <w:rPr>
                <w:rStyle w:val="39"/>
              </w:rPr>
              <w:br w:type="textWrapping"/>
            </w:r>
            <w:r>
              <w:rPr>
                <w:rStyle w:val="39"/>
              </w:rPr>
              <w:t>19.支持独立音频输入输出</w:t>
            </w:r>
            <w:r>
              <w:rPr>
                <w:rStyle w:val="39"/>
              </w:rPr>
              <w:br w:type="textWrapping"/>
            </w:r>
            <w:r>
              <w:rPr>
                <w:rStyle w:val="39"/>
              </w:rPr>
              <w:t>20.支持HDMI和DP音频解析输出</w:t>
            </w:r>
            <w:r>
              <w:rPr>
                <w:rStyle w:val="39"/>
              </w:rPr>
              <w:br w:type="textWrapping"/>
            </w:r>
            <w:r>
              <w:rPr>
                <w:rStyle w:val="39"/>
              </w:rPr>
              <w:t>21.支持LAN口控制</w:t>
            </w:r>
            <w:r>
              <w:rPr>
                <w:rStyle w:val="39"/>
              </w:rPr>
              <w:br w:type="textWrapping"/>
            </w:r>
            <w:r>
              <w:rPr>
                <w:rStyle w:val="39"/>
              </w:rPr>
              <w:t>22.支持手机端APP控制</w:t>
            </w:r>
            <w:r>
              <w:rPr>
                <w:rStyle w:val="39"/>
              </w:rPr>
              <w:br w:type="textWrapping"/>
            </w:r>
            <w:r>
              <w:rPr>
                <w:rStyle w:val="39"/>
              </w:rPr>
              <w:t>23.支持RS232串口协议控制</w:t>
            </w:r>
            <w:r>
              <w:rPr>
                <w:rStyle w:val="39"/>
              </w:rPr>
              <w:br w:type="textWrapping"/>
            </w:r>
            <w:r>
              <w:rPr>
                <w:rStyle w:val="39"/>
              </w:rPr>
              <w:t>24.支持主动式3D显示功能</w:t>
            </w:r>
            <w:r>
              <w:rPr>
                <w:rStyle w:val="39"/>
              </w:rPr>
              <w:br w:type="textWrapping"/>
            </w:r>
            <w:r>
              <w:rPr>
                <w:rStyle w:val="39"/>
              </w:rPr>
              <w:t>25.支持HDCP协议的高带宽数字内容保护技术</w:t>
            </w:r>
            <w:r>
              <w:rPr>
                <w:rStyle w:val="39"/>
              </w:rPr>
              <w:br w:type="textWrapping"/>
            </w:r>
            <w:r>
              <w:rPr>
                <w:rStyle w:val="39"/>
              </w:rPr>
              <w:t>26.支持亮度和色温调节</w:t>
            </w:r>
            <w:r>
              <w:rPr>
                <w:rStyle w:val="39"/>
              </w:rPr>
              <w:br w:type="textWrapping"/>
            </w:r>
            <w:r>
              <w:rPr>
                <w:rStyle w:val="39"/>
              </w:rPr>
              <w:t>须提供设备生产商针对本项目的授权和售后服务承诺函（加盖厂家公章）。</w:t>
            </w:r>
            <w:r>
              <w:rPr>
                <w:rStyle w:val="39"/>
              </w:rPr>
              <w:br w:type="textWrapping"/>
            </w:r>
            <w:r>
              <w:rPr>
                <w:rStyle w:val="39"/>
              </w:rPr>
              <w:t>视频控制设备可支持250N恒定作用力，外部防护罩可承受250N+10N的恒定作用力持续5S（提供厂家盖公章CMA、CNAS第三方检测报告）</w:t>
            </w:r>
            <w:r>
              <w:rPr>
                <w:rStyle w:val="39"/>
              </w:rPr>
              <w:br w:type="textWrapping"/>
            </w:r>
            <w:r>
              <w:rPr>
                <w:rStyle w:val="39"/>
              </w:rPr>
              <w:t>通过该发送可调试显示屏的色域坐标显 示不同坐标值色温，进行精确颜色管理;可 任意改变 0-255 灰阶不同灰度值的亮度显示 并进行任意调节;色温调整精度在 100K 以 内   （提供厂家盖公章CMA、CNAS第三方检测报告）</w:t>
            </w:r>
            <w:r>
              <w:rPr>
                <w:rStyle w:val="39"/>
              </w:rPr>
              <w:br w:type="textWrapping"/>
            </w:r>
            <w:r>
              <w:rPr>
                <w:rStyle w:val="39"/>
              </w:rPr>
              <w:t>视频控制设备可支持EUT的连接方法（提供厂家盖公章CMA、CNAS第三方检测报告）</w:t>
            </w:r>
            <w:r>
              <w:rPr>
                <w:rStyle w:val="39"/>
              </w:rPr>
              <w:br w:type="textWrapping"/>
            </w:r>
            <w:r>
              <w:rPr>
                <w:rStyle w:val="39"/>
              </w:rPr>
              <w:t>为高效兼容交流电网电源的连接方式，视频控制设备可支持与交流电网电源的单独连接（提供厂家盖公章CMA、CNAS第三方检测报告）</w:t>
            </w:r>
            <w:r>
              <w:rPr>
                <w:rStyle w:val="39"/>
              </w:rPr>
              <w:br w:type="textWrapping"/>
            </w:r>
            <w:r>
              <w:rPr>
                <w:rStyle w:val="39"/>
              </w:rPr>
              <w:t>可在局域网内实现通过 web 控制设备，支持 Windows、macOS、Linux、麒麟系统、 Android、iOS 等系统平台，支持电脑、平板、 手机等多种硬件平台。 （提供厂家盖公章CMA、CNAS第三方检测报告）</w:t>
            </w:r>
            <w:r>
              <w:rPr>
                <w:rStyle w:val="39"/>
              </w:rPr>
              <w:br w:type="textWrapping"/>
            </w:r>
            <w:r>
              <w:rPr>
                <w:rStyle w:val="39"/>
              </w:rPr>
              <w:t>可稳定的兼容显卡，网络盒子，会议系统， 拼接器，DVD，信号发生器等多种信号源 （提供厂家盖公章CMA、CNAS第三方检测报告）</w:t>
            </w:r>
            <w:r>
              <w:rPr>
                <w:rStyle w:val="39"/>
              </w:rPr>
              <w:br w:type="textWrapping"/>
            </w:r>
            <w:r>
              <w:rPr>
                <w:rStyle w:val="39"/>
              </w:rPr>
              <w:t>支持通过网络控制设备，支持 TCP 和 UDP   （提供厂家盖公章CMA、CNAS第三方检测报告</w:t>
            </w:r>
          </w:p>
        </w:tc>
        <w:tc>
          <w:tcPr>
            <w:tcW w:w="700"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2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940"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840" w:hRule="atLeast"/>
        </w:trPr>
        <w:tc>
          <w:tcPr>
            <w:tcW w:w="6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113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电源</w:t>
            </w:r>
          </w:p>
        </w:tc>
        <w:tc>
          <w:tcPr>
            <w:tcW w:w="4817" w:type="dxa"/>
            <w:gridSpan w:val="2"/>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r>
              <w:rPr>
                <w:rStyle w:val="39"/>
              </w:rPr>
              <w:t>、工作温度</w:t>
            </w:r>
            <w:r>
              <w:rPr>
                <w:rStyle w:val="40"/>
                <w:rFonts w:hint="default"/>
              </w:rPr>
              <w:t xml:space="preserve"> -40℃-+70℃ </w:t>
            </w:r>
            <w:r>
              <w:rPr>
                <w:rStyle w:val="40"/>
                <w:rFonts w:hint="default"/>
              </w:rPr>
              <w:br w:type="textWrapping"/>
            </w:r>
            <w:r>
              <w:rPr>
                <w:rStyle w:val="40"/>
                <w:rFonts w:hint="default"/>
              </w:rPr>
              <w:t>2</w:t>
            </w:r>
            <w:r>
              <w:rPr>
                <w:rStyle w:val="39"/>
              </w:rPr>
              <w:t>、低温启动特性</w:t>
            </w:r>
            <w:r>
              <w:rPr>
                <w:rStyle w:val="40"/>
                <w:rFonts w:hint="default"/>
              </w:rPr>
              <w:t xml:space="preserve"> -40℃</w:t>
            </w:r>
            <w:r>
              <w:rPr>
                <w:rStyle w:val="39"/>
              </w:rPr>
              <w:t>，</w:t>
            </w:r>
            <w:r>
              <w:rPr>
                <w:rStyle w:val="40"/>
                <w:rFonts w:hint="default"/>
              </w:rPr>
              <w:t xml:space="preserve">220Vac </w:t>
            </w:r>
            <w:r>
              <w:rPr>
                <w:rStyle w:val="39"/>
              </w:rPr>
              <w:t>输入</w:t>
            </w:r>
            <w:r>
              <w:rPr>
                <w:rStyle w:val="40"/>
                <w:rFonts w:hint="default"/>
              </w:rPr>
              <w:t>,</w:t>
            </w:r>
            <w:r>
              <w:rPr>
                <w:rStyle w:val="39"/>
              </w:rPr>
              <w:t>热机</w:t>
            </w:r>
            <w:r>
              <w:rPr>
                <w:rStyle w:val="40"/>
                <w:rFonts w:hint="default"/>
              </w:rPr>
              <w:t xml:space="preserve"> 5 </w:t>
            </w:r>
            <w:r>
              <w:rPr>
                <w:rStyle w:val="39"/>
              </w:rPr>
              <w:t>分钟，带载</w:t>
            </w:r>
            <w:r>
              <w:rPr>
                <w:rStyle w:val="40"/>
                <w:rFonts w:hint="default"/>
              </w:rPr>
              <w:t xml:space="preserve"> 50A</w:t>
            </w:r>
            <w:r>
              <w:rPr>
                <w:rStyle w:val="39"/>
              </w:rPr>
              <w:t>，可以启动</w:t>
            </w:r>
            <w:r>
              <w:rPr>
                <w:rStyle w:val="40"/>
                <w:rFonts w:hint="default"/>
              </w:rPr>
              <w:br w:type="textWrapping"/>
            </w:r>
            <w:r>
              <w:rPr>
                <w:rStyle w:val="40"/>
                <w:rFonts w:hint="default"/>
              </w:rPr>
              <w:t>3</w:t>
            </w:r>
            <w:r>
              <w:rPr>
                <w:rStyle w:val="39"/>
              </w:rPr>
              <w:t>、储存温度</w:t>
            </w:r>
            <w:r>
              <w:rPr>
                <w:rStyle w:val="40"/>
                <w:rFonts w:hint="default"/>
              </w:rPr>
              <w:t xml:space="preserve">  -40℃-85℃</w:t>
            </w:r>
            <w:r>
              <w:rPr>
                <w:rStyle w:val="40"/>
                <w:rFonts w:hint="default"/>
              </w:rPr>
              <w:br w:type="textWrapping"/>
            </w:r>
            <w:r>
              <w:rPr>
                <w:rStyle w:val="40"/>
                <w:rFonts w:hint="default"/>
              </w:rPr>
              <w:t>4</w:t>
            </w:r>
            <w:r>
              <w:rPr>
                <w:rStyle w:val="39"/>
              </w:rPr>
              <w:t>、散热方式自然对流散热，需紧贴客户金属机箱外壳散热</w:t>
            </w:r>
            <w:r>
              <w:rPr>
                <w:rStyle w:val="40"/>
                <w:rFonts w:hint="default"/>
              </w:rPr>
              <w:br w:type="textWrapping"/>
            </w:r>
            <w:r>
              <w:rPr>
                <w:rStyle w:val="40"/>
                <w:rFonts w:hint="default"/>
              </w:rPr>
              <w:t>5</w:t>
            </w:r>
            <w:r>
              <w:rPr>
                <w:rStyle w:val="39"/>
              </w:rPr>
              <w:t>、短路保护可长期短路，消除短路后自动恢复工作</w:t>
            </w:r>
            <w:r>
              <w:rPr>
                <w:rStyle w:val="40"/>
                <w:rFonts w:hint="default"/>
              </w:rPr>
              <w:br w:type="textWrapping"/>
            </w:r>
            <w:r>
              <w:rPr>
                <w:rStyle w:val="40"/>
                <w:rFonts w:hint="default"/>
              </w:rPr>
              <w:t>6</w:t>
            </w:r>
            <w:r>
              <w:rPr>
                <w:rStyle w:val="39"/>
              </w:rPr>
              <w:t>、过流保护</w:t>
            </w:r>
            <w:r>
              <w:rPr>
                <w:rStyle w:val="40"/>
                <w:rFonts w:hint="default"/>
              </w:rPr>
              <w:t xml:space="preserve"> 60~80A </w:t>
            </w:r>
            <w:r>
              <w:rPr>
                <w:rStyle w:val="39"/>
              </w:rPr>
              <w:t>故障消除后自动恢复</w:t>
            </w:r>
            <w:r>
              <w:rPr>
                <w:rStyle w:val="40"/>
                <w:rFonts w:hint="default"/>
              </w:rPr>
              <w:br w:type="textWrapping"/>
            </w:r>
            <w:r>
              <w:rPr>
                <w:rStyle w:val="40"/>
                <w:rFonts w:hint="default"/>
              </w:rPr>
              <w:t>7</w:t>
            </w:r>
            <w:r>
              <w:rPr>
                <w:rStyle w:val="39"/>
              </w:rPr>
              <w:t>、工作额定输出电压</w:t>
            </w:r>
            <w:r>
              <w:rPr>
                <w:rStyle w:val="40"/>
                <w:rFonts w:hint="default"/>
              </w:rPr>
              <w:t xml:space="preserve"> V1:+4.2Vdc</w:t>
            </w:r>
            <w:r>
              <w:rPr>
                <w:rStyle w:val="40"/>
                <w:rFonts w:hint="default"/>
              </w:rPr>
              <w:br w:type="textWrapping"/>
            </w:r>
            <w:r>
              <w:rPr>
                <w:rStyle w:val="40"/>
                <w:rFonts w:hint="default"/>
              </w:rPr>
              <w:t>8</w:t>
            </w:r>
            <w:r>
              <w:rPr>
                <w:rStyle w:val="39"/>
              </w:rPr>
              <w:t>、额定输出电流范围</w:t>
            </w:r>
            <w:r>
              <w:rPr>
                <w:rStyle w:val="40"/>
                <w:rFonts w:hint="default"/>
              </w:rPr>
              <w:t xml:space="preserve"> 0</w:t>
            </w:r>
            <w:r>
              <w:rPr>
                <w:rStyle w:val="39"/>
              </w:rPr>
              <w:t>～</w:t>
            </w:r>
            <w:r>
              <w:rPr>
                <w:rStyle w:val="40"/>
                <w:rFonts w:hint="default"/>
              </w:rPr>
              <w:t>50.0A</w:t>
            </w:r>
          </w:p>
        </w:tc>
        <w:tc>
          <w:tcPr>
            <w:tcW w:w="700"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2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Times New Roman" w:hAnsi="Times New Roman" w:eastAsia="宋体" w:cs="Times New Roman"/>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Times New Roman" w:hAnsi="Times New Roman" w:eastAsia="宋体" w:cs="Times New Roman"/>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Times New Roman" w:hAnsi="Times New Roman" w:eastAsia="宋体" w:cs="Times New Roman"/>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Times New Roman" w:hAnsi="Times New Roman" w:eastAsia="宋体" w:cs="Times New Roman"/>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Times New Roman" w:hAnsi="Times New Roman" w:eastAsia="宋体" w:cs="Times New Roman"/>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Times New Roman" w:hAnsi="Times New Roman" w:eastAsia="宋体" w:cs="Times New Roman"/>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720"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ascii="Times New Roman" w:hAnsi="Times New Roman" w:eastAsia="宋体" w:cs="Times New Roman"/>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1560" w:hRule="atLeast"/>
        </w:trPr>
        <w:tc>
          <w:tcPr>
            <w:tcW w:w="6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113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配电柜</w:t>
            </w:r>
          </w:p>
        </w:tc>
        <w:tc>
          <w:tcPr>
            <w:tcW w:w="4817" w:type="dxa"/>
            <w:gridSpan w:val="2"/>
            <w:vMerge w:val="restart"/>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1、安全性 内部线材均采用10平方国标纯铜导线；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2、双重开关控制 具备自动/手动控制设备供电的开启和关闭；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3、多组输出回路 每组可独立控制，如照明输出、风机/空调输出分路、显示屏输出分路分开控制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4、上电保护功能 具有延时启动、浪涌保护、防雷、过流、短路等保护功能；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5、功能性检测 具有电源状态指示、运行状态指示、风机、空调指示、检修多功能插座及检修照明开关；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6、额定工作电压 380V/220</w:t>
            </w:r>
          </w:p>
        </w:tc>
        <w:tc>
          <w:tcPr>
            <w:tcW w:w="700" w:type="dxa"/>
            <w:gridSpan w:val="2"/>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72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312" w:hRule="atLeast"/>
        </w:trPr>
        <w:tc>
          <w:tcPr>
            <w:tcW w:w="62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13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4817" w:type="dxa"/>
            <w:gridSpan w:val="2"/>
            <w:vMerge w:val="continue"/>
            <w:tcBorders>
              <w:top w:val="nil"/>
              <w:left w:val="nil"/>
              <w:bottom w:val="nil"/>
              <w:right w:val="single" w:color="000000" w:sz="8" w:space="0"/>
            </w:tcBorders>
            <w:shd w:val="clear" w:color="auto" w:fill="auto"/>
            <w:vAlign w:val="center"/>
          </w:tcPr>
          <w:p>
            <w:pPr>
              <w:jc w:val="left"/>
              <w:rPr>
                <w:rFonts w:ascii="宋体" w:hAnsi="宋体" w:eastAsia="宋体" w:cs="宋体"/>
                <w:color w:val="000000"/>
                <w:szCs w:val="21"/>
              </w:rPr>
            </w:pPr>
          </w:p>
        </w:tc>
        <w:tc>
          <w:tcPr>
            <w:tcW w:w="70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726"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After w:val="1"/>
          <w:wAfter w:w="7" w:type="dxa"/>
          <w:trHeight w:val="2777" w:hRule="atLeast"/>
        </w:trPr>
        <w:tc>
          <w:tcPr>
            <w:tcW w:w="627"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11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钢结构</w:t>
            </w:r>
          </w:p>
        </w:tc>
        <w:tc>
          <w:tcPr>
            <w:tcW w:w="4817" w:type="dxa"/>
            <w:gridSpan w:val="2"/>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Cs w:val="21"/>
              </w:rPr>
            </w:pPr>
            <w:r>
              <w:rPr>
                <w:rFonts w:ascii="宋体" w:hAnsi="宋体" w:cs="宋体"/>
              </w:rPr>
              <w:t>1</w:t>
            </w:r>
            <w:r>
              <w:rPr>
                <w:rFonts w:hint="eastAsia" w:ascii="宋体" w:hAnsi="宋体" w:cs="宋体"/>
              </w:rPr>
              <w:t>、钢结构：钢架构件（含接合板）采用Q235B钢制作，结构用钢应符合《GB700-88》规定的Q235要求，保证其抗拉强度、伸长率、屈服点，碳、硫、磷的极限含量；</w:t>
            </w:r>
            <w:r>
              <w:rPr>
                <w:rFonts w:hint="eastAsia" w:ascii="宋体" w:hAnsi="宋体" w:cs="宋体"/>
              </w:rPr>
              <w:br w:type="textWrapping"/>
            </w:r>
            <w:r>
              <w:rPr>
                <w:rFonts w:hint="eastAsia" w:ascii="宋体" w:hAnsi="宋体" w:cs="宋体"/>
              </w:rPr>
              <w:t>2、要求：抗震7级，抗风8级；</w:t>
            </w:r>
            <w:r>
              <w:rPr>
                <w:rFonts w:hint="eastAsia" w:ascii="宋体" w:hAnsi="宋体" w:cs="宋体"/>
              </w:rPr>
              <w:br w:type="textWrapping"/>
            </w:r>
            <w:r>
              <w:rPr>
                <w:rFonts w:hint="eastAsia" w:ascii="宋体" w:hAnsi="宋体" w:cs="宋体"/>
              </w:rPr>
              <w:t>3、包边：不锈钢包边；</w:t>
            </w:r>
          </w:p>
        </w:tc>
        <w:tc>
          <w:tcPr>
            <w:tcW w:w="70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72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7.8</w:t>
            </w:r>
          </w:p>
        </w:tc>
      </w:tr>
      <w:tr>
        <w:tblPrEx>
          <w:tblCellMar>
            <w:top w:w="0" w:type="dxa"/>
            <w:left w:w="108" w:type="dxa"/>
            <w:bottom w:w="0" w:type="dxa"/>
            <w:right w:w="108" w:type="dxa"/>
          </w:tblCellMar>
        </w:tblPrEx>
        <w:trPr>
          <w:gridAfter w:val="1"/>
          <w:wAfter w:w="7" w:type="dxa"/>
          <w:trHeight w:val="300" w:hRule="atLeast"/>
        </w:trPr>
        <w:tc>
          <w:tcPr>
            <w:tcW w:w="627"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11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配件</w:t>
            </w:r>
          </w:p>
        </w:tc>
        <w:tc>
          <w:tcPr>
            <w:tcW w:w="4817" w:type="dxa"/>
            <w:gridSpan w:val="2"/>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配套网线、电源线等耗材</w:t>
            </w:r>
          </w:p>
        </w:tc>
        <w:tc>
          <w:tcPr>
            <w:tcW w:w="70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批</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gridAfter w:val="1"/>
          <w:wAfter w:w="7" w:type="dxa"/>
          <w:trHeight w:val="525" w:hRule="atLeast"/>
        </w:trPr>
        <w:tc>
          <w:tcPr>
            <w:tcW w:w="627"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11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安装及调试</w:t>
            </w:r>
          </w:p>
        </w:tc>
        <w:tc>
          <w:tcPr>
            <w:tcW w:w="4817" w:type="dxa"/>
            <w:gridSpan w:val="2"/>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设备的安装以及调试</w:t>
            </w:r>
          </w:p>
        </w:tc>
        <w:tc>
          <w:tcPr>
            <w:tcW w:w="70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批</w:t>
            </w:r>
          </w:p>
        </w:tc>
        <w:tc>
          <w:tcPr>
            <w:tcW w:w="72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624" w:hRule="atLeast"/>
        </w:trPr>
        <w:tc>
          <w:tcPr>
            <w:tcW w:w="801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28"/>
                <w:szCs w:val="28"/>
              </w:rPr>
            </w:pPr>
            <w:r>
              <w:rPr>
                <w:rFonts w:ascii="方正小标宋简体" w:hAnsi="方正小标宋简体" w:eastAsia="方正小标宋简体" w:cs="方正小标宋简体"/>
                <w:color w:val="000000"/>
                <w:kern w:val="0"/>
                <w:sz w:val="28"/>
                <w:szCs w:val="28"/>
              </w:rPr>
              <w:t>海南州人大常委会会议室扩声与数字会议系统</w:t>
            </w:r>
          </w:p>
        </w:tc>
      </w:tr>
      <w:tr>
        <w:tblPrEx>
          <w:tblCellMar>
            <w:top w:w="0" w:type="dxa"/>
            <w:left w:w="108" w:type="dxa"/>
            <w:bottom w:w="0" w:type="dxa"/>
            <w:right w:w="108" w:type="dxa"/>
          </w:tblCellMar>
        </w:tblPrEx>
        <w:trPr>
          <w:trHeight w:val="624" w:hRule="atLeast"/>
        </w:trPr>
        <w:tc>
          <w:tcPr>
            <w:tcW w:w="801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简体" w:hAnsi="方正小标宋简体" w:eastAsia="方正小标宋简体" w:cs="方正小标宋简体"/>
                <w:color w:val="000000"/>
                <w:sz w:val="28"/>
                <w:szCs w:val="28"/>
              </w:rPr>
            </w:pPr>
          </w:p>
        </w:tc>
      </w:tr>
      <w:tr>
        <w:tblPrEx>
          <w:tblCellMar>
            <w:top w:w="0" w:type="dxa"/>
            <w:left w:w="108" w:type="dxa"/>
            <w:bottom w:w="0" w:type="dxa"/>
            <w:right w:w="108" w:type="dxa"/>
          </w:tblCellMar>
        </w:tblPrEx>
        <w:trPr>
          <w:trHeight w:val="33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产品名称</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设备参数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r>
      <w:tr>
        <w:trPr>
          <w:trHeight w:val="330" w:hRule="atLeast"/>
        </w:trPr>
        <w:tc>
          <w:tcPr>
            <w:tcW w:w="65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数字会议系统</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23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会议主机【标准系列】</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1.机箱采用标准2U设计，显示采用3.2寸彩色显示屏；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2.支持先入先出模式.后入后出模式.限制模式.电脑/主席允许模式.自由讨论模式；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3.配有四进一出视频矩阵，可直接控制最多三个摄像球，完成视频会议功能；（提供第三方CNAS检测报告复印件证实该功能并加盖厂家公章。）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4.多种输入输出接口主输入.卡座输入和前置输出.辅助输出及录音输出接口；（提供第三方CNAS检测报告复印件证实该功能并加盖厂家公章。）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5.带有RS232接口，可以连接电脑或中央控制系统；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6.带有RS232视频控制输出口，可以直接输出Pelco-P.Pelco-D.VISCA控制协议，控制最大3个摄像机，完成摄像自动跟踪；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7.可以配合专用的会议主机跟踪连接器，直接控制高清视频切换矩阵，完成高清视频自动切换；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8.内置DSP自适应音频处理器,可以最大可能的抑制声回输；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9.供给讨论单元使用，其输出电压为24伏直流电源，属安全电压范围，确保与会者的使用安全；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10.功耗标准&lt;120W；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11.密码设定功能，主机要修改菜单设定，必须通过密码来进入，这样保证会议主机设定稳定可靠；（提供第三方CNAS检测报告复印件证实该功能并加盖厂家公章。）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12.信噪比&gt;80dB(A)；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13.动态范围&gt;90dB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14.总谐波失真小于0.1%AT1KHz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15.通道串音&gt;80dB；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16.会议主机具有4路输出接口，其中每路可接20个，单台主机可接60个单元，通过扩展主机可达1000多台，最远线路长度可高达100米；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17.环境温.湿度要求-20～60℃/0-95%(无凝结)；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18.供电：AC100V~240V50/60Hz,机内采用开关变压器，功率充足；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为了会议系统的稳定性，会议系统的生产厂商须提供IS09001标准质量管理体系认证、ISO14001环境管理体系认证证书、ISO45001职业健康安全管理体系认证、ISO10012测量管理体系认证（AAA）证书、ISO20000信息技术服务管理体系认证、IEC27001：2013信息管理安全体系认证、IECQ-QC80000电气与电子元件和产品有害物质过程控制管理体系符合性认证证书、知识产权管理体系认证证书。提供证书复印件并加盖厂商公章。</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62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主席话筒（台面式）</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1.超大静音开关设计；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2.稳固的带锁紧插拔式咪杆设计；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3.高灵敏度咪芯设计,拾音距离可达50cm；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4.红色雾面指示灯设计，指示发言状态；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5.支持多支主席同时在线；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6.长距离传输对音质不会有任何影响；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7.“线形手拉手”连接，系统连接更方便可靠；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8.超强的抗手机RF干扰性；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9.主席话筒具有主席优先键功能，可以关闭正在发言的代表单元；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10.话筒带有80*30mm的LED显示屏，可以显示多种话筒信息，并可以对各种操作进行提示；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11.独有创新的自我检测功能，配合软件可自动完成设备自检，让会议前准备测试工作更简单，会议进行更可靠；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12.屏幕尺寸80*30（mm）；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13.拾音距离0-500mm；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14.音频频响40Hz-19KHz；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15.灵敏度-42dB±3dB；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16.信噪比-80dB；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17.谐波失真&lt;0.3%(1KHz)；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18.电源 DC24V；</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68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代表话筒（台面式）</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1.具备防手机干扰功能，具有多种发言模式，操作简明.功能齐全，具有高度保密性；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2.单元IP地址码人性化设置，配合预设点，带视像跟踪功能；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3.128*64 LCD显示屏，可显示电池电量.话筒ID号.系统控制信息等工作状态；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4.防止窃听可实现多路语音信号和数据的双向传输及控制；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5.电容式高保真咪头设计，提供一流的清晰度及指向性；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6.采用超大容量的锂电池供电，支持长达15小时的连续发言时间及25小时的待机时间；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7.按键采用全新结构设计，手感舒适，无声操作；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8.外置发射天线，增强信号传输；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9.锂电池供电，USB接口充电，6小时充电完成，可连续使用15小时。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10.可选色：黑色。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11.电源供应:3.7V 3000mA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12.发射功率:10mW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13.话筒灵敏度:-43±3dB@1KHz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14.频率响应:20-18KHz</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1562"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有线会议系统主机20米延长线</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1.有线数字会议主机20米延长线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w:t>
            </w:r>
          </w:p>
        </w:tc>
      </w:tr>
      <w:tr>
        <w:tblPrEx>
          <w:tblCellMar>
            <w:top w:w="0" w:type="dxa"/>
            <w:left w:w="108" w:type="dxa"/>
            <w:bottom w:w="0" w:type="dxa"/>
            <w:right w:w="108" w:type="dxa"/>
          </w:tblCellMar>
        </w:tblPrEx>
        <w:trPr>
          <w:trHeight w:val="16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会议地插</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1.名称：八芯地插盒系列多功能模块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2.材质：金属</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3.功能：八芯地插连接盒。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4.里盒模块尺寸：95*27(MM)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5.表面配套地插尺寸：120*120(MM)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6.整个配套地插尺寸：100*100*54(长宽高MM)</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330" w:hRule="atLeast"/>
        </w:trPr>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小计：</w:t>
            </w:r>
          </w:p>
        </w:tc>
      </w:tr>
      <w:tr>
        <w:tblPrEx>
          <w:tblCellMar>
            <w:top w:w="0" w:type="dxa"/>
            <w:left w:w="108" w:type="dxa"/>
            <w:bottom w:w="0" w:type="dxa"/>
            <w:right w:w="108" w:type="dxa"/>
          </w:tblCellMar>
        </w:tblPrEx>
        <w:trPr>
          <w:trHeight w:val="330" w:hRule="atLeast"/>
        </w:trPr>
        <w:tc>
          <w:tcPr>
            <w:tcW w:w="80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专业扩声系统</w:t>
            </w:r>
          </w:p>
        </w:tc>
      </w:tr>
      <w:tr>
        <w:tblPrEx>
          <w:tblCellMar>
            <w:top w:w="0" w:type="dxa"/>
            <w:left w:w="108" w:type="dxa"/>
            <w:bottom w:w="0" w:type="dxa"/>
            <w:right w:w="108" w:type="dxa"/>
          </w:tblCellMar>
        </w:tblPrEx>
        <w:trPr>
          <w:trHeight w:val="405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音箱【8寸全频】</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1.额定功率 150W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2.最大功率 300W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3.额定阻抗 8Ω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4.高音单元 1*1.75” 振膜压缩单元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5.低音单元 1*8” 布边低音单元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6.覆盖角度 80°（水平）*50°（垂直）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7.灵敏度 94dB SPL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8.频率响应 70Hz--20KHz（±3dB）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9.声压级 额定114dB,峰值120dB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10.为保证所投产品的先进以及环保性，生产厂家须同时具有AAA信用等级企业证书、中国节能环保产品证书并提供证书网上查询截图，提供证书复印件并加盖生产厂商公章。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11.为确保投标人所投产品的售后服务。所投产品制造商须出具国家权威机构颁发的证明厂家售后服务符合国家标准的“售后服务评价体系五星级”证书复印件并加盖公章。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12.所投音响品牌需厂家提供由EASE软件入库认证的扬声器证明文件可截图网址及相应内容后扫描件并加盖原厂公章证明。</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7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功放【2*200W】</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输入类型：平衡卡农输入</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2.输入灵敏度：770mV；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3.额定功率：2*200W；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4.输出阻抗：8Ω/4Ω；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5.频率响应：20Hz-20KHz（1KHz/≤0.1％THD）；</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6.信噪比：&gt;92dB；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7.通道分离度：&gt;50dB；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8.输入模式：立体声、信号并联、输出桥接；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9.保护类型：开机延时、开机软启动、过流压缩，短路、过温、输入音量自动压缩；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10.指示灯：电源、信号、削波、保护；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11.输入电源：AC90V～240V  50Hz/60Hz；</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8寸壁挂音箱支架</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8寸音箱支架</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9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无线话筒【一拖二主机+手持话筒】</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1..分集接收器实现最佳接收有效距离150米；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2.采用红外对频与手动调频方式实现传送器无线同步；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3.超强叠机.无线接收距离远近可调；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4.频率可锁定控制功能按钮；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5.独特智能ID识别技术，实现多套同时分布使用；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6.具有平衡和非平衡音频输出，方便和各种音响设备连接；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7.发射机采用两节1.5V电池供电，电池使用时间长，维护更方便；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9发射器采用50MHz频宽，方便各频率段互换，尤其是在KTV；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10.发射机采用高强度合金材料制造，经久耐用；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11.易读照明式液晶显示；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接收机参数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12.载波频率范围：600-900MHz；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13.震荡方式：PLL锁相环；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14.可用带宽：每通道30MHz（一共60MHz）中频频率：第一中频：110MHz，第二中频：10.7MHz；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15.调制方式：FM调频；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16.信道数目：红外自动对频200信道；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17.线接口：TNC座；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18.使用温度：-18℃到50℃；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19.显示方式：LCD；</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20.偏移度：45KHz；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21.灵敏度：-100dBm（40dBS/N）；</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22.动态范围：&gt;110dB；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23.杂散抑制：&gt;80dB；24.音频响应：60Hz-17KHz；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25.音频输出：非平衡：+4dB（1.25v)/5KΩ；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26.综合信噪比：&lt;0.5%；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27.平衡：+10dB（1.5v)/600Ω；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28.接收方式：二次变频超外差；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29.供电电流：250mA；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30.供应商为声频技术工程综合服务企业等级壹级，并提供相关证明。</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436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调音台【12路输入2编组输出】</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1.12路通道输入高品质的话筒前置放大器和精确的均衡电路；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2.两编组，60mm行程的推子（衰减器）；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3.+48V幻象供电开关选择；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4.1组AUX辅助输出，1组FX发送，1路立体声返回；</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5.10段LED电平显示器，内置数码效果器效果器；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6.录音输出接口，PSU内置电源；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7.内置SD卡接口.USB接口MP3播放器。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8.频率范围：20Hz-20KHz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9.信噪比： &gt;90dB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10.分离度：&gt;80dB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11.高音：(+-15dB12KHz)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12.中音：(+-15dB2.5KHz)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633"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反馈抑制器</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1.内置了专用高速浮点数字信号处理器和声学自适应反馈（AFC）抑制算法;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2.内置10段均衡器、压限器、噪声门、高低通；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3.可完美消除掉烦人的自激啸叫声；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4.可连接电脑控制软件对处理器进行操作，简单方便，操作完毕可锁定参数；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5.自适应全频带反馈抑制，可无失真地完全消除掉自激啸叫声；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6.内置独特的动态噪音消除功能，有效过滤掉背景和系统电流噪音，从而提高信噪比和改善音质；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7.采用高品质电源，保证高保真的音质和有效抑制各种电源干扰；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接口功能：具备3路话筒输入接口，2路RCA立体声输入接口，1路光纤输入接口；具备6输出接口，其中有前置左右声道、后置左右声道、中置、超低音接口；具备1路RS232控制接口1路RJ45网络接口；（提供第三方CNAS检测报告复印件证实该功能并加盖厂家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9.支持自动扫频啸叫频点；（提供第三方CNAS检测报告复印件证实该功能并加盖厂家公章。）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10.支持面板旋钮及遥控器设置效果模式，支持效果场景的导入；（提供第三方CNAS检测报告复印件证实该功能并加盖厂家公章。）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11.频响：20Hz～20kHz；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12.噪声抑制比 ：6-18dB；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13.总谐波失真：&lt;0.1%@1KHz；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14.最大输入电平\输出电平：2Vpp；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15.输出阻抗（平衡）：150Ω，输入阻抗（平衡）：4700Ω；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16.采样率：48Khz；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17.输入电压：AC220V  ±10%  50/60Hz；</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64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数字音频处理器【8R+8C】</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1.模拟输入通道：8，模拟输出通道：8；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2.处理器:ADI SHARC 21489@450 MHz SIMD，DSP处理能力:400 MIPS，1.6 GFLOPS，采样率:48 kHz，± 100 ppm；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3.输入动态范围：110dB，输出动态范围：112dB；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4.处理模块为可配置式，根据需求自由更换；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5.提供8台设备同时在线操作；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6.内置一进一出的USB声卡，支持音乐播放、录制和软视频会议（如：ZOOM，腾讯会议，钉钉会议等）；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7.总线式AEC，尾长时间：512ms，收敛率：60dB/S, 回声消除幅度：60dB；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8.独立通道的AFC（反馈抑制），采用陷波式算法，传声增益提升幅度：10dB；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9.噪声抑制（ANS），信噪比提升18dB；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10.16段英式参量均衡，提供5种滤波器选择：Parametric,Lowshelf,Highshelf,Lowpass,Highpass；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11.提供终端用户订制操作界面，最大支持30台设备同一个界面管理；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12.具有中央控制功能，可对系统中的电源、信号切换、环境控制、音频等整体控制，实现一键开启系统所需要的功能。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13.可提供自定义的用户操作界面，处理模块为可配置式，根据需求自由更换，提供8台设备同时在线操作；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12.总谐波失真(THD+N)不低于0.001% @1kHz，+4dBu；</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13.输入通道具备：输入增益3dB步长，16个档位，自适应回声消除(AEC)，噪声抑制(ANS),增益共享自动混音(AMC)、门限自动混音（Gate Mixer）,自动增益(AGC),闪避器(Ducker),噪声增益补偿器(ANC),每个通道16个点的自适应反馈抑制（AFC）；</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14.输出通道具备：12段PEQ,31段GEQ,分频器、延时器、限幅器,具有12*5矩阵，具有16组预设；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15.支持输入输出通道LINK和分组功能；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16.频率响应范围20～20kHz (±0.15dB)，THD+N:-94dB @17dBu；</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17.输入增益:0/3/6/9/12/15/18/21/24/27/30/33/36/39/42/45 dBu；</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18.幻象电源:+48V/10mA max，最大电平:+18dBu；</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19.内置USB声卡，（提供第三方CNAS检测报告扫描件并加盖原厂公章证明）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20.每个通道应有8个点的自适应反馈抑制（AFC）；（提供第三方CNAS检测报告扫描件并加盖原厂公章证明）21.输入通道具备：8段PEQ ，且提供五种滤波器类型选择。</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16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音视频处理软件V1.0</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1.具有电子压限器、高低通、参数均衡、延时、输通道声像平衡调节模块；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2.通道参数设置可快速拷贝；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3.各通道均设有多功能菜单，哑音和监听；</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4.可设置快捷场景调用模式和场景存储；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5.内置DSP效果器；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6.支持有线网口调节；</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37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电源时序器【8路可控型】</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1.采用双面板+SMT表面贴片工艺，大电流继电器，高精度磷铜输出万能插座，具有环保认证和CE认证，确保产品超高品质。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2.8路电源时序控制，每路延时1秒，前面板配置两路辅助输出。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3.整机容量50A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4.进线采用符合CCC要求的国标6平方RVV软电缆，内部设计保留10%电流余量。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5.共提供8个插座输出，高精度磷铜铜片，万能插座适合各种插头。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6.MCU控制的智能化设计，具有标准RS232串口控制功能（标配485控制，选配232控制），可设置255个ID地址，最大可支持255台同时使用，适合于大规模集中控制。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7.配置数字LED电压指示表头。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8.每路输出配置单独控制开关。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9.配置外部开关控制和级联控口，IO/24V直流控制接口。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10.面板材质：黑色拉丝铝面板。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11.外部控制:标准RS232串口控制，波特率：9600;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有不少于9个AC220V输出接口、不少于1个RJ45接口、不少于1个RS485接口、不少于2个USB接口、不少于1路数字信号输入、不少于1路数字信号输出、不少于1个空气开关、不少于1个旋钮和5个按键。（提供公安部检测报告复印件和官网截图并加盖原厂公章）</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bl>
    <w:p>
      <w:pPr>
        <w:widowControl/>
        <w:jc w:val="left"/>
        <w:textAlignment w:val="center"/>
        <w:rPr>
          <w:rFonts w:ascii="宋体" w:hAnsi="宋体" w:eastAsia="宋体" w:cs="宋体"/>
          <w:color w:val="000000"/>
          <w:kern w:val="0"/>
          <w:szCs w:val="21"/>
        </w:rPr>
      </w:pPr>
    </w:p>
    <w:tbl>
      <w:tblPr>
        <w:tblStyle w:val="19"/>
        <w:tblW w:w="9810" w:type="dxa"/>
        <w:tblInd w:w="93" w:type="dxa"/>
        <w:tblLayout w:type="autofit"/>
        <w:tblCellMar>
          <w:top w:w="0" w:type="dxa"/>
          <w:left w:w="108" w:type="dxa"/>
          <w:bottom w:w="0" w:type="dxa"/>
          <w:right w:w="108" w:type="dxa"/>
        </w:tblCellMar>
      </w:tblPr>
      <w:tblGrid>
        <w:gridCol w:w="555"/>
        <w:gridCol w:w="1056"/>
        <w:gridCol w:w="6403"/>
        <w:gridCol w:w="898"/>
        <w:gridCol w:w="898"/>
      </w:tblGrid>
      <w:tr>
        <w:tblPrEx>
          <w:tblCellMar>
            <w:top w:w="0" w:type="dxa"/>
            <w:left w:w="108" w:type="dxa"/>
            <w:bottom w:w="0" w:type="dxa"/>
            <w:right w:w="108" w:type="dxa"/>
          </w:tblCellMar>
        </w:tblPrEx>
        <w:trPr>
          <w:trHeight w:val="624" w:hRule="atLeast"/>
        </w:trPr>
        <w:tc>
          <w:tcPr>
            <w:tcW w:w="981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28"/>
                <w:szCs w:val="28"/>
              </w:rPr>
            </w:pPr>
            <w:r>
              <w:rPr>
                <w:rFonts w:ascii="方正小标宋简体" w:hAnsi="方正小标宋简体" w:eastAsia="方正小标宋简体" w:cs="方正小标宋简体"/>
                <w:color w:val="000000"/>
                <w:kern w:val="0"/>
                <w:sz w:val="28"/>
                <w:szCs w:val="28"/>
              </w:rPr>
              <w:t>海南州人大常委会会议室桌椅</w:t>
            </w:r>
          </w:p>
        </w:tc>
      </w:tr>
      <w:tr>
        <w:tblPrEx>
          <w:tblCellMar>
            <w:top w:w="0" w:type="dxa"/>
            <w:left w:w="108" w:type="dxa"/>
            <w:bottom w:w="0" w:type="dxa"/>
            <w:right w:w="108" w:type="dxa"/>
          </w:tblCellMar>
        </w:tblPrEx>
        <w:trPr>
          <w:trHeight w:val="624" w:hRule="atLeast"/>
        </w:trPr>
        <w:tc>
          <w:tcPr>
            <w:tcW w:w="981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简体" w:hAnsi="方正小标宋简体" w:eastAsia="方正小标宋简体" w:cs="方正小标宋简体"/>
                <w:color w:val="000000"/>
                <w:sz w:val="28"/>
                <w:szCs w:val="28"/>
              </w:rPr>
            </w:pPr>
          </w:p>
        </w:tc>
      </w:tr>
      <w:tr>
        <w:tblPrEx>
          <w:tblCellMar>
            <w:top w:w="0" w:type="dxa"/>
            <w:left w:w="108" w:type="dxa"/>
            <w:bottom w:w="0" w:type="dxa"/>
            <w:right w:w="108" w:type="dxa"/>
          </w:tblCellMar>
        </w:tblPrEx>
        <w:trPr>
          <w:trHeight w:val="3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产品名称</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设备参数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1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3人条桌</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1、板材：E1级中纤板基材,强度高、刚性好，符合GB18580-2017室内装饰装修材料 木家具中有害物质限量标准要求 ；采用胡桃木皮贴面，厚度≥0.8mm</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2、油漆：易涂宝牌环保油漆，经uv工艺涂装而成，涂装时间迅速，漆膜的外观理化性光洁高度，环保指标达到E1级标准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3、连接件采用金属配件</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4.尺寸1800*400*760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tblPrEx>
          <w:tblCellMar>
            <w:top w:w="0" w:type="dxa"/>
            <w:left w:w="108" w:type="dxa"/>
            <w:bottom w:w="0" w:type="dxa"/>
            <w:right w:w="108" w:type="dxa"/>
          </w:tblCellMar>
        </w:tblPrEx>
        <w:trPr>
          <w:trHeight w:val="9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条桌椅子</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共18把弓形网椅</w:t>
            </w:r>
          </w:p>
          <w:p>
            <w:pPr>
              <w:widowControl/>
              <w:numPr>
                <w:ilvl w:val="0"/>
                <w:numId w:val="4"/>
              </w:numPr>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饰面：采用透气网布饰面；                                                                                                                                                                                                                                                                                                                                                         2、多层成型背座板                                                                                                             3、圆扁型1.8厚 电镀弓形架</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共8把弓形皮椅</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 xml:space="preserve">1、饰面：采用西皮饰面；                                                                                                                                                                                                           2、海绵：采用一次成型高密度泡绵                                                                                                                                                 3、多层成型背座板                                                                                                             4、圆扁型1.8厚 电镀弓形架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r>
      <w:tr>
        <w:tblPrEx>
          <w:tblCellMar>
            <w:top w:w="0" w:type="dxa"/>
            <w:left w:w="108" w:type="dxa"/>
            <w:bottom w:w="0" w:type="dxa"/>
            <w:right w:w="108" w:type="dxa"/>
          </w:tblCellMar>
        </w:tblPrEx>
        <w:trPr>
          <w:trHeight w:val="1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茶水桌</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1、板材：E1级中纤板基材,强度高、刚性好，符合GB18580-2017室内装饰装修材料 木家具中有害物质限量标准要求 ；采用胡桃木皮贴面，厚度≥0.8mm</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2、油漆：易涂宝牌环保油漆，经uv工艺涂装而成，涂装时间迅速，漆膜的外观理化性光洁高度，环保指标达到E1级标准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3、、连接件采用金属配</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680*480*560cm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tblPrEx>
          <w:tblCellMar>
            <w:top w:w="0" w:type="dxa"/>
            <w:left w:w="108" w:type="dxa"/>
            <w:bottom w:w="0" w:type="dxa"/>
            <w:right w:w="108" w:type="dxa"/>
          </w:tblCellMar>
        </w:tblPrEx>
        <w:trPr>
          <w:trHeight w:val="1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茶水柜</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1、板材：E1级中纤板基材,强度高、刚性好，符合GB18580-2017室内装饰装修材料 木家具中有害物质限量标准要求 ；采用胡桃木皮贴面，厚度≥0.8mm</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2、油漆：易涂宝牌环保油漆，经uv工艺涂装而成，涂装时间迅速，漆膜的外观理化性光洁高度，环保指标达到E1级标准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连接件采用金属配件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组</w:t>
            </w:r>
          </w:p>
        </w:tc>
      </w:tr>
    </w:tbl>
    <w:p/>
    <w:p/>
    <w:tbl>
      <w:tblPr>
        <w:tblStyle w:val="19"/>
        <w:tblW w:w="9375" w:type="dxa"/>
        <w:tblInd w:w="93" w:type="dxa"/>
        <w:tblLayout w:type="fixed"/>
        <w:tblCellMar>
          <w:top w:w="0" w:type="dxa"/>
          <w:left w:w="108" w:type="dxa"/>
          <w:bottom w:w="0" w:type="dxa"/>
          <w:right w:w="108" w:type="dxa"/>
        </w:tblCellMar>
      </w:tblPr>
      <w:tblGrid>
        <w:gridCol w:w="479"/>
        <w:gridCol w:w="600"/>
        <w:gridCol w:w="45"/>
        <w:gridCol w:w="1035"/>
        <w:gridCol w:w="75"/>
        <w:gridCol w:w="2276"/>
        <w:gridCol w:w="544"/>
        <w:gridCol w:w="489"/>
        <w:gridCol w:w="591"/>
        <w:gridCol w:w="510"/>
        <w:gridCol w:w="570"/>
        <w:gridCol w:w="510"/>
        <w:gridCol w:w="20"/>
        <w:gridCol w:w="550"/>
        <w:gridCol w:w="484"/>
        <w:gridCol w:w="26"/>
        <w:gridCol w:w="571"/>
      </w:tblGrid>
      <w:tr>
        <w:tblPrEx>
          <w:tblCellMar>
            <w:top w:w="0" w:type="dxa"/>
            <w:left w:w="108" w:type="dxa"/>
            <w:bottom w:w="0" w:type="dxa"/>
            <w:right w:w="108" w:type="dxa"/>
          </w:tblCellMar>
        </w:tblPrEx>
        <w:trPr>
          <w:gridAfter w:val="1"/>
          <w:wAfter w:w="570" w:type="dxa"/>
          <w:trHeight w:val="375" w:hRule="atLeast"/>
        </w:trPr>
        <w:tc>
          <w:tcPr>
            <w:tcW w:w="880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28"/>
                <w:szCs w:val="28"/>
              </w:rPr>
            </w:pPr>
            <w:r>
              <w:rPr>
                <w:rFonts w:ascii="方正小标宋简体" w:hAnsi="方正小标宋简体" w:eastAsia="方正小标宋简体" w:cs="方正小标宋简体"/>
                <w:color w:val="000000"/>
                <w:kern w:val="0"/>
                <w:sz w:val="28"/>
                <w:szCs w:val="28"/>
              </w:rPr>
              <w:t>海南州人大常委会“代表之家”桌椅</w:t>
            </w:r>
          </w:p>
        </w:tc>
      </w:tr>
      <w:tr>
        <w:tblPrEx>
          <w:tblCellMar>
            <w:top w:w="0" w:type="dxa"/>
            <w:left w:w="108" w:type="dxa"/>
            <w:bottom w:w="0" w:type="dxa"/>
            <w:right w:w="108" w:type="dxa"/>
          </w:tblCellMar>
        </w:tblPrEx>
        <w:trPr>
          <w:gridAfter w:val="1"/>
          <w:wAfter w:w="570" w:type="dxa"/>
          <w:trHeight w:val="285"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名产</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参数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gridAfter w:val="1"/>
          <w:wAfter w:w="570" w:type="dxa"/>
          <w:trHeight w:val="66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沙发</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三人沙发</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材质说明：1、饰面：采用西皮饰面；2、</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海绵：采用一次成型高密度泡绵3、框架：橡木，油漆：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采用环保型油漆，通过国家</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CCEL认证,光滑耐磨，手感</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好，色泽美观，具防刮；</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尺寸2.2m</w:t>
            </w:r>
          </w:p>
          <w:p>
            <w:pPr>
              <w:widowControl/>
              <w:jc w:val="left"/>
              <w:textAlignment w:val="center"/>
              <w:rPr>
                <w:rFonts w:ascii="宋体" w:hAnsi="宋体" w:eastAsia="宋体" w:cs="宋体"/>
                <w:color w:val="000000"/>
                <w:kern w:val="0"/>
                <w:szCs w:val="21"/>
              </w:rPr>
            </w:pP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组</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gridAfter w:val="1"/>
          <w:wAfter w:w="570" w:type="dxa"/>
          <w:trHeight w:val="6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单人沙发</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材质说明：1、饰面：采用西皮饰面</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2、海绵：采用一次成型高密度泡绵3、框架：橡木，油漆：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采用环保型油漆，通过国家</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CCEL认证,光滑耐磨，手感</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好，色泽美观，具防刮；</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组</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CellMar>
            <w:top w:w="0" w:type="dxa"/>
            <w:left w:w="108" w:type="dxa"/>
            <w:bottom w:w="0" w:type="dxa"/>
            <w:right w:w="108" w:type="dxa"/>
          </w:tblCellMar>
        </w:tblPrEx>
        <w:trPr>
          <w:gridAfter w:val="1"/>
          <w:wAfter w:w="570" w:type="dxa"/>
          <w:trHeight w:val="165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茶几</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1、板材：E1级中纤板基材,强度高、刚性好，符合GB18580-2017室内装饰装修材料 木家具中有害物质限量标准要求 ；采用胡桃木皮贴面，厚度≥0.8mm</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2、油漆：环保油漆，经uv工艺涂装而成，涂装时间迅速，漆膜的外观理化性光洁高度，环保指标达到E1级标准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3、五金配件：优质五金配件 </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1400*700*450cm</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gridAfter w:val="1"/>
          <w:wAfter w:w="570" w:type="dxa"/>
          <w:trHeight w:val="198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茶水柜</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基材;选用优质高密度板，满足国标E1级绿色环保，木皮厚度为0.8mm）封边：应使用与贴面用材种类相同的实木全部封边，油漆：“环保"亚光聚酯漆",喷涂面漆平整无颗粒、气泡、渣点，颜色均匀、耐磨；五金配件：拉手、铰链、连接件采用金属配件。</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180*36*100cm</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gridAfter w:val="1"/>
          <w:wAfter w:w="570" w:type="dxa"/>
          <w:trHeight w:val="586"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茶水桌</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基材;选用优质高密度板，满足国标E1级绿色环保，木皮厚度为0.8mm）封边：应使用与贴面用材种类相同的实木全部封边，油漆：“环保"亚光聚酯漆",喷涂面漆平整无颗粒、气泡、渣点，颜色均匀、耐磨；五金配件：拉手、铰链、连接件采用金属配件。</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70*47*60cm</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CellMar>
            <w:top w:w="0" w:type="dxa"/>
            <w:left w:w="108" w:type="dxa"/>
            <w:bottom w:w="0" w:type="dxa"/>
            <w:right w:w="108" w:type="dxa"/>
          </w:tblCellMar>
        </w:tblPrEx>
        <w:trPr>
          <w:gridAfter w:val="1"/>
          <w:wAfter w:w="570" w:type="dxa"/>
          <w:trHeight w:val="66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百叶窗帘定制(两套）</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材质: PVC 铝合金 叶片尺寸: 2.5cm</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r>
      <w:tr>
        <w:tblPrEx>
          <w:tblCellMar>
            <w:top w:w="0" w:type="dxa"/>
            <w:left w:w="108" w:type="dxa"/>
            <w:bottom w:w="0" w:type="dxa"/>
            <w:right w:w="108" w:type="dxa"/>
          </w:tblCellMar>
        </w:tblPrEx>
        <w:trPr>
          <w:gridAfter w:val="2"/>
          <w:wAfter w:w="597" w:type="dxa"/>
          <w:trHeight w:val="702" w:hRule="atLeast"/>
        </w:trPr>
        <w:tc>
          <w:tcPr>
            <w:tcW w:w="8778"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24"/>
              </w:rPr>
            </w:pPr>
            <w:r>
              <w:rPr>
                <w:rFonts w:ascii="方正小标宋简体" w:hAnsi="方正小标宋简体" w:eastAsia="方正小标宋简体" w:cs="方正小标宋简体"/>
                <w:color w:val="000000"/>
                <w:kern w:val="0"/>
                <w:sz w:val="32"/>
                <w:szCs w:val="32"/>
              </w:rPr>
              <w:t>海南州人大常委会会议室国旗、党旗、国徽、窗帘</w:t>
            </w:r>
          </w:p>
        </w:tc>
      </w:tr>
      <w:tr>
        <w:tblPrEx>
          <w:tblCellMar>
            <w:top w:w="0" w:type="dxa"/>
            <w:left w:w="108" w:type="dxa"/>
            <w:bottom w:w="0" w:type="dxa"/>
            <w:right w:w="108" w:type="dxa"/>
          </w:tblCellMar>
        </w:tblPrEx>
        <w:trPr>
          <w:gridAfter w:val="2"/>
          <w:wAfter w:w="597" w:type="dxa"/>
          <w:trHeight w:val="702"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材质</w:t>
            </w:r>
          </w:p>
        </w:tc>
        <w:tc>
          <w:tcPr>
            <w:tcW w:w="21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规格</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r>
      <w:tr>
        <w:tblPrEx>
          <w:tblCellMar>
            <w:top w:w="0" w:type="dxa"/>
            <w:left w:w="108" w:type="dxa"/>
            <w:bottom w:w="0" w:type="dxa"/>
            <w:right w:w="108" w:type="dxa"/>
          </w:tblCellMar>
        </w:tblPrEx>
        <w:trPr>
          <w:gridAfter w:val="2"/>
          <w:wAfter w:w="597" w:type="dxa"/>
          <w:trHeight w:val="702"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国旗杆</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可伸缩立旗杆不锈钢旗杆</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gridAfter w:val="2"/>
          <w:wAfter w:w="597" w:type="dxa"/>
          <w:trHeight w:val="702"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国徽</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铸铝烤漆</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0.8</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0.8</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gridAfter w:val="2"/>
          <w:wAfter w:w="597" w:type="dxa"/>
          <w:trHeight w:val="600"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党旗杆</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可伸缩立旗杆不锈钢旗杆</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gridAfter w:val="2"/>
          <w:wAfter w:w="597" w:type="dxa"/>
          <w:trHeight w:val="900"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百叶窗帘定制</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PVC 铝合金 叶片尺寸: 2.5cm</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13.2</w:t>
            </w:r>
          </w:p>
        </w:tc>
      </w:tr>
      <w:tr>
        <w:tblPrEx>
          <w:tblCellMar>
            <w:top w:w="0" w:type="dxa"/>
            <w:left w:w="108" w:type="dxa"/>
            <w:bottom w:w="0" w:type="dxa"/>
            <w:right w:w="108" w:type="dxa"/>
          </w:tblCellMar>
        </w:tblPrEx>
        <w:trPr>
          <w:gridAfter w:val="2"/>
          <w:wAfter w:w="597" w:type="dxa"/>
          <w:trHeight w:val="1097"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电动升降会标（条幅、吊旗）</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电动升降</w:t>
            </w:r>
          </w:p>
        </w:tc>
        <w:tc>
          <w:tcPr>
            <w:tcW w:w="2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gridAfter w:val="2"/>
          <w:wAfter w:w="597" w:type="dxa"/>
          <w:trHeight w:val="1160"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摄像机升降仪</w:t>
            </w: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根据实际摄像机定做配套升降仪，隐藏在会议室吊顶内。</w:t>
            </w:r>
          </w:p>
        </w:tc>
        <w:tc>
          <w:tcPr>
            <w:tcW w:w="2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CellMar>
            <w:top w:w="0" w:type="dxa"/>
            <w:left w:w="108" w:type="dxa"/>
            <w:bottom w:w="0" w:type="dxa"/>
            <w:right w:w="108" w:type="dxa"/>
          </w:tblCellMar>
        </w:tblPrEx>
        <w:trPr>
          <w:trHeight w:val="665" w:hRule="atLeast"/>
        </w:trPr>
        <w:tc>
          <w:tcPr>
            <w:tcW w:w="937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rPr>
            </w:pPr>
            <w:r>
              <w:rPr>
                <w:rFonts w:ascii="宋体" w:hAnsi="宋体" w:eastAsia="宋体" w:cs="宋体"/>
                <w:b/>
                <w:bCs/>
                <w:color w:val="000000"/>
                <w:kern w:val="0"/>
                <w:sz w:val="32"/>
                <w:szCs w:val="32"/>
              </w:rPr>
              <w:t>海南州人大常委会会议室</w:t>
            </w:r>
            <w:r>
              <w:rPr>
                <w:rFonts w:hint="eastAsia" w:ascii="宋体" w:hAnsi="宋体" w:eastAsia="宋体" w:cs="宋体"/>
                <w:b/>
                <w:bCs/>
                <w:color w:val="000000"/>
                <w:kern w:val="0"/>
                <w:sz w:val="32"/>
                <w:szCs w:val="32"/>
              </w:rPr>
              <w:t>、党员活动室及“代表之家”</w:t>
            </w:r>
            <w:r>
              <w:rPr>
                <w:rFonts w:ascii="宋体" w:hAnsi="宋体" w:eastAsia="宋体" w:cs="宋体"/>
                <w:b/>
                <w:bCs/>
                <w:color w:val="000000"/>
                <w:kern w:val="0"/>
                <w:sz w:val="32"/>
                <w:szCs w:val="32"/>
              </w:rPr>
              <w:t>整改</w:t>
            </w:r>
          </w:p>
        </w:tc>
      </w:tr>
      <w:tr>
        <w:tblPrEx>
          <w:tblCellMar>
            <w:top w:w="0" w:type="dxa"/>
            <w:left w:w="108" w:type="dxa"/>
            <w:bottom w:w="0" w:type="dxa"/>
            <w:right w:w="108" w:type="dxa"/>
          </w:tblCellMar>
        </w:tblPrEx>
        <w:trPr>
          <w:trHeight w:val="330" w:hRule="atLeast"/>
        </w:trPr>
        <w:tc>
          <w:tcPr>
            <w:tcW w:w="937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说明：主会议室：78个平方、党员活动室：50.4个平方、代表之家：30个平方共158.4个平方</w:t>
            </w:r>
          </w:p>
        </w:tc>
      </w:tr>
      <w:tr>
        <w:tblPrEx>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装修项目</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材质</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长（米）</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高、宽（米）</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面积（小计）</w:t>
            </w:r>
          </w:p>
        </w:tc>
      </w:tr>
      <w:tr>
        <w:tblPrEx>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拆除工程</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原有会议吊顶、墙面、地面的拆除</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6.1</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75.03</w:t>
            </w:r>
          </w:p>
        </w:tc>
      </w:tr>
      <w:tr>
        <w:tblPrEx>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轻钢龙骨石膏板吊顶</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1200x2400厚度: 9.5mm</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6.1</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75.03</w:t>
            </w:r>
          </w:p>
        </w:tc>
      </w:tr>
      <w:tr>
        <w:tblPrEx>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轻钢龙骨石膏板二级吊顶</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1200x2400厚度: 9.6mm</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35.6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0.6</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21.36</w:t>
            </w:r>
          </w:p>
        </w:tc>
      </w:tr>
      <w:tr>
        <w:tblPrEx>
          <w:tblCellMar>
            <w:top w:w="0" w:type="dxa"/>
            <w:left w:w="108" w:type="dxa"/>
            <w:bottom w:w="0" w:type="dxa"/>
            <w:right w:w="108" w:type="dxa"/>
          </w:tblCellMar>
        </w:tblPrEx>
        <w:trPr>
          <w:trHeight w:val="3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顶面灯箱制作</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表面为软膜灯箱内设慢反射灯条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38.4</w:t>
            </w:r>
          </w:p>
        </w:tc>
      </w:tr>
      <w:tr>
        <w:tblPrEx>
          <w:tblCellMar>
            <w:top w:w="0" w:type="dxa"/>
            <w:left w:w="108" w:type="dxa"/>
            <w:bottom w:w="0" w:type="dxa"/>
            <w:right w:w="108" w:type="dxa"/>
          </w:tblCellMar>
        </w:tblPrEx>
        <w:trPr>
          <w:trHeight w:val="3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强电电路铺设</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4平米电线进行铺设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6.1</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75.03</w:t>
            </w:r>
          </w:p>
        </w:tc>
      </w:tr>
      <w:tr>
        <w:tblPrEx>
          <w:tblCellMar>
            <w:top w:w="0" w:type="dxa"/>
            <w:left w:w="108" w:type="dxa"/>
            <w:bottom w:w="0" w:type="dxa"/>
            <w:right w:w="108" w:type="dxa"/>
          </w:tblCellMar>
        </w:tblPrEx>
        <w:trPr>
          <w:trHeight w:val="16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LED筒灯购置安装</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嵌入式cob射灯材质: PVC功率: 16W(含)-20W(含)安装方式: 吸顶嵌入式适用空间: 会议室 其他/other颜色分类: 3w暖黄Φ75-80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24</w:t>
            </w:r>
          </w:p>
        </w:tc>
      </w:tr>
      <w:tr>
        <w:tblPrEx>
          <w:tblCellMar>
            <w:top w:w="0" w:type="dxa"/>
            <w:left w:w="108" w:type="dxa"/>
            <w:bottom w:w="0" w:type="dxa"/>
            <w:right w:w="108"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LED灯带购置安装</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灯带cob 材质: PVC功率: 16W(含)-20W(含)安装方式: 吸顶嵌入式适用空间: 会议室 其他/other颜色分类: 3w暖黄Φ75-81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35</w:t>
            </w:r>
          </w:p>
        </w:tc>
      </w:tr>
      <w:tr>
        <w:tblPrEx>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吸顶灯</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吸顶灯 PVC功率: 16W(含)-20W(含)</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柱面竹木纤维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木饰面板包柱</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木龙骨、阻燃木板打底 采用8mm国标竹木纤维面饰板、环保等级: E0级</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28.2</w:t>
            </w:r>
          </w:p>
        </w:tc>
      </w:tr>
      <w:tr>
        <w:tblPrEx>
          <w:tblCellMar>
            <w:top w:w="0" w:type="dxa"/>
            <w:left w:w="108" w:type="dxa"/>
            <w:bottom w:w="0" w:type="dxa"/>
            <w:right w:w="108"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墙面竹木纤维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木饰面板包柱</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木龙骨、阻燃木板打底 采用8mm国标竹木纤维面饰板、环保等级: E1级</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27.4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82.2</w:t>
            </w:r>
          </w:p>
        </w:tc>
      </w:tr>
      <w:tr>
        <w:tblPrEx>
          <w:tblCellMar>
            <w:top w:w="0" w:type="dxa"/>
            <w:left w:w="108" w:type="dxa"/>
            <w:bottom w:w="0" w:type="dxa"/>
            <w:right w:w="108" w:type="dxa"/>
          </w:tblCellMar>
        </w:tblPrEx>
        <w:trPr>
          <w:trHeight w:val="3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墙面整改</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墙面处理、白色乳胶漆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5.2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5.7</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29.6</w:t>
            </w:r>
          </w:p>
        </w:tc>
      </w:tr>
      <w:tr>
        <w:tblPrEx>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木饰线条及踢脚线制作安装</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国标踢脚线</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m</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95</w:t>
            </w:r>
          </w:p>
        </w:tc>
      </w:tr>
      <w:tr>
        <w:tblPrEx>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包暖气</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木龙骨、阻燃木工板打底竹木纤维面饰板</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17</w:t>
            </w:r>
          </w:p>
        </w:tc>
      </w:tr>
      <w:tr>
        <w:tblPrEx>
          <w:tblCellMar>
            <w:top w:w="0" w:type="dxa"/>
            <w:left w:w="108" w:type="dxa"/>
            <w:bottom w:w="0" w:type="dxa"/>
            <w:right w:w="108"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木地板购置铺设</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V型槽耐磨转数: 6000转(含)-9000转(不含)基材: 高密度纤维不含安装辅材厚度: 10mm</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17.5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105</w:t>
            </w:r>
          </w:p>
        </w:tc>
      </w:tr>
      <w:tr>
        <w:tblPrEx>
          <w:tblCellMar>
            <w:top w:w="0" w:type="dxa"/>
            <w:left w:w="108" w:type="dxa"/>
            <w:bottom w:w="0" w:type="dxa"/>
            <w:right w:w="108" w:type="dxa"/>
          </w:tblCellMar>
        </w:tblPrEx>
        <w:trPr>
          <w:trHeight w:val="3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窗台</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人造大理石</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19.2</w:t>
            </w:r>
          </w:p>
        </w:tc>
      </w:tr>
      <w:tr>
        <w:tblPrEx>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木质门定制安装</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定制饰面工艺: 烤漆  材质: 实木 长：1.55 宽2.10 厚</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1.55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3.2</w:t>
            </w:r>
          </w:p>
        </w:tc>
      </w:tr>
      <w:tr>
        <w:tblPrEx>
          <w:tblCellMar>
            <w:top w:w="0" w:type="dxa"/>
            <w:left w:w="108" w:type="dxa"/>
            <w:bottom w:w="0" w:type="dxa"/>
            <w:right w:w="108" w:type="dxa"/>
          </w:tblCellMar>
        </w:tblPrEx>
        <w:trPr>
          <w:trHeight w:val="3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党员、代表风采墙</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亚克力uv+盒子</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1.8</w:t>
            </w:r>
          </w:p>
        </w:tc>
      </w:tr>
      <w:tr>
        <w:tblPrEx>
          <w:tblCellMar>
            <w:top w:w="0" w:type="dxa"/>
            <w:left w:w="108" w:type="dxa"/>
            <w:bottom w:w="0" w:type="dxa"/>
            <w:right w:w="108" w:type="dxa"/>
          </w:tblCellMar>
        </w:tblPrEx>
        <w:trPr>
          <w:trHeight w:val="3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党建文化墙、代表工作文化墙</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PVC打底+亚克力面板uv+雕刻</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14.4</w:t>
            </w:r>
          </w:p>
        </w:tc>
      </w:tr>
      <w:tr>
        <w:tblPrEx>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荣誉墙定制柜</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双面木质颗粒板、板厚2.5cm 厚组装柜</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5.5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16.5</w:t>
            </w:r>
          </w:p>
        </w:tc>
      </w:tr>
    </w:tbl>
    <w:p>
      <w:pPr>
        <w:widowControl/>
        <w:jc w:val="left"/>
        <w:textAlignment w:val="center"/>
        <w:rPr>
          <w:rFonts w:ascii="宋体" w:hAnsi="宋体" w:eastAsia="宋体" w:cs="宋体"/>
          <w:color w:val="000000"/>
          <w:kern w:val="0"/>
          <w:szCs w:val="21"/>
        </w:rPr>
      </w:pPr>
    </w:p>
    <w:p>
      <w:pPr>
        <w:widowControl/>
        <w:jc w:val="left"/>
        <w:textAlignment w:val="center"/>
        <w:rPr>
          <w:rFonts w:ascii="宋体" w:hAnsi="宋体" w:eastAsia="宋体" w:cs="宋体"/>
          <w:color w:val="000000"/>
          <w:kern w:val="0"/>
          <w:szCs w:val="21"/>
        </w:rPr>
      </w:pPr>
    </w:p>
    <w:p>
      <w:pPr>
        <w:widowControl/>
        <w:jc w:val="left"/>
        <w:textAlignment w:val="center"/>
        <w:rPr>
          <w:rFonts w:ascii="宋体" w:hAnsi="宋体" w:eastAsia="宋体" w:cs="宋体"/>
          <w:color w:val="000000"/>
          <w:kern w:val="0"/>
          <w:szCs w:val="21"/>
        </w:rPr>
      </w:pPr>
    </w:p>
    <w:p>
      <w:pPr>
        <w:widowControl/>
        <w:jc w:val="left"/>
        <w:textAlignment w:val="center"/>
        <w:rPr>
          <w:rFonts w:ascii="宋体" w:hAnsi="宋体" w:eastAsia="宋体" w:cs="宋体"/>
          <w:color w:val="000000"/>
          <w:kern w:val="0"/>
          <w:szCs w:val="21"/>
        </w:rPr>
      </w:pPr>
    </w:p>
    <w:p>
      <w:pPr>
        <w:pStyle w:val="2"/>
        <w:jc w:val="both"/>
        <w:rPr>
          <w:rFonts w:hint="eastAsia"/>
          <w:lang w:val="zh-CN"/>
        </w:rPr>
        <w:sectPr>
          <w:pgSz w:w="11906" w:h="16838"/>
          <w:pgMar w:top="1440" w:right="1800" w:bottom="1440" w:left="1800" w:header="851" w:footer="992" w:gutter="0"/>
          <w:cols w:space="425" w:num="1"/>
          <w:docGrid w:type="lines" w:linePitch="312" w:charSpace="0"/>
        </w:sectPr>
      </w:pPr>
    </w:p>
    <w:p>
      <w:pPr>
        <w:rPr>
          <w:sz w:val="16"/>
          <w:szCs w:val="16"/>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Light">
    <w:altName w:val="微软雅黑"/>
    <w:panose1 w:val="00000000000000000000"/>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CB4FB80C"/>
    <w:multiLevelType w:val="singleLevel"/>
    <w:tmpl w:val="CB4FB80C"/>
    <w:lvl w:ilvl="0" w:tentative="0">
      <w:start w:val="1"/>
      <w:numFmt w:val="decimal"/>
      <w:suff w:val="nothing"/>
      <w:lvlText w:val="%1、"/>
      <w:lvlJc w:val="left"/>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4ZjJhNjhjNTRjN2ZjY2NhNDU5OTRhN2JmMjZkODAifQ=="/>
  </w:docVars>
  <w:rsids>
    <w:rsidRoot w:val="46DD0408"/>
    <w:rsid w:val="0007489E"/>
    <w:rsid w:val="000C1244"/>
    <w:rsid w:val="00132D6F"/>
    <w:rsid w:val="00251593"/>
    <w:rsid w:val="002655A6"/>
    <w:rsid w:val="002D03B3"/>
    <w:rsid w:val="003B2A42"/>
    <w:rsid w:val="00497D3D"/>
    <w:rsid w:val="0063022A"/>
    <w:rsid w:val="00702590"/>
    <w:rsid w:val="007E515D"/>
    <w:rsid w:val="00855352"/>
    <w:rsid w:val="008C62B9"/>
    <w:rsid w:val="009A507C"/>
    <w:rsid w:val="00A86BF8"/>
    <w:rsid w:val="00AB21AC"/>
    <w:rsid w:val="00AB26A6"/>
    <w:rsid w:val="00AB3DDB"/>
    <w:rsid w:val="00CA746A"/>
    <w:rsid w:val="00D30B52"/>
    <w:rsid w:val="00E02B6C"/>
    <w:rsid w:val="00EC2ECE"/>
    <w:rsid w:val="00F34BB9"/>
    <w:rsid w:val="010416BE"/>
    <w:rsid w:val="016F04C5"/>
    <w:rsid w:val="02274EC8"/>
    <w:rsid w:val="025009C6"/>
    <w:rsid w:val="030D40BE"/>
    <w:rsid w:val="079F3753"/>
    <w:rsid w:val="08E76CA7"/>
    <w:rsid w:val="092E1232"/>
    <w:rsid w:val="0A1F3511"/>
    <w:rsid w:val="0B3058C2"/>
    <w:rsid w:val="0B4561D8"/>
    <w:rsid w:val="0BE4656C"/>
    <w:rsid w:val="0CCA6A5A"/>
    <w:rsid w:val="0CCB1A98"/>
    <w:rsid w:val="0D2E6468"/>
    <w:rsid w:val="0D5551A1"/>
    <w:rsid w:val="0E72260D"/>
    <w:rsid w:val="0E88554E"/>
    <w:rsid w:val="0F461756"/>
    <w:rsid w:val="10655296"/>
    <w:rsid w:val="110F482C"/>
    <w:rsid w:val="117B73B8"/>
    <w:rsid w:val="1222022D"/>
    <w:rsid w:val="12770487"/>
    <w:rsid w:val="137537A0"/>
    <w:rsid w:val="14471250"/>
    <w:rsid w:val="15803032"/>
    <w:rsid w:val="16363C50"/>
    <w:rsid w:val="16D5785B"/>
    <w:rsid w:val="16FA7C41"/>
    <w:rsid w:val="17F44BD1"/>
    <w:rsid w:val="18325499"/>
    <w:rsid w:val="18540B02"/>
    <w:rsid w:val="19EF684E"/>
    <w:rsid w:val="1B305E07"/>
    <w:rsid w:val="1C00792F"/>
    <w:rsid w:val="1D797B68"/>
    <w:rsid w:val="1DC570BC"/>
    <w:rsid w:val="1E8250DF"/>
    <w:rsid w:val="1EA77640"/>
    <w:rsid w:val="209356DC"/>
    <w:rsid w:val="21BD5A33"/>
    <w:rsid w:val="22065904"/>
    <w:rsid w:val="224717BC"/>
    <w:rsid w:val="225036DD"/>
    <w:rsid w:val="22750BBC"/>
    <w:rsid w:val="23546B2A"/>
    <w:rsid w:val="23840684"/>
    <w:rsid w:val="245C15BE"/>
    <w:rsid w:val="254F7FAB"/>
    <w:rsid w:val="262D0B5D"/>
    <w:rsid w:val="280138B3"/>
    <w:rsid w:val="29271BD7"/>
    <w:rsid w:val="29374847"/>
    <w:rsid w:val="29514455"/>
    <w:rsid w:val="29AB5249"/>
    <w:rsid w:val="2A0E3239"/>
    <w:rsid w:val="2D3F63C6"/>
    <w:rsid w:val="2DB07026"/>
    <w:rsid w:val="2E831FAE"/>
    <w:rsid w:val="2E83423A"/>
    <w:rsid w:val="2EC2262A"/>
    <w:rsid w:val="2FB92D05"/>
    <w:rsid w:val="3236538A"/>
    <w:rsid w:val="328C43AE"/>
    <w:rsid w:val="334A7474"/>
    <w:rsid w:val="3458468A"/>
    <w:rsid w:val="34A7360E"/>
    <w:rsid w:val="350167C8"/>
    <w:rsid w:val="350174A7"/>
    <w:rsid w:val="359F7AF3"/>
    <w:rsid w:val="35A16444"/>
    <w:rsid w:val="35D65BC2"/>
    <w:rsid w:val="36351D4A"/>
    <w:rsid w:val="36AE2CE5"/>
    <w:rsid w:val="378C6A73"/>
    <w:rsid w:val="387737AC"/>
    <w:rsid w:val="38FC2539"/>
    <w:rsid w:val="3A04027A"/>
    <w:rsid w:val="3AEF67DA"/>
    <w:rsid w:val="3B0A6EFC"/>
    <w:rsid w:val="3B857233"/>
    <w:rsid w:val="3BB77A3D"/>
    <w:rsid w:val="3EF23733"/>
    <w:rsid w:val="40032014"/>
    <w:rsid w:val="420D5FDD"/>
    <w:rsid w:val="427A0559"/>
    <w:rsid w:val="42A25C90"/>
    <w:rsid w:val="435475B9"/>
    <w:rsid w:val="43805F00"/>
    <w:rsid w:val="44221565"/>
    <w:rsid w:val="44D3289B"/>
    <w:rsid w:val="44D501D8"/>
    <w:rsid w:val="455410FD"/>
    <w:rsid w:val="45C36491"/>
    <w:rsid w:val="45FC6910"/>
    <w:rsid w:val="463072F8"/>
    <w:rsid w:val="468C7EB3"/>
    <w:rsid w:val="46DD0408"/>
    <w:rsid w:val="47554BC2"/>
    <w:rsid w:val="475A79E5"/>
    <w:rsid w:val="47D83AFB"/>
    <w:rsid w:val="4A0979E3"/>
    <w:rsid w:val="4A891AB9"/>
    <w:rsid w:val="4D31441A"/>
    <w:rsid w:val="4DA33303"/>
    <w:rsid w:val="4E1965C1"/>
    <w:rsid w:val="4E4A5793"/>
    <w:rsid w:val="4E574B45"/>
    <w:rsid w:val="4F1A5239"/>
    <w:rsid w:val="4F484CD6"/>
    <w:rsid w:val="4FB51630"/>
    <w:rsid w:val="4FB86369"/>
    <w:rsid w:val="506352E2"/>
    <w:rsid w:val="50705D2B"/>
    <w:rsid w:val="50850C8F"/>
    <w:rsid w:val="51294D7E"/>
    <w:rsid w:val="513C4EBB"/>
    <w:rsid w:val="51A05027"/>
    <w:rsid w:val="52880638"/>
    <w:rsid w:val="52F60679"/>
    <w:rsid w:val="53B776FC"/>
    <w:rsid w:val="53BD734D"/>
    <w:rsid w:val="55733B93"/>
    <w:rsid w:val="563A0BDB"/>
    <w:rsid w:val="57B90641"/>
    <w:rsid w:val="58500EFB"/>
    <w:rsid w:val="587E123B"/>
    <w:rsid w:val="58B14F84"/>
    <w:rsid w:val="58D23CC6"/>
    <w:rsid w:val="58EE1672"/>
    <w:rsid w:val="590C6016"/>
    <w:rsid w:val="59673D42"/>
    <w:rsid w:val="5A517EA9"/>
    <w:rsid w:val="5A833AEB"/>
    <w:rsid w:val="5BFF71E2"/>
    <w:rsid w:val="5C9170E6"/>
    <w:rsid w:val="5CB163FD"/>
    <w:rsid w:val="5CC67242"/>
    <w:rsid w:val="5D9F4E4B"/>
    <w:rsid w:val="5DC26A92"/>
    <w:rsid w:val="5E5971E6"/>
    <w:rsid w:val="5F1A1D6F"/>
    <w:rsid w:val="60A60A51"/>
    <w:rsid w:val="60C05397"/>
    <w:rsid w:val="622A18F2"/>
    <w:rsid w:val="6385691F"/>
    <w:rsid w:val="63BA261B"/>
    <w:rsid w:val="63FD11A2"/>
    <w:rsid w:val="640338E3"/>
    <w:rsid w:val="64861210"/>
    <w:rsid w:val="64881ACD"/>
    <w:rsid w:val="654579EF"/>
    <w:rsid w:val="65AC5BD6"/>
    <w:rsid w:val="65C94D98"/>
    <w:rsid w:val="66B24375"/>
    <w:rsid w:val="68070918"/>
    <w:rsid w:val="69F4078E"/>
    <w:rsid w:val="6A1D49A0"/>
    <w:rsid w:val="6B1E26EC"/>
    <w:rsid w:val="6B324ADA"/>
    <w:rsid w:val="6B4B7055"/>
    <w:rsid w:val="6B4E431A"/>
    <w:rsid w:val="6B712159"/>
    <w:rsid w:val="6BC02683"/>
    <w:rsid w:val="6C3B672C"/>
    <w:rsid w:val="6CB15F4E"/>
    <w:rsid w:val="6CE80425"/>
    <w:rsid w:val="6D2C38A5"/>
    <w:rsid w:val="6D3A22AE"/>
    <w:rsid w:val="6E735281"/>
    <w:rsid w:val="6FB35F4E"/>
    <w:rsid w:val="70766151"/>
    <w:rsid w:val="70FA499F"/>
    <w:rsid w:val="71047186"/>
    <w:rsid w:val="710E3F90"/>
    <w:rsid w:val="72CD70F4"/>
    <w:rsid w:val="72EA5104"/>
    <w:rsid w:val="73487417"/>
    <w:rsid w:val="735D279F"/>
    <w:rsid w:val="737547B1"/>
    <w:rsid w:val="752C1A90"/>
    <w:rsid w:val="76F527FC"/>
    <w:rsid w:val="775161BA"/>
    <w:rsid w:val="77F31FD6"/>
    <w:rsid w:val="78EA77B0"/>
    <w:rsid w:val="78F148D9"/>
    <w:rsid w:val="797E30BE"/>
    <w:rsid w:val="79C832CB"/>
    <w:rsid w:val="7A1F0E89"/>
    <w:rsid w:val="7A6061C2"/>
    <w:rsid w:val="7BB67133"/>
    <w:rsid w:val="7BC31B3B"/>
    <w:rsid w:val="7C594C70"/>
    <w:rsid w:val="7C7C6F00"/>
    <w:rsid w:val="7C9A7C3C"/>
    <w:rsid w:val="7CEA1F55"/>
    <w:rsid w:val="7D1A671A"/>
    <w:rsid w:val="7DCB394B"/>
    <w:rsid w:val="7E5D5F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rPr>
      <w:bdr w:val="none" w:color="auto" w:sz="0" w:space="0"/>
    </w:rPr>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 w:type="table" w:customStyle="1" w:styleId="56">
    <w:name w:val="网格型4"/>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font01"/>
    <w:basedOn w:val="21"/>
    <w:qFormat/>
    <w:uiPriority w:val="0"/>
    <w:rPr>
      <w:rFonts w:hint="eastAsia" w:ascii="宋体" w:hAnsi="宋体" w:eastAsia="宋体" w:cs="宋体"/>
      <w:color w:val="000000"/>
      <w:sz w:val="24"/>
      <w:szCs w:val="24"/>
      <w:u w:val="none"/>
    </w:rPr>
  </w:style>
  <w:style w:type="character" w:customStyle="1" w:styleId="58">
    <w:name w:val="font11"/>
    <w:basedOn w:val="21"/>
    <w:qFormat/>
    <w:uiPriority w:val="0"/>
    <w:rPr>
      <w:rFonts w:ascii="Symbol" w:hAnsi="Symbol" w:cs="Symbol"/>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63</Pages>
  <Words>31225</Words>
  <Characters>34695</Characters>
  <Lines>286</Lines>
  <Paragraphs>80</Paragraphs>
  <TotalTime>15</TotalTime>
  <ScaleCrop>false</ScaleCrop>
  <LinksUpToDate>false</LinksUpToDate>
  <CharactersWithSpaces>36895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Administrator</cp:lastModifiedBy>
  <cp:lastPrinted>2022-06-28T02:21:00Z</cp:lastPrinted>
  <dcterms:modified xsi:type="dcterms:W3CDTF">2022-07-13T07:52:34Z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F86C61ED1BF94BB98B725FB0330898D4</vt:lpwstr>
  </property>
</Properties>
</file>