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海南州藏医院医疗电子票据管理</w:t>
      </w: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采购项目（第二次）</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2022-1</w:t>
      </w:r>
    </w:p>
    <w:p>
      <w:pPr>
        <w:adjustRightInd w:val="0"/>
        <w:spacing w:line="360" w:lineRule="auto"/>
        <w:ind w:left="4176" w:hanging="4176" w:hangingChars="1300"/>
        <w:jc w:val="both"/>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海南州藏医院医疗电子票据管理</w:t>
      </w:r>
      <w:r>
        <w:rPr>
          <w:rFonts w:hint="eastAsia" w:ascii="宋体" w:hAnsi="宋体" w:cs="宋体"/>
          <w:b/>
          <w:sz w:val="32"/>
          <w:szCs w:val="32"/>
        </w:rPr>
        <w:t>采购项目</w:t>
      </w:r>
      <w:r>
        <w:rPr>
          <w:rFonts w:hint="eastAsia" w:ascii="宋体" w:hAnsi="宋体" w:cs="宋体"/>
          <w:b/>
          <w:sz w:val="32"/>
          <w:szCs w:val="32"/>
          <w:lang w:eastAsia="zh-CN"/>
        </w:rPr>
        <w:t>（第二次）</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海南州藏医院</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adjustRightInd w:val="0"/>
        <w:spacing w:line="360" w:lineRule="auto"/>
        <w:jc w:val="center"/>
        <w:textAlignment w:val="baseline"/>
        <w:rPr>
          <w:rFonts w:hint="default" w:ascii="宋体" w:hAnsi="宋体" w:cs="宋体" w:eastAsiaTheme="minorEastAsia"/>
          <w:b/>
          <w:sz w:val="32"/>
          <w:szCs w:val="32"/>
          <w:lang w:val="en-US" w:eastAsia="zh-CN"/>
        </w:rPr>
      </w:pPr>
      <w:r>
        <w:rPr>
          <w:rFonts w:hint="eastAsia" w:ascii="宋体" w:hAnsi="宋体" w:cs="宋体"/>
          <w:b/>
          <w:sz w:val="32"/>
          <w:szCs w:val="32"/>
          <w:lang w:val="zh-CN" w:eastAsia="zh-CN"/>
        </w:rPr>
        <w:t>海南州藏医院医疗电子票据管理</w:t>
      </w:r>
      <w:r>
        <w:rPr>
          <w:rFonts w:hint="eastAsia" w:ascii="宋体" w:hAnsi="宋体" w:cs="宋体"/>
          <w:b/>
          <w:sz w:val="32"/>
          <w:szCs w:val="32"/>
        </w:rPr>
        <w:t>采购项目</w:t>
      </w:r>
      <w:r>
        <w:rPr>
          <w:rFonts w:hint="eastAsia" w:ascii="宋体" w:hAnsi="宋体" w:cs="宋体"/>
          <w:b/>
          <w:sz w:val="32"/>
          <w:szCs w:val="32"/>
          <w:lang w:val="en-US" w:eastAsia="zh-CN"/>
        </w:rPr>
        <w:t>(第二次)</w:t>
      </w:r>
    </w:p>
    <w:p>
      <w:pPr>
        <w:adjustRightInd w:val="0"/>
        <w:spacing w:line="360" w:lineRule="auto"/>
        <w:jc w:val="left"/>
        <w:textAlignment w:val="baseline"/>
        <w:rPr>
          <w:rFonts w:hint="eastAsia" w:ascii="宋体" w:hAnsi="宋体" w:cs="宋体"/>
        </w:rPr>
      </w:pPr>
      <w:r>
        <w:rPr>
          <w:rFonts w:hint="eastAsia" w:ascii="宋体" w:hAnsi="宋体" w:cs="宋体"/>
        </w:rPr>
        <w:t>海南州政府采购中心</w:t>
      </w:r>
      <w:r>
        <w:rPr>
          <w:rFonts w:hint="eastAsia" w:ascii="宋体" w:hAnsi="宋体" w:cs="宋体"/>
          <w:lang w:val="zh-CN" w:eastAsia="zh-CN"/>
        </w:rPr>
        <w:t>受海南州藏医院</w:t>
      </w:r>
      <w:r>
        <w:rPr>
          <w:rFonts w:hint="eastAsia" w:ascii="宋体" w:hAnsi="宋体" w:cs="宋体"/>
          <w:lang w:eastAsia="zh-CN"/>
        </w:rPr>
        <w:t>委托，拟对</w:t>
      </w:r>
      <w:r>
        <w:rPr>
          <w:rFonts w:hint="eastAsia" w:ascii="宋体" w:hAnsi="宋体" w:cs="宋体"/>
          <w:lang w:val="zh-CN" w:eastAsia="zh-CN"/>
        </w:rPr>
        <w:t>海南州藏医院医疗电子票据管理采购项目</w:t>
      </w:r>
      <w:r>
        <w:rPr>
          <w:rFonts w:hint="eastAsia" w:ascii="宋体" w:hAnsi="宋体" w:cs="宋体"/>
          <w:lang w:val="en-US" w:eastAsia="zh-CN"/>
        </w:rPr>
        <w:t>(第二次）</w:t>
      </w:r>
      <w:r>
        <w:rPr>
          <w:rFonts w:hint="eastAsia" w:ascii="宋体" w:hAnsi="宋体" w:cs="宋体"/>
          <w:lang w:eastAsia="zh-CN"/>
        </w:rPr>
        <w:t>进行国内竞争性磋商，欢迎</w:t>
      </w:r>
      <w:r>
        <w:rPr>
          <w:rFonts w:hint="eastAsia" w:ascii="宋体" w:hAnsi="宋体" w:cs="宋体"/>
        </w:rPr>
        <w:t>符合条件的供应商前来参加投标。</w:t>
      </w:r>
    </w:p>
    <w:tbl>
      <w:tblPr>
        <w:tblStyle w:val="19"/>
        <w:tblW w:w="8803" w:type="dxa"/>
        <w:jc w:val="center"/>
        <w:tblLayout w:type="fixed"/>
        <w:tblCellMar>
          <w:top w:w="0" w:type="dxa"/>
          <w:left w:w="0" w:type="dxa"/>
          <w:bottom w:w="0" w:type="dxa"/>
          <w:right w:w="0" w:type="dxa"/>
        </w:tblCellMar>
      </w:tblPr>
      <w:tblGrid>
        <w:gridCol w:w="2372"/>
        <w:gridCol w:w="6431"/>
      </w:tblGrid>
      <w:tr>
        <w:tblPrEx>
          <w:tblCellMar>
            <w:top w:w="0" w:type="dxa"/>
            <w:left w:w="0" w:type="dxa"/>
            <w:bottom w:w="0" w:type="dxa"/>
            <w:right w:w="0" w:type="dxa"/>
          </w:tblCellMar>
        </w:tblPrEx>
        <w:trPr>
          <w:trHeight w:val="648"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431"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2022-1(第二次）</w:t>
            </w:r>
          </w:p>
        </w:tc>
      </w:tr>
      <w:tr>
        <w:tblPrEx>
          <w:tblCellMar>
            <w:top w:w="0" w:type="dxa"/>
            <w:left w:w="0" w:type="dxa"/>
            <w:bottom w:w="0" w:type="dxa"/>
            <w:right w:w="0" w:type="dxa"/>
          </w:tblCellMar>
        </w:tblPrEx>
        <w:trPr>
          <w:trHeight w:val="282"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431" w:type="dxa"/>
            <w:tcBorders>
              <w:top w:val="outset" w:color="auto" w:sz="6" w:space="0"/>
              <w:left w:val="outset" w:color="auto" w:sz="6" w:space="0"/>
              <w:bottom w:val="outset" w:color="auto" w:sz="6" w:space="0"/>
              <w:right w:val="outset" w:color="auto" w:sz="6" w:space="0"/>
            </w:tcBorders>
            <w:vAlign w:val="center"/>
          </w:tcPr>
          <w:p>
            <w:pPr>
              <w:adjustRightInd w:val="0"/>
              <w:spacing w:line="360" w:lineRule="auto"/>
              <w:jc w:val="both"/>
              <w:textAlignment w:val="baseline"/>
              <w:rPr>
                <w:rFonts w:ascii="宋体" w:hAnsi="宋体" w:cs="宋体"/>
              </w:rPr>
            </w:pPr>
            <w:r>
              <w:rPr>
                <w:rFonts w:hint="eastAsia" w:ascii="宋体" w:hAnsi="宋体" w:cs="宋体"/>
                <w:lang w:val="zh-CN" w:eastAsia="zh-CN"/>
              </w:rPr>
              <w:t>海南州藏医院医疗电子票据管理采购项目</w:t>
            </w:r>
            <w:r>
              <w:rPr>
                <w:rFonts w:hint="eastAsia" w:ascii="宋体" w:hAnsi="宋体" w:cs="宋体"/>
                <w:lang w:val="en-US" w:eastAsia="zh-CN"/>
              </w:rPr>
              <w:t>(第二次）</w:t>
            </w:r>
          </w:p>
        </w:tc>
      </w:tr>
      <w:tr>
        <w:tblPrEx>
          <w:tblCellMar>
            <w:top w:w="0" w:type="dxa"/>
            <w:left w:w="0" w:type="dxa"/>
            <w:bottom w:w="0" w:type="dxa"/>
            <w:right w:w="0" w:type="dxa"/>
          </w:tblCellMar>
        </w:tblPrEx>
        <w:trPr>
          <w:trHeight w:val="9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47.5</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431"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431"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14</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21</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535"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431"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352"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431"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431"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431"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rPr>
              <w:t>海南州</w:t>
            </w:r>
            <w:r>
              <w:rPr>
                <w:rFonts w:hint="eastAsia" w:ascii="宋体" w:hAnsi="宋体" w:cs="宋体"/>
                <w:lang w:eastAsia="zh-CN"/>
              </w:rPr>
              <w:t>藏医院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拉什吉措</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rPr>
              <w:t>17609740085</w:t>
            </w:r>
          </w:p>
        </w:tc>
      </w:tr>
      <w:tr>
        <w:tblPrEx>
          <w:tblCellMar>
            <w:top w:w="0" w:type="dxa"/>
            <w:left w:w="0" w:type="dxa"/>
            <w:bottom w:w="0" w:type="dxa"/>
            <w:right w:w="0" w:type="dxa"/>
          </w:tblCellMar>
        </w:tblPrEx>
        <w:trPr>
          <w:jc w:val="center"/>
        </w:trPr>
        <w:tc>
          <w:tcPr>
            <w:tcW w:w="237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431"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372"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431"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2022-1-1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海南州藏医院医疗电子票据管理采购项目（第二次）</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w:t>
            </w:r>
            <w:r>
              <w:rPr>
                <w:rFonts w:ascii="微软雅黑" w:hAnsi="微软雅黑" w:eastAsia="微软雅黑" w:cs="微软雅黑"/>
                <w:color w:val="auto"/>
                <w:sz w:val="19"/>
                <w:szCs w:val="19"/>
              </w:rPr>
              <w:t>7779905201000431864</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9500</w:t>
            </w:r>
          </w:p>
        </w:tc>
      </w:tr>
      <w:tr>
        <w:tblPrEx>
          <w:tblCellMar>
            <w:top w:w="0" w:type="dxa"/>
            <w:left w:w="0" w:type="dxa"/>
            <w:bottom w:w="0" w:type="dxa"/>
            <w:right w:w="0" w:type="dxa"/>
          </w:tblCellMar>
        </w:tblPrEx>
        <w:trPr>
          <w:trHeight w:val="683" w:hRule="atLeast"/>
          <w:jc w:val="center"/>
        </w:trPr>
        <w:tc>
          <w:tcPr>
            <w:tcW w:w="2372"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431"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372"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431"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int="eastAsia" w:hAnsi="宋体" w:cs="宋体"/>
          <w:b/>
          <w:bCs/>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6</w:t>
      </w:r>
      <w:r>
        <w:rPr>
          <w:rFonts w:hint="eastAsia" w:hAnsi="宋体" w:cs="宋体"/>
          <w:sz w:val="24"/>
          <w:szCs w:val="24"/>
          <w:lang w:eastAsia="zh-CN"/>
        </w:rPr>
        <w:t>月</w:t>
      </w:r>
      <w:r>
        <w:rPr>
          <w:rFonts w:hint="eastAsia" w:hAnsi="宋体" w:cs="宋体"/>
          <w:sz w:val="24"/>
          <w:szCs w:val="24"/>
          <w:lang w:val="en-US" w:eastAsia="zh-CN"/>
        </w:rPr>
        <w:t>14</w:t>
      </w:r>
      <w:r>
        <w:rPr>
          <w:rFonts w:hint="eastAsia" w:hAnsi="宋体" w:cs="宋体"/>
          <w:sz w:val="24"/>
          <w:szCs w:val="24"/>
          <w:lang w:eastAsia="zh-CN"/>
        </w:rPr>
        <w:t>日</w:t>
      </w: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海南州藏医院医疗电子票据管理采购项目</w:t>
            </w:r>
            <w:r>
              <w:rPr>
                <w:rFonts w:hint="eastAsia" w:ascii="宋体" w:hAnsi="宋体" w:cs="宋体"/>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2022-1(第二次）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47.5</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14</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21</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ascii="宋体" w:hAnsi="宋体" w:cs="宋体"/>
                <w:color w:val="auto"/>
                <w:kern w:val="0"/>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auto"/>
                <w:kern w:val="0"/>
                <w:lang w:val="zh-CN"/>
              </w:rPr>
              <w:t>响应文件外层密封袋的标注：采购项目名称、采购项目编号</w:t>
            </w:r>
            <w:r>
              <w:rPr>
                <w:rFonts w:hint="eastAsia" w:ascii="Arial" w:hAnsi="Arial" w:cs="Arial"/>
                <w:color w:val="auto"/>
                <w:kern w:val="0"/>
                <w:lang w:val="zh-CN"/>
              </w:rPr>
              <w:t>、</w:t>
            </w:r>
            <w:r>
              <w:rPr>
                <w:rFonts w:ascii="Arial" w:hAnsi="Arial" w:cs="Arial"/>
                <w:color w:val="auto"/>
                <w:kern w:val="0"/>
                <w:lang w:val="zh-CN"/>
              </w:rPr>
              <w:t>供应商名称、年月日以及“</w:t>
            </w:r>
            <w:r>
              <w:rPr>
                <w:rFonts w:hint="eastAsia" w:ascii="宋体" w:hAnsi="Cambria" w:cs="宋体"/>
                <w:color w:val="auto"/>
                <w:kern w:val="0"/>
                <w:lang w:val="zh-CN"/>
              </w:rPr>
              <w:t>于</w:t>
            </w:r>
            <w:r>
              <w:rPr>
                <w:rFonts w:ascii="Arial" w:hAnsi="Arial" w:cs="Arial"/>
                <w:color w:val="auto"/>
                <w:kern w:val="0"/>
                <w:lang w:val="zh-CN"/>
              </w:rPr>
              <w:t>20</w:t>
            </w:r>
            <w:r>
              <w:rPr>
                <w:rFonts w:hint="eastAsia" w:ascii="Arial" w:hAnsi="Arial" w:cs="Arial"/>
                <w:color w:val="auto"/>
                <w:kern w:val="0"/>
                <w:lang w:val="en-US" w:eastAsia="zh-CN"/>
              </w:rPr>
              <w:t>22</w:t>
            </w:r>
            <w:r>
              <w:rPr>
                <w:rFonts w:ascii="Arial" w:hAnsi="Arial" w:cs="Arial"/>
                <w:color w:val="auto"/>
                <w:kern w:val="0"/>
                <w:lang w:val="zh-CN"/>
              </w:rPr>
              <w:t>年</w:t>
            </w:r>
            <w:r>
              <w:rPr>
                <w:rFonts w:hint="eastAsia" w:ascii="Arial" w:hAnsi="Arial" w:cs="Arial"/>
                <w:color w:val="auto"/>
                <w:kern w:val="0"/>
                <w:lang w:val="en-US" w:eastAsia="zh-CN"/>
              </w:rPr>
              <w:t>5</w:t>
            </w:r>
            <w:r>
              <w:rPr>
                <w:rFonts w:ascii="Arial" w:hAnsi="Arial" w:cs="Arial"/>
                <w:color w:val="auto"/>
                <w:kern w:val="0"/>
                <w:lang w:val="zh-CN"/>
              </w:rPr>
              <w:t>月</w:t>
            </w:r>
            <w:r>
              <w:rPr>
                <w:rFonts w:hint="eastAsia" w:ascii="Arial" w:hAnsi="Arial" w:cs="Arial"/>
                <w:color w:val="auto"/>
                <w:kern w:val="0"/>
                <w:lang w:val="en-US" w:eastAsia="zh-CN"/>
              </w:rPr>
              <w:t>19</w:t>
            </w:r>
            <w:r>
              <w:rPr>
                <w:rFonts w:ascii="Arial" w:hAnsi="Arial" w:cs="Arial"/>
                <w:color w:val="auto"/>
                <w:kern w:val="0"/>
                <w:lang w:val="zh-CN"/>
              </w:rPr>
              <w:t>日</w:t>
            </w:r>
            <w:r>
              <w:rPr>
                <w:rFonts w:hint="eastAsia" w:ascii="Arial" w:hAnsi="Arial" w:cs="Arial"/>
                <w:color w:val="auto"/>
              </w:rPr>
              <w:t>14时30分（北京时间）</w:t>
            </w:r>
            <w:r>
              <w:rPr>
                <w:rFonts w:hint="eastAsia" w:ascii="宋体" w:hAnsi="Cambria" w:cs="宋体"/>
                <w:color w:val="auto"/>
                <w:kern w:val="0"/>
                <w:lang w:val="zh-CN"/>
              </w:rPr>
              <w:t>之前不准启封</w:t>
            </w:r>
            <w:r>
              <w:rPr>
                <w:rFonts w:ascii="Arial" w:hAnsi="Arial" w:cs="Arial"/>
                <w:color w:val="auto"/>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27</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设备交货期</w:t>
            </w:r>
          </w:p>
        </w:tc>
        <w:tc>
          <w:tcPr>
            <w:tcW w:w="6962" w:type="dxa"/>
            <w:shd w:val="clear" w:color="000000" w:fill="FFFFFF"/>
            <w:vAlign w:val="center"/>
          </w:tcPr>
          <w:p>
            <w:pPr>
              <w:autoSpaceDE w:val="0"/>
              <w:autoSpaceDN w:val="0"/>
              <w:adjustRightInd w:val="0"/>
              <w:spacing w:line="320" w:lineRule="exact"/>
              <w:jc w:val="left"/>
              <w:rPr>
                <w:rFonts w:hint="default"/>
                <w:color w:val="auto"/>
                <w:lang w:val="en-US" w:eastAsia="zh-CN"/>
              </w:rPr>
            </w:pPr>
            <w:r>
              <w:rPr>
                <w:rFonts w:hint="eastAsia"/>
                <w:color w:val="auto"/>
                <w:lang w:eastAsia="zh-CN"/>
              </w:rPr>
              <w:t>交货期：签订合同后</w:t>
            </w:r>
            <w:r>
              <w:rPr>
                <w:rFonts w:hint="eastAsia"/>
                <w:color w:val="auto"/>
                <w:lang w:val="en-US" w:eastAsia="zh-CN"/>
              </w:rPr>
              <w:t>3个月内安装交付使用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项目服务期</w:t>
            </w:r>
          </w:p>
        </w:tc>
        <w:tc>
          <w:tcPr>
            <w:tcW w:w="6962" w:type="dxa"/>
            <w:shd w:val="clear" w:color="000000" w:fill="FFFFFF"/>
            <w:vAlign w:val="center"/>
          </w:tcPr>
          <w:p>
            <w:pPr>
              <w:autoSpaceDE w:val="0"/>
              <w:autoSpaceDN w:val="0"/>
              <w:adjustRightInd w:val="0"/>
              <w:spacing w:line="320" w:lineRule="exact"/>
              <w:jc w:val="left"/>
              <w:rPr>
                <w:rFonts w:hint="eastAsia" w:ascii="Arial" w:hAnsi="Arial" w:cs="Arial"/>
                <w:color w:val="0000FF"/>
                <w:kern w:val="0"/>
                <w:lang w:val="en-US" w:eastAsia="zh-CN"/>
              </w:rPr>
            </w:pPr>
            <w:r>
              <w:rPr>
                <w:rFonts w:hint="eastAsia" w:ascii="Arial" w:hAnsi="Arial" w:cs="Arial"/>
                <w:color w:val="0000FF"/>
                <w:kern w:val="0"/>
                <w:lang w:val="zh-CN"/>
              </w:rPr>
              <w:t>服务期</w:t>
            </w:r>
            <w:r>
              <w:rPr>
                <w:rFonts w:hint="eastAsia" w:ascii="Arial" w:hAnsi="Arial" w:cs="Arial"/>
                <w:color w:val="0000FF"/>
                <w:kern w:val="0"/>
                <w:lang w:val="en-US" w:eastAsia="zh-CN"/>
              </w:rPr>
              <w:t>2年</w:t>
            </w:r>
          </w:p>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eastAsia="zh-CN"/>
              </w:rPr>
              <w:t>服务地点：按采购单位要求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验收合格后</w:t>
            </w:r>
            <w:r>
              <w:rPr>
                <w:rFonts w:hint="eastAsia" w:ascii="Arial" w:hAnsi="Arial" w:cs="Arial"/>
                <w:color w:val="0000FF"/>
                <w:kern w:val="0"/>
                <w:lang w:val="en-US" w:eastAsia="zh-CN"/>
              </w:rPr>
              <w:t>3</w:t>
            </w:r>
            <w:r>
              <w:rPr>
                <w:rFonts w:hint="eastAsia" w:ascii="Arial" w:hAnsi="Arial" w:cs="Arial"/>
                <w:color w:val="0000FF"/>
                <w:kern w:val="0"/>
                <w:lang w:val="zh-CN"/>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rPr>
              <w:t>海南州</w:t>
            </w:r>
            <w:r>
              <w:rPr>
                <w:rFonts w:hint="eastAsia" w:ascii="宋体" w:hAnsi="宋体" w:cs="宋体"/>
                <w:lang w:eastAsia="zh-CN"/>
              </w:rPr>
              <w:t>藏医院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拉什吉措</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rPr>
              <w:t>17609740085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18"/>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25725998"/>
      <w:bookmarkStart w:id="8" w:name="_Toc376936729"/>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25726000"/>
      <w:bookmarkStart w:id="12" w:name="_Toc376936731"/>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76936732"/>
      <w:bookmarkStart w:id="14" w:name="_Toc325726001"/>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25726002"/>
      <w:bookmarkStart w:id="17" w:name="_Toc376936733"/>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25726003"/>
      <w:bookmarkStart w:id="19" w:name="_Toc376936734"/>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玖仟伍佰元</w:t>
      </w:r>
      <w:r>
        <w:rPr>
          <w:rFonts w:hint="eastAsia" w:ascii="宋体" w:hAnsi="宋体"/>
          <w:color w:val="FF0000"/>
        </w:rPr>
        <w:t>整  RMB:</w:t>
      </w:r>
      <w:r>
        <w:rPr>
          <w:rFonts w:hint="eastAsia" w:ascii="宋体" w:hAnsi="宋体" w:cs="宋体"/>
          <w:color w:val="FF0000"/>
          <w:kern w:val="0"/>
          <w:sz w:val="21"/>
          <w:szCs w:val="24"/>
          <w:lang w:val="en-US" w:eastAsia="zh-CN" w:bidi="ar-SA"/>
        </w:rPr>
        <w:t>9500</w:t>
      </w:r>
      <w:r>
        <w:rPr>
          <w:rFonts w:hint="eastAsia" w:ascii="宋体" w:hAnsi="宋体"/>
          <w:color w:val="FF0000"/>
          <w:lang w:val="en-US" w:eastAsia="zh-CN"/>
        </w:rPr>
        <w:t>。</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73392582"/>
      <w:bookmarkStart w:id="42" w:name="_Toc412617731"/>
      <w:bookmarkStart w:id="43" w:name="_Toc325726016"/>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412617732"/>
      <w:bookmarkStart w:id="45" w:name="_Toc325726017"/>
      <w:bookmarkStart w:id="46" w:name="_Toc373392583"/>
      <w:bookmarkStart w:id="47" w:name="_Toc371090030"/>
      <w:bookmarkStart w:id="48" w:name="_Toc376936749"/>
      <w:r>
        <w:rPr>
          <w:rFonts w:hint="eastAsia" w:ascii="宋体" w:hAnsi="宋体"/>
          <w:b/>
          <w:bCs/>
          <w:kern w:val="0"/>
          <w:sz w:val="27"/>
          <w:szCs w:val="27"/>
        </w:rPr>
        <w:t>14.递送磋商响应文件的地点、截止日期</w:t>
      </w:r>
      <w:bookmarkEnd w:id="44"/>
      <w:bookmarkEnd w:id="45"/>
      <w:bookmarkEnd w:id="46"/>
      <w:bookmarkStart w:id="151" w:name="_GoBack"/>
      <w:bookmarkEnd w:id="151"/>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76936751"/>
      <w:bookmarkStart w:id="53" w:name="_Toc325726020"/>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376936752"/>
      <w:bookmarkStart w:id="55" w:name="_Toc10899"/>
      <w:bookmarkStart w:id="56" w:name="_Toc325726021"/>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76936753"/>
      <w:bookmarkStart w:id="58" w:name="_Toc325726022"/>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76936755"/>
      <w:bookmarkStart w:id="62" w:name="_Toc325726024"/>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kern w:val="0"/>
                <w:sz w:val="22"/>
                <w:szCs w:val="22"/>
                <w:lang w:val="zh-CN"/>
              </w:rPr>
            </w:pPr>
            <w:bookmarkStart w:id="63" w:name="_Toc325726025"/>
            <w:bookmarkStart w:id="64" w:name="_Toc376936756"/>
            <w:bookmarkStart w:id="65" w:name="_Toc29958"/>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商务部分（满分</w:t>
            </w:r>
            <w:r>
              <w:rPr>
                <w:rFonts w:hint="eastAsia" w:ascii="宋体" w:hAnsi="Cambria" w:cs="宋体"/>
                <w:kern w:val="0"/>
              </w:rPr>
              <w:t>30</w:t>
            </w:r>
            <w:r>
              <w:rPr>
                <w:rFonts w:hint="eastAsia" w:ascii="宋体" w:hAnsi="Cambria" w:cs="宋体"/>
                <w:kern w:val="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center"/>
              <w:rPr>
                <w:rFonts w:hint="default" w:ascii="宋体" w:hAnsi="Cambria" w:cs="宋体" w:eastAsiaTheme="minorEastAsia"/>
                <w:kern w:val="0"/>
                <w:sz w:val="22"/>
                <w:szCs w:val="22"/>
                <w:lang w:val="en-US" w:eastAsia="zh-CN"/>
              </w:rPr>
            </w:pPr>
            <w:r>
              <w:rPr>
                <w:rFonts w:hint="eastAsia" w:ascii="宋体" w:hAnsi="Cambria" w:cs="宋体"/>
                <w:kern w:val="0"/>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技术部分（满分</w:t>
            </w:r>
            <w:r>
              <w:rPr>
                <w:rFonts w:hint="eastAsia" w:ascii="宋体" w:hAnsi="Cambria" w:cs="宋体"/>
                <w:kern w:val="0"/>
              </w:rPr>
              <w:t>70</w:t>
            </w:r>
            <w:r>
              <w:rPr>
                <w:rFonts w:hint="eastAsia" w:ascii="宋体" w:hAnsi="Cambria" w:cs="宋体"/>
                <w:kern w:val="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left"/>
              <w:rPr>
                <w:rFonts w:ascii="宋体" w:hAnsi="Cambria" w:cs="宋体"/>
                <w:kern w:val="0"/>
                <w:sz w:val="22"/>
                <w:szCs w:val="22"/>
                <w:lang w:val="zh-CN"/>
              </w:rPr>
            </w:pPr>
            <w:r>
              <w:rPr>
                <w:rFonts w:hint="eastAsia" w:ascii="宋体" w:hAnsi="Cambria" w:cs="宋体"/>
                <w:kern w:val="0"/>
              </w:rPr>
              <w:t xml:space="preserve">    </w:t>
            </w:r>
            <w:r>
              <w:rPr>
                <w:rFonts w:hint="eastAsia" w:ascii="宋体" w:hAnsi="Cambria" w:cs="宋体"/>
                <w:kern w:val="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40"/>
              <w:jc w:val="center"/>
              <w:rPr>
                <w:rFonts w:hint="default" w:ascii="宋体" w:hAnsi="Cambria" w:cs="宋体" w:eastAsiaTheme="minorEastAsia"/>
                <w:kern w:val="0"/>
                <w:sz w:val="22"/>
                <w:szCs w:val="22"/>
                <w:lang w:val="en-US" w:eastAsia="zh-CN"/>
              </w:rPr>
            </w:pPr>
            <w:r>
              <w:rPr>
                <w:rFonts w:hint="eastAsia" w:ascii="宋体" w:hAnsi="Cambria" w:cs="宋体"/>
                <w:kern w:val="0"/>
                <w:sz w:val="22"/>
                <w:szCs w:val="22"/>
                <w:lang w:val="en-US" w:eastAsia="zh-CN"/>
              </w:rPr>
              <w:t>70</w:t>
            </w:r>
          </w:p>
        </w:tc>
      </w:tr>
    </w:tbl>
    <w:p>
      <w:pPr>
        <w:autoSpaceDE w:val="0"/>
        <w:autoSpaceDN w:val="0"/>
        <w:adjustRightInd w:val="0"/>
        <w:ind w:firstLine="210" w:firstLineChars="100"/>
        <w:jc w:val="left"/>
        <w:rPr>
          <w:rFonts w:ascii="宋体" w:hAnsi="Cambria" w:cs="宋体"/>
          <w:color w:val="000000"/>
          <w:kern w:val="0"/>
          <w:lang w:val="zh-CN"/>
        </w:rPr>
      </w:pPr>
      <w:r>
        <w:rPr>
          <w:rFonts w:hint="eastAsia" w:ascii="宋体" w:hAnsi="Cambria" w:cs="宋体"/>
          <w:color w:val="000000"/>
          <w:kern w:val="0"/>
          <w:lang w:val="zh-CN"/>
        </w:rPr>
        <w:t>具体项目及评分细则：</w:t>
      </w:r>
    </w:p>
    <w:p>
      <w:pPr>
        <w:autoSpaceDE w:val="0"/>
        <w:autoSpaceDN w:val="0"/>
        <w:adjustRightInd w:val="0"/>
        <w:jc w:val="left"/>
        <w:rPr>
          <w:rFonts w:ascii="宋体" w:hAnsi="Cambria" w:cs="宋体"/>
          <w:color w:val="000000"/>
          <w:kern w:val="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rPr>
                <w:rFonts w:ascii="宋体" w:hAnsi="Cambria" w:cs="宋体"/>
                <w:color w:val="000000"/>
                <w:kern w:val="0"/>
                <w:sz w:val="22"/>
                <w:szCs w:val="22"/>
                <w:lang w:val="zh-CN"/>
              </w:rPr>
            </w:pPr>
            <w:r>
              <w:rPr>
                <w:rFonts w:hint="eastAsia" w:ascii="宋体" w:hAnsi="Cambria" w:cs="宋体"/>
                <w:color w:val="000000"/>
                <w:kern w:val="0"/>
                <w:szCs w:val="21"/>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 w:val="22"/>
                <w:szCs w:val="22"/>
                <w:lang w:val="zh-CN"/>
              </w:rPr>
            </w:pPr>
            <w:r>
              <w:rPr>
                <w:rFonts w:hint="eastAsia" w:ascii="宋体" w:hAnsi="Cambria" w:cs="宋体"/>
                <w:color w:val="000000"/>
                <w:kern w:val="0"/>
                <w:szCs w:val="21"/>
                <w:lang w:val="zh-CN"/>
              </w:rPr>
              <w:t>满分</w:t>
            </w:r>
            <w:r>
              <w:rPr>
                <w:rFonts w:ascii="宋体" w:hAnsi="Cambria" w:cs="宋体"/>
                <w:color w:val="000000"/>
                <w:kern w:val="0"/>
                <w:szCs w:val="21"/>
                <w:lang w:val="zh-CN"/>
              </w:rPr>
              <w:t xml:space="preserve"> </w:t>
            </w:r>
            <w:r>
              <w:rPr>
                <w:rFonts w:hint="eastAsia" w:ascii="宋体" w:hAnsi="Cambria" w:cs="宋体"/>
                <w:color w:val="000000"/>
                <w:kern w:val="0"/>
                <w:szCs w:val="21"/>
                <w:lang w:val="zh-CN"/>
              </w:rPr>
              <w:t>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color w:val="000000"/>
                <w:kern w:val="0"/>
                <w:sz w:val="22"/>
                <w:szCs w:val="22"/>
                <w:lang w:val="zh-CN"/>
              </w:rPr>
            </w:pPr>
            <w:r>
              <w:rPr>
                <w:rFonts w:hint="eastAsia" w:ascii="宋体" w:hAnsi="Cambria" w:cs="宋体"/>
                <w:color w:val="000000"/>
                <w:kern w:val="0"/>
                <w:szCs w:val="21"/>
                <w:lang w:val="zh-CN"/>
              </w:rPr>
              <w:t>评审标准</w:t>
            </w:r>
          </w:p>
        </w:tc>
      </w:tr>
      <w:tr>
        <w:tblPrEx>
          <w:tblCellMar>
            <w:top w:w="0" w:type="dxa"/>
            <w:left w:w="108" w:type="dxa"/>
            <w:bottom w:w="0" w:type="dxa"/>
            <w:right w:w="108" w:type="dxa"/>
          </w:tblCellMar>
        </w:tblPrEx>
        <w:trPr>
          <w:trHeight w:val="289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rPr>
              <w:t xml:space="preserve">商务部分                                                                                            </w:t>
            </w:r>
            <w:r>
              <w:rPr>
                <w:rFonts w:hint="eastAsia" w:ascii="宋体" w:hAnsi="Cambria" w:cs="宋体"/>
                <w:color w:val="000000"/>
                <w:kern w:val="0"/>
                <w:szCs w:val="21"/>
                <w:lang w:val="en-US" w:eastAsia="zh-CN"/>
              </w:rPr>
              <w:t>30</w:t>
            </w:r>
            <w:r>
              <w:rPr>
                <w:rFonts w:hint="eastAsia" w:ascii="宋体" w:hAnsi="Cambria" w:cs="宋体"/>
                <w:color w:val="000000"/>
                <w:kern w:val="0"/>
                <w:szCs w:val="21"/>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Cs w:val="21"/>
                <w:lang w:val="zh-CN"/>
              </w:rPr>
            </w:pPr>
            <w:r>
              <w:rPr>
                <w:rFonts w:hint="eastAsia" w:ascii="宋体" w:hAnsi="Cambria" w:cs="宋体"/>
                <w:color w:val="000000"/>
                <w:kern w:val="0"/>
                <w:szCs w:val="21"/>
              </w:rPr>
              <w:t xml:space="preserve">   </w:t>
            </w:r>
            <w:r>
              <w:rPr>
                <w:rFonts w:hint="eastAsia" w:ascii="宋体" w:hAnsi="Cambria" w:cs="宋体"/>
                <w:color w:val="000000"/>
                <w:kern w:val="0"/>
                <w:szCs w:val="21"/>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center"/>
              <w:rPr>
                <w:rFonts w:hint="default" w:ascii="宋体" w:hAnsi="Cambria" w:eastAsia="宋体" w:cs="宋体"/>
                <w:color w:val="auto"/>
                <w:kern w:val="0"/>
                <w:sz w:val="22"/>
                <w:szCs w:val="22"/>
                <w:lang w:val="en-US" w:eastAsia="zh-CN"/>
              </w:rPr>
            </w:pPr>
            <w:r>
              <w:rPr>
                <w:rFonts w:hint="eastAsia" w:ascii="宋体" w:hAnsi="Cambria" w:cs="宋体"/>
                <w:color w:val="auto"/>
                <w:kern w:val="0"/>
                <w:szCs w:val="21"/>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rPr>
                <w:rFonts w:ascii="宋体" w:hAnsi="Cambria" w:cs="宋体"/>
                <w:color w:val="FF0000"/>
                <w:kern w:val="0"/>
                <w:sz w:val="22"/>
                <w:szCs w:val="22"/>
                <w:lang w:val="zh-CN"/>
              </w:rPr>
            </w:pPr>
            <w:r>
              <w:rPr>
                <w:rFonts w:hint="eastAsia" w:ascii="宋体" w:hAnsi="Cambria" w:cs="宋体"/>
                <w:color w:val="000000"/>
                <w:kern w:val="0"/>
                <w:szCs w:val="21"/>
                <w:lang w:val="zh-CN"/>
              </w:rPr>
              <w:t>技术部分</w:t>
            </w:r>
            <w:r>
              <w:rPr>
                <w:rFonts w:hint="eastAsia" w:ascii="宋体" w:hAnsi="Cambria" w:cs="宋体"/>
                <w:color w:val="000000"/>
                <w:kern w:val="0"/>
                <w:szCs w:val="21"/>
                <w:lang w:val="en-US" w:eastAsia="zh-CN"/>
              </w:rPr>
              <w:t>70</w:t>
            </w:r>
            <w:r>
              <w:rPr>
                <w:rFonts w:hint="eastAsia" w:ascii="宋体" w:hAnsi="Cambria" w:cs="宋体"/>
                <w:color w:val="000000"/>
                <w:kern w:val="0"/>
                <w:szCs w:val="21"/>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Cambria" w:cs="宋体"/>
                <w:color w:val="000000"/>
                <w:kern w:val="0"/>
                <w:lang w:val="zh-CN"/>
              </w:rPr>
            </w:pPr>
            <w:r>
              <w:rPr>
                <w:rFonts w:hint="eastAsia" w:ascii="宋体" w:hAnsi="宋体"/>
                <w:szCs w:val="21"/>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宋体" w:hAnsi="Cambria" w:eastAsia="宋体" w:cs="宋体"/>
                <w:color w:val="auto"/>
                <w:kern w:val="0"/>
                <w:lang w:val="en-US" w:eastAsia="zh-CN"/>
              </w:rPr>
            </w:pPr>
            <w:r>
              <w:rPr>
                <w:rFonts w:hint="eastAsia" w:ascii="宋体" w:hAnsi="宋体"/>
                <w:color w:val="auto"/>
                <w:szCs w:val="21"/>
                <w:lang w:val="en-US" w:eastAsia="zh-CN"/>
              </w:rPr>
              <w:t>35</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针对本项目投标技术参数和配置完全满足或高于招标文件要求的得</w:t>
            </w:r>
            <w:r>
              <w:rPr>
                <w:rFonts w:hint="eastAsia" w:ascii="宋体" w:hAnsi="Cambria" w:cs="宋体"/>
                <w:color w:val="000000"/>
                <w:kern w:val="0"/>
                <w:szCs w:val="21"/>
                <w:lang w:val="en-US" w:eastAsia="zh-CN"/>
              </w:rPr>
              <w:t>35</w:t>
            </w:r>
            <w:r>
              <w:rPr>
                <w:rFonts w:hint="eastAsia" w:ascii="宋体" w:hAnsi="Cambria" w:cs="宋体"/>
                <w:color w:val="000000"/>
                <w:kern w:val="0"/>
                <w:szCs w:val="21"/>
                <w:lang w:val="zh-CN"/>
              </w:rPr>
              <w:t>分；主要参数满足招标文件要求，有细微偏离每一项偏离扣</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Cambria" w:cs="宋体"/>
                <w:color w:val="auto"/>
                <w:kern w:val="0"/>
                <w:lang w:val="zh-CN"/>
              </w:rPr>
            </w:pPr>
            <w:r>
              <w:rPr>
                <w:rFonts w:hint="eastAsia" w:ascii="宋体" w:hAnsi="宋体"/>
                <w:color w:val="auto"/>
                <w:szCs w:val="21"/>
              </w:rPr>
              <w:t>项目管理及实施方案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hint="default" w:ascii="宋体" w:hAnsi="Cambria" w:eastAsia="宋体" w:cs="宋体"/>
                <w:color w:val="auto"/>
                <w:kern w:val="0"/>
                <w:lang w:val="en-US" w:eastAsia="zh-CN"/>
              </w:rPr>
            </w:pPr>
            <w:r>
              <w:rPr>
                <w:rFonts w:hint="eastAsia" w:ascii="宋体" w:hAnsi="宋体"/>
                <w:color w:val="auto"/>
                <w:szCs w:val="21"/>
                <w:lang w:val="en-US" w:eastAsia="zh-CN"/>
              </w:rPr>
              <w:t>18</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1.实施方案（</w:t>
            </w:r>
            <w:r>
              <w:rPr>
                <w:rFonts w:hint="eastAsia" w:ascii="宋体" w:hAnsi="Cambria" w:cs="宋体"/>
                <w:color w:val="000000"/>
                <w:kern w:val="0"/>
                <w:szCs w:val="21"/>
                <w:lang w:val="en-US" w:eastAsia="zh-CN"/>
              </w:rPr>
              <w:t>6</w:t>
            </w:r>
            <w:r>
              <w:rPr>
                <w:rFonts w:hint="eastAsia" w:ascii="宋体" w:hAnsi="Cambria" w:cs="宋体"/>
                <w:color w:val="000000"/>
                <w:kern w:val="0"/>
                <w:szCs w:val="21"/>
                <w:lang w:val="zh-CN"/>
              </w:rPr>
              <w:t>分）：能够结合项目特点制定可实施的详尽方案，包括主要工作内容、实施步骤、实施计划和实施进度的科学性、全面性、合理性等。进行横向比较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2.项目管理机构（</w:t>
            </w:r>
            <w:r>
              <w:rPr>
                <w:rFonts w:hint="eastAsia" w:ascii="宋体" w:hAnsi="Cambria" w:cs="宋体"/>
                <w:color w:val="000000"/>
                <w:kern w:val="0"/>
                <w:szCs w:val="21"/>
                <w:lang w:val="en-US" w:eastAsia="zh-CN"/>
              </w:rPr>
              <w:t>6</w:t>
            </w:r>
            <w:r>
              <w:rPr>
                <w:rFonts w:hint="eastAsia" w:ascii="宋体" w:hAnsi="Cambria" w:cs="宋体"/>
                <w:color w:val="000000"/>
                <w:kern w:val="0"/>
                <w:szCs w:val="21"/>
                <w:lang w:val="zh-CN"/>
              </w:rPr>
              <w:t>分）：设置了项目管理机构，并且有科学、具体的项目管理措施。包含：实施计划</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实施团队</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实施进度</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质量控制措施</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安全保障措施，进行横向比较，方案优秀得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3.质量保证（6分）：设置了产品质量保障体系，提供能够针对产品特点制定质量保障方案及详尽、具体的质量保证措施，质量保障体系健全且完全满足招标文件的，进行横向比较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方案优秀得</w:t>
            </w:r>
            <w:r>
              <w:rPr>
                <w:rFonts w:hint="eastAsia" w:ascii="宋体" w:hAnsi="Cambria" w:cs="宋体"/>
                <w:color w:val="000000"/>
                <w:kern w:val="0"/>
                <w:szCs w:val="21"/>
                <w:lang w:val="en-US" w:eastAsia="zh-CN"/>
              </w:rPr>
              <w:t>6-4</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3-2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分，差或未提供不得分。差或未提供不得分。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eastAsia" w:ascii="宋体" w:hAnsi="Cambria" w:cs="宋体"/>
                <w:color w:val="auto"/>
                <w:kern w:val="0"/>
              </w:rPr>
            </w:pPr>
            <w:r>
              <w:rPr>
                <w:rFonts w:hint="eastAsia" w:ascii="宋体" w:hAnsi="Cambria" w:cs="宋体"/>
                <w:color w:val="auto"/>
                <w:kern w:val="0"/>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default" w:ascii="宋体" w:hAnsi="Cambria" w:cs="宋体"/>
                <w:color w:val="auto"/>
                <w:kern w:val="0"/>
                <w:lang w:val="en-US"/>
              </w:rPr>
            </w:pPr>
            <w:r>
              <w:rPr>
                <w:rFonts w:hint="eastAsia" w:ascii="宋体" w:hAnsi="Cambria" w:cs="宋体"/>
                <w:color w:val="auto"/>
                <w:kern w:val="0"/>
                <w:lang w:val="en-US" w:eastAsia="zh-CN"/>
              </w:rPr>
              <w:t>8</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1、针对该项目须有完善的售后服务体系。包含：售后服务机构和人员</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售后服务内容和流程</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售后服务响应时间和质量</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售后服务方式和特色</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详尽的组织配送及验收</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进行横向比较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方优秀得</w:t>
            </w:r>
            <w:r>
              <w:rPr>
                <w:rFonts w:hint="eastAsia" w:ascii="宋体" w:hAnsi="Cambria" w:cs="宋体"/>
                <w:color w:val="000000"/>
                <w:kern w:val="0"/>
                <w:szCs w:val="21"/>
                <w:lang w:val="en-US" w:eastAsia="zh-CN"/>
              </w:rPr>
              <w:t>7-5</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4-2</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2-0.5</w:t>
            </w:r>
            <w:r>
              <w:rPr>
                <w:rFonts w:hint="eastAsia" w:ascii="宋体" w:hAnsi="Cambria" w:cs="宋体"/>
                <w:color w:val="000000"/>
                <w:kern w:val="0"/>
                <w:szCs w:val="21"/>
                <w:lang w:val="zh-CN"/>
              </w:rPr>
              <w:t>分，差或未提供不得分。</w:t>
            </w:r>
          </w:p>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2.提供售后服务相关承诺的，得1分；未提供不得分。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rPr>
                <w:rFonts w:hint="eastAsia" w:ascii="宋体" w:hAnsi="Cambria" w:cs="宋体"/>
                <w:color w:val="auto"/>
                <w:kern w:val="0"/>
              </w:rPr>
            </w:pPr>
            <w:r>
              <w:rPr>
                <w:rFonts w:hint="eastAsia" w:ascii="宋体" w:hAnsi="宋体"/>
                <w:sz w:val="21"/>
                <w:szCs w:val="21"/>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hint="eastAsia" w:ascii="宋体" w:hAnsi="Cambria" w:eastAsia="宋体" w:cs="宋体"/>
                <w:color w:val="auto"/>
                <w:kern w:val="0"/>
                <w:lang w:eastAsia="zh-CN"/>
              </w:rPr>
            </w:pPr>
            <w:r>
              <w:rPr>
                <w:rFonts w:hint="eastAsia" w:ascii="宋体" w:hAnsi="宋体"/>
                <w:sz w:val="21"/>
                <w:szCs w:val="21"/>
                <w:lang w:val="en-US" w:eastAsia="zh-CN"/>
              </w:rPr>
              <w:t>1</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投标产品为节能产品得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分；投标产品为环保产品得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ascii="宋体" w:hAnsi="Cambria" w:cs="宋体"/>
                <w:color w:val="auto"/>
                <w:lang w:val="zh-CN"/>
              </w:rPr>
            </w:pPr>
            <w:r>
              <w:rPr>
                <w:rFonts w:hint="eastAsia" w:ascii="宋体" w:hAnsi="Cambria" w:cs="宋体"/>
                <w:color w:val="auto"/>
                <w:kern w:val="0"/>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ascii="宋体" w:hAnsi="Cambria" w:eastAsia="宋体" w:cs="宋体"/>
                <w:color w:val="auto"/>
              </w:rPr>
            </w:pPr>
            <w:r>
              <w:rPr>
                <w:rFonts w:hint="eastAsia" w:ascii="宋体" w:hAnsi="Cambria" w:cs="宋体"/>
                <w:color w:val="auto"/>
                <w:kern w:val="0"/>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ind w:firstLine="440"/>
              <w:jc w:val="center"/>
              <w:rPr>
                <w:rFonts w:ascii="宋体" w:hAnsi="Cambria" w:cs="宋体"/>
                <w:color w:val="000000"/>
                <w:kern w:val="0"/>
                <w:sz w:val="22"/>
                <w:szCs w:val="22"/>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eastAsia" w:ascii="宋体" w:hAnsi="Cambria" w:cs="宋体"/>
                <w:color w:val="auto"/>
                <w:kern w:val="0"/>
                <w:lang w:val="zh-CN"/>
              </w:rPr>
            </w:pPr>
            <w:r>
              <w:rPr>
                <w:rFonts w:hint="eastAsia" w:ascii="宋体" w:hAnsi="Cambria" w:cs="宋体"/>
                <w:color w:val="auto"/>
                <w:kern w:val="0"/>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center"/>
              <w:rPr>
                <w:rFonts w:hint="default" w:ascii="宋体" w:hAnsi="Cambria" w:eastAsia="宋体" w:cs="宋体"/>
                <w:color w:val="auto"/>
                <w:kern w:val="0"/>
                <w:lang w:val="en-US" w:eastAsia="zh-CN"/>
              </w:rPr>
            </w:pPr>
            <w:r>
              <w:rPr>
                <w:rFonts w:hint="eastAsia" w:ascii="宋体" w:hAnsi="Cambria" w:cs="宋体"/>
                <w:color w:val="auto"/>
                <w:kern w:val="0"/>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eastAsia="zh-CN"/>
              </w:rPr>
              <w:t>提供近三年内的类似业绩，</w:t>
            </w:r>
            <w:r>
              <w:rPr>
                <w:rFonts w:hint="eastAsia" w:ascii="宋体" w:hAnsi="Cambria" w:cs="宋体"/>
                <w:color w:val="000000"/>
                <w:kern w:val="0"/>
                <w:szCs w:val="21"/>
                <w:lang w:val="zh-CN"/>
              </w:rPr>
              <w:t>每提供一项近3年的类似合格业绩的得</w:t>
            </w:r>
            <w:r>
              <w:rPr>
                <w:rFonts w:hint="eastAsia" w:ascii="宋体" w:hAnsi="Cambria" w:cs="宋体"/>
                <w:color w:val="000000"/>
                <w:kern w:val="0"/>
                <w:szCs w:val="21"/>
                <w:lang w:val="en-US" w:eastAsia="zh-CN"/>
              </w:rPr>
              <w:t>1</w:t>
            </w:r>
            <w:r>
              <w:rPr>
                <w:rFonts w:hint="eastAsia" w:ascii="宋体" w:hAnsi="Cambria" w:cs="宋体"/>
                <w:color w:val="000000"/>
                <w:kern w:val="0"/>
                <w:szCs w:val="21"/>
                <w:lang w:val="zh-CN"/>
              </w:rPr>
              <w:t>分，最多得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分（提供协议或合同复印件）。</w:t>
            </w:r>
          </w:p>
        </w:tc>
      </w:tr>
      <w:tr>
        <w:tblPrEx>
          <w:tblCellMar>
            <w:top w:w="0" w:type="dxa"/>
            <w:left w:w="108" w:type="dxa"/>
            <w:bottom w:w="0" w:type="dxa"/>
            <w:right w:w="108" w:type="dxa"/>
          </w:tblCellMar>
        </w:tblPrEx>
        <w:trPr>
          <w:cantSplit/>
          <w:trHeight w:val="965" w:hRule="atLeast"/>
          <w:jc w:val="center"/>
        </w:trPr>
        <w:tc>
          <w:tcPr>
            <w:tcW w:w="929" w:type="dxa"/>
            <w:tcBorders>
              <w:left w:val="single" w:color="000000" w:sz="6" w:space="0"/>
              <w:right w:val="single" w:color="000000" w:sz="6" w:space="0"/>
            </w:tcBorders>
            <w:shd w:val="clear" w:color="000000" w:fill="FFFFFF"/>
            <w:vAlign w:val="center"/>
          </w:tcPr>
          <w:p>
            <w:pPr>
              <w:autoSpaceDE w:val="0"/>
              <w:autoSpaceDN w:val="0"/>
              <w:rPr>
                <w:rFonts w:ascii="宋体" w:hAnsi="Cambria" w:cs="宋体"/>
                <w:color w:val="FF0000"/>
                <w:kern w:val="0"/>
                <w:sz w:val="22"/>
                <w:szCs w:val="22"/>
                <w:lang w:val="zh-CN"/>
              </w:rPr>
            </w:pPr>
          </w:p>
        </w:tc>
        <w:tc>
          <w:tcPr>
            <w:tcW w:w="1532"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rPr>
                <w:rFonts w:ascii="宋体" w:hAnsi="Cambria" w:cs="宋体"/>
                <w:color w:val="auto"/>
                <w:kern w:val="0"/>
                <w:sz w:val="22"/>
                <w:szCs w:val="22"/>
                <w:lang w:val="zh-CN"/>
              </w:rPr>
            </w:pPr>
            <w:r>
              <w:rPr>
                <w:rFonts w:hint="eastAsia" w:ascii="宋体" w:hAnsi="Cambria" w:cs="宋体"/>
                <w:color w:val="auto"/>
                <w:kern w:val="0"/>
                <w:sz w:val="22"/>
                <w:szCs w:val="22"/>
                <w:lang w:val="zh-CN"/>
              </w:rPr>
              <w:t>本地化服务</w:t>
            </w:r>
          </w:p>
        </w:tc>
        <w:tc>
          <w:tcPr>
            <w:tcW w:w="720"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rPr>
                <w:rFonts w:ascii="宋体" w:hAnsi="Cambria" w:eastAsia="宋体" w:cs="宋体"/>
                <w:color w:val="auto"/>
                <w:szCs w:val="21"/>
              </w:rPr>
            </w:pPr>
            <w:r>
              <w:rPr>
                <w:rFonts w:hint="eastAsia" w:ascii="宋体" w:hAnsi="Cambria" w:cs="宋体"/>
                <w:color w:val="auto"/>
                <w:szCs w:val="21"/>
              </w:rPr>
              <w:t>4</w:t>
            </w:r>
          </w:p>
        </w:tc>
        <w:tc>
          <w:tcPr>
            <w:tcW w:w="5341" w:type="dxa"/>
            <w:tcBorders>
              <w:top w:val="single" w:color="auto" w:sz="4" w:space="0"/>
              <w:left w:val="single" w:color="000000" w:sz="6" w:space="0"/>
              <w:bottom w:val="single" w:color="auto" w:sz="4" w:space="0"/>
              <w:right w:val="single" w:color="auto" w:sz="4" w:space="0"/>
            </w:tcBorders>
            <w:shd w:val="clear" w:color="000000" w:fill="FFFFFF"/>
            <w:vAlign w:val="center"/>
          </w:tcPr>
          <w:p>
            <w:pPr>
              <w:autoSpaceDE w:val="0"/>
              <w:autoSpaceDN w:val="0"/>
              <w:adjustRightInd w:val="0"/>
              <w:rPr>
                <w:rFonts w:hint="eastAsia" w:ascii="宋体" w:hAnsi="Cambria" w:cs="宋体"/>
                <w:color w:val="000000"/>
                <w:kern w:val="0"/>
                <w:szCs w:val="21"/>
                <w:lang w:val="zh-CN"/>
              </w:rPr>
            </w:pPr>
            <w:r>
              <w:rPr>
                <w:rFonts w:hint="eastAsia" w:ascii="宋体" w:hAnsi="Cambria" w:cs="宋体"/>
                <w:color w:val="000000"/>
                <w:kern w:val="0"/>
                <w:szCs w:val="21"/>
                <w:lang w:val="zh-CN"/>
              </w:rPr>
              <w:t>在青海省有服务机构的，得</w:t>
            </w:r>
            <w:r>
              <w:rPr>
                <w:rFonts w:hint="eastAsia" w:ascii="宋体" w:hAnsi="Cambria" w:cs="宋体"/>
                <w:color w:val="000000"/>
                <w:kern w:val="0"/>
                <w:szCs w:val="21"/>
                <w:lang w:val="en-US" w:eastAsia="zh-CN"/>
              </w:rPr>
              <w:t>4</w:t>
            </w:r>
            <w:r>
              <w:rPr>
                <w:rFonts w:hint="eastAsia" w:ascii="宋体" w:hAnsi="Cambria" w:cs="宋体"/>
                <w:color w:val="000000"/>
                <w:kern w:val="0"/>
                <w:szCs w:val="21"/>
                <w:lang w:val="zh-CN"/>
              </w:rPr>
              <w:t>分；</w:t>
            </w:r>
            <w:r>
              <w:rPr>
                <w:rFonts w:hint="eastAsia" w:ascii="宋体" w:hAnsi="Cambria" w:cs="宋体"/>
                <w:color w:val="000000"/>
                <w:kern w:val="0"/>
                <w:szCs w:val="21"/>
                <w:lang w:val="zh-CN" w:eastAsia="zh-CN"/>
              </w:rPr>
              <w:t>有合作性</w:t>
            </w:r>
            <w:r>
              <w:rPr>
                <w:rFonts w:hint="eastAsia" w:ascii="宋体" w:hAnsi="Cambria" w:cs="宋体"/>
                <w:color w:val="000000"/>
                <w:kern w:val="0"/>
                <w:szCs w:val="21"/>
                <w:lang w:val="zh-CN"/>
              </w:rPr>
              <w:t>服务机构的</w:t>
            </w:r>
            <w:r>
              <w:rPr>
                <w:rFonts w:hint="eastAsia" w:ascii="宋体" w:hAnsi="Cambria" w:cs="宋体"/>
                <w:color w:val="000000"/>
                <w:kern w:val="0"/>
                <w:szCs w:val="21"/>
                <w:lang w:val="en-US" w:eastAsia="zh-CN"/>
              </w:rPr>
              <w:t>,</w:t>
            </w:r>
            <w:r>
              <w:rPr>
                <w:rFonts w:hint="eastAsia" w:ascii="宋体" w:hAnsi="Cambria" w:cs="宋体"/>
                <w:color w:val="000000"/>
                <w:kern w:val="0"/>
                <w:szCs w:val="21"/>
                <w:lang w:val="zh-CN"/>
              </w:rPr>
              <w:t>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分，没有的不得分。（需</w:t>
            </w:r>
            <w:r>
              <w:rPr>
                <w:rFonts w:hint="eastAsia" w:ascii="宋体" w:hAnsi="Cambria" w:cs="宋体"/>
                <w:color w:val="000000"/>
                <w:kern w:val="0"/>
                <w:szCs w:val="21"/>
                <w:lang w:val="zh-CN" w:eastAsia="zh-CN"/>
              </w:rPr>
              <w:t>提供合</w:t>
            </w:r>
            <w:r>
              <w:rPr>
                <w:rFonts w:hint="eastAsia" w:ascii="宋体" w:hAnsi="Cambria" w:cs="宋体"/>
                <w:color w:val="000000"/>
                <w:kern w:val="0"/>
                <w:szCs w:val="21"/>
                <w:lang w:val="zh-CN"/>
              </w:rPr>
              <w:t>作性服务机构的工商营业执照、税务登记证、组织机构代码证及售后服务计划、措施)</w:t>
            </w:r>
            <w:r>
              <w:rPr>
                <w:rFonts w:hint="eastAsia" w:ascii="宋体" w:hAnsi="Cambria" w:cs="宋体"/>
                <w:color w:val="000000"/>
                <w:kern w:val="0"/>
                <w:szCs w:val="21"/>
                <w:lang w:val="zh-CN" w:eastAsia="zh-CN"/>
              </w:rPr>
              <w:t>等相</w:t>
            </w:r>
            <w:r>
              <w:rPr>
                <w:rFonts w:hint="eastAsia" w:ascii="宋体" w:hAnsi="Cambria" w:cs="宋体"/>
                <w:color w:val="000000"/>
                <w:kern w:val="0"/>
                <w:szCs w:val="21"/>
                <w:lang w:val="zh-CN"/>
              </w:rPr>
              <w:t>关证明材料）。</w:t>
            </w: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76936757"/>
      <w:bookmarkStart w:id="67" w:name="_Toc325726026"/>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25726028"/>
      <w:bookmarkStart w:id="70" w:name="_Toc376936759"/>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22876"/>
      <w:bookmarkStart w:id="72" w:name="_Toc376936758"/>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25726029"/>
      <w:bookmarkStart w:id="74" w:name="_Toc376936760"/>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25726030"/>
      <w:bookmarkStart w:id="76" w:name="_Toc376936761"/>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25726033"/>
      <w:bookmarkStart w:id="84" w:name="_Toc376936764"/>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54603"/>
      <w:bookmarkStart w:id="89" w:name="_Toc375576842"/>
      <w:bookmarkStart w:id="90" w:name="_Toc373936315"/>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76936767"/>
      <w:bookmarkStart w:id="9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both"/>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海南州藏医院医疗电子票据管理采购项目（第二次）</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2022-1</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2022-1</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ascii="宋体" w:hAnsi="Calibri" w:cs="宋体"/>
          <w:color w:val="C00000"/>
          <w:kern w:val="0"/>
          <w:u w:val="single"/>
        </w:rPr>
      </w:pPr>
      <w:r>
        <w:rPr>
          <w:rFonts w:ascii="Calibri" w:hAnsi="Calibri" w:cs="Calibri"/>
          <w:kern w:val="0"/>
        </w:rPr>
        <w:t>1</w:t>
      </w:r>
      <w:r>
        <w:rPr>
          <w:rFonts w:hint="eastAsia" w:ascii="宋体" w:hAnsi="Calibri" w:cs="宋体"/>
          <w:color w:val="FF0000"/>
          <w:kern w:val="0"/>
          <w:lang w:val="zh-CN"/>
        </w:rPr>
        <w:t>. 交货期：</w:t>
      </w:r>
      <w:r>
        <w:rPr>
          <w:rFonts w:hint="eastAsia" w:ascii="宋体" w:hAnsi="Calibri" w:cs="宋体"/>
          <w:color w:val="FF0000"/>
          <w:kern w:val="0"/>
          <w:u w:val="single"/>
          <w:lang w:val="en-US" w:eastAsia="zh-CN"/>
        </w:rPr>
        <w:t>签订采购合同后3个月内安装交付使用</w:t>
      </w:r>
      <w:r>
        <w:rPr>
          <w:rFonts w:hint="eastAsia" w:ascii="宋体" w:hAnsi="Calibri" w:cs="宋体"/>
          <w:color w:val="FF0000"/>
          <w:kern w:val="0"/>
          <w:lang w:val="zh-CN"/>
        </w:rPr>
        <w:t>；交货地点：</w:t>
      </w:r>
      <w:r>
        <w:rPr>
          <w:rFonts w:hint="eastAsia" w:ascii="宋体" w:hAnsi="Calibri" w:cs="宋体"/>
          <w:color w:val="FF0000"/>
          <w:kern w:val="0"/>
          <w:u w:val="single"/>
        </w:rPr>
        <w:t xml:space="preserve"> 按采购单位要求。</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76936768"/>
      <w:bookmarkStart w:id="98" w:name="_Toc325726037"/>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25726038"/>
      <w:bookmarkStart w:id="101" w:name="_Toc376936769"/>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201287639"/>
      <w:bookmarkStart w:id="10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76936779"/>
      <w:bookmarkStart w:id="113" w:name="_Toc351475542"/>
      <w:bookmarkStart w:id="114" w:name="_Toc365019584"/>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55574903"/>
      <w:bookmarkStart w:id="116" w:name="_Toc444158184"/>
      <w:bookmarkStart w:id="117" w:name="_Toc451264359"/>
      <w:bookmarkStart w:id="118" w:name="_Toc450574560"/>
      <w:bookmarkStart w:id="119" w:name="_Toc458873058"/>
      <w:bookmarkStart w:id="120" w:name="_Toc8762"/>
      <w:bookmarkStart w:id="121" w:name="_Toc451333907"/>
      <w:bookmarkStart w:id="12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11118"/>
      <w:bookmarkStart w:id="126" w:name="_Toc427748103"/>
      <w:r>
        <w:rPr>
          <w:rFonts w:hint="eastAsia" w:ascii="宋体"/>
          <w:b/>
          <w:sz w:val="28"/>
          <w:szCs w:val="28"/>
        </w:rPr>
        <w:t>附件</w:t>
      </w:r>
      <w:bookmarkStart w:id="127" w:name="_Toc325726049"/>
      <w:bookmarkStart w:id="128" w:name="_Toc376936781"/>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17663"/>
      <w:bookmarkStart w:id="13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25726051"/>
      <w:bookmarkStart w:id="138" w:name="_Toc376936782"/>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76936783"/>
      <w:bookmarkStart w:id="142" w:name="_Toc325726052"/>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25726053"/>
      <w:bookmarkStart w:id="144" w:name="_Toc376936784"/>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1.交货时间：签订采购合同</w:t>
      </w:r>
      <w:r>
        <w:rPr>
          <w:rFonts w:hint="eastAsia" w:ascii="宋体" w:hAnsi="宋体"/>
          <w:lang w:val="en-US" w:eastAsia="zh-CN"/>
        </w:rPr>
        <w:t>30日内安装交付使用</w:t>
      </w:r>
    </w:p>
    <w:p>
      <w:pPr>
        <w:autoSpaceDE w:val="0"/>
        <w:autoSpaceDN w:val="0"/>
        <w:spacing w:line="360" w:lineRule="auto"/>
        <w:ind w:firstLine="420" w:firstLineChars="200"/>
        <w:rPr>
          <w:rFonts w:hint="eastAsia" w:ascii="宋体" w:hAnsi="宋体"/>
          <w:lang w:val="zh-CN"/>
        </w:rPr>
      </w:pPr>
      <w:r>
        <w:rPr>
          <w:rFonts w:hint="eastAsia" w:ascii="宋体" w:hAnsi="宋体"/>
        </w:rPr>
        <w:t>3</w:t>
      </w:r>
      <w:r>
        <w:rPr>
          <w:rFonts w:hint="eastAsia" w:ascii="宋体" w:hAnsi="宋体"/>
          <w:lang w:val="zh-CN"/>
        </w:rPr>
        <w:t xml:space="preserve">.2.交货地点：交付甲方指定地方 </w:t>
      </w:r>
    </w:p>
    <w:p>
      <w:pPr>
        <w:pStyle w:val="16"/>
        <w:spacing w:before="0" w:after="0"/>
        <w:ind w:firstLine="723"/>
        <w:outlineLvl w:val="1"/>
        <w:rPr>
          <w:rFonts w:hint="eastAsia" w:ascii="宋体" w:hAnsi="宋体" w:cs="宋体"/>
          <w:color w:val="auto"/>
        </w:rPr>
      </w:pPr>
      <w:bookmarkStart w:id="150" w:name="_Toc309"/>
    </w:p>
    <w:bookmarkEnd w:id="150"/>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p>
    <w:tbl>
      <w:tblPr>
        <w:tblStyle w:val="19"/>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995"/>
        <w:gridCol w:w="9195"/>
        <w:gridCol w:w="1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功能参数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医疗电子票据管理项目</w:t>
            </w: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一、总体需求：</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39"/>
                <w:rFonts w:eastAsia="宋体"/>
                <w:lang w:val="en-US" w:eastAsia="zh-CN" w:bidi="ar"/>
              </w:rPr>
              <w:t xml:space="preserve">  </w:t>
            </w:r>
            <w:r>
              <w:rPr>
                <w:rStyle w:val="52"/>
                <w:lang w:val="en-US" w:eastAsia="zh-CN" w:bidi="ar"/>
              </w:rPr>
              <w:t>满足财政电子票据改革的需要,严格遵循财政部的财政电子票据管理改革的标准规范和业务要求，接入医疗电子票据，完成电子票据的开具、送达、查验、入账、归档，满足财政统一规范财政电子票据管理的需求，并实现与“</w:t>
            </w:r>
            <w:r>
              <w:rPr>
                <w:rStyle w:val="53"/>
                <w:lang w:val="en-US" w:eastAsia="zh-CN" w:bidi="ar"/>
              </w:rPr>
              <w:t>青海省</w:t>
            </w:r>
            <w:r>
              <w:rPr>
                <w:rStyle w:val="52"/>
                <w:lang w:val="en-US" w:eastAsia="zh-CN" w:bidi="ar"/>
              </w:rPr>
              <w:t>财政电子票据管理系统”的无缝对接。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39"/>
                <w:rFonts w:eastAsia="宋体"/>
                <w:lang w:val="en-US" w:eastAsia="zh-CN" w:bidi="ar"/>
              </w:rPr>
              <w:t xml:space="preserve">   </w:t>
            </w:r>
            <w:r>
              <w:rPr>
                <w:rStyle w:val="52"/>
                <w:lang w:val="en-US" w:eastAsia="zh-CN" w:bidi="ar"/>
              </w:rPr>
              <w:t>实现各项医疗收费结算即时生成电子票据，解决缴费过程繁杂、票据管理与核销等问题，有效缩短民众窗口的等待时间，提高服务效率。</w:t>
            </w:r>
            <w:r>
              <w:rPr>
                <w:rStyle w:val="53"/>
                <w:lang w:val="en-US" w:eastAsia="zh-CN" w:bidi="ar"/>
              </w:rPr>
              <w:t>满足人工窗口、自助机、微官网、健康青海APP等线上线下收费业务场景对电子票据的需求。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39"/>
                <w:rFonts w:eastAsia="宋体"/>
                <w:lang w:val="en-US" w:eastAsia="zh-CN" w:bidi="ar"/>
              </w:rPr>
              <w:t xml:space="preserve">  </w:t>
            </w:r>
            <w:r>
              <w:rPr>
                <w:rStyle w:val="52"/>
                <w:lang w:val="en-US" w:eastAsia="zh-CN" w:bidi="ar"/>
              </w:rPr>
              <w:t>投标产品必须与我院现有的医院信息系统实现系统集成，实现高度的业务协同和数据共享：系统要求与院方的HIS系统对接，并应提供标准的数据交换接口，支持被医院其他信息系统的应用集成。</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二、流程需求：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当病患来医院就诊时各业务系统需要实现以下业务流程：</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1"/>
                <w:rFonts w:eastAsia="宋体"/>
                <w:lang w:val="en-US" w:eastAsia="zh-CN" w:bidi="ar"/>
              </w:rPr>
              <w:t xml:space="preserve">  </w:t>
            </w:r>
            <w:r>
              <w:rPr>
                <w:rStyle w:val="52"/>
                <w:lang w:val="en-US" w:eastAsia="zh-CN" w:bidi="ar"/>
              </w:rPr>
              <w:t>首先患者持社保卡、门诊卡到医院看病，医生就诊开具处方，产生挂号配用。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41"/>
                <w:rFonts w:eastAsia="宋体"/>
                <w:lang w:val="en-US" w:eastAsia="zh-CN" w:bidi="ar"/>
              </w:rPr>
              <w:t xml:space="preserve">  </w:t>
            </w:r>
            <w:r>
              <w:rPr>
                <w:rStyle w:val="52"/>
                <w:lang w:val="en-US" w:eastAsia="zh-CN" w:bidi="ar"/>
              </w:rPr>
              <w:t>然后患者可通过各种缴费渠道，如POS机、微信、支付宝、现金等支付方式，办理处方缴费业务。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41"/>
                <w:rFonts w:eastAsia="宋体"/>
                <w:lang w:val="en-US" w:eastAsia="zh-CN" w:bidi="ar"/>
              </w:rPr>
              <w:t xml:space="preserve">  </w:t>
            </w:r>
            <w:r>
              <w:rPr>
                <w:rStyle w:val="52"/>
                <w:lang w:val="en-US" w:eastAsia="zh-CN" w:bidi="ar"/>
              </w:rPr>
              <w:t>然后HIS系统接收到缴费反馈结果，执行收费结算。</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Style w:val="41"/>
                <w:rFonts w:eastAsia="宋体"/>
                <w:lang w:val="en-US" w:eastAsia="zh-CN" w:bidi="ar"/>
              </w:rPr>
              <w:t xml:space="preserve">  </w:t>
            </w:r>
            <w:r>
              <w:rPr>
                <w:rStyle w:val="52"/>
                <w:lang w:val="en-US" w:eastAsia="zh-CN" w:bidi="ar"/>
              </w:rPr>
              <w:t>最后结算成功把收费结算数据信息推送给医疗平台，开具电子票据。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41"/>
                <w:rFonts w:eastAsia="宋体"/>
                <w:lang w:val="en-US" w:eastAsia="zh-CN" w:bidi="ar"/>
              </w:rPr>
              <w:t xml:space="preserve">  </w:t>
            </w:r>
            <w:r>
              <w:rPr>
                <w:rStyle w:val="52"/>
                <w:lang w:val="en-US" w:eastAsia="zh-CN" w:bidi="ar"/>
              </w:rPr>
              <w:t>医疗平台把开具电子票据信息上传财政系统，财政系统接收到电子票据，进行监制、归档、存储。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Style w:val="41"/>
                <w:rFonts w:eastAsia="宋体"/>
                <w:lang w:val="en-US" w:eastAsia="zh-CN" w:bidi="ar"/>
              </w:rPr>
              <w:t xml:space="preserve"> </w:t>
            </w:r>
            <w:r>
              <w:rPr>
                <w:rStyle w:val="52"/>
                <w:lang w:val="en-US" w:eastAsia="zh-CN" w:bidi="ar"/>
              </w:rPr>
              <w:t>医疗平台把已开具的电子票据信息可通过电子票据传输服务以各种通知渠道送达到交款人，如：手机短信、邮箱、APP、微信公众号、支付宝、自助机或者收费窗口打印告知单等方式。</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Style w:val="41"/>
                <w:rFonts w:eastAsia="宋体"/>
                <w:lang w:val="en-US" w:eastAsia="zh-CN" w:bidi="ar"/>
              </w:rPr>
              <w:t xml:space="preserve"> </w:t>
            </w:r>
            <w:r>
              <w:rPr>
                <w:rStyle w:val="52"/>
                <w:lang w:val="en-US" w:eastAsia="zh-CN" w:bidi="ar"/>
              </w:rPr>
              <w:t>患者可以通过财政公众服务网站、专用APP、微信公众号、支付宝生活号等渠道获取电子票据。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Style w:val="41"/>
                <w:rFonts w:eastAsia="宋体"/>
                <w:lang w:val="en-US" w:eastAsia="zh-CN" w:bidi="ar"/>
              </w:rPr>
              <w:t xml:space="preserve">  </w:t>
            </w:r>
            <w:r>
              <w:rPr>
                <w:rStyle w:val="52"/>
                <w:lang w:val="en-US" w:eastAsia="zh-CN" w:bidi="ar"/>
              </w:rPr>
              <w:t>患者也可以根据需要换取纸质票据，可通过医院指定的窗口或自助打印机，换取纸质票据。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r>
              <w:rPr>
                <w:rStyle w:val="41"/>
                <w:rFonts w:eastAsia="宋体"/>
                <w:lang w:val="en-US" w:eastAsia="zh-CN" w:bidi="ar"/>
              </w:rPr>
              <w:t xml:space="preserve">  </w:t>
            </w:r>
            <w:r>
              <w:rPr>
                <w:rStyle w:val="52"/>
                <w:lang w:val="en-US" w:eastAsia="zh-CN" w:bidi="ar"/>
              </w:rPr>
              <w:t>患者持已有的电子票据信息，可通过财政电子票据查验网站对电子票据进行查验。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医疗平台与医院HIS系统，在日结记账时需要完成收费数据与票据的核算；核算无误的电子票据数据进行归档；</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三、功能需求：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 电子票据管理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电子票据申领：医院向财政部门发起用票申请，由票据管理人员在线填写申领单，并提交给财政，财政接收到申领信息，经审批后，并下发票号信息，医院进行入库确认。</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电子票据号码分发：电子票据号码发放，将电子票据号码发放到各收费窗口和自助开票点。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电子票据在线开具：医院在收费时，采用直接登录医疗平台在线开具电子票据，如往来票、捐赠等票据，包括手工录入与批量导入。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电子票据接口开具：医院发生收费结算业务时，由医院业务系统（HIS）调用医疗平台接口开具电子票据，支持单笔与批量开票。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电子票据冲红：当单位发生退费业务时，需要对已开具的电子票据进行冲红。电子票据未生成对应的纸质票据，只冲红对应电子票据。电子票据已生成对应的纸质票据，应先作废对应的纸质票据，再冲红对应的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因网络或服务产生故障，到死“医疗平台”暂时不能开票时，由HIS系统继续结算动作，待平台恢复正常后，通过批量开票的功能，集中制票。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2.电子票据通知：</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打印告知单通知：窗口工作人员可打印告知单交给患者，患者可登录财政电子票据查验网站进行查验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公众号/生活号通知：患者需要提前关注公众号、生活号，医疗平台开具电子票据成功，通过HIS系统向公众号、生活号推送电子票据信息。</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院专用APP/银行合作APP通知：医疗平台开具电子票据成功，通过HIS系统向医院专用APP/银行合作APP推送电子票据信息。</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3.患者取票服务：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财政服务网站取票：患者通过财政建设的电子票据公共查验网站，根据电子票据相关要素获取电子票据，可以根据需要下载。</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公众号/生活号取票：患者可通过医院公众号、生活号，查看电子票据通知信息，通过取票小程序，获取电子票据。根据需要选择发送到邮箱、微信卡包、本地。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医院专用APP/银行合作APP取票：患者可通过医院专用APP/银行合作APP，根据已发送的电子票据通知记录，通过取票小程序，获取电子票据。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4.纸质票据管理：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Style w:val="53"/>
                <w:lang w:val="en-US" w:eastAsia="zh-CN" w:bidi="ar"/>
              </w:rPr>
              <w:t>当院方可提供纸质票据套打时，也可以由电子票据系统完成纸质票据管理，不同开票点分配对用纸质票据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纸质票据申领：医院的票据管理人员，填写纸质票据申领单，提交到财政进行申领审批。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纸质票据入库：医院的票据管理人员将财政下发的纸质票据，核对无误后，保存入库。</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纸质票据分发：纸质票据发放，将纸质票据发放到各收费窗口和自助开票点。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纸质票据申退：票据申退主要提供各个收费窗口和自助机，由于票据多领、错领了，申请退回到上级的管理机构</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纸质票据作废：对未开具的空白纸质票据、遗失纸质票据进行作废。</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纸质票据审验申请：医院需要把已开具的纸质票据生成审验汇总单，并定时上报到财政，以完成纸质票据审验。</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纸质票据销毁申请：需要把已开具的纸质票据进行销毁，定时向财政提交销毁申请，财政对销毁申请单审核，完成纸质票据销毁业务。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39"/>
                <w:rFonts w:eastAsia="宋体"/>
                <w:lang w:val="en-US" w:eastAsia="zh-CN" w:bidi="ar"/>
              </w:rPr>
              <w:t xml:space="preserve">    </w:t>
            </w:r>
            <w:r>
              <w:rPr>
                <w:rStyle w:val="54"/>
                <w:lang w:val="en-US" w:eastAsia="zh-CN" w:bidi="ar"/>
              </w:rPr>
              <w:t>纸质票据印制计划申报：医院可以向财政提交当前年度纸质票据印制计划申报单，财政接受印制计划申报单，审核通过，发起纸质票据印制。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5．统计报表：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常规报表包括库存结余表、票据领发情况、票据作废情况、票据领用存情况、单位领入情况表、票据分发情况等报表。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开票明细表、开票汇总表，单位收费情况等报表。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收费员汇总表、缴款渠道汇总表、住院处日报明细表等报表。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除此之外可根据医院要求定制报表。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6.换开纸质票据：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换开打印票据：已开具的电子票据，可根据患者需要，持告知单或身份证号/手机号/医保卡号/就诊卡号等信息到医院收费窗口或自助设备上，将电子票据打印为纸质票据，只能打印一次。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重打纸质票据：已打印的电子票据，票据打印错误时，提供重新打印电子票功能，将电子票信息重新打印到新的纸质票据上。</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若患者已获取纸质票据，但遗失需要补打纸质票，可提出申请后，通过该功能重新打印纸质票。</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7.打印业务票据：</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52"/>
                <w:lang w:val="en-US" w:eastAsia="zh-CN" w:bidi="ar"/>
              </w:rPr>
              <w:t>打印业务单据是患者根据业务凭证或患者有效身份信息（身份证、社保卡等）通过自助机将办理的业务信息进行打印的过程。</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四、接口开发及联调需求：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HIS业务系统接口：</w:t>
            </w:r>
            <w:r>
              <w:rPr>
                <w:rStyle w:val="52"/>
                <w:lang w:val="en-US" w:eastAsia="zh-CN" w:bidi="ar"/>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与财政电子票据系统数据交换：</w:t>
            </w:r>
            <w:r>
              <w:rPr>
                <w:rStyle w:val="52"/>
                <w:lang w:val="en-US" w:eastAsia="zh-CN" w:bidi="ar"/>
              </w:rPr>
              <w:t>医疗电子票据是财政电子票据的一种，需要通过交换服务与财政电子票据系统进行基础信息下载、票据库存信息同步、开票信息上传、电子票据本身上传的定时数据交换。</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财务在线开票系统个性化开发：</w:t>
            </w:r>
            <w:r>
              <w:rPr>
                <w:rStyle w:val="52"/>
                <w:lang w:val="en-US" w:eastAsia="zh-CN" w:bidi="ar"/>
              </w:rPr>
              <w:t>财务会计科的开票业务，如：往来票据、捐赠票据、会诊费票据等由医疗电子票据管理平台开具并实现自动记账，实现财务会计科对医疗电子票据业务的精细化、科学化管理。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五、系统性能需求：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高效性：</w:t>
            </w:r>
            <w:r>
              <w:rPr>
                <w:rStyle w:val="52"/>
                <w:lang w:val="en-US" w:eastAsia="zh-CN" w:bidi="ar"/>
              </w:rPr>
              <w:t>系统的响应时间迅速，必须保证系统使用的高效性，系统能够支持100并发用户数以上，系统的电子票据日签发能力 20000 张以上。</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可用性:</w:t>
            </w:r>
            <w:r>
              <w:rPr>
                <w:rStyle w:val="52"/>
                <w:lang w:val="en-US" w:eastAsia="zh-CN" w:bidi="ar"/>
              </w:rPr>
              <w:t>系统所提供的各项功能必须可实现所要求的对应业务功能需要，并具有可恢复性操作的功能。</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简便可操作：</w:t>
            </w:r>
            <w:r>
              <w:rPr>
                <w:rStyle w:val="52"/>
                <w:lang w:val="en-US" w:eastAsia="zh-CN" w:bidi="ar"/>
              </w:rPr>
              <w:t>系统界面简单美观，菜单按钮易辨认，各业务流程实现页面按键管理，统计数据可通过报表展示。</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r>
              <w:rPr>
                <w:rStyle w:val="55"/>
                <w:rFonts w:eastAsia="宋体"/>
                <w:lang w:val="en-US" w:eastAsia="zh-CN" w:bidi="ar"/>
              </w:rPr>
              <w:t xml:space="preserve">  </w:t>
            </w:r>
            <w:r>
              <w:rPr>
                <w:rStyle w:val="40"/>
                <w:lang w:val="en-US" w:eastAsia="zh-CN" w:bidi="ar"/>
              </w:rPr>
              <w:t>开放性：</w:t>
            </w:r>
            <w:r>
              <w:rPr>
                <w:rStyle w:val="52"/>
                <w:lang w:val="en-US" w:eastAsia="zh-CN" w:bidi="ar"/>
              </w:rPr>
              <w:t>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r>
              <w:rPr>
                <w:rStyle w:val="55"/>
                <w:rFonts w:eastAsia="宋体"/>
                <w:lang w:val="en-US" w:eastAsia="zh-CN" w:bidi="ar"/>
              </w:rPr>
              <w:t xml:space="preserve"> </w:t>
            </w:r>
            <w:r>
              <w:rPr>
                <w:rStyle w:val="40"/>
                <w:lang w:val="en-US" w:eastAsia="zh-CN" w:bidi="ar"/>
              </w:rPr>
              <w:t>可靠性：</w:t>
            </w:r>
            <w:r>
              <w:rPr>
                <w:rStyle w:val="52"/>
                <w:lang w:val="en-US" w:eastAsia="zh-CN" w:bidi="ar"/>
              </w:rPr>
              <w:t>系统必须正常稳定运行，保证所处理事务、数据的完整性。系统平均年故障时间少于</w:t>
            </w:r>
            <w:r>
              <w:rPr>
                <w:rStyle w:val="53"/>
                <w:lang w:val="en-US" w:eastAsia="zh-CN" w:bidi="ar"/>
              </w:rPr>
              <w:t>3 天</w:t>
            </w:r>
            <w:r>
              <w:rPr>
                <w:rStyle w:val="52"/>
                <w:lang w:val="en-US" w:eastAsia="zh-CN" w:bidi="ar"/>
              </w:rPr>
              <w:t>；具有较强的灾难恢复能力，平均故障修复时间少于24 小时。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r>
              <w:rPr>
                <w:rStyle w:val="55"/>
                <w:rFonts w:eastAsia="宋体"/>
                <w:lang w:val="en-US" w:eastAsia="zh-CN" w:bidi="ar"/>
              </w:rPr>
              <w:t xml:space="preserve">  </w:t>
            </w:r>
            <w:r>
              <w:rPr>
                <w:rStyle w:val="40"/>
                <w:lang w:val="en-US" w:eastAsia="zh-CN" w:bidi="ar"/>
              </w:rPr>
              <w:t>标准性：</w:t>
            </w:r>
            <w:r>
              <w:rPr>
                <w:rStyle w:val="52"/>
                <w:lang w:val="en-US" w:eastAsia="zh-CN" w:bidi="ar"/>
              </w:rPr>
              <w:t>系统数据应标准化、规范化，按照分层数据，软件构件化实现。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r>
              <w:rPr>
                <w:rStyle w:val="55"/>
                <w:rFonts w:eastAsia="宋体"/>
                <w:lang w:val="en-US" w:eastAsia="zh-CN" w:bidi="ar"/>
              </w:rPr>
              <w:t xml:space="preserve">  </w:t>
            </w:r>
            <w:r>
              <w:rPr>
                <w:rStyle w:val="40"/>
                <w:lang w:val="en-US" w:eastAsia="zh-CN" w:bidi="ar"/>
              </w:rPr>
              <w:t>兼容性：</w:t>
            </w:r>
            <w:r>
              <w:rPr>
                <w:rStyle w:val="52"/>
                <w:lang w:val="en-US" w:eastAsia="zh-CN" w:bidi="ar"/>
              </w:rPr>
              <w:t>系统提供其他系统能兼容的、完备的数据输入、输出接口。</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r>
              <w:rPr>
                <w:rStyle w:val="55"/>
                <w:rFonts w:eastAsia="宋体"/>
                <w:lang w:val="en-US" w:eastAsia="zh-CN" w:bidi="ar"/>
              </w:rPr>
              <w:t xml:space="preserve">  </w:t>
            </w:r>
            <w:r>
              <w:rPr>
                <w:rStyle w:val="40"/>
                <w:lang w:val="en-US" w:eastAsia="zh-CN" w:bidi="ar"/>
              </w:rPr>
              <w:t>安全性：</w:t>
            </w:r>
            <w:r>
              <w:rPr>
                <w:rStyle w:val="52"/>
                <w:lang w:val="en-US" w:eastAsia="zh-CN" w:bidi="ar"/>
              </w:rPr>
              <w:t>保证数据和系统的安全性。要有管理员身份认证机制、数据加密机制。</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r>
              <w:rPr>
                <w:rStyle w:val="55"/>
                <w:rFonts w:eastAsia="宋体"/>
                <w:lang w:val="en-US" w:eastAsia="zh-CN" w:bidi="ar"/>
              </w:rPr>
              <w:t xml:space="preserve">  </w:t>
            </w:r>
            <w:r>
              <w:rPr>
                <w:rStyle w:val="40"/>
                <w:lang w:val="en-US" w:eastAsia="zh-CN" w:bidi="ar"/>
              </w:rPr>
              <w:t>可维护性：</w:t>
            </w:r>
            <w:r>
              <w:rPr>
                <w:rStyle w:val="52"/>
                <w:lang w:val="en-US" w:eastAsia="zh-CN" w:bidi="ar"/>
              </w:rPr>
              <w:t>系统管理模块进行数据备份、日志等管理、维护。对系统所涉及到的各项应用及管理必须是可管理和维护的。</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10.可扩展性：</w:t>
            </w:r>
            <w:r>
              <w:rPr>
                <w:rStyle w:val="52"/>
                <w:lang w:val="en-US" w:eastAsia="zh-CN" w:bidi="ar"/>
              </w:rPr>
              <w:t>考虑到系统建设是一个循序渐进、不断扩充的过程,系统要采用积木式结构,组件化设计，整体构架要考虑系统间的无缝连接,为今后系统扩展和集成留有扩充余量。</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七、部署需求：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采用独立部署模式（即在医院部署电子票据医疗平台，医院与财政通过政务网进行数据交互）。</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八、电子签名需求：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1"/>
                <w:rFonts w:eastAsia="宋体"/>
                <w:lang w:val="en-US" w:eastAsia="zh-CN" w:bidi="ar"/>
              </w:rPr>
              <w:t xml:space="preserve">  </w:t>
            </w:r>
            <w:r>
              <w:rPr>
                <w:rStyle w:val="52"/>
                <w:lang w:val="en-US" w:eastAsia="zh-CN" w:bidi="ar"/>
              </w:rPr>
              <w:t>对于电子票据开具功能，承建商应按照财政部要求提供与财政部一致的数字签名方式，按照单位先签名、财政后签名的形式进行CA签名认证。</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41"/>
                <w:rFonts w:eastAsia="宋体"/>
                <w:lang w:val="en-US" w:eastAsia="zh-CN" w:bidi="ar"/>
              </w:rPr>
              <w:t xml:space="preserve">   </w:t>
            </w:r>
            <w:r>
              <w:rPr>
                <w:rStyle w:val="52"/>
                <w:lang w:val="en-US" w:eastAsia="zh-CN" w:bidi="ar"/>
              </w:rPr>
              <w:t>签名加密算法需要与财政部要求一致，加密文件格式要符合财政部标准。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Style w:val="41"/>
                <w:rFonts w:eastAsia="宋体"/>
                <w:lang w:val="en-US" w:eastAsia="zh-CN" w:bidi="ar"/>
              </w:rPr>
              <w:t xml:space="preserve">  </w:t>
            </w:r>
            <w:r>
              <w:rPr>
                <w:rStyle w:val="52"/>
                <w:lang w:val="en-US" w:eastAsia="zh-CN" w:bidi="ar"/>
              </w:rPr>
              <w:t>应使用签名服务器进行电子签名，以保证业务正常开展。</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九、其他需求：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Style w:val="55"/>
                <w:rFonts w:eastAsia="宋体"/>
                <w:lang w:val="en-US" w:eastAsia="zh-CN" w:bidi="ar"/>
              </w:rPr>
              <w:t xml:space="preserve">  </w:t>
            </w:r>
            <w:r>
              <w:rPr>
                <w:rStyle w:val="40"/>
                <w:lang w:val="en-US" w:eastAsia="zh-CN" w:bidi="ar"/>
              </w:rPr>
              <w:t>项目工期要求：</w:t>
            </w:r>
            <w:r>
              <w:rPr>
                <w:rStyle w:val="52"/>
                <w:lang w:val="en-US" w:eastAsia="zh-CN" w:bidi="ar"/>
              </w:rPr>
              <w:t>成交日起2个月内系统上线，2个月内系统达到初验标准。</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r>
              <w:rPr>
                <w:rStyle w:val="55"/>
                <w:rFonts w:eastAsia="宋体"/>
                <w:lang w:val="en-US" w:eastAsia="zh-CN" w:bidi="ar"/>
              </w:rPr>
              <w:t xml:space="preserve">  </w:t>
            </w:r>
            <w:r>
              <w:rPr>
                <w:rStyle w:val="40"/>
                <w:lang w:val="en-US" w:eastAsia="zh-CN" w:bidi="ar"/>
              </w:rPr>
              <w:t>文档编制要求：</w:t>
            </w:r>
            <w:r>
              <w:rPr>
                <w:rStyle w:val="52"/>
                <w:lang w:val="en-US" w:eastAsia="zh-CN" w:bidi="ar"/>
              </w:rPr>
              <w:t>按照国家标准编制与交付平台相配套的全套文档，包括但不限于需求分析说明书、概要设计说明书、详细设计说明书、数据库设计说明书、接口文档、系统管理员手册、用户使用手册、安装部署手册、维护手册、配置手册等。</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r>
              <w:rPr>
                <w:rStyle w:val="55"/>
                <w:rFonts w:eastAsia="宋体"/>
                <w:lang w:val="en-US" w:eastAsia="zh-CN" w:bidi="ar"/>
              </w:rPr>
              <w:t xml:space="preserve"> </w:t>
            </w:r>
            <w:r>
              <w:rPr>
                <w:rStyle w:val="40"/>
                <w:lang w:val="en-US" w:eastAsia="zh-CN" w:bidi="ar"/>
              </w:rPr>
              <w:t>培训要求：</w:t>
            </w:r>
            <w:r>
              <w:rPr>
                <w:rStyle w:val="52"/>
                <w:lang w:val="en-US" w:eastAsia="zh-CN" w:bidi="ar"/>
              </w:rPr>
              <w:t>成交方需根据培训要求编制培训方案，包括培训目标、培训计划、培训师资量、培训课程、培训教材、培训质量保证措施等内容。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4.运行保障和维护要求：</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40"/>
                <w:lang w:val="en-US" w:eastAsia="zh-CN" w:bidi="ar"/>
              </w:rPr>
              <w:t>7×24小时运行保障服务：</w:t>
            </w:r>
            <w:r>
              <w:rPr>
                <w:rStyle w:val="52"/>
                <w:lang w:val="en-US" w:eastAsia="zh-CN" w:bidi="ar"/>
              </w:rPr>
              <w:t>系统运行需配套建立7×24小时运行保障体系加以支撑，以保障系统全时间段无故障不间断正常运转。7×24小时运行保障服务指建立7×24小时运行保障体系，并提供与之配套的服务，具体包括：成交方设立服务热线，并安排足额的维护人员（2人以上含2人）提供7×24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41"/>
                <w:rFonts w:eastAsia="宋体"/>
                <w:lang w:val="en-US" w:eastAsia="zh-CN" w:bidi="ar"/>
              </w:rPr>
              <w:t xml:space="preserve">      </w:t>
            </w:r>
            <w:r>
              <w:rPr>
                <w:rStyle w:val="40"/>
                <w:lang w:val="en-US" w:eastAsia="zh-CN" w:bidi="ar"/>
              </w:rPr>
              <w:t>免费维护期服务：</w:t>
            </w:r>
            <w:r>
              <w:rPr>
                <w:rStyle w:val="52"/>
                <w:lang w:val="en-US" w:eastAsia="zh-CN" w:bidi="ar"/>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免费维护期要求：</w:t>
            </w:r>
            <w:r>
              <w:rPr>
                <w:rStyle w:val="52"/>
                <w:lang w:val="en-US" w:eastAsia="zh-CN" w:bidi="ar"/>
              </w:rPr>
              <w:t>为期一年，自本项目终验通过之日起计算。成交方需提供免费维护服务。</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数字签名服务器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高性能版本。为电子票据进行签名、验签，保证执收单位端与财政端的电子票据数据交互安全性。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符合财政信息系统安全应用接口标准。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PKCS#7 和 XML 格式的签名和验证。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支持浏览器、应用服务器、通用客户端的调用。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支持对文件和数据进行签名、加密。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提供获取签名、加密数据包中原始内容的功能。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支持大文件、大数据签名、加密。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支持双机热备、负载均衡等高可用功能。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支持RSA和SM2非对称加密算法。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支持非税收入收缴系统、非税电子票据系统等非税业务系统的安全改造，保障非税业务数据的私密性、完整性和不可否认性。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能够与证书综合管理系统进行无缝对接，完成签名机构证书的在线申请、下载功能。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属于国家密码管理局发布的《支持SM2/3/4密码算法的商用密码产品目录》产品。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电子票据数据库服务器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两颗Xeon4210(2.2GHz/10核/13.75MB/85W)CPU，可支持最大2个处理器；标配2个16GB DDR4-2666 RDIMM内存，24个内存插槽；8个3.5英寸大尺寸 LFF 热插拔硬盘槽位，配置2块600GB 12G SAS 10K 3.5in EP 512n HDD通用硬盘；标配1个 UN-RAID-P430-M2-F/2GB 12Gb SAS 阵列卡，带智能电池；标配1块4口 mLOM 千兆以太网卡；标配1个H3C HDM服务器管理端口；2个550W（94%）电源，可选1+1热插拔冗余；2U简易导轨；3年5*9，NBD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电子票据应用服务器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2U机架式服务器（含安装导轨）国内知名国产服务器主流厂商；配置1颗Intel Xeon处理器4310（12核心、2.1GHz主频）；配置16GB DDR4 2933MHz内存，支持16个内存插槽；配置2块600G SAS 10K企业级热插拔硬盘；前置支持12块3.5寸或25块2.5寸热插拔硬盘；RAD配置高性能RAID卡，支持RAID 0.15；网络：配置≧4个千兆电口网口，550W1+1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文件系统服务器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2U机架式服务器（含安装导轨）国内知名国产服务器主流厂商；配置2颗Intel Xeon处理器4316（20C，150W，2.3GHz）；配置128GB DDR4 2933MHz内存，支持16个内存插槽；配置5块8TB SATA企业级热插拔硬盘；配置2块480G SSD硬盘；前置支持12块3.5寸或25块2.5寸热插拔硬盘；配置高性能RAID卡，支持RAID 0.15，配置≧4个千兆电口网口，电源：550W1+1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WEB服务器</w:t>
            </w:r>
          </w:p>
        </w:tc>
        <w:tc>
          <w:tcPr>
            <w:tcW w:w="9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2U机架式服务器（含安装导轨）国内知名国产服务器主流厂商；配置1颗Intel Xeon处理器4310（12核心、2.1GHz主频）；配置16GB DDR4 2933MHz内存，支持16个内存插槽；配置2块600G SAS 10K企业级热插拔硬盘；前置支持12块3.5寸或25块2.5寸热插拔硬盘；RAD配置高性能RAID卡，支持RAID 0.15：配置≧4个千兆电口网口，550W1+1 冗余热插拔；3年原厂质保服务；三年硬盘不返还服务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包含自助机、微信、院内公众号或院内小程序的接口开发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4"/>
        <w:ind w:left="0" w:leftChars="0" w:firstLine="0" w:firstLineChars="0"/>
        <w:rPr>
          <w:sz w:val="16"/>
          <w:szCs w:val="16"/>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5184F9C"/>
    <w:rsid w:val="05D332B2"/>
    <w:rsid w:val="08E76CA7"/>
    <w:rsid w:val="0B3058C2"/>
    <w:rsid w:val="0B4561D8"/>
    <w:rsid w:val="0BE4656C"/>
    <w:rsid w:val="0CCA6A5A"/>
    <w:rsid w:val="0CCB1A98"/>
    <w:rsid w:val="0D2E6468"/>
    <w:rsid w:val="0D5551A1"/>
    <w:rsid w:val="0E72260D"/>
    <w:rsid w:val="0E88554E"/>
    <w:rsid w:val="0F461756"/>
    <w:rsid w:val="10655296"/>
    <w:rsid w:val="1222022D"/>
    <w:rsid w:val="12770487"/>
    <w:rsid w:val="14471250"/>
    <w:rsid w:val="15803032"/>
    <w:rsid w:val="158F4E06"/>
    <w:rsid w:val="16363C50"/>
    <w:rsid w:val="16D5785B"/>
    <w:rsid w:val="16FA7C41"/>
    <w:rsid w:val="17F44BD1"/>
    <w:rsid w:val="18325499"/>
    <w:rsid w:val="18540B02"/>
    <w:rsid w:val="19EF684E"/>
    <w:rsid w:val="1B305E07"/>
    <w:rsid w:val="1C00792F"/>
    <w:rsid w:val="1D797B68"/>
    <w:rsid w:val="1E8250DF"/>
    <w:rsid w:val="1EA77640"/>
    <w:rsid w:val="209356DC"/>
    <w:rsid w:val="21BD5A33"/>
    <w:rsid w:val="22065904"/>
    <w:rsid w:val="225036DD"/>
    <w:rsid w:val="23546B2A"/>
    <w:rsid w:val="245C15BE"/>
    <w:rsid w:val="24A5528B"/>
    <w:rsid w:val="254F7FAB"/>
    <w:rsid w:val="262D0B5D"/>
    <w:rsid w:val="280138B3"/>
    <w:rsid w:val="29271BD7"/>
    <w:rsid w:val="29AB5249"/>
    <w:rsid w:val="2D3F63C6"/>
    <w:rsid w:val="2DB07026"/>
    <w:rsid w:val="2E831FAE"/>
    <w:rsid w:val="2E83423A"/>
    <w:rsid w:val="2EA25C47"/>
    <w:rsid w:val="2EC2262A"/>
    <w:rsid w:val="2FB92D05"/>
    <w:rsid w:val="3236538A"/>
    <w:rsid w:val="328C43AE"/>
    <w:rsid w:val="334A7474"/>
    <w:rsid w:val="3458468A"/>
    <w:rsid w:val="34A7360E"/>
    <w:rsid w:val="350167C8"/>
    <w:rsid w:val="350174A7"/>
    <w:rsid w:val="35A16444"/>
    <w:rsid w:val="35D65BC2"/>
    <w:rsid w:val="36AE2CE5"/>
    <w:rsid w:val="38FC2539"/>
    <w:rsid w:val="3A04027A"/>
    <w:rsid w:val="3AEF67DA"/>
    <w:rsid w:val="3B0A6EFC"/>
    <w:rsid w:val="3B857233"/>
    <w:rsid w:val="3BB77A3D"/>
    <w:rsid w:val="3E6610A7"/>
    <w:rsid w:val="40032014"/>
    <w:rsid w:val="420D5FDD"/>
    <w:rsid w:val="427A0559"/>
    <w:rsid w:val="42A25C90"/>
    <w:rsid w:val="435475B9"/>
    <w:rsid w:val="43805F00"/>
    <w:rsid w:val="44221565"/>
    <w:rsid w:val="44D3289B"/>
    <w:rsid w:val="45C36491"/>
    <w:rsid w:val="45FC6910"/>
    <w:rsid w:val="463072F8"/>
    <w:rsid w:val="468C7EB3"/>
    <w:rsid w:val="46DD0408"/>
    <w:rsid w:val="47554BC2"/>
    <w:rsid w:val="475A79E5"/>
    <w:rsid w:val="47D83AFB"/>
    <w:rsid w:val="4A0979E3"/>
    <w:rsid w:val="4A891AB9"/>
    <w:rsid w:val="4CA55D1C"/>
    <w:rsid w:val="4D31441A"/>
    <w:rsid w:val="4DA33303"/>
    <w:rsid w:val="4E1965C1"/>
    <w:rsid w:val="4E574B45"/>
    <w:rsid w:val="4F1A5239"/>
    <w:rsid w:val="4F484CD6"/>
    <w:rsid w:val="4FB51630"/>
    <w:rsid w:val="4FB86369"/>
    <w:rsid w:val="506352E2"/>
    <w:rsid w:val="50705D2B"/>
    <w:rsid w:val="50850C8F"/>
    <w:rsid w:val="51294D7E"/>
    <w:rsid w:val="513C4EBB"/>
    <w:rsid w:val="51A05027"/>
    <w:rsid w:val="53552E4A"/>
    <w:rsid w:val="53B776FC"/>
    <w:rsid w:val="53BD734D"/>
    <w:rsid w:val="55733B93"/>
    <w:rsid w:val="563A0BDB"/>
    <w:rsid w:val="575C2093"/>
    <w:rsid w:val="57B90641"/>
    <w:rsid w:val="58500EFB"/>
    <w:rsid w:val="587E123B"/>
    <w:rsid w:val="58B14F84"/>
    <w:rsid w:val="58D23CC6"/>
    <w:rsid w:val="58EE1672"/>
    <w:rsid w:val="59673D42"/>
    <w:rsid w:val="5A833AEB"/>
    <w:rsid w:val="5BFF71E2"/>
    <w:rsid w:val="5C9170E6"/>
    <w:rsid w:val="5CB163FD"/>
    <w:rsid w:val="5CC67242"/>
    <w:rsid w:val="5D9F4E4B"/>
    <w:rsid w:val="60A60A51"/>
    <w:rsid w:val="60C05397"/>
    <w:rsid w:val="622A18F2"/>
    <w:rsid w:val="6385691F"/>
    <w:rsid w:val="63FD11A2"/>
    <w:rsid w:val="640338E3"/>
    <w:rsid w:val="64861210"/>
    <w:rsid w:val="64881ACD"/>
    <w:rsid w:val="65AC5BD6"/>
    <w:rsid w:val="68070918"/>
    <w:rsid w:val="69F4078E"/>
    <w:rsid w:val="6A1D49A0"/>
    <w:rsid w:val="6B1E26EC"/>
    <w:rsid w:val="6B324ADA"/>
    <w:rsid w:val="6B4B7055"/>
    <w:rsid w:val="6B4E431A"/>
    <w:rsid w:val="6BC02683"/>
    <w:rsid w:val="6C3B672C"/>
    <w:rsid w:val="6CB15F4E"/>
    <w:rsid w:val="6CE80425"/>
    <w:rsid w:val="6D2C38A5"/>
    <w:rsid w:val="6D3A22AE"/>
    <w:rsid w:val="6E735281"/>
    <w:rsid w:val="6FB35F4E"/>
    <w:rsid w:val="70766151"/>
    <w:rsid w:val="71047186"/>
    <w:rsid w:val="710E3F90"/>
    <w:rsid w:val="721D26F3"/>
    <w:rsid w:val="72CD70F4"/>
    <w:rsid w:val="72EA5104"/>
    <w:rsid w:val="73487417"/>
    <w:rsid w:val="735D279F"/>
    <w:rsid w:val="737547B1"/>
    <w:rsid w:val="752C1A90"/>
    <w:rsid w:val="76F527FC"/>
    <w:rsid w:val="775161BA"/>
    <w:rsid w:val="77F31FD6"/>
    <w:rsid w:val="78EA77B0"/>
    <w:rsid w:val="797E30BE"/>
    <w:rsid w:val="79C832CB"/>
    <w:rsid w:val="7A1F0E89"/>
    <w:rsid w:val="7A6061C2"/>
    <w:rsid w:val="7BC31B3B"/>
    <w:rsid w:val="7C7C6F00"/>
    <w:rsid w:val="7C9A7C3C"/>
    <w:rsid w:val="7CEA1F55"/>
    <w:rsid w:val="7D1A671A"/>
    <w:rsid w:val="7E5D5F2F"/>
    <w:rsid w:val="7EDF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character" w:customStyle="1" w:styleId="56">
    <w:name w:val="mini-outputtext1"/>
    <w:basedOn w:val="2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40</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2022-06-14T02:06:31Z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