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92EEC">
      <w:pPr>
        <w:pStyle w:val="6"/>
        <w:rPr>
          <w:rFonts w:hint="eastAsia" w:eastAsia="宋体"/>
          <w:color w:val="000000" w:themeColor="text1"/>
          <w:highlight w:val="none"/>
          <w:lang w:val="en-US" w:eastAsia="zh-CN"/>
          <w14:textFill>
            <w14:solidFill>
              <w14:schemeClr w14:val="tx1"/>
            </w14:solidFill>
          </w14:textFill>
        </w:rPr>
      </w:pPr>
    </w:p>
    <w:p w14:paraId="7C9F68CB">
      <w:pPr>
        <w:autoSpaceDE w:val="0"/>
        <w:autoSpaceDN w:val="0"/>
        <w:adjustRightInd w:val="0"/>
        <w:jc w:val="center"/>
        <w:rPr>
          <w:rFonts w:hint="eastAsia" w:ascii="宋体" w:hAnsi="宋体" w:cs="华文中宋"/>
          <w:b/>
          <w:bCs/>
          <w:color w:val="000000" w:themeColor="text1"/>
          <w:kern w:val="0"/>
          <w:sz w:val="112"/>
          <w:szCs w:val="112"/>
          <w:lang w:val="zh-CN"/>
          <w14:textFill>
            <w14:solidFill>
              <w14:schemeClr w14:val="tx1"/>
            </w14:solidFill>
          </w14:textFill>
        </w:rPr>
      </w:pPr>
    </w:p>
    <w:p w14:paraId="40DB68E7">
      <w:pPr>
        <w:autoSpaceDE w:val="0"/>
        <w:autoSpaceDN w:val="0"/>
        <w:adjustRightInd w:val="0"/>
        <w:jc w:val="center"/>
        <w:rPr>
          <w:rFonts w:hint="eastAsia" w:ascii="宋体" w:hAnsi="宋体" w:cs="华文中宋"/>
          <w:b/>
          <w:bCs/>
          <w:color w:val="000000" w:themeColor="text1"/>
          <w:kern w:val="0"/>
          <w:sz w:val="112"/>
          <w:szCs w:val="112"/>
          <w:lang w:val="zh-CN"/>
          <w14:textFill>
            <w14:solidFill>
              <w14:schemeClr w14:val="tx1"/>
            </w14:solidFill>
          </w14:textFill>
        </w:rPr>
      </w:pPr>
    </w:p>
    <w:p w14:paraId="1EB8D2E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0"/>
        <w:rPr>
          <w:rFonts w:ascii="宋体" w:cs="华文中宋"/>
          <w:b/>
          <w:bCs/>
          <w:color w:val="000000" w:themeColor="text1"/>
          <w:kern w:val="0"/>
          <w:sz w:val="112"/>
          <w:szCs w:val="112"/>
          <w:lang w:val="zh-CN"/>
          <w14:textFill>
            <w14:solidFill>
              <w14:schemeClr w14:val="tx1"/>
            </w14:solidFill>
          </w14:textFill>
        </w:rPr>
      </w:pPr>
      <w:bookmarkStart w:id="0" w:name="_Toc20327"/>
      <w:bookmarkStart w:id="1" w:name="_Toc15126"/>
      <w:bookmarkStart w:id="2" w:name="_Toc25132"/>
      <w:r>
        <w:rPr>
          <w:rFonts w:hint="eastAsia" w:ascii="宋体" w:hAnsi="宋体" w:cs="华文中宋"/>
          <w:b/>
          <w:bCs/>
          <w:color w:val="000000" w:themeColor="text1"/>
          <w:kern w:val="0"/>
          <w:sz w:val="112"/>
          <w:szCs w:val="112"/>
          <w:lang w:val="zh-CN"/>
          <w14:textFill>
            <w14:solidFill>
              <w14:schemeClr w14:val="tx1"/>
            </w14:solidFill>
          </w14:textFill>
        </w:rPr>
        <w:t>竞争性谈判文件</w:t>
      </w:r>
      <w:bookmarkEnd w:id="0"/>
      <w:bookmarkEnd w:id="1"/>
      <w:bookmarkEnd w:id="2"/>
    </w:p>
    <w:p w14:paraId="0B37568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ascii="Calibri" w:hAnsi="Calibri" w:cs="Calibri"/>
          <w:color w:val="000000" w:themeColor="text1"/>
          <w:kern w:val="0"/>
          <w:sz w:val="36"/>
          <w:szCs w:val="36"/>
          <w14:textFill>
            <w14:solidFill>
              <w14:schemeClr w14:val="tx1"/>
            </w14:solidFill>
          </w14:textFill>
        </w:rPr>
      </w:pPr>
    </w:p>
    <w:p w14:paraId="40F799E1">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085E7F8A">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033F7CC6">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444DC525">
      <w:pPr>
        <w:autoSpaceDE w:val="0"/>
        <w:autoSpaceDN w:val="0"/>
        <w:adjustRightInd w:val="0"/>
        <w:spacing w:line="400" w:lineRule="exact"/>
        <w:jc w:val="left"/>
        <w:rPr>
          <w:rFonts w:ascii="Calibri" w:hAnsi="Calibri" w:cs="Calibri"/>
          <w:b/>
          <w:bCs/>
          <w:color w:val="000000" w:themeColor="text1"/>
          <w:kern w:val="0"/>
          <w:sz w:val="36"/>
          <w:szCs w:val="36"/>
          <w14:textFill>
            <w14:solidFill>
              <w14:schemeClr w14:val="tx1"/>
            </w14:solidFill>
          </w14:textFill>
        </w:rPr>
      </w:pPr>
    </w:p>
    <w:p w14:paraId="4D8FEDD7">
      <w:pPr>
        <w:autoSpaceDE w:val="0"/>
        <w:autoSpaceDN w:val="0"/>
        <w:adjustRightInd w:val="0"/>
        <w:spacing w:line="400" w:lineRule="exact"/>
        <w:jc w:val="left"/>
        <w:rPr>
          <w:rFonts w:ascii="Calibri" w:hAnsi="Calibri" w:cs="Calibri"/>
          <w:b/>
          <w:bCs/>
          <w:color w:val="000000" w:themeColor="text1"/>
          <w:kern w:val="0"/>
          <w:sz w:val="36"/>
          <w:szCs w:val="36"/>
          <w14:textFill>
            <w14:solidFill>
              <w14:schemeClr w14:val="tx1"/>
            </w14:solidFill>
          </w14:textFill>
        </w:rPr>
      </w:pPr>
    </w:p>
    <w:p w14:paraId="5FEFB259">
      <w:pPr>
        <w:spacing w:line="360" w:lineRule="auto"/>
        <w:ind w:firstLine="562" w:firstLineChars="200"/>
        <w:jc w:val="left"/>
        <w:outlineLvl w:val="9"/>
        <w:rPr>
          <w:rFonts w:hint="eastAsia" w:cs="宋体"/>
          <w:b/>
          <w:color w:val="000000" w:themeColor="text1"/>
          <w:sz w:val="28"/>
          <w:szCs w:val="28"/>
          <w:lang w:eastAsia="zh-CN"/>
          <w14:textFill>
            <w14:solidFill>
              <w14:schemeClr w14:val="tx1"/>
            </w14:solidFill>
          </w14:textFill>
        </w:rPr>
      </w:pPr>
    </w:p>
    <w:p w14:paraId="66076FE2">
      <w:pPr>
        <w:spacing w:line="360" w:lineRule="auto"/>
        <w:ind w:firstLine="562" w:firstLineChars="200"/>
        <w:jc w:val="left"/>
        <w:outlineLvl w:val="9"/>
        <w:rPr>
          <w:rFonts w:hint="eastAsia" w:cs="宋体"/>
          <w:b/>
          <w:color w:val="000000" w:themeColor="text1"/>
          <w:sz w:val="28"/>
          <w:szCs w:val="28"/>
          <w:lang w:eastAsia="zh-CN"/>
          <w14:textFill>
            <w14:solidFill>
              <w14:schemeClr w14:val="tx1"/>
            </w14:solidFill>
          </w14:textFill>
        </w:rPr>
      </w:pPr>
    </w:p>
    <w:p w14:paraId="7C100B93">
      <w:pPr>
        <w:spacing w:line="360" w:lineRule="auto"/>
        <w:ind w:left="2525" w:leftChars="399" w:hanging="1687" w:hangingChars="600"/>
        <w:jc w:val="left"/>
        <w:outlineLvl w:val="0"/>
        <w:rPr>
          <w:rFonts w:hint="default" w:cs="宋体"/>
          <w:b/>
          <w:color w:val="000000" w:themeColor="text1"/>
          <w:sz w:val="28"/>
          <w:szCs w:val="28"/>
          <w:lang w:val="en-US" w:eastAsia="zh-CN"/>
          <w14:textFill>
            <w14:solidFill>
              <w14:schemeClr w14:val="tx1"/>
            </w14:solidFill>
          </w14:textFill>
        </w:rPr>
      </w:pPr>
      <w:bookmarkStart w:id="3" w:name="_Toc18555"/>
      <w:bookmarkStart w:id="4" w:name="_Toc17872"/>
      <w:r>
        <w:rPr>
          <w:rFonts w:hint="eastAsia" w:cs="宋体"/>
          <w:b/>
          <w:color w:val="000000" w:themeColor="text1"/>
          <w:sz w:val="28"/>
          <w:szCs w:val="28"/>
          <w:lang w:val="zh-CN" w:eastAsia="zh-CN"/>
          <w14:textFill>
            <w14:solidFill>
              <w14:schemeClr w14:val="tx1"/>
            </w14:solidFill>
          </w14:textFill>
        </w:rPr>
        <w:t>采购项目名称：</w:t>
      </w:r>
      <w:bookmarkEnd w:id="3"/>
      <w:bookmarkEnd w:id="4"/>
      <w:r>
        <w:rPr>
          <w:rFonts w:hint="eastAsia" w:cs="宋体"/>
          <w:b/>
          <w:color w:val="000000" w:themeColor="text1"/>
          <w:sz w:val="28"/>
          <w:szCs w:val="28"/>
          <w:lang w:val="zh-CN" w:eastAsia="zh-CN"/>
          <w14:textFill>
            <w14:solidFill>
              <w14:schemeClr w14:val="tx1"/>
            </w14:solidFill>
          </w14:textFill>
        </w:rPr>
        <w:t>海东市乐都区“示范性儿童之家”项目</w:t>
      </w:r>
    </w:p>
    <w:p w14:paraId="331D0701">
      <w:pPr>
        <w:spacing w:line="360" w:lineRule="auto"/>
        <w:ind w:firstLine="843" w:firstLineChars="300"/>
        <w:jc w:val="left"/>
        <w:outlineLvl w:val="0"/>
        <w:rPr>
          <w:rFonts w:hint="eastAsia" w:cs="宋体"/>
          <w:b/>
          <w:color w:val="000000" w:themeColor="text1"/>
          <w:sz w:val="28"/>
          <w:szCs w:val="28"/>
          <w:lang w:val="zh-CN" w:eastAsia="zh-CN"/>
          <w14:textFill>
            <w14:solidFill>
              <w14:schemeClr w14:val="tx1"/>
            </w14:solidFill>
          </w14:textFill>
        </w:rPr>
      </w:pPr>
      <w:bookmarkStart w:id="5" w:name="_Toc20308"/>
      <w:bookmarkStart w:id="6" w:name="_Toc10166"/>
      <w:r>
        <w:rPr>
          <w:rFonts w:hint="eastAsia" w:cs="宋体"/>
          <w:b/>
          <w:color w:val="000000" w:themeColor="text1"/>
          <w:sz w:val="28"/>
          <w:szCs w:val="28"/>
          <w:lang w:val="zh-CN" w:eastAsia="zh-CN"/>
          <w14:textFill>
            <w14:solidFill>
              <w14:schemeClr w14:val="tx1"/>
            </w14:solidFill>
          </w14:textFill>
        </w:rPr>
        <w:t>采购项目编号：</w:t>
      </w:r>
      <w:bookmarkEnd w:id="5"/>
      <w:bookmarkEnd w:id="6"/>
      <w:bookmarkStart w:id="7" w:name="_Toc15380"/>
      <w:bookmarkStart w:id="8" w:name="_Toc14987"/>
      <w:r>
        <w:rPr>
          <w:rFonts w:hint="eastAsia" w:cs="宋体"/>
          <w:b/>
          <w:color w:val="000000" w:themeColor="text1"/>
          <w:sz w:val="28"/>
          <w:szCs w:val="28"/>
          <w:lang w:val="zh-CN" w:eastAsia="zh-CN"/>
          <w14:textFill>
            <w14:solidFill>
              <w14:schemeClr w14:val="tx1"/>
            </w14:solidFill>
          </w14:textFill>
        </w:rPr>
        <w:t>乐欣中堃竞谈（货物）2025-019</w:t>
      </w:r>
    </w:p>
    <w:p w14:paraId="5799DCC4">
      <w:pPr>
        <w:spacing w:line="360" w:lineRule="auto"/>
        <w:ind w:firstLine="843" w:firstLineChars="300"/>
        <w:jc w:val="left"/>
        <w:outlineLvl w:val="0"/>
        <w:rPr>
          <w:rFonts w:hint="eastAsia" w:cs="宋体"/>
          <w:b/>
          <w:color w:val="000000" w:themeColor="text1"/>
          <w:sz w:val="28"/>
          <w:szCs w:val="28"/>
          <w:lang w:val="zh-CN" w:eastAsia="zh-CN"/>
          <w14:textFill>
            <w14:solidFill>
              <w14:schemeClr w14:val="tx1"/>
            </w14:solidFill>
          </w14:textFill>
        </w:rPr>
      </w:pPr>
      <w:bookmarkStart w:id="9" w:name="_Toc17445"/>
      <w:r>
        <w:rPr>
          <w:rFonts w:hint="eastAsia" w:cs="宋体"/>
          <w:b/>
          <w:color w:val="000000" w:themeColor="text1"/>
          <w:sz w:val="28"/>
          <w:szCs w:val="28"/>
          <w:lang w:val="zh-CN" w:eastAsia="zh-CN"/>
          <w14:textFill>
            <w14:solidFill>
              <w14:schemeClr w14:val="tx1"/>
            </w14:solidFill>
          </w14:textFill>
        </w:rPr>
        <w:t>采</w:t>
      </w:r>
      <w:r>
        <w:rPr>
          <w:rFonts w:hint="eastAsia" w:cs="宋体"/>
          <w:b/>
          <w:color w:val="000000" w:themeColor="text1"/>
          <w:sz w:val="28"/>
          <w:szCs w:val="28"/>
          <w:lang w:val="en-US" w:eastAsia="zh-CN"/>
          <w14:textFill>
            <w14:solidFill>
              <w14:schemeClr w14:val="tx1"/>
            </w14:solidFill>
          </w14:textFill>
        </w:rPr>
        <w:t xml:space="preserve">   </w:t>
      </w:r>
      <w:r>
        <w:rPr>
          <w:rFonts w:hint="eastAsia" w:cs="宋体"/>
          <w:b/>
          <w:color w:val="000000" w:themeColor="text1"/>
          <w:sz w:val="28"/>
          <w:szCs w:val="28"/>
          <w:lang w:val="zh-CN" w:eastAsia="zh-CN"/>
          <w14:textFill>
            <w14:solidFill>
              <w14:schemeClr w14:val="tx1"/>
            </w14:solidFill>
          </w14:textFill>
        </w:rPr>
        <w:t>购</w:t>
      </w:r>
      <w:r>
        <w:rPr>
          <w:rFonts w:hint="eastAsia" w:cs="宋体"/>
          <w:b/>
          <w:color w:val="000000" w:themeColor="text1"/>
          <w:sz w:val="28"/>
          <w:szCs w:val="28"/>
          <w:lang w:val="en-US" w:eastAsia="zh-CN"/>
          <w14:textFill>
            <w14:solidFill>
              <w14:schemeClr w14:val="tx1"/>
            </w14:solidFill>
          </w14:textFill>
        </w:rPr>
        <w:t xml:space="preserve">   </w:t>
      </w:r>
      <w:r>
        <w:rPr>
          <w:rFonts w:hint="eastAsia" w:cs="宋体"/>
          <w:b/>
          <w:color w:val="000000" w:themeColor="text1"/>
          <w:sz w:val="28"/>
          <w:szCs w:val="28"/>
          <w:lang w:val="zh-CN" w:eastAsia="zh-CN"/>
          <w14:textFill>
            <w14:solidFill>
              <w14:schemeClr w14:val="tx1"/>
            </w14:solidFill>
          </w14:textFill>
        </w:rPr>
        <w:t>人：</w:t>
      </w:r>
      <w:bookmarkEnd w:id="7"/>
      <w:bookmarkEnd w:id="8"/>
      <w:bookmarkStart w:id="10" w:name="_Toc14377"/>
      <w:r>
        <w:rPr>
          <w:rFonts w:hint="eastAsia" w:cs="宋体"/>
          <w:b/>
          <w:color w:val="000000" w:themeColor="text1"/>
          <w:sz w:val="28"/>
          <w:szCs w:val="28"/>
          <w:lang w:val="zh-CN" w:eastAsia="zh-CN"/>
          <w14:textFill>
            <w14:solidFill>
              <w14:schemeClr w14:val="tx1"/>
            </w14:solidFill>
          </w14:textFill>
        </w:rPr>
        <w:t>海东市乐都区民政局（本级）</w:t>
      </w:r>
      <w:bookmarkEnd w:id="9"/>
    </w:p>
    <w:bookmarkEnd w:id="10"/>
    <w:p w14:paraId="6A85CDD1">
      <w:pPr>
        <w:spacing w:line="360" w:lineRule="auto"/>
        <w:ind w:firstLine="843" w:firstLineChars="300"/>
        <w:jc w:val="left"/>
        <w:outlineLvl w:val="0"/>
        <w:rPr>
          <w:rFonts w:hint="eastAsia" w:cs="宋体"/>
          <w:b/>
          <w:color w:val="000000" w:themeColor="text1"/>
          <w:sz w:val="28"/>
          <w:szCs w:val="28"/>
          <w:lang w:val="zh-CN" w:eastAsia="zh-CN"/>
          <w14:textFill>
            <w14:solidFill>
              <w14:schemeClr w14:val="tx1"/>
            </w14:solidFill>
          </w14:textFill>
        </w:rPr>
      </w:pPr>
      <w:bookmarkStart w:id="11" w:name="_Toc29820"/>
      <w:bookmarkStart w:id="12" w:name="_Toc17993"/>
      <w:r>
        <w:rPr>
          <w:rFonts w:hint="eastAsia" w:cs="宋体"/>
          <w:b/>
          <w:color w:val="000000" w:themeColor="text1"/>
          <w:sz w:val="28"/>
          <w:szCs w:val="28"/>
          <w:lang w:val="zh-CN" w:eastAsia="zh-CN"/>
          <w14:textFill>
            <w14:solidFill>
              <w14:schemeClr w14:val="tx1"/>
            </w14:solidFill>
          </w14:textFill>
        </w:rPr>
        <w:t>采购代理机构：海东乐都区乐欣中堃项目管理有限公司</w:t>
      </w:r>
      <w:bookmarkEnd w:id="11"/>
      <w:bookmarkEnd w:id="12"/>
    </w:p>
    <w:p w14:paraId="2B34317B">
      <w:pPr>
        <w:spacing w:line="360" w:lineRule="auto"/>
        <w:ind w:firstLine="2249" w:firstLineChars="800"/>
        <w:jc w:val="center"/>
        <w:rPr>
          <w:rFonts w:hint="eastAsia" w:ascii="宋体" w:hAnsi="宋体" w:cs="华文中宋"/>
          <w:b/>
          <w:bCs/>
          <w:color w:val="000000" w:themeColor="text1"/>
          <w:sz w:val="28"/>
          <w:szCs w:val="28"/>
          <w:lang w:val="en-US" w:eastAsia="zh-CN"/>
          <w14:textFill>
            <w14:solidFill>
              <w14:schemeClr w14:val="tx1"/>
            </w14:solidFill>
          </w14:textFill>
        </w:rPr>
      </w:pPr>
    </w:p>
    <w:p w14:paraId="1F85907C">
      <w:pPr>
        <w:spacing w:line="360" w:lineRule="auto"/>
        <w:jc w:val="center"/>
        <w:rPr>
          <w:rFonts w:ascii="宋体" w:cs="华文中宋"/>
          <w:b/>
          <w:color w:val="000000" w:themeColor="text1"/>
          <w:sz w:val="28"/>
          <w:szCs w:val="28"/>
          <w14:textFill>
            <w14:solidFill>
              <w14:schemeClr w14:val="tx1"/>
            </w14:solidFill>
          </w14:textFill>
        </w:rPr>
      </w:pPr>
      <w:r>
        <w:rPr>
          <w:rFonts w:ascii="宋体" w:hAnsi="宋体" w:cs="华文中宋"/>
          <w:b/>
          <w:bCs/>
          <w:color w:val="000000" w:themeColor="text1"/>
          <w:sz w:val="28"/>
          <w:szCs w:val="28"/>
          <w14:textFill>
            <w14:solidFill>
              <w14:schemeClr w14:val="tx1"/>
            </w14:solidFill>
          </w14:textFill>
        </w:rPr>
        <w:t>20</w:t>
      </w:r>
      <w:r>
        <w:rPr>
          <w:rFonts w:hint="eastAsia" w:ascii="宋体" w:hAnsi="宋体" w:cs="华文中宋"/>
          <w:b/>
          <w:bCs/>
          <w:color w:val="000000" w:themeColor="text1"/>
          <w:sz w:val="28"/>
          <w:szCs w:val="28"/>
          <w:lang w:val="en-US" w:eastAsia="zh-CN"/>
          <w14:textFill>
            <w14:solidFill>
              <w14:schemeClr w14:val="tx1"/>
            </w14:solidFill>
          </w14:textFill>
        </w:rPr>
        <w:t>25</w:t>
      </w:r>
      <w:r>
        <w:rPr>
          <w:rFonts w:hint="eastAsia" w:ascii="宋体" w:hAnsi="宋体" w:cs="华文中宋"/>
          <w:b/>
          <w:bCs/>
          <w:color w:val="000000" w:themeColor="text1"/>
          <w:sz w:val="28"/>
          <w:szCs w:val="28"/>
          <w14:textFill>
            <w14:solidFill>
              <w14:schemeClr w14:val="tx1"/>
            </w14:solidFill>
          </w14:textFill>
        </w:rPr>
        <w:t>年</w:t>
      </w:r>
      <w:r>
        <w:rPr>
          <w:rFonts w:hint="eastAsia" w:ascii="宋体" w:hAnsi="宋体" w:cs="华文中宋"/>
          <w:b/>
          <w:bCs/>
          <w:color w:val="000000" w:themeColor="text1"/>
          <w:sz w:val="28"/>
          <w:szCs w:val="28"/>
          <w:lang w:val="en-US" w:eastAsia="zh-CN"/>
          <w14:textFill>
            <w14:solidFill>
              <w14:schemeClr w14:val="tx1"/>
            </w14:solidFill>
          </w14:textFill>
        </w:rPr>
        <w:t>06</w:t>
      </w:r>
      <w:r>
        <w:rPr>
          <w:rFonts w:hint="eastAsia" w:ascii="宋体" w:hAnsi="宋体" w:cs="华文中宋"/>
          <w:b/>
          <w:bCs/>
          <w:color w:val="000000" w:themeColor="text1"/>
          <w:sz w:val="28"/>
          <w:szCs w:val="28"/>
          <w14:textFill>
            <w14:solidFill>
              <w14:schemeClr w14:val="tx1"/>
            </w14:solidFill>
          </w14:textFill>
        </w:rPr>
        <w:t>月</w:t>
      </w:r>
    </w:p>
    <w:p w14:paraId="4A89B2B1">
      <w:pPr>
        <w:jc w:val="center"/>
        <w:rPr>
          <w:rFonts w:ascii="宋体" w:hAnsi="宋体"/>
          <w:b/>
          <w:bCs/>
          <w:color w:val="000000" w:themeColor="text1"/>
          <w:sz w:val="36"/>
          <w:szCs w:val="36"/>
          <w:highlight w:val="none"/>
          <w14:textFill>
            <w14:solidFill>
              <w14:schemeClr w14:val="tx1"/>
            </w14:solidFill>
          </w14:textFill>
        </w:rPr>
      </w:pPr>
    </w:p>
    <w:p w14:paraId="25DEADAA">
      <w:pPr>
        <w:jc w:val="center"/>
        <w:outlineLvl w:val="9"/>
        <w:rPr>
          <w:rFonts w:ascii="宋体" w:hAnsi="宋体"/>
          <w:b/>
          <w:bCs/>
          <w:color w:val="000000" w:themeColor="text1"/>
          <w:sz w:val="36"/>
          <w:szCs w:val="36"/>
          <w:highlight w:val="none"/>
          <w14:textFill>
            <w14:solidFill>
              <w14:schemeClr w14:val="tx1"/>
            </w14:solidFill>
          </w14:textFill>
        </w:rPr>
        <w:sectPr>
          <w:headerReference r:id="rId5" w:type="default"/>
          <w:footerReference r:id="rId7" w:type="default"/>
          <w:headerReference r:id="rId6" w:type="even"/>
          <w:pgSz w:w="11906" w:h="16838"/>
          <w:pgMar w:top="1327" w:right="1361" w:bottom="1231" w:left="1184"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p>
    <w:p w14:paraId="672CA99C">
      <w:pPr>
        <w:keepNext/>
        <w:keepLines/>
        <w:widowControl/>
        <w:numPr>
          <w:ilvl w:val="0"/>
          <w:numId w:val="0"/>
        </w:numPr>
        <w:snapToGrid w:val="0"/>
        <w:spacing w:line="360" w:lineRule="auto"/>
        <w:jc w:val="center"/>
        <w:outlineLvl w:val="0"/>
        <w:rPr>
          <w:rFonts w:hint="eastAsia" w:ascii="宋体" w:hAnsi="宋体" w:eastAsia="宋体" w:cs="宋体"/>
          <w:b/>
          <w:color w:val="000000" w:themeColor="text1"/>
          <w:kern w:val="28"/>
          <w:sz w:val="36"/>
          <w:szCs w:val="36"/>
          <w14:textFill>
            <w14:solidFill>
              <w14:schemeClr w14:val="tx1"/>
            </w14:solidFill>
          </w14:textFill>
        </w:rPr>
      </w:pPr>
      <w:bookmarkStart w:id="13" w:name="_Toc8199"/>
      <w:r>
        <w:rPr>
          <w:rFonts w:hint="eastAsia" w:ascii="宋体" w:hAnsi="宋体" w:eastAsia="宋体" w:cs="宋体"/>
          <w:b/>
          <w:color w:val="000000" w:themeColor="text1"/>
          <w:kern w:val="28"/>
          <w:sz w:val="36"/>
          <w:szCs w:val="36"/>
          <w14:textFill>
            <w14:solidFill>
              <w14:schemeClr w14:val="tx1"/>
            </w14:solidFill>
          </w14:textFill>
        </w:rPr>
        <w:t>目  录</w:t>
      </w:r>
      <w:bookmarkEnd w:id="13"/>
    </w:p>
    <w:sdt>
      <w:sdtPr>
        <w:rPr>
          <w:rFonts w:ascii="宋体" w:hAnsi="宋体" w:eastAsia="宋体" w:cstheme="minorBidi"/>
          <w:sz w:val="21"/>
          <w:szCs w:val="22"/>
          <w:lang w:val="en-US" w:eastAsia="zh-CN" w:bidi="ar-SA"/>
        </w:rPr>
        <w:id w:val="147462558"/>
        <w15:color w:val="DBDBDB"/>
        <w:docPartObj>
          <w:docPartGallery w:val="Table of Contents"/>
          <w:docPartUnique/>
        </w:docPartObj>
      </w:sdtPr>
      <w:sdtEndPr>
        <w:rPr>
          <w:rFonts w:ascii="宋体" w:hAnsi="宋体" w:eastAsia="宋体" w:cs="宋体"/>
          <w:bCs/>
          <w:color w:val="000000" w:themeColor="text1"/>
          <w:sz w:val="24"/>
          <w:szCs w:val="24"/>
          <w:lang w:val="en-US" w:eastAsia="zh-CN" w:bidi="ar-SA"/>
          <w14:textFill>
            <w14:solidFill>
              <w14:schemeClr w14:val="tx1"/>
            </w14:solidFill>
          </w14:textFill>
        </w:rPr>
      </w:sdtEndPr>
      <w:sdtContent>
        <w:p w14:paraId="60CF669C">
          <w:pPr>
            <w:spacing w:before="0" w:beforeLines="0" w:after="0" w:afterLines="0" w:line="240" w:lineRule="auto"/>
            <w:ind w:left="0" w:leftChars="0" w:right="0" w:rightChars="0" w:firstLine="0" w:firstLineChars="0"/>
            <w:jc w:val="center"/>
          </w:pPr>
        </w:p>
        <w:p w14:paraId="0C77E476">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color w:val="000000" w:themeColor="text1"/>
              <w:sz w:val="24"/>
              <w:szCs w:val="24"/>
              <w14:textFill>
                <w14:solidFill>
                  <w14:schemeClr w14:val="tx1"/>
                </w14:solidFill>
              </w14:textFill>
            </w:rPr>
            <w:instrText xml:space="preserve">TOC \o "1-1" \h \u </w:instrText>
          </w:r>
          <w:r>
            <w:rPr>
              <w:rFonts w:ascii="宋体" w:hAnsi="宋体" w:eastAsia="宋体" w:cs="宋体"/>
              <w:bCs/>
              <w:color w:val="000000" w:themeColor="text1"/>
              <w:sz w:val="24"/>
              <w:szCs w:val="24"/>
              <w14:textFill>
                <w14:solidFill>
                  <w14:schemeClr w14:val="tx1"/>
                </w14:solidFill>
              </w14:textFill>
            </w:rPr>
            <w:fldChar w:fldCharType="separate"/>
          </w:r>
        </w:p>
        <w:p w14:paraId="02D4DC62">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_Toc19297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第一部分 谈判邀请</w:t>
          </w:r>
          <w:r>
            <w:rPr>
              <w:sz w:val="24"/>
              <w:szCs w:val="24"/>
            </w:rPr>
            <w:tab/>
          </w:r>
          <w:r>
            <w:rPr>
              <w:sz w:val="24"/>
              <w:szCs w:val="24"/>
            </w:rPr>
            <w:fldChar w:fldCharType="begin"/>
          </w:r>
          <w:r>
            <w:rPr>
              <w:sz w:val="24"/>
              <w:szCs w:val="24"/>
            </w:rPr>
            <w:instrText xml:space="preserve"> PAGEREF _Toc19297 \h </w:instrText>
          </w:r>
          <w:r>
            <w:rPr>
              <w:sz w:val="24"/>
              <w:szCs w:val="24"/>
            </w:rPr>
            <w:fldChar w:fldCharType="separate"/>
          </w:r>
          <w:r>
            <w:rPr>
              <w:sz w:val="24"/>
              <w:szCs w:val="24"/>
            </w:rPr>
            <w:t>1</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41EA066C">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_Toc11653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第二部分 谈判须知</w:t>
          </w:r>
          <w:r>
            <w:rPr>
              <w:sz w:val="24"/>
              <w:szCs w:val="24"/>
            </w:rPr>
            <w:tab/>
          </w:r>
          <w:r>
            <w:rPr>
              <w:sz w:val="24"/>
              <w:szCs w:val="24"/>
            </w:rPr>
            <w:fldChar w:fldCharType="begin"/>
          </w:r>
          <w:r>
            <w:rPr>
              <w:sz w:val="24"/>
              <w:szCs w:val="24"/>
            </w:rPr>
            <w:instrText xml:space="preserve"> PAGEREF _Toc11653 \h </w:instrText>
          </w:r>
          <w:r>
            <w:rPr>
              <w:sz w:val="24"/>
              <w:szCs w:val="24"/>
            </w:rPr>
            <w:fldChar w:fldCharType="separate"/>
          </w:r>
          <w:r>
            <w:rPr>
              <w:sz w:val="24"/>
              <w:szCs w:val="24"/>
            </w:rPr>
            <w:t>5</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6CF78311">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_Toc26561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第三部分 采购需求</w:t>
          </w:r>
          <w:r>
            <w:rPr>
              <w:sz w:val="24"/>
              <w:szCs w:val="24"/>
            </w:rPr>
            <w:tab/>
          </w:r>
          <w:r>
            <w:rPr>
              <w:sz w:val="24"/>
              <w:szCs w:val="24"/>
            </w:rPr>
            <w:fldChar w:fldCharType="begin"/>
          </w:r>
          <w:r>
            <w:rPr>
              <w:sz w:val="24"/>
              <w:szCs w:val="24"/>
            </w:rPr>
            <w:instrText xml:space="preserve"> PAGEREF _Toc26561 \h </w:instrText>
          </w:r>
          <w:r>
            <w:rPr>
              <w:sz w:val="24"/>
              <w:szCs w:val="24"/>
            </w:rPr>
            <w:fldChar w:fldCharType="separate"/>
          </w:r>
          <w:r>
            <w:rPr>
              <w:sz w:val="24"/>
              <w:szCs w:val="24"/>
            </w:rPr>
            <w:t>19</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5A2740AC">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_Toc67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第四部分 谈判响应文件格式</w:t>
          </w:r>
          <w:r>
            <w:rPr>
              <w:sz w:val="24"/>
              <w:szCs w:val="24"/>
            </w:rPr>
            <w:tab/>
          </w:r>
          <w:r>
            <w:rPr>
              <w:sz w:val="24"/>
              <w:szCs w:val="24"/>
            </w:rPr>
            <w:fldChar w:fldCharType="begin"/>
          </w:r>
          <w:r>
            <w:rPr>
              <w:sz w:val="24"/>
              <w:szCs w:val="24"/>
            </w:rPr>
            <w:instrText xml:space="preserve"> PAGEREF _Toc67 \h </w:instrText>
          </w:r>
          <w:r>
            <w:rPr>
              <w:sz w:val="24"/>
              <w:szCs w:val="24"/>
            </w:rPr>
            <w:fldChar w:fldCharType="separate"/>
          </w:r>
          <w:r>
            <w:rPr>
              <w:sz w:val="24"/>
              <w:szCs w:val="24"/>
            </w:rPr>
            <w:t>31</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1F6AE3C6">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_Toc11710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第五部分 采购项目合同书</w:t>
          </w:r>
          <w:r>
            <w:rPr>
              <w:sz w:val="24"/>
              <w:szCs w:val="24"/>
            </w:rPr>
            <w:tab/>
          </w:r>
          <w:r>
            <w:rPr>
              <w:sz w:val="24"/>
              <w:szCs w:val="24"/>
            </w:rPr>
            <w:fldChar w:fldCharType="begin"/>
          </w:r>
          <w:r>
            <w:rPr>
              <w:sz w:val="24"/>
              <w:szCs w:val="24"/>
            </w:rPr>
            <w:instrText xml:space="preserve"> PAGEREF _Toc11710 \h </w:instrText>
          </w:r>
          <w:r>
            <w:rPr>
              <w:sz w:val="24"/>
              <w:szCs w:val="24"/>
            </w:rPr>
            <w:fldChar w:fldCharType="separate"/>
          </w:r>
          <w:r>
            <w:rPr>
              <w:sz w:val="24"/>
              <w:szCs w:val="24"/>
            </w:rPr>
            <w:t>54</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5EC686D8">
          <w:pPr>
            <w:adjustRightInd w:val="0"/>
            <w:spacing w:line="720" w:lineRule="auto"/>
            <w:ind w:firstLine="0" w:firstLineChars="0"/>
            <w:jc w:val="center"/>
            <w:textAlignment w:val="baseline"/>
            <w:rPr>
              <w:rFonts w:ascii="宋体" w:hAnsi="宋体" w:eastAsia="宋体" w:cs="宋体"/>
              <w:bCs/>
              <w:color w:val="000000" w:themeColor="text1"/>
              <w:sz w:val="24"/>
              <w:szCs w:val="24"/>
              <w:lang w:val="en-US" w:eastAsia="zh-CN" w:bidi="ar-SA"/>
              <w14:textFill>
                <w14:solidFill>
                  <w14:schemeClr w14:val="tx1"/>
                </w14:solidFill>
              </w14:textFill>
            </w:rPr>
          </w:pPr>
          <w:r>
            <w:rPr>
              <w:rFonts w:ascii="宋体" w:hAnsi="宋体" w:eastAsia="宋体" w:cs="宋体"/>
              <w:bCs/>
              <w:color w:val="000000" w:themeColor="text1"/>
              <w:sz w:val="24"/>
              <w:szCs w:val="24"/>
              <w14:textFill>
                <w14:solidFill>
                  <w14:schemeClr w14:val="tx1"/>
                </w14:solidFill>
              </w14:textFill>
            </w:rPr>
            <w:fldChar w:fldCharType="end"/>
          </w:r>
        </w:p>
      </w:sdtContent>
    </w:sdt>
    <w:p w14:paraId="2379D274">
      <w:pPr>
        <w:adjustRightInd w:val="0"/>
        <w:spacing w:line="720" w:lineRule="auto"/>
        <w:ind w:firstLine="0" w:firstLineChars="0"/>
        <w:jc w:val="center"/>
        <w:textAlignment w:val="baseline"/>
        <w:rPr>
          <w:rFonts w:ascii="宋体" w:hAnsi="宋体" w:eastAsia="宋体" w:cs="宋体"/>
          <w:bCs/>
          <w:color w:val="000000" w:themeColor="text1"/>
          <w:sz w:val="21"/>
          <w:szCs w:val="24"/>
          <w:lang w:val="en-US" w:eastAsia="zh-CN" w:bidi="ar-SA"/>
          <w14:textFill>
            <w14:solidFill>
              <w14:schemeClr w14:val="tx1"/>
            </w14:solidFill>
          </w14:textFill>
        </w:rPr>
      </w:pPr>
    </w:p>
    <w:p w14:paraId="4DC25BB5">
      <w:pPr>
        <w:spacing w:line="720" w:lineRule="auto"/>
        <w:ind w:firstLine="420"/>
        <w:jc w:val="center"/>
        <w:rPr>
          <w:rFonts w:ascii="宋体" w:hAnsi="宋体" w:eastAsia="宋体" w:cs="宋体"/>
          <w:bCs/>
          <w:color w:val="000000" w:themeColor="text1"/>
          <w:sz w:val="18"/>
          <w:szCs w:val="18"/>
          <w:lang w:val="zh-CN"/>
          <w14:textFill>
            <w14:solidFill>
              <w14:schemeClr w14:val="tx1"/>
            </w14:solidFill>
          </w14:textFill>
        </w:rPr>
      </w:pPr>
    </w:p>
    <w:p w14:paraId="7568CF12">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bookmarkStart w:id="14" w:name="_Toc27517"/>
      <w:bookmarkStart w:id="15" w:name="_Toc10494"/>
      <w:bookmarkStart w:id="16" w:name="_Toc1964"/>
    </w:p>
    <w:p w14:paraId="7551430C">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17" w:name="_Toc19297"/>
      <w:r>
        <w:rPr>
          <w:rFonts w:hint="eastAsia" w:ascii="宋体" w:hAnsi="宋体" w:eastAsia="宋体" w:cs="宋体"/>
          <w:b/>
          <w:color w:val="000000" w:themeColor="text1"/>
          <w:kern w:val="28"/>
          <w:sz w:val="36"/>
          <w:szCs w:val="36"/>
          <w:lang w:val="en-US" w:eastAsia="zh-CN"/>
          <w14:textFill>
            <w14:solidFill>
              <w14:schemeClr w14:val="tx1"/>
            </w14:solidFill>
          </w14:textFill>
        </w:rPr>
        <w:t>谈判邀请</w:t>
      </w:r>
      <w:bookmarkEnd w:id="17"/>
    </w:p>
    <w:tbl>
      <w:tblPr>
        <w:tblStyle w:val="27"/>
        <w:tblW w:w="10205" w:type="dxa"/>
        <w:jc w:val="center"/>
        <w:tblLayout w:type="fixed"/>
        <w:tblCellMar>
          <w:top w:w="0" w:type="dxa"/>
          <w:left w:w="57" w:type="dxa"/>
          <w:bottom w:w="0" w:type="dxa"/>
          <w:right w:w="57" w:type="dxa"/>
        </w:tblCellMar>
      </w:tblPr>
      <w:tblGrid>
        <w:gridCol w:w="653"/>
        <w:gridCol w:w="2530"/>
        <w:gridCol w:w="7022"/>
      </w:tblGrid>
      <w:tr w14:paraId="5D49B6E6">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C0B64F">
            <w:pPr>
              <w:autoSpaceDE w:val="0"/>
              <w:autoSpaceDN w:val="0"/>
              <w:spacing w:line="360" w:lineRule="auto"/>
              <w:ind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E00807C">
            <w:pPr>
              <w:autoSpaceDE w:val="0"/>
              <w:autoSpaceDN w:val="0"/>
              <w:spacing w:line="360" w:lineRule="auto"/>
              <w:ind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内容</w:t>
            </w:r>
          </w:p>
        </w:tc>
      </w:tr>
      <w:tr w14:paraId="0F8C489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B59CFA">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086907">
            <w:pPr>
              <w:autoSpaceDE w:val="0"/>
              <w:autoSpaceDN w:val="0"/>
              <w:adjustRightInd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sz w:val="24"/>
                <w:szCs w:val="24"/>
                <w:highlight w:val="none"/>
              </w:rPr>
              <w:t>采购</w:t>
            </w:r>
            <w:r>
              <w:rPr>
                <w:rFonts w:hint="eastAsia" w:ascii="宋体" w:hAnsi="宋体" w:eastAsia="宋体" w:cs="宋体"/>
                <w:color w:val="auto"/>
                <w:kern w:val="0"/>
                <w:sz w:val="24"/>
                <w:szCs w:val="24"/>
                <w:highlight w:val="none"/>
                <w:lang w:val="zh-CN"/>
              </w:rPr>
              <w:t>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C61374">
            <w:pPr>
              <w:autoSpaceDE w:val="0"/>
              <w:autoSpaceDN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海东市乐都区“示范性儿童之家”项目</w:t>
            </w:r>
          </w:p>
        </w:tc>
      </w:tr>
      <w:tr w14:paraId="7BAB9E0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1E8573">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BB1F5D">
            <w:pPr>
              <w:autoSpaceDE w:val="0"/>
              <w:autoSpaceDN w:val="0"/>
              <w:adjustRightInd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sz w:val="24"/>
                <w:szCs w:val="24"/>
                <w:highlight w:val="none"/>
              </w:rPr>
              <w:t>采购</w:t>
            </w:r>
            <w:r>
              <w:rPr>
                <w:rFonts w:hint="eastAsia" w:ascii="宋体" w:hAnsi="宋体" w:eastAsia="宋体" w:cs="宋体"/>
                <w:color w:val="auto"/>
                <w:kern w:val="0"/>
                <w:sz w:val="24"/>
                <w:szCs w:val="24"/>
                <w:highlight w:val="none"/>
                <w:lang w:val="zh-CN"/>
              </w:rPr>
              <w:t>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3C0997">
            <w:pPr>
              <w:autoSpaceDE w:val="0"/>
              <w:autoSpaceDN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val="0"/>
                <w:bCs w:val="0"/>
                <w:color w:val="auto"/>
                <w:sz w:val="24"/>
                <w:szCs w:val="24"/>
                <w:highlight w:val="none"/>
                <w:lang w:eastAsia="zh-CN"/>
              </w:rPr>
              <w:t>乐欣中堃竞谈（货物）2025-019</w:t>
            </w:r>
          </w:p>
        </w:tc>
      </w:tr>
      <w:tr w14:paraId="74C664B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48581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zh-CN"/>
              </w:rPr>
            </w:pPr>
            <w:r>
              <w:rPr>
                <w:rFonts w:hint="eastAsia" w:ascii="宋体" w:hAnsi="宋体" w:eastAsia="宋体" w:cs="宋体"/>
                <w:i w:val="0"/>
                <w:iCs w:val="0"/>
                <w:color w:val="000000"/>
                <w:kern w:val="0"/>
                <w:sz w:val="22"/>
                <w:szCs w:val="22"/>
                <w:u w:val="none"/>
                <w:lang w:val="en-US" w:eastAsia="zh-CN" w:bidi="ar"/>
              </w:rPr>
              <w:t>3</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98DB55">
            <w:pPr>
              <w:autoSpaceDE w:val="0"/>
              <w:autoSpaceDN w:val="0"/>
              <w:adjustRightIn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CDC63B">
            <w:pPr>
              <w:keepNext w:val="0"/>
              <w:keepLines w:val="0"/>
              <w:widowControl/>
              <w:suppressLineNumbers w:val="0"/>
              <w:spacing w:line="360" w:lineRule="auto"/>
              <w:ind w:left="0" w:leftChars="0" w:firstLine="0" w:firstLineChars="0"/>
              <w:jc w:val="both"/>
              <w:rPr>
                <w:rFonts w:hint="eastAsia" w:ascii="宋体" w:hAnsi="宋体" w:eastAsia="宋体" w:cs="宋体"/>
                <w:sz w:val="24"/>
                <w:szCs w:val="24"/>
                <w:lang w:val="zh-CN"/>
              </w:rPr>
            </w:pPr>
            <w:r>
              <w:rPr>
                <w:rFonts w:hint="eastAsia" w:ascii="宋体" w:hAnsi="宋体" w:eastAsia="宋体" w:cs="宋体"/>
                <w:color w:val="000000"/>
                <w:kern w:val="0"/>
                <w:sz w:val="24"/>
                <w:szCs w:val="24"/>
                <w:lang w:val="en-US" w:eastAsia="zh-CN" w:bidi="ar"/>
              </w:rPr>
              <w:t>竞争性谈判</w:t>
            </w:r>
          </w:p>
        </w:tc>
      </w:tr>
      <w:tr w14:paraId="0F205A3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63CEA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zh-CN"/>
              </w:rPr>
            </w:pPr>
            <w:r>
              <w:rPr>
                <w:rFonts w:hint="eastAsia" w:ascii="宋体" w:hAnsi="宋体" w:eastAsia="宋体" w:cs="宋体"/>
                <w:i w:val="0"/>
                <w:iCs w:val="0"/>
                <w:color w:val="000000"/>
                <w:kern w:val="0"/>
                <w:sz w:val="22"/>
                <w:szCs w:val="22"/>
                <w:u w:val="none"/>
                <w:lang w:val="en-US" w:eastAsia="zh-CN" w:bidi="ar"/>
              </w:rPr>
              <w:t>4</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73EF20">
            <w:pPr>
              <w:autoSpaceDE w:val="0"/>
              <w:autoSpaceDN w:val="0"/>
              <w:spacing w:line="360" w:lineRule="auto"/>
              <w:ind w:left="0" w:leftChars="0" w:firstLine="0" w:firstLineChars="0"/>
              <w:jc w:val="center"/>
              <w:rPr>
                <w:rFonts w:hint="eastAsia" w:ascii="宋体" w:hAnsi="宋体" w:eastAsia="宋体" w:cs="宋体"/>
                <w:b/>
                <w:bCs/>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kern w:val="0"/>
                <w:sz w:val="24"/>
                <w:szCs w:val="24"/>
                <w:highlight w:val="none"/>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871391">
            <w:pPr>
              <w:spacing w:line="360" w:lineRule="auto"/>
              <w:ind w:left="0" w:leftChars="0" w:firstLine="0" w:firstLineChars="0"/>
              <w:jc w:val="both"/>
              <w:rPr>
                <w:rFonts w:hint="eastAsia" w:ascii="宋体" w:hAnsi="宋体" w:eastAsia="宋体" w:cs="宋体"/>
                <w:color w:val="000000" w:themeColor="text1"/>
                <w:sz w:val="24"/>
                <w:szCs w:val="22"/>
                <w:lang w:val="zh-CN" w:eastAsia="zh-CN" w:bidi="ar-SA"/>
                <w14:textFill>
                  <w14:solidFill>
                    <w14:schemeClr w14:val="tx1"/>
                  </w14:solidFill>
                </w14:textFill>
              </w:rPr>
            </w:pPr>
            <w:r>
              <w:rPr>
                <w:rFonts w:hint="eastAsia" w:ascii="宋体" w:hAnsi="宋体" w:eastAsia="宋体" w:cs="宋体"/>
                <w:kern w:val="0"/>
                <w:sz w:val="24"/>
                <w:szCs w:val="24"/>
                <w:lang w:val="zh-CN"/>
              </w:rPr>
              <w:t>小写：¥</w:t>
            </w:r>
            <w:r>
              <w:rPr>
                <w:rFonts w:hint="eastAsia" w:ascii="宋体" w:hAnsi="宋体" w:eastAsia="宋体" w:cs="宋体"/>
                <w:kern w:val="0"/>
                <w:sz w:val="24"/>
                <w:szCs w:val="24"/>
                <w:lang w:val="en-US" w:eastAsia="zh-CN"/>
              </w:rPr>
              <w:t>400,000.00</w:t>
            </w:r>
            <w:r>
              <w:rPr>
                <w:rFonts w:hint="eastAsia" w:ascii="宋体" w:hAnsi="宋体" w:eastAsia="宋体" w:cs="宋体"/>
                <w:kern w:val="0"/>
                <w:sz w:val="24"/>
                <w:szCs w:val="24"/>
                <w:lang w:val="zh-CN"/>
              </w:rPr>
              <w:t>大写(人民币):</w:t>
            </w:r>
            <w:r>
              <w:rPr>
                <w:rFonts w:hint="eastAsia" w:ascii="宋体" w:hAnsi="宋体" w:eastAsia="宋体" w:cs="宋体"/>
                <w:kern w:val="0"/>
                <w:sz w:val="24"/>
                <w:szCs w:val="24"/>
                <w:lang w:val="en-US" w:eastAsia="zh-CN"/>
              </w:rPr>
              <w:t>肆拾万元整</w:t>
            </w:r>
          </w:p>
        </w:tc>
      </w:tr>
      <w:tr w14:paraId="6020650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09CD11">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480E8A">
            <w:pPr>
              <w:autoSpaceDE w:val="0"/>
              <w:autoSpaceDN w:val="0"/>
              <w:adjustRightInd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sz w:val="24"/>
                <w:szCs w:val="24"/>
                <w:highlight w:val="none"/>
              </w:rPr>
              <w:t>采购</w:t>
            </w:r>
            <w:r>
              <w:rPr>
                <w:rFonts w:hint="eastAsia" w:ascii="宋体" w:hAnsi="宋体" w:eastAsia="宋体" w:cs="宋体"/>
                <w:color w:val="auto"/>
                <w:kern w:val="0"/>
                <w:sz w:val="24"/>
                <w:szCs w:val="24"/>
                <w:highlight w:val="none"/>
                <w:lang w:val="zh-CN"/>
              </w:rPr>
              <w:t>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EAA4B1">
            <w:pPr>
              <w:autoSpaceDE w:val="0"/>
              <w:autoSpaceDN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海东乐都区乐欣中堃项目管理有限公司</w:t>
            </w:r>
          </w:p>
        </w:tc>
      </w:tr>
      <w:tr w14:paraId="0014512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E27E4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zh-CN"/>
              </w:rPr>
            </w:pPr>
            <w:r>
              <w:rPr>
                <w:rFonts w:hint="eastAsia" w:ascii="宋体" w:hAnsi="宋体" w:eastAsia="宋体" w:cs="宋体"/>
                <w:i w:val="0"/>
                <w:iCs w:val="0"/>
                <w:color w:val="000000"/>
                <w:kern w:val="0"/>
                <w:sz w:val="22"/>
                <w:szCs w:val="22"/>
                <w:u w:val="none"/>
                <w:lang w:val="en-US" w:eastAsia="zh-CN" w:bidi="ar"/>
              </w:rPr>
              <w:t>6</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00DA95">
            <w:pPr>
              <w:autoSpaceDE w:val="0"/>
              <w:autoSpaceDN w:val="0"/>
              <w:spacing w:line="360" w:lineRule="auto"/>
              <w:ind w:left="0" w:leftChars="0" w:firstLine="0" w:firstLineChars="0"/>
              <w:jc w:val="center"/>
              <w:rPr>
                <w:rFonts w:hint="eastAsia" w:ascii="宋体" w:hAnsi="宋体" w:eastAsia="宋体" w:cs="宋体"/>
                <w:b/>
                <w:bCs/>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kern w:val="0"/>
                <w:sz w:val="24"/>
                <w:szCs w:val="24"/>
                <w:highlight w:val="none"/>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B1553E">
            <w:pPr>
              <w:spacing w:line="360" w:lineRule="auto"/>
              <w:ind w:left="0" w:leftChars="0" w:firstLine="0" w:firstLineChars="0"/>
              <w:jc w:val="both"/>
              <w:rPr>
                <w:rFonts w:hint="eastAsia" w:ascii="宋体" w:hAnsi="宋体" w:eastAsia="宋体" w:cs="宋体"/>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sz w:val="24"/>
                <w:szCs w:val="24"/>
                <w:highlight w:val="none"/>
                <w:lang w:val="en-US" w:eastAsia="zh-CN"/>
              </w:rPr>
              <w:t>不分包</w:t>
            </w:r>
          </w:p>
        </w:tc>
      </w:tr>
      <w:tr w14:paraId="66754D3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20FF64">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90C810">
            <w:pPr>
              <w:spacing w:line="360" w:lineRule="auto"/>
              <w:ind w:left="0" w:leftChars="0" w:firstLine="0" w:firstLineChars="0"/>
              <w:jc w:val="center"/>
              <w:rPr>
                <w:rFonts w:ascii="宋体" w:hAnsi="宋体" w:eastAsia="宋体" w:cs="宋体"/>
                <w:b/>
                <w:bCs/>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sz w:val="24"/>
                <w:szCs w:val="24"/>
                <w:highlight w:val="none"/>
                <w:lang w:val="en-US" w:eastAsia="zh-CN"/>
              </w:rPr>
              <w:t>项目概况</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F21D89">
            <w:pPr>
              <w:spacing w:line="360" w:lineRule="auto"/>
              <w:ind w:left="0" w:leftChars="0" w:firstLine="0" w:firstLineChars="0"/>
              <w:jc w:val="both"/>
              <w:rPr>
                <w:rFonts w:hint="eastAsia" w:ascii="宋体" w:hAnsi="宋体" w:eastAsia="宋体" w:cs="宋体"/>
                <w:color w:val="000000" w:themeColor="text1"/>
                <w:sz w:val="24"/>
                <w:szCs w:val="22"/>
                <w:lang w:val="zh-CN" w:eastAsia="zh-CN" w:bidi="ar-SA"/>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本次项目采购儿童读物、玩具、娱乐设施，该项目清单为1所“儿童之家”设施设备，本次按照20个(村委会、社区、辖属幼儿园及日间照料中心)采购，合计采购20套。</w:t>
            </w:r>
          </w:p>
        </w:tc>
      </w:tr>
      <w:tr w14:paraId="4082F13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7929F5">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DF827B">
            <w:pPr>
              <w:autoSpaceDE w:val="0"/>
              <w:autoSpaceDN w:val="0"/>
              <w:adjustRightInd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2848A3">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最低评标价法</w:t>
            </w:r>
          </w:p>
        </w:tc>
      </w:tr>
      <w:tr w14:paraId="25078BD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29C0F5">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63322E">
            <w:pPr>
              <w:autoSpaceDE w:val="0"/>
              <w:autoSpaceDN w:val="0"/>
              <w:spacing w:line="360" w:lineRule="auto"/>
              <w:ind w:left="0" w:leftChars="0" w:firstLine="0" w:firstLineChars="0"/>
              <w:jc w:val="center"/>
              <w:rPr>
                <w:rFonts w:ascii="宋体" w:hAnsi="宋体" w:eastAsia="宋体" w:cs="宋体"/>
                <w:b/>
                <w:bCs/>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kern w:val="0"/>
                <w:sz w:val="24"/>
                <w:szCs w:val="24"/>
                <w:highlight w:val="none"/>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4284C7">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val="zh-CN" w:eastAsia="zh-CN" w:bidi="ar"/>
              </w:rPr>
              <w:t>符合《政府采购法》第22条条件，并提供下列材料：</w:t>
            </w:r>
          </w:p>
          <w:p w14:paraId="5BBFB40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（1）供应商的营业执照等证明文件，自然人的身份证明；</w:t>
            </w:r>
          </w:p>
          <w:p w14:paraId="2A8FA4E5">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（2）财务状况报告和依法缴纳税收和社会保障资金的相关材料；</w:t>
            </w:r>
          </w:p>
          <w:p w14:paraId="057A4128">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（3）具备履行合同所必须的设备和专业技术能力的证明材料；</w:t>
            </w:r>
          </w:p>
          <w:p w14:paraId="2D6C42D4">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（4）参加政府采购活动前3年内在经营活动中没有重大违法记录的书面声明；</w:t>
            </w:r>
          </w:p>
          <w:p w14:paraId="2839E2C5">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（5）具备法律、行政法规规定的其他条件的证明材料。</w:t>
            </w:r>
          </w:p>
          <w:p w14:paraId="01B691B3">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zh-CN" w:eastAsia="zh-CN" w:bidi="ar"/>
              </w:rPr>
              <w:t>单位负责人为同一人或者存在直接控股、管理关系的不同供应商，不得参加同一合同项下的政府采购活动。否则，皆取消</w:t>
            </w:r>
            <w:r>
              <w:rPr>
                <w:rFonts w:hint="eastAsia" w:ascii="宋体" w:hAnsi="宋体" w:eastAsia="宋体" w:cs="宋体"/>
                <w:color w:val="000000"/>
                <w:kern w:val="0"/>
                <w:sz w:val="24"/>
                <w:szCs w:val="24"/>
                <w:lang w:val="en-US" w:eastAsia="zh-CN" w:bidi="ar"/>
              </w:rPr>
              <w:t>响应</w:t>
            </w:r>
            <w:r>
              <w:rPr>
                <w:rFonts w:hint="eastAsia" w:ascii="宋体" w:hAnsi="宋体" w:eastAsia="宋体" w:cs="宋体"/>
                <w:color w:val="000000"/>
                <w:kern w:val="0"/>
                <w:sz w:val="24"/>
                <w:szCs w:val="24"/>
                <w:lang w:val="zh-CN" w:eastAsia="zh-CN" w:bidi="ar"/>
              </w:rPr>
              <w:t>资格；</w:t>
            </w:r>
          </w:p>
          <w:p w14:paraId="18DB683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3、本项目不接受供应商以联合体方式进行</w:t>
            </w:r>
            <w:r>
              <w:rPr>
                <w:rFonts w:hint="eastAsia" w:ascii="宋体" w:hAnsi="宋体" w:eastAsia="宋体" w:cs="宋体"/>
                <w:color w:val="000000"/>
                <w:kern w:val="0"/>
                <w:sz w:val="24"/>
                <w:szCs w:val="24"/>
                <w:lang w:val="en-US" w:eastAsia="zh-CN" w:bidi="ar"/>
              </w:rPr>
              <w:t>响应</w:t>
            </w:r>
            <w:r>
              <w:rPr>
                <w:rFonts w:hint="eastAsia" w:ascii="宋体" w:hAnsi="宋体" w:eastAsia="宋体" w:cs="宋体"/>
                <w:color w:val="000000"/>
                <w:kern w:val="0"/>
                <w:sz w:val="24"/>
                <w:szCs w:val="24"/>
                <w:lang w:val="zh-CN" w:eastAsia="zh-CN" w:bidi="ar"/>
              </w:rPr>
              <w:t>。</w:t>
            </w:r>
          </w:p>
          <w:p w14:paraId="533E3B3F">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4、经信用中国（www.creditchina.gov.cn）、中国政府采购网（www.ccgp.gov.cn）等渠道查询后，列入失信被执行人、重大税收违法案件当事人名单、政府采购严重违法失信行为记录名单的，取消</w:t>
            </w:r>
            <w:r>
              <w:rPr>
                <w:rFonts w:hint="eastAsia" w:ascii="宋体" w:hAnsi="宋体" w:eastAsia="宋体" w:cs="宋体"/>
                <w:color w:val="000000"/>
                <w:kern w:val="0"/>
                <w:sz w:val="24"/>
                <w:szCs w:val="24"/>
                <w:lang w:val="en-US" w:eastAsia="zh-CN" w:bidi="ar"/>
              </w:rPr>
              <w:t>响应</w:t>
            </w:r>
            <w:r>
              <w:rPr>
                <w:rFonts w:hint="eastAsia" w:ascii="宋体" w:hAnsi="宋体" w:eastAsia="宋体" w:cs="宋体"/>
                <w:color w:val="000000"/>
                <w:kern w:val="0"/>
                <w:sz w:val="24"/>
                <w:szCs w:val="24"/>
                <w:lang w:val="zh-CN" w:eastAsia="zh-CN" w:bidi="ar"/>
              </w:rPr>
              <w:t>资格。（提供查询截图时间为</w:t>
            </w:r>
            <w:r>
              <w:rPr>
                <w:rFonts w:hint="eastAsia" w:ascii="宋体" w:hAnsi="宋体" w:eastAsia="宋体" w:cs="宋体"/>
                <w:color w:val="000000"/>
                <w:kern w:val="0"/>
                <w:sz w:val="24"/>
                <w:szCs w:val="24"/>
                <w:lang w:val="en-US" w:eastAsia="zh-CN" w:bidi="ar"/>
              </w:rPr>
              <w:t>响应</w:t>
            </w:r>
            <w:r>
              <w:rPr>
                <w:rFonts w:hint="eastAsia" w:ascii="宋体" w:hAnsi="宋体" w:eastAsia="宋体" w:cs="宋体"/>
                <w:color w:val="000000"/>
                <w:kern w:val="0"/>
                <w:sz w:val="24"/>
                <w:szCs w:val="24"/>
                <w:lang w:val="zh-CN" w:eastAsia="zh-CN" w:bidi="ar"/>
              </w:rPr>
              <w:t>截止时间前10天内）；</w:t>
            </w:r>
          </w:p>
          <w:p w14:paraId="1CC84870">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zh-CN" w:eastAsia="zh-CN" w:bidi="ar"/>
              </w:rPr>
              <w:t>为本采购项目提供整体设计、规范编制或者项目管理、监理、检测等服务的供应商，不得再参加该采购项目的其他采购活动。</w:t>
            </w:r>
          </w:p>
          <w:p w14:paraId="13480DF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val="zh-CN" w:eastAsia="zh-CN" w:bidi="ar"/>
              </w:rPr>
              <w:t>、财务要求：供应商</w:t>
            </w:r>
            <w:r>
              <w:rPr>
                <w:rFonts w:hint="eastAsia" w:ascii="宋体" w:hAnsi="宋体" w:eastAsia="宋体" w:cs="宋体"/>
                <w:color w:val="000000"/>
                <w:kern w:val="0"/>
                <w:sz w:val="24"/>
                <w:szCs w:val="24"/>
                <w:lang w:val="en-US" w:eastAsia="zh-CN" w:bidi="ar"/>
              </w:rPr>
              <w:t>须</w:t>
            </w:r>
            <w:r>
              <w:rPr>
                <w:rFonts w:hint="eastAsia" w:ascii="宋体" w:hAnsi="宋体" w:eastAsia="宋体" w:cs="宋体"/>
                <w:color w:val="000000"/>
                <w:kern w:val="0"/>
                <w:sz w:val="24"/>
                <w:szCs w:val="24"/>
                <w:lang w:val="zh-CN" w:eastAsia="zh-CN" w:bidi="ar"/>
              </w:rPr>
              <w:t>提供经第三方机构出具的（202</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val="zh-CN" w:eastAsia="zh-CN" w:bidi="ar"/>
              </w:rPr>
              <w:t>年或</w:t>
            </w:r>
            <w:r>
              <w:rPr>
                <w:rFonts w:hint="eastAsia" w:ascii="宋体" w:hAnsi="宋体" w:eastAsia="宋体" w:cs="宋体"/>
                <w:color w:val="000000"/>
                <w:kern w:val="0"/>
                <w:sz w:val="24"/>
                <w:szCs w:val="24"/>
                <w:lang w:val="en-US" w:eastAsia="zh-CN" w:bidi="ar"/>
              </w:rPr>
              <w:t>2024年</w:t>
            </w:r>
            <w:r>
              <w:rPr>
                <w:rFonts w:hint="eastAsia" w:ascii="宋体" w:hAnsi="宋体" w:eastAsia="宋体" w:cs="宋体"/>
                <w:color w:val="000000"/>
                <w:kern w:val="0"/>
                <w:sz w:val="24"/>
                <w:szCs w:val="24"/>
                <w:lang w:val="zh-CN" w:eastAsia="zh-CN" w:bidi="ar"/>
              </w:rPr>
              <w:t>）的财务审计报告，包括但不限于资产负债表、现金流量表、利润表和财务（会计）报表附注,并提供第三方机构的营业执照、执业证书</w:t>
            </w:r>
            <w:r>
              <w:rPr>
                <w:rFonts w:hint="eastAsia" w:ascii="宋体" w:hAnsi="宋体" w:eastAsia="宋体" w:cs="宋体"/>
                <w:color w:val="000000"/>
                <w:kern w:val="0"/>
                <w:sz w:val="24"/>
                <w:szCs w:val="24"/>
                <w:lang w:val="en-US" w:eastAsia="zh-CN" w:bidi="ar"/>
              </w:rPr>
              <w:t>或</w:t>
            </w:r>
            <w:r>
              <w:rPr>
                <w:rFonts w:hint="eastAsia" w:ascii="宋体" w:hAnsi="宋体" w:eastAsia="宋体" w:cs="宋体"/>
                <w:color w:val="000000"/>
                <w:kern w:val="0"/>
                <w:sz w:val="24"/>
                <w:szCs w:val="24"/>
                <w:lang w:val="zh-CN" w:eastAsia="zh-CN" w:bidi="ar"/>
              </w:rPr>
              <w:t>提供基本开户银行出具近三个月内的资信证明（同时提供基本存款账户开户许可证）。扫描（或复印）件应全面、完整、清晰。</w:t>
            </w:r>
          </w:p>
          <w:p w14:paraId="7CBEEF4E">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7、落实政府采购政策需满足的资格要求：本项目为专门面向中小企业采购。</w:t>
            </w:r>
          </w:p>
        </w:tc>
      </w:tr>
      <w:tr w14:paraId="129FD2A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8CDF67">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F3B9CC">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是否接收联合体形式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FAA5A6">
            <w:pPr>
              <w:keepNext w:val="0"/>
              <w:keepLines w:val="0"/>
              <w:widowControl/>
              <w:suppressLineNumbers w:val="0"/>
              <w:spacing w:line="360" w:lineRule="auto"/>
              <w:ind w:left="0" w:leftChars="0" w:firstLine="0" w:firstLineChars="0"/>
              <w:jc w:val="both"/>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本项目不接受供应商以联合体方式进行谈判；</w:t>
            </w:r>
          </w:p>
        </w:tc>
      </w:tr>
      <w:tr w14:paraId="35E7153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3F36F5">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C3AB5C">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进口产品</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221934">
            <w:pPr>
              <w:keepNext w:val="0"/>
              <w:keepLines w:val="0"/>
              <w:widowControl/>
              <w:suppressLineNumbers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kern w:val="0"/>
                <w:sz w:val="24"/>
                <w:szCs w:val="24"/>
                <w:lang w:val="en-US" w:eastAsia="zh-CN" w:bidi="ar"/>
              </w:rPr>
              <w:t>本项目拒绝进口产品参加谈判采购。</w:t>
            </w:r>
          </w:p>
        </w:tc>
      </w:tr>
      <w:tr w14:paraId="4C7FCCB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08218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B41472">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谈判文件的实质性变动内容</w:t>
            </w:r>
          </w:p>
          <w:p w14:paraId="046405A8">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35C055">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在谈判过程中，谈判小组可以根据谈判文件和谈判情况实质性变动采购需求中的技术、服务要求以及合同草案条款，但不得变动谈判文件中的其他内容。</w:t>
            </w:r>
          </w:p>
        </w:tc>
      </w:tr>
      <w:tr w14:paraId="5C71BFF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09180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FF"/>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7AC7E9">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公告发布时间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ADCDA3">
            <w:pPr>
              <w:keepNext w:val="0"/>
              <w:keepLines w:val="0"/>
              <w:widowControl/>
              <w:suppressLineNumbers w:val="0"/>
              <w:spacing w:line="360" w:lineRule="auto"/>
              <w:ind w:left="0" w:leftChars="0" w:firstLine="0" w:firstLineChars="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2025年06月27日</w:t>
            </w:r>
          </w:p>
        </w:tc>
      </w:tr>
      <w:tr w14:paraId="6B77634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6D43F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FF"/>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D206A4">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文件获取起止时间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CF9AD3">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2025 年 06 月28日至 2025 年 07 月02日（北京时间）</w:t>
            </w:r>
          </w:p>
        </w:tc>
      </w:tr>
      <w:tr w14:paraId="3224365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DEA77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146F5B">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获取方式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B8DB3D">
            <w:pPr>
              <w:keepNext w:val="0"/>
              <w:keepLines w:val="0"/>
              <w:widowControl/>
              <w:suppressLineNumbers w:val="0"/>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供应商登录政采云平台在线申请获取采购文件（进入“项目采购” 应用，在获取采购文件菜单中选择项目，申请获取采购文件）</w:t>
            </w:r>
          </w:p>
        </w:tc>
      </w:tr>
      <w:tr w14:paraId="78397D2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426F5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5BDB07">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采购人名称、地址、 电话、联系人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1FE41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采 购 人：海东市乐都区民政局（本级）</w:t>
            </w:r>
          </w:p>
          <w:p w14:paraId="694B70FE">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联系人：蒲老师</w:t>
            </w:r>
          </w:p>
          <w:p w14:paraId="2377329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联系电话：0972-8623919</w:t>
            </w:r>
          </w:p>
          <w:p w14:paraId="7F0D4E7D">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zh-CN" w:eastAsia="zh-CN" w:bidi="ar"/>
              </w:rPr>
              <w:t>联</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zh-CN" w:eastAsia="zh-CN" w:bidi="ar"/>
              </w:rPr>
              <w:t>系</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zh-CN" w:eastAsia="zh-CN" w:bidi="ar"/>
              </w:rPr>
              <w:t>地</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zh-CN" w:eastAsia="zh-CN" w:bidi="ar"/>
              </w:rPr>
              <w:t>址：海东市乐都区民政局</w:t>
            </w:r>
          </w:p>
        </w:tc>
      </w:tr>
      <w:tr w14:paraId="2C89A95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A4572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1FD2DC">
            <w:pPr>
              <w:keepNext w:val="0"/>
              <w:keepLines w:val="0"/>
              <w:widowControl/>
              <w:suppressLineNumbers w:val="0"/>
              <w:spacing w:line="360" w:lineRule="auto"/>
              <w:ind w:left="0" w:leftChars="0" w:firstLine="0" w:firstLineChars="0"/>
              <w:jc w:val="center"/>
            </w:pPr>
            <w:r>
              <w:rPr>
                <w:rFonts w:hint="eastAsia" w:ascii="宋体" w:hAnsi="宋体" w:eastAsia="宋体" w:cs="宋体"/>
                <w:color w:val="000000"/>
                <w:kern w:val="0"/>
                <w:sz w:val="24"/>
                <w:szCs w:val="24"/>
                <w:lang w:val="en-US" w:eastAsia="zh-CN" w:bidi="ar"/>
              </w:rPr>
              <w:t>采购代理机构及联系人电话</w:t>
            </w:r>
          </w:p>
          <w:p w14:paraId="7554B561">
            <w:pPr>
              <w:spacing w:line="360" w:lineRule="auto"/>
              <w:ind w:firstLine="480" w:firstLineChars="20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F04C89">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名    称：海东乐都区乐欣中堃项目管理有限公司</w:t>
            </w:r>
          </w:p>
          <w:p w14:paraId="64397BC0">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联 系 人：李女士</w:t>
            </w:r>
          </w:p>
          <w:p w14:paraId="4AFEFFDD">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地    址：海东市乐都区碾伯镇滨河北路10号</w:t>
            </w:r>
          </w:p>
          <w:p w14:paraId="4AC56D0D">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zh-CN" w:eastAsia="zh-CN" w:bidi="ar"/>
              </w:rPr>
              <w:t>联系方式：0972-5936662</w:t>
            </w:r>
          </w:p>
        </w:tc>
      </w:tr>
      <w:tr w14:paraId="56C08A5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70E34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B83448">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采购代理机构开户银行（保证金账户）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B39516">
            <w:pPr>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sz w:val="24"/>
                <w:szCs w:val="24"/>
                <w:highlight w:val="none"/>
                <w:shd w:val="clear" w:color="auto" w:fill="auto"/>
                <w:lang w:eastAsia="zh-CN"/>
              </w:rPr>
              <w:t>中国建设银行股份有限公司乐都支行</w:t>
            </w:r>
          </w:p>
        </w:tc>
      </w:tr>
      <w:tr w14:paraId="1D82E3B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68C0A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E7E2FE">
            <w:pPr>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highlight w:val="none"/>
                <w:shd w:val="clear" w:color="auto" w:fill="auto"/>
                <w:lang w:val="zh-CN"/>
              </w:rPr>
              <w:t>收款单位</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599A0F">
            <w:pPr>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highlight w:val="none"/>
                <w:shd w:val="clear" w:color="auto" w:fill="auto"/>
                <w:lang w:val="zh-CN"/>
              </w:rPr>
              <w:t>海东乐都区乐欣中堃项目管理有限公司</w:t>
            </w:r>
          </w:p>
        </w:tc>
      </w:tr>
      <w:tr w14:paraId="7A174834">
        <w:tblPrEx>
          <w:tblCellMar>
            <w:top w:w="0" w:type="dxa"/>
            <w:left w:w="57" w:type="dxa"/>
            <w:bottom w:w="0" w:type="dxa"/>
            <w:right w:w="57" w:type="dxa"/>
          </w:tblCellMar>
        </w:tblPrEx>
        <w:trPr>
          <w:trHeight w:val="48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8A4E4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B72F54">
            <w:pPr>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sz w:val="24"/>
                <w:szCs w:val="24"/>
                <w:highlight w:val="none"/>
                <w:shd w:val="clear" w:color="auto" w:fill="auto"/>
                <w:lang w:val="en-US" w:eastAsia="zh-CN"/>
              </w:rPr>
              <w:t>银行</w:t>
            </w:r>
            <w:r>
              <w:rPr>
                <w:rFonts w:hint="eastAsia" w:ascii="宋体" w:hAnsi="宋体" w:eastAsia="宋体" w:cs="宋体"/>
                <w:color w:val="000000"/>
                <w:sz w:val="24"/>
                <w:szCs w:val="24"/>
                <w:highlight w:val="none"/>
                <w:shd w:val="clear" w:color="auto" w:fill="auto"/>
              </w:rPr>
              <w:t>账号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783E4D">
            <w:pPr>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sz w:val="24"/>
                <w:szCs w:val="24"/>
                <w:highlight w:val="none"/>
                <w:shd w:val="clear" w:color="auto" w:fill="auto"/>
                <w:lang w:eastAsia="zh-CN"/>
              </w:rPr>
              <w:t>63050163743700000674</w:t>
            </w:r>
          </w:p>
        </w:tc>
      </w:tr>
      <w:tr w14:paraId="06B1271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3A2F8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7D323F">
            <w:pPr>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0A1330">
            <w:pPr>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交纳金额（人民币）：</w:t>
            </w:r>
            <w:r>
              <w:rPr>
                <w:rFonts w:hint="eastAsia" w:ascii="宋体" w:hAnsi="宋体" w:eastAsia="宋体" w:cs="宋体"/>
                <w:color w:val="000000"/>
                <w:kern w:val="0"/>
                <w:sz w:val="24"/>
                <w:szCs w:val="24"/>
                <w:highlight w:val="none"/>
                <w:shd w:val="clear" w:color="auto" w:fill="auto"/>
                <w:lang w:val="en-US" w:eastAsia="zh-CN"/>
              </w:rPr>
              <w:t>小写：</w:t>
            </w:r>
            <w:r>
              <w:rPr>
                <w:rFonts w:hint="eastAsia" w:ascii="宋体" w:hAnsi="宋体" w:eastAsia="宋体" w:cs="宋体"/>
                <w:sz w:val="24"/>
                <w:szCs w:val="24"/>
                <w:lang w:val="en-US" w:eastAsia="zh-CN"/>
              </w:rPr>
              <w:t xml:space="preserve">¥6,000.00元 </w:t>
            </w:r>
            <w:r>
              <w:rPr>
                <w:rFonts w:hint="eastAsia" w:ascii="宋体" w:hAnsi="宋体" w:eastAsia="宋体" w:cs="宋体"/>
                <w:color w:val="000000"/>
                <w:kern w:val="0"/>
                <w:sz w:val="24"/>
                <w:szCs w:val="24"/>
                <w:highlight w:val="none"/>
                <w:shd w:val="clear" w:color="auto" w:fill="auto"/>
                <w:lang w:val="en-US" w:eastAsia="zh-CN"/>
              </w:rPr>
              <w:t>大写：陆仟元整</w:t>
            </w:r>
          </w:p>
          <w:p w14:paraId="0D703A1D">
            <w:pPr>
              <w:keepNext w:val="0"/>
              <w:keepLines w:val="0"/>
              <w:widowControl/>
              <w:suppressLineNumbers w:val="0"/>
              <w:spacing w:line="360" w:lineRule="auto"/>
              <w:jc w:val="both"/>
            </w:pPr>
            <w:r>
              <w:rPr>
                <w:rFonts w:hint="eastAsia" w:ascii="宋体" w:hAnsi="宋体" w:eastAsia="宋体" w:cs="宋体"/>
                <w:color w:val="000000"/>
                <w:kern w:val="0"/>
                <w:sz w:val="24"/>
                <w:szCs w:val="24"/>
                <w:lang w:val="en-US" w:eastAsia="zh-CN" w:bidi="ar"/>
              </w:rPr>
              <w:t>1、竞谈保证金形式：银行电汇、转账；须由供应商从其基本账户汇 （转）入招标代理机构竞谈保证金专用账号；</w:t>
            </w:r>
          </w:p>
          <w:p w14:paraId="5433B0F9">
            <w:pPr>
              <w:keepNext w:val="0"/>
              <w:keepLines w:val="0"/>
              <w:widowControl/>
              <w:suppressLineNumbers w:val="0"/>
              <w:spacing w:line="360" w:lineRule="auto"/>
              <w:jc w:val="both"/>
            </w:pPr>
            <w:r>
              <w:rPr>
                <w:rFonts w:hint="eastAsia" w:ascii="宋体" w:hAnsi="宋体" w:eastAsia="宋体" w:cs="宋体"/>
                <w:color w:val="000000"/>
                <w:kern w:val="0"/>
                <w:sz w:val="24"/>
                <w:szCs w:val="24"/>
                <w:lang w:val="en-US" w:eastAsia="zh-CN" w:bidi="ar"/>
              </w:rPr>
              <w:t>3、竞谈保证金缴纳截止时间：以竞谈截止时间前招标代理机构财务收到银行送达的到账回单为准；</w:t>
            </w:r>
          </w:p>
          <w:p w14:paraId="14192E3F">
            <w:pPr>
              <w:keepNext w:val="0"/>
              <w:keepLines w:val="0"/>
              <w:widowControl/>
              <w:suppressLineNumbers w:val="0"/>
              <w:spacing w:line="360" w:lineRule="auto"/>
              <w:jc w:val="both"/>
            </w:pPr>
            <w:r>
              <w:rPr>
                <w:rFonts w:hint="eastAsia" w:ascii="宋体" w:hAnsi="宋体" w:eastAsia="宋体" w:cs="宋体"/>
                <w:color w:val="000000"/>
                <w:kern w:val="0"/>
                <w:sz w:val="24"/>
                <w:szCs w:val="24"/>
                <w:lang w:val="en-US" w:eastAsia="zh-CN" w:bidi="ar"/>
              </w:rPr>
              <w:t>4、为便于竞谈保证金的核对，票据附言栏内注明项目编号、名称及用途（此项不作为评审依据）；</w:t>
            </w:r>
          </w:p>
          <w:p w14:paraId="57C96594">
            <w:pPr>
              <w:keepNext w:val="0"/>
              <w:keepLines w:val="0"/>
              <w:widowControl/>
              <w:suppressLineNumbers w:val="0"/>
              <w:spacing w:line="360" w:lineRule="auto"/>
              <w:jc w:val="both"/>
            </w:pPr>
            <w:r>
              <w:rPr>
                <w:rFonts w:hint="eastAsia" w:ascii="宋体" w:hAnsi="宋体" w:eastAsia="宋体" w:cs="宋体"/>
                <w:color w:val="000000"/>
                <w:kern w:val="0"/>
                <w:sz w:val="24"/>
                <w:szCs w:val="24"/>
                <w:lang w:val="en-US" w:eastAsia="zh-CN" w:bidi="ar"/>
              </w:rPr>
              <w:t>5、竞谈保证金及利息的退还，由招标代理机构通过银行转入未中标的供应商和中标人的原银行汇（转）出账户；</w:t>
            </w:r>
          </w:p>
          <w:p w14:paraId="44E54A63">
            <w:pPr>
              <w:keepNext w:val="0"/>
              <w:keepLines w:val="0"/>
              <w:widowControl/>
              <w:suppressLineNumbers w:val="0"/>
              <w:spacing w:line="360" w:lineRule="auto"/>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6、供应商在竞谈截止时间前撤回响应文件的，采购人自收到供应商书面撤回通知之日起 5 日内退还竞谈保证金；</w:t>
            </w:r>
          </w:p>
        </w:tc>
      </w:tr>
      <w:tr w14:paraId="284056B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A18A8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172FC0">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响应文件有效期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ADF2AE">
            <w:pPr>
              <w:keepNext w:val="0"/>
              <w:keepLines w:val="0"/>
              <w:widowControl/>
              <w:suppressLineNumbers w:val="0"/>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自提交谈判响应文件截止之日起 60 日历日</w:t>
            </w:r>
          </w:p>
        </w:tc>
      </w:tr>
      <w:tr w14:paraId="4F8F9AE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E0435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1FD67F">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响应文件的递交截止时间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79AB3C">
            <w:pPr>
              <w:spacing w:line="360" w:lineRule="auto"/>
              <w:ind w:left="0" w:leftChars="0" w:firstLine="0" w:firstLineChars="0"/>
              <w:jc w:val="both"/>
              <w:rPr>
                <w:rFonts w:hint="default" w:ascii="宋体" w:hAnsi="宋体" w:cs="宋体"/>
                <w:kern w:val="0"/>
                <w:sz w:val="24"/>
                <w:lang w:val="en-US" w:eastAsia="zh-CN"/>
              </w:rPr>
            </w:pPr>
            <w:r>
              <w:rPr>
                <w:rFonts w:hint="eastAsia" w:ascii="宋体" w:hAnsi="宋体" w:cs="宋体"/>
                <w:kern w:val="0"/>
                <w:sz w:val="24"/>
                <w:lang w:val="en-US" w:eastAsia="zh-CN"/>
              </w:rPr>
              <w:t>2025年07月04日上午09时30分（北京时间）</w:t>
            </w:r>
          </w:p>
        </w:tc>
      </w:tr>
      <w:tr w14:paraId="1830223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D4A8C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BFEBBC">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开启时间及谈判地点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E14188">
            <w:pPr>
              <w:keepNext w:val="0"/>
              <w:keepLines w:val="0"/>
              <w:widowControl/>
              <w:suppressLineNumbers w:val="0"/>
              <w:spacing w:line="360" w:lineRule="auto"/>
              <w:ind w:left="0" w:leftChars="0" w:firstLine="0" w:firstLineChars="0"/>
              <w:jc w:val="center"/>
            </w:pPr>
            <w:r>
              <w:rPr>
                <w:rFonts w:hint="eastAsia" w:ascii="宋体" w:hAnsi="宋体" w:eastAsia="宋体" w:cs="宋体"/>
                <w:color w:val="000000"/>
                <w:kern w:val="0"/>
                <w:sz w:val="24"/>
                <w:szCs w:val="24"/>
                <w:lang w:val="en-US" w:eastAsia="zh-CN" w:bidi="ar"/>
              </w:rPr>
              <w:t>响应文件开启时间：</w:t>
            </w:r>
            <w:r>
              <w:rPr>
                <w:rFonts w:hint="eastAsia" w:ascii="宋体" w:hAnsi="宋体" w:cs="宋体"/>
                <w:kern w:val="0"/>
                <w:sz w:val="24"/>
                <w:lang w:val="en-US" w:eastAsia="zh-CN"/>
              </w:rPr>
              <w:t>2025年07月04日上午09时30分（北京时间）</w:t>
            </w:r>
          </w:p>
          <w:p w14:paraId="60A1B3A2">
            <w:pPr>
              <w:keepNext w:val="0"/>
              <w:keepLines w:val="0"/>
              <w:widowControl/>
              <w:suppressLineNumbers w:val="0"/>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谈判地点：政采云投标客户端线上递交</w:t>
            </w:r>
          </w:p>
        </w:tc>
      </w:tr>
      <w:tr w14:paraId="292B672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2C3AD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25</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E6DBA9">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8F08AA">
            <w:pPr>
              <w:keepNext w:val="0"/>
              <w:keepLines w:val="0"/>
              <w:widowControl/>
              <w:suppressLineNumbers w:val="0"/>
              <w:spacing w:line="360" w:lineRule="auto"/>
              <w:ind w:left="0" w:leftChars="0" w:firstLine="0" w:firstLineChars="0"/>
              <w:jc w:val="both"/>
            </w:pPr>
            <w:r>
              <w:rPr>
                <w:rFonts w:hint="eastAsia" w:ascii="宋体" w:hAnsi="宋体" w:eastAsia="宋体" w:cs="宋体"/>
                <w:color w:val="000000"/>
                <w:kern w:val="0"/>
                <w:sz w:val="24"/>
                <w:szCs w:val="24"/>
                <w:lang w:val="en-US" w:eastAsia="zh-CN" w:bidi="ar"/>
              </w:rPr>
              <w:t>采用线上答疑。</w:t>
            </w:r>
          </w:p>
          <w:p w14:paraId="74557B7C">
            <w:pPr>
              <w:keepNext w:val="0"/>
              <w:keepLines w:val="0"/>
              <w:widowControl/>
              <w:suppressLineNumbers w:val="0"/>
              <w:spacing w:line="360" w:lineRule="auto"/>
              <w:ind w:left="0" w:leftChars="0" w:firstLine="0" w:firstLineChars="0"/>
              <w:jc w:val="both"/>
            </w:pPr>
            <w:r>
              <w:rPr>
                <w:rFonts w:hint="eastAsia" w:ascii="宋体" w:hAnsi="宋体" w:eastAsia="宋体" w:cs="宋体"/>
                <w:color w:val="000000"/>
                <w:kern w:val="0"/>
                <w:sz w:val="24"/>
                <w:szCs w:val="24"/>
                <w:lang w:val="en-US" w:eastAsia="zh-CN" w:bidi="ar"/>
              </w:rPr>
              <w:t>竞争性谈判供应商须提供准确的联系方式（手机和固定电话），应</w:t>
            </w:r>
          </w:p>
          <w:p w14:paraId="60595FFB">
            <w:pPr>
              <w:keepNext w:val="0"/>
              <w:keepLines w:val="0"/>
              <w:widowControl/>
              <w:suppressLineNumbers w:val="0"/>
              <w:spacing w:line="360" w:lineRule="auto"/>
              <w:ind w:left="0" w:leftChars="0" w:firstLine="0" w:firstLineChars="0"/>
              <w:jc w:val="both"/>
            </w:pPr>
            <w:r>
              <w:rPr>
                <w:rFonts w:hint="eastAsia" w:ascii="宋体" w:hAnsi="宋体" w:eastAsia="宋体" w:cs="宋体"/>
                <w:color w:val="000000"/>
                <w:kern w:val="0"/>
                <w:sz w:val="24"/>
                <w:szCs w:val="24"/>
                <w:lang w:val="en-US" w:eastAsia="zh-CN" w:bidi="ar"/>
              </w:rPr>
              <w:t>在规定的时间内进行线上答疑澄清，如在规定的时间内联系无果或</w:t>
            </w:r>
          </w:p>
          <w:p w14:paraId="4CED09CE">
            <w:pPr>
              <w:keepNext w:val="0"/>
              <w:keepLines w:val="0"/>
              <w:widowControl/>
              <w:suppressLineNumbers w:val="0"/>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未按时答疑澄清的，视同放弃答疑。</w:t>
            </w:r>
          </w:p>
        </w:tc>
      </w:tr>
      <w:tr w14:paraId="69DC78F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2A1242">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B3B020">
            <w:pPr>
              <w:spacing w:line="360" w:lineRule="auto"/>
              <w:ind w:left="0" w:leftChars="0" w:firstLine="0" w:firstLineChars="0"/>
              <w:jc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交货期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FAA1A6">
            <w:pPr>
              <w:spacing w:line="360" w:lineRule="auto"/>
              <w:ind w:left="0" w:leftChars="0" w:firstLine="0" w:firstLineChars="0"/>
              <w:jc w:val="both"/>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自合同签订之日起7日历日。</w:t>
            </w:r>
          </w:p>
        </w:tc>
      </w:tr>
      <w:tr w14:paraId="46752FC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835F0D">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CBFB3F">
            <w:pPr>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交货地点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35CAB3">
            <w:pPr>
              <w:spacing w:line="360" w:lineRule="auto"/>
              <w:ind w:left="0" w:leftChars="0"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乐都区10个乡镇(街道)20个村(社区)，分别为高店镇大峡村，高庙镇西村村，岗沟街道滨河路社区、李家村、九哈家社区、七里店社区，洪水镇双二村、阿西村，碾伯街道古城西社区、新乐西社区、河门村、西门村、八家村、古城东社区，蒲台乡千户台村，瞿县镇徐家台村，寿乐镇杨家岗村，下营乡上营村雨润镇大地湾村、羊圈村。在村委会、社区、辖属幼儿园及日间照料中心内建设。</w:t>
            </w:r>
          </w:p>
        </w:tc>
      </w:tr>
      <w:tr w14:paraId="303E942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ABE4E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A047F7">
            <w:pPr>
              <w:autoSpaceDE w:val="0"/>
              <w:autoSpaceDN w:val="0"/>
              <w:spacing w:line="360" w:lineRule="auto"/>
              <w:ind w:left="0" w:leftChars="0" w:firstLine="0" w:firstLineChars="0"/>
              <w:jc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2ADEF2">
            <w:pPr>
              <w:autoSpaceDE w:val="0"/>
              <w:autoSpaceDN w:val="0"/>
              <w:spacing w:line="360" w:lineRule="auto"/>
              <w:ind w:left="0" w:leftChars="0" w:firstLine="0" w:firstLineChars="0"/>
              <w:jc w:val="both"/>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自成交通知书发出之日起30日内与采购人签订采购合同。</w:t>
            </w:r>
          </w:p>
        </w:tc>
      </w:tr>
      <w:tr w14:paraId="6BA05C6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A60F0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F08A5E">
            <w:pPr>
              <w:keepNext w:val="0"/>
              <w:keepLines w:val="0"/>
              <w:widowControl/>
              <w:suppressLineNumbers w:val="0"/>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bidi="ar"/>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1C5603">
            <w:pPr>
              <w:keepNext w:val="0"/>
              <w:keepLines w:val="0"/>
              <w:widowControl/>
              <w:suppressLineNumbers w:val="0"/>
              <w:spacing w:line="360" w:lineRule="auto"/>
              <w:ind w:left="0" w:leftChars="0" w:firstLine="0" w:firstLineChars="0"/>
              <w:jc w:val="both"/>
            </w:pPr>
            <w:r>
              <w:rPr>
                <w:rFonts w:hint="eastAsia" w:ascii="宋体" w:hAnsi="宋体" w:eastAsia="宋体" w:cs="宋体"/>
                <w:color w:val="000000"/>
                <w:kern w:val="0"/>
                <w:sz w:val="24"/>
                <w:szCs w:val="24"/>
                <w:lang w:val="en-US" w:eastAsia="zh-CN" w:bidi="ar"/>
              </w:rPr>
              <w:t>采购合同全数返回采购代理机构鉴证，盖章。</w:t>
            </w:r>
          </w:p>
          <w:p w14:paraId="1F5F1CF7">
            <w:pPr>
              <w:keepNext w:val="0"/>
              <w:keepLines w:val="0"/>
              <w:widowControl/>
              <w:suppressLineNumbers w:val="0"/>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bidi="ar"/>
              </w:rPr>
              <w:t>采购代理机构留存叁份原件备案。</w:t>
            </w:r>
          </w:p>
        </w:tc>
      </w:tr>
      <w:tr w14:paraId="0124694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3DF55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EC0072">
            <w:pPr>
              <w:keepNext w:val="0"/>
              <w:keepLines w:val="0"/>
              <w:widowControl/>
              <w:suppressLineNumbers w:val="0"/>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bidi="ar"/>
              </w:rPr>
              <w:t>政策功能</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579384">
            <w:pPr>
              <w:autoSpaceDE w:val="0"/>
              <w:autoSpaceDN w:val="0"/>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rPr>
              <w:t>本项目为专门面向中小企业采购。</w:t>
            </w:r>
          </w:p>
        </w:tc>
      </w:tr>
      <w:tr w14:paraId="2D4A153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601BBE">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D18F7">
            <w:pPr>
              <w:autoSpaceDE w:val="0"/>
              <w:autoSpaceDN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谈判要求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DC172B">
            <w:pPr>
              <w:autoSpaceDE w:val="0"/>
              <w:autoSpaceDN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详见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szCs w:val="24"/>
                <w:highlight w:val="none"/>
                <w:lang w:val="zh-CN"/>
              </w:rPr>
              <w:t>第</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lang w:val="zh-CN"/>
              </w:rPr>
              <w:t>部分</w:t>
            </w:r>
          </w:p>
        </w:tc>
      </w:tr>
      <w:tr w14:paraId="0E992EC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13E3D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616A51">
            <w:pPr>
              <w:autoSpaceDE w:val="0"/>
              <w:autoSpaceDN w:val="0"/>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B4E0F1">
            <w:pPr>
              <w:autoSpaceDE w:val="0"/>
              <w:autoSpaceDN w:val="0"/>
              <w:spacing w:line="360" w:lineRule="auto"/>
              <w:ind w:left="0" w:leftChars="0" w:firstLine="0" w:firstLineChars="0"/>
              <w:jc w:val="both"/>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rPr>
              <w:t>收取对象：</w:t>
            </w:r>
            <w:r>
              <w:rPr>
                <w:rFonts w:hint="eastAsia" w:ascii="宋体" w:hAnsi="宋体" w:eastAsia="宋体" w:cs="宋体"/>
                <w:color w:val="000000"/>
                <w:kern w:val="0"/>
                <w:sz w:val="24"/>
                <w:szCs w:val="24"/>
                <w:highlight w:val="none"/>
                <w:lang w:val="en-US" w:eastAsia="zh-CN"/>
              </w:rPr>
              <w:t>成交供应商</w:t>
            </w:r>
          </w:p>
          <w:p w14:paraId="6E842205">
            <w:pPr>
              <w:autoSpaceDE w:val="0"/>
              <w:autoSpaceDN w:val="0"/>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收费</w:t>
            </w:r>
            <w:r>
              <w:rPr>
                <w:rFonts w:hint="eastAsia" w:ascii="宋体" w:hAnsi="宋体" w:eastAsia="宋体" w:cs="宋体"/>
                <w:color w:val="auto"/>
                <w:kern w:val="0"/>
                <w:sz w:val="24"/>
                <w:szCs w:val="24"/>
                <w:highlight w:val="none"/>
                <w:lang w:val="en-US" w:eastAsia="zh-CN"/>
              </w:rPr>
              <w:t>金额</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支付</w:t>
            </w:r>
            <w:r>
              <w:rPr>
                <w:rFonts w:hint="eastAsia" w:ascii="宋体" w:hAnsi="宋体" w:eastAsia="宋体" w:cs="宋体"/>
                <w:color w:val="auto"/>
                <w:kern w:val="0"/>
                <w:sz w:val="24"/>
                <w:szCs w:val="24"/>
                <w:highlight w:val="none"/>
                <w:lang w:val="en-US" w:eastAsia="zh-CN"/>
              </w:rPr>
              <w:t>6,000.00</w:t>
            </w:r>
            <w:r>
              <w:rPr>
                <w:rFonts w:hint="eastAsia" w:ascii="宋体" w:hAnsi="宋体" w:eastAsia="宋体" w:cs="宋体"/>
                <w:color w:val="auto"/>
                <w:kern w:val="0"/>
                <w:sz w:val="24"/>
                <w:szCs w:val="24"/>
                <w:highlight w:val="none"/>
                <w:lang w:val="zh-CN"/>
              </w:rPr>
              <w:t>元（大写：</w:t>
            </w:r>
            <w:r>
              <w:rPr>
                <w:rFonts w:hint="eastAsia" w:ascii="宋体" w:hAnsi="宋体" w:eastAsia="宋体" w:cs="宋体"/>
                <w:color w:val="auto"/>
                <w:kern w:val="0"/>
                <w:sz w:val="24"/>
                <w:szCs w:val="24"/>
                <w:highlight w:val="none"/>
                <w:lang w:val="en-US" w:eastAsia="zh-CN"/>
              </w:rPr>
              <w:t>陆仟元整</w:t>
            </w:r>
            <w:r>
              <w:rPr>
                <w:rFonts w:hint="eastAsia" w:ascii="宋体" w:hAnsi="宋体" w:eastAsia="宋体" w:cs="宋体"/>
                <w:color w:val="auto"/>
                <w:kern w:val="0"/>
                <w:sz w:val="24"/>
                <w:szCs w:val="24"/>
                <w:highlight w:val="none"/>
                <w:lang w:val="zh-CN"/>
              </w:rPr>
              <w:t>）</w:t>
            </w:r>
          </w:p>
        </w:tc>
      </w:tr>
      <w:tr w14:paraId="61802EB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E392D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C3B153">
            <w:pPr>
              <w:keepNext w:val="0"/>
              <w:keepLines w:val="0"/>
              <w:widowControl/>
              <w:suppressLineNumbers w:val="0"/>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bidi="ar"/>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C48681">
            <w:pPr>
              <w:autoSpaceDE w:val="0"/>
              <w:autoSpaceDN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1、本公告在《青海政府采购网》、《中国招标投标公共服务平台》、《青海省电子招标投标公共服务平台》、《中国采购与招标网》、同时发布，具体以《青海政府采购网》为准。</w:t>
            </w:r>
          </w:p>
          <w:p w14:paraId="7B44B6A2">
            <w:pPr>
              <w:autoSpaceDE w:val="0"/>
              <w:autoSpaceDN w:val="0"/>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2、本次采购采用线上提交响应文件的方式进行采购，线上响应文件在提交响应文件截止时间前上传。</w:t>
            </w:r>
          </w:p>
          <w:p w14:paraId="71F974CD">
            <w:pPr>
              <w:autoSpaceDE w:val="0"/>
              <w:autoSpaceDN w:val="0"/>
              <w:spacing w:line="360" w:lineRule="auto"/>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3、若对项目采购电子交易系统操作有疑问，可登录政采云（https://www.zcygov.cn/），点击右侧咨询小采，获取采小蜜智能服务管家帮助，或拨打政采云服务热线400-881-7190获取热线服务帮助。 CA问题联系电话（人工）；天谷CA 400-087-8198。</w:t>
            </w:r>
          </w:p>
          <w:p w14:paraId="75E61D6A">
            <w:pPr>
              <w:keepNext w:val="0"/>
              <w:keepLines w:val="0"/>
              <w:widowControl/>
              <w:suppressLineNumbers w:val="0"/>
              <w:spacing w:line="360" w:lineRule="auto"/>
              <w:ind w:left="0" w:leftChars="0" w:firstLine="480" w:firstLineChars="20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bidi="ar-SA"/>
              </w:rPr>
              <w:t>4、成交供应商在领取成交通知书时应提交纸质响应文件（1份正本、2份副本和相应的电子文档（U盘）1份），纸质响应文件应与上传至政府采购云平台加密的电子响应文件一致。成交供应商提供的每份纸质响应文件都必须清楚地标明“正本”或“副本”字样。响应文件统一使用A4幅面的纸张印制，必须胶装成册并编码，以其他方式装订的响应文件一概不予接受。</w:t>
            </w:r>
          </w:p>
        </w:tc>
      </w:tr>
      <w:tr w14:paraId="4DA4C0B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1EFF1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2965B1">
            <w:pPr>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财政监督部门及电话</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467F42">
            <w:pPr>
              <w:autoSpaceDE w:val="0"/>
              <w:autoSpaceDN w:val="0"/>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监督单位：</w:t>
            </w:r>
            <w:r>
              <w:rPr>
                <w:rFonts w:hint="eastAsia" w:ascii="宋体" w:hAnsi="宋体" w:eastAsia="宋体" w:cs="宋体"/>
                <w:color w:val="auto"/>
                <w:kern w:val="0"/>
                <w:sz w:val="24"/>
                <w:szCs w:val="24"/>
                <w:highlight w:val="none"/>
                <w:lang w:val="zh-CN"/>
              </w:rPr>
              <w:t>乐都区财政局</w:t>
            </w:r>
          </w:p>
          <w:p w14:paraId="70C789CE">
            <w:pPr>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联系电话：</w:t>
            </w:r>
            <w:r>
              <w:rPr>
                <w:rFonts w:hint="eastAsia" w:ascii="宋体" w:hAnsi="宋体" w:eastAsia="宋体" w:cs="宋体"/>
                <w:color w:val="000000"/>
                <w:kern w:val="0"/>
                <w:sz w:val="24"/>
                <w:szCs w:val="24"/>
                <w:highlight w:val="none"/>
                <w:lang w:val="zh-CN"/>
              </w:rPr>
              <w:t>097</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en-US" w:eastAsia="zh-CN"/>
              </w:rPr>
              <w:t>8624076</w:t>
            </w:r>
          </w:p>
        </w:tc>
      </w:tr>
    </w:tbl>
    <w:p w14:paraId="4DEB4D1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right"/>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海东乐都区乐欣中堃项目管理有限公司</w:t>
      </w:r>
    </w:p>
    <w:p w14:paraId="6C91FF93">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right"/>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zh-CN"/>
        </w:rPr>
        <w:t xml:space="preserve"> </w:t>
      </w:r>
      <w:r>
        <w:rPr>
          <w:rFonts w:hint="eastAsia" w:ascii="宋体" w:hAnsi="宋体" w:eastAsia="宋体" w:cs="宋体"/>
          <w:sz w:val="24"/>
          <w:szCs w:val="24"/>
          <w:lang w:val="en-US" w:eastAsia="zh-CN"/>
        </w:rPr>
        <w:t>2025年0</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27</w:t>
      </w:r>
      <w:r>
        <w:rPr>
          <w:rFonts w:hint="eastAsia" w:ascii="宋体" w:hAnsi="宋体" w:eastAsia="宋体" w:cs="宋体"/>
          <w:sz w:val="24"/>
          <w:szCs w:val="24"/>
          <w:lang w:val="en-US" w:eastAsia="zh-CN"/>
        </w:rPr>
        <w:t>日</w:t>
      </w:r>
    </w:p>
    <w:p w14:paraId="7669DE56">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bookmarkEnd w:id="14"/>
    <w:bookmarkEnd w:id="15"/>
    <w:bookmarkEnd w:id="16"/>
    <w:p w14:paraId="199660BC">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14:paraId="59CD1CB5">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14:paraId="5CC74DD5">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18" w:name="_Toc31599"/>
      <w:bookmarkStart w:id="19" w:name="_Toc9515"/>
      <w:bookmarkStart w:id="20" w:name="_Toc11653"/>
      <w:bookmarkStart w:id="21" w:name="_Toc325725997"/>
      <w:r>
        <w:rPr>
          <w:rFonts w:hint="eastAsia" w:ascii="宋体" w:hAnsi="宋体" w:eastAsia="宋体" w:cs="宋体"/>
          <w:b/>
          <w:color w:val="000000" w:themeColor="text1"/>
          <w:kern w:val="28"/>
          <w:sz w:val="36"/>
          <w:szCs w:val="36"/>
          <w:lang w:val="en-US" w:eastAsia="zh-CN"/>
          <w14:textFill>
            <w14:solidFill>
              <w14:schemeClr w14:val="tx1"/>
            </w14:solidFill>
          </w14:textFill>
        </w:rPr>
        <w:t>谈判须知</w:t>
      </w:r>
      <w:bookmarkEnd w:id="18"/>
      <w:bookmarkEnd w:id="19"/>
      <w:bookmarkEnd w:id="20"/>
    </w:p>
    <w:p w14:paraId="32205E29">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22" w:name="_Toc376936728"/>
      <w:bookmarkStart w:id="23" w:name="_Toc14943"/>
      <w:bookmarkStart w:id="24" w:name="_Toc24622"/>
      <w:r>
        <w:rPr>
          <w:rFonts w:hint="eastAsia" w:ascii="宋体" w:hAnsi="宋体" w:eastAsia="宋体" w:cs="宋体"/>
          <w:b/>
          <w:bCs/>
          <w:color w:val="000000" w:themeColor="text1"/>
          <w:sz w:val="24"/>
          <w:szCs w:val="24"/>
          <w14:textFill>
            <w14:solidFill>
              <w14:schemeClr w14:val="tx1"/>
            </w14:solidFill>
          </w14:textFill>
        </w:rPr>
        <w:t>一、说  明</w:t>
      </w:r>
      <w:bookmarkEnd w:id="21"/>
      <w:bookmarkEnd w:id="22"/>
      <w:bookmarkEnd w:id="23"/>
      <w:bookmarkEnd w:id="24"/>
    </w:p>
    <w:p w14:paraId="698A038A">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25" w:name="_Toc376936729"/>
      <w:bookmarkStart w:id="26" w:name="_Toc26944"/>
      <w:bookmarkStart w:id="27" w:name="_Toc325725998"/>
      <w:bookmarkStart w:id="28" w:name="_Toc9770"/>
      <w:r>
        <w:rPr>
          <w:rFonts w:hint="eastAsia" w:ascii="宋体" w:hAnsi="宋体" w:eastAsia="宋体" w:cs="宋体"/>
          <w:b/>
          <w:bCs/>
          <w:color w:val="000000" w:themeColor="text1"/>
          <w:sz w:val="24"/>
          <w:szCs w:val="24"/>
          <w14:textFill>
            <w14:solidFill>
              <w14:schemeClr w14:val="tx1"/>
            </w14:solidFill>
          </w14:textFill>
        </w:rPr>
        <w:t>1.适用范围</w:t>
      </w:r>
      <w:bookmarkEnd w:id="25"/>
      <w:bookmarkEnd w:id="26"/>
      <w:bookmarkEnd w:id="27"/>
      <w:bookmarkEnd w:id="28"/>
    </w:p>
    <w:p w14:paraId="6C1521BE">
      <w:pPr>
        <w:keepNext w:val="0"/>
        <w:keepLines w:val="0"/>
        <w:widowControl/>
        <w:suppressLineNumbers w:val="0"/>
        <w:spacing w:line="36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bookmarkStart w:id="29" w:name="_Toc376936730"/>
      <w:bookmarkStart w:id="30" w:name="_Toc31556"/>
      <w:bookmarkStart w:id="31" w:name="_Toc325725999"/>
      <w:bookmarkStart w:id="32" w:name="_Toc21998"/>
      <w:r>
        <w:rPr>
          <w:rFonts w:hint="eastAsia" w:ascii="宋体" w:hAnsi="宋体" w:eastAsia="宋体" w:cs="宋体"/>
          <w:color w:val="000000" w:themeColor="text1"/>
          <w:kern w:val="0"/>
          <w:sz w:val="24"/>
          <w:szCs w:val="24"/>
          <w:lang w:val="en-US" w:eastAsia="zh-CN" w:bidi="ar"/>
          <w14:textFill>
            <w14:solidFill>
              <w14:schemeClr w14:val="tx1"/>
            </w14:solidFill>
          </w14:textFill>
        </w:rPr>
        <w:t>本竞争性谈判文件仅适用于前述【谈判须知前附表】中所叙述的采购项</w:t>
      </w:r>
    </w:p>
    <w:p w14:paraId="24347498">
      <w:pPr>
        <w:keepNext w:val="0"/>
        <w:keepLines w:val="0"/>
        <w:widowControl/>
        <w:suppressLineNumbers w:val="0"/>
        <w:spacing w:line="360" w:lineRule="auto"/>
        <w:ind w:left="0" w:leftChars="0" w:firstLine="0"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目。</w:t>
      </w:r>
    </w:p>
    <w:p w14:paraId="5760CD78">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bookmarkEnd w:id="29"/>
      <w:bookmarkEnd w:id="30"/>
      <w:bookmarkEnd w:id="31"/>
      <w:bookmarkEnd w:id="32"/>
      <w:r>
        <w:rPr>
          <w:rFonts w:hint="eastAsia" w:ascii="宋体" w:hAnsi="宋体" w:eastAsia="宋体" w:cs="宋体"/>
          <w:b/>
          <w:bCs/>
          <w:color w:val="000000" w:themeColor="text1"/>
          <w:sz w:val="24"/>
          <w:szCs w:val="24"/>
          <w14:textFill>
            <w14:solidFill>
              <w14:schemeClr w14:val="tx1"/>
            </w14:solidFill>
          </w14:textFill>
        </w:rPr>
        <w:t>2.采购人及代理机构</w:t>
      </w:r>
    </w:p>
    <w:p w14:paraId="0CF9A195">
      <w:pPr>
        <w:keepNext w:val="0"/>
        <w:keepLines w:val="0"/>
        <w:widowControl/>
        <w:suppressLineNumbers w:val="0"/>
        <w:spacing w:line="360" w:lineRule="auto"/>
        <w:jc w:val="left"/>
        <w:rPr>
          <w:rFonts w:hint="eastAsia" w:ascii="宋体" w:hAnsi="宋体" w:eastAsia="宋体" w:cs="宋体"/>
          <w:sz w:val="24"/>
          <w:szCs w:val="24"/>
        </w:rPr>
      </w:pPr>
      <w:bookmarkStart w:id="33" w:name="_Toc8820"/>
      <w:bookmarkStart w:id="34" w:name="_Toc8805"/>
      <w:bookmarkStart w:id="35" w:name="_Toc325726000"/>
      <w:bookmarkStart w:id="36" w:name="_Toc376936731"/>
      <w:r>
        <w:rPr>
          <w:rFonts w:hint="eastAsia" w:ascii="宋体" w:hAnsi="宋体" w:eastAsia="宋体" w:cs="宋体"/>
          <w:color w:val="000000"/>
          <w:kern w:val="0"/>
          <w:sz w:val="24"/>
          <w:szCs w:val="24"/>
          <w:lang w:val="en-US" w:eastAsia="zh-CN" w:bidi="ar"/>
        </w:rPr>
        <w:t xml:space="preserve">2.2 采购人名称、地址、电话、联系人见【谈判须知前附表】。 </w:t>
      </w:r>
    </w:p>
    <w:p w14:paraId="380C62F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2.3 采购代理机构名称、地址、电话、联系人、邮箱见【谈判须知前附表】。</w:t>
      </w:r>
    </w:p>
    <w:bookmarkEnd w:id="33"/>
    <w:bookmarkEnd w:id="34"/>
    <w:bookmarkEnd w:id="35"/>
    <w:bookmarkEnd w:id="36"/>
    <w:p w14:paraId="063446D1">
      <w:pPr>
        <w:widowControl/>
        <w:spacing w:line="360" w:lineRule="auto"/>
        <w:ind w:firstLine="0" w:firstLineChars="0"/>
        <w:jc w:val="left"/>
        <w:outlineLvl w:val="2"/>
        <w:rPr>
          <w:rFonts w:hint="eastAsia" w:ascii="宋体" w:hAnsi="宋体" w:eastAsia="宋体" w:cs="宋体"/>
          <w:b/>
          <w:bCs/>
          <w:color w:val="000000" w:themeColor="text1"/>
          <w:sz w:val="24"/>
          <w:szCs w:val="24"/>
          <w:lang w:val="en-US" w:eastAsia="zh-CN"/>
          <w14:textFill>
            <w14:solidFill>
              <w14:schemeClr w14:val="tx1"/>
            </w14:solidFill>
          </w14:textFill>
        </w:rPr>
      </w:pPr>
      <w:bookmarkStart w:id="37" w:name="_Toc376936732"/>
      <w:bookmarkStart w:id="38" w:name="_Toc18155"/>
      <w:bookmarkStart w:id="39" w:name="_Toc325726001"/>
      <w:r>
        <w:rPr>
          <w:rFonts w:hint="eastAsia" w:ascii="宋体" w:hAnsi="宋体" w:eastAsia="宋体" w:cs="宋体"/>
          <w:b/>
          <w:bCs/>
          <w:color w:val="000000" w:themeColor="text1"/>
          <w:sz w:val="24"/>
          <w:szCs w:val="24"/>
          <w:lang w:val="en-US" w:eastAsia="zh-CN"/>
          <w14:textFill>
            <w14:solidFill>
              <w14:schemeClr w14:val="tx1"/>
            </w14:solidFill>
          </w14:textFill>
        </w:rPr>
        <w:t>3.供应商的资格要求</w:t>
      </w:r>
    </w:p>
    <w:p w14:paraId="69C9B467">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3.1 供应商是指响应谈判文件要求、参加竞争性谈判采购的法人、其他组织</w:t>
      </w:r>
    </w:p>
    <w:p w14:paraId="3256C598">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或者自然人。</w:t>
      </w:r>
    </w:p>
    <w:p w14:paraId="05F69B06">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3.2 供应商应当符合【谈判须知前附表】规定的供应商资格条件。</w:t>
      </w:r>
    </w:p>
    <w:p w14:paraId="506769F5">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3.3【谈判须知前附表】规定接受联合体形式的，供应商除应符合上述资格</w:t>
      </w:r>
    </w:p>
    <w:p w14:paraId="731A8B89">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条件的规定外，还应遵守以下规定：</w:t>
      </w:r>
    </w:p>
    <w:p w14:paraId="30252ECE">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（l）联合体中有同类资质的供应商按照联合体分工承担相同工作的，应当</w:t>
      </w:r>
    </w:p>
    <w:p w14:paraId="292E66F1">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按照资质等级较低的供应商确定资质等级。</w:t>
      </w:r>
    </w:p>
    <w:p w14:paraId="6CF1ECAF">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（2）联合体各方应按谈判文件提供的格式签订联合体协议书，明确联合体</w:t>
      </w:r>
    </w:p>
    <w:p w14:paraId="29F6C057">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牵头人和各方的权利义务、合同工作量比例；</w:t>
      </w:r>
    </w:p>
    <w:p w14:paraId="5D92D950">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（3）联合体各方签订联合体协议书后，不得再单独参加或者与其他供应商</w:t>
      </w:r>
    </w:p>
    <w:p w14:paraId="4AF45361">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组成新的联合体参加同一合同项下的采购活动。</w:t>
      </w:r>
    </w:p>
    <w:p w14:paraId="0FB5B02D">
      <w:pPr>
        <w:keepNext w:val="0"/>
        <w:keepLines w:val="0"/>
        <w:widowControl/>
        <w:numPr>
          <w:ilvl w:val="0"/>
          <w:numId w:val="2"/>
        </w:numPr>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谈判费用</w:t>
      </w:r>
    </w:p>
    <w:p w14:paraId="76CBC867">
      <w:pPr>
        <w:keepNext w:val="0"/>
        <w:keepLines w:val="0"/>
        <w:widowControl/>
        <w:suppressLineNumbers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无论谈判的结果如何，供应商应自行承担所有与竞争性谈判采购活动有关的 </w:t>
      </w:r>
    </w:p>
    <w:p w14:paraId="15887C5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全部费用。</w:t>
      </w:r>
    </w:p>
    <w:p w14:paraId="57464A52">
      <w:pPr>
        <w:keepNext w:val="0"/>
        <w:keepLines w:val="0"/>
        <w:widowControl/>
        <w:numPr>
          <w:ilvl w:val="0"/>
          <w:numId w:val="0"/>
        </w:numPr>
        <w:suppressLineNumbers w:val="0"/>
        <w:spacing w:line="360" w:lineRule="auto"/>
        <w:jc w:val="left"/>
        <w:rPr>
          <w:rFonts w:hint="eastAsia" w:ascii="宋体" w:hAnsi="宋体" w:eastAsia="宋体" w:cs="宋体"/>
          <w:color w:val="000000"/>
          <w:kern w:val="0"/>
          <w:sz w:val="24"/>
          <w:szCs w:val="24"/>
          <w:lang w:val="en-US" w:eastAsia="zh-CN" w:bidi="ar"/>
        </w:rPr>
      </w:pPr>
    </w:p>
    <w:p w14:paraId="1254F49E">
      <w:pPr>
        <w:widowControl/>
        <w:spacing w:line="360" w:lineRule="auto"/>
        <w:ind w:firstLine="0" w:firstLineChars="0"/>
        <w:jc w:val="center"/>
        <w:outlineLvl w:val="1"/>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二、谈判文件</w:t>
      </w:r>
      <w:bookmarkEnd w:id="37"/>
      <w:bookmarkEnd w:id="38"/>
      <w:bookmarkEnd w:id="39"/>
    </w:p>
    <w:p w14:paraId="3BF27B62">
      <w:pPr>
        <w:keepNext w:val="0"/>
        <w:keepLines w:val="0"/>
        <w:widowControl/>
        <w:suppressLineNumbers w:val="0"/>
        <w:spacing w:line="360" w:lineRule="auto"/>
        <w:jc w:val="left"/>
        <w:rPr>
          <w:rFonts w:hint="eastAsia" w:ascii="宋体" w:hAnsi="宋体" w:eastAsia="宋体" w:cs="宋体"/>
          <w:sz w:val="24"/>
          <w:szCs w:val="24"/>
        </w:rPr>
      </w:pPr>
      <w:bookmarkStart w:id="40" w:name="_Toc14153"/>
      <w:bookmarkStart w:id="41" w:name="_Toc325726002"/>
      <w:bookmarkStart w:id="42" w:name="_Toc376936733"/>
      <w:bookmarkStart w:id="43" w:name="_Toc10649"/>
      <w:r>
        <w:rPr>
          <w:rFonts w:hint="eastAsia" w:ascii="宋体" w:hAnsi="宋体" w:eastAsia="宋体" w:cs="宋体"/>
          <w:b/>
          <w:bCs/>
          <w:color w:val="000000"/>
          <w:kern w:val="0"/>
          <w:sz w:val="24"/>
          <w:szCs w:val="24"/>
          <w:lang w:val="en-US" w:eastAsia="zh-CN" w:bidi="ar"/>
        </w:rPr>
        <w:t xml:space="preserve">5.谈判文件的组成 </w:t>
      </w:r>
    </w:p>
    <w:p w14:paraId="199C2D7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5.1 谈判文件由下列文件组成： </w:t>
      </w:r>
    </w:p>
    <w:p w14:paraId="4E16CC6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（1）谈判邀请 </w:t>
      </w:r>
    </w:p>
    <w:p w14:paraId="7BCD96A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（2）谈判须知 </w:t>
      </w:r>
    </w:p>
    <w:p w14:paraId="6990195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（3）采购需求 </w:t>
      </w:r>
    </w:p>
    <w:p w14:paraId="0D0F188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（4）谈判响应文件格式 </w:t>
      </w:r>
    </w:p>
    <w:p w14:paraId="4E6857C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（5）政府采购项目合同书范本 </w:t>
      </w:r>
    </w:p>
    <w:p w14:paraId="7427CEF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5.2 采购人、采购代理机构或者谈判小组在提交首次响应文件截止之日前对 </w:t>
      </w:r>
    </w:p>
    <w:p w14:paraId="770C321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已发出的谈判文件进行的澄清或者修改，构成谈判文件的组成部分。 </w:t>
      </w:r>
    </w:p>
    <w:p w14:paraId="4C4FB41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5.3 谈判文件中，谈判小组根据与供应商谈判情况可能实质性变动的内容见 </w:t>
      </w:r>
    </w:p>
    <w:p w14:paraId="2374F27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【谈判须知前附表】。对谈判文件作出的实质性变动是谈判文件的有效组成部分。 </w:t>
      </w:r>
    </w:p>
    <w:p w14:paraId="0B4A9C6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6.谈判文件的澄清或者修改 </w:t>
      </w:r>
    </w:p>
    <w:p w14:paraId="02AD8F6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6.1 在提交首次响应文件截止之日前，采购人、采购代理机构或者谈判小组 </w:t>
      </w:r>
    </w:p>
    <w:p w14:paraId="24EA4D4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可以对已发出的谈判文件进行必要的澄清或者修改。 </w:t>
      </w:r>
    </w:p>
    <w:p w14:paraId="18A7D06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6.2 澄清或者修改的内容可能影响响应文件编制的，采购人、采购代理机构 </w:t>
      </w:r>
    </w:p>
    <w:p w14:paraId="2853DE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或者谈判小组应当在提交首次响应文件截止之日 3 个工作日前，以书面形式通知所有接收谈判文件的供应商，不足 3 个工作日的，顺延供应商提交首次响应文件截止时间。 </w:t>
      </w:r>
    </w:p>
    <w:p w14:paraId="431C5A2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7.谈判文件的询问或质疑 </w:t>
      </w:r>
    </w:p>
    <w:p w14:paraId="7D0E7F5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7.1 供应商对谈判文件有疑问的，可以向采购人、采购代理机构提出询问。 </w:t>
      </w:r>
    </w:p>
    <w:p w14:paraId="7F1D93D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7.2 提出质疑的供应商应当符合《中华人民共和国政府采购法》第二十二条 </w:t>
      </w:r>
    </w:p>
    <w:p w14:paraId="4AE9AB27">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的相关规定，对谈判文件提出质疑的，应当在获取采购文件或者采购文件公告期 限届满之日起 7 个工作日内，按法律法规及其规章的规定向采购人、采购代理机构书面提出质疑。</w:t>
      </w:r>
    </w:p>
    <w:p w14:paraId="053B0D7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7.3 供应商认为谈判文件使自己的权益受到损害的，应以书面形式提出质疑 </w:t>
      </w:r>
    </w:p>
    <w:p w14:paraId="5DBFF7D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（不接受匿名质疑），供应商须在法定质疑期内一次性提出针对同一采购程序环 </w:t>
      </w:r>
    </w:p>
    <w:p w14:paraId="0839B21E">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节的质疑。</w:t>
      </w:r>
    </w:p>
    <w:p w14:paraId="6A0EA39C">
      <w:pPr>
        <w:keepNext w:val="0"/>
        <w:keepLines w:val="0"/>
        <w:widowControl/>
        <w:suppressLineNumbers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质疑时效期间的计算： </w:t>
      </w:r>
    </w:p>
    <w:p w14:paraId="1AEF9F5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（1）对可以质疑的谈判文件提出质疑的，为收到谈判文件之日或谈判文件 </w:t>
      </w:r>
    </w:p>
    <w:p w14:paraId="394F8B7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公告期限届满之日； </w:t>
      </w:r>
    </w:p>
    <w:p w14:paraId="4C4F793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（2）对谈判过程提出质疑的，为谈判程序各环节结束之日； </w:t>
      </w:r>
    </w:p>
    <w:p w14:paraId="357E0D55">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（3）对成交结果提出质疑的，为成交公告期限届满之日。</w:t>
      </w:r>
    </w:p>
    <w:p w14:paraId="2010A5B1">
      <w:pPr>
        <w:widowControl/>
        <w:spacing w:line="360" w:lineRule="auto"/>
        <w:ind w:firstLine="0" w:firstLineChars="0"/>
        <w:jc w:val="center"/>
        <w:outlineLvl w:val="1"/>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三、响应文件</w:t>
      </w:r>
    </w:p>
    <w:p w14:paraId="5F1B15B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8.一般要求 </w:t>
      </w:r>
    </w:p>
    <w:p w14:paraId="75A8160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8.1 供应商应仔细阅读谈判文件的所有内容，按谈判文件的要求编制响应文 </w:t>
      </w:r>
    </w:p>
    <w:p w14:paraId="6B63CFA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件，并保证所提供的全部资料的真实性，以使其响应文件对谈判文件做出实质性 </w:t>
      </w:r>
    </w:p>
    <w:p w14:paraId="58E6F86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的响应。任何对谈判文件的忽略或误解不能作为响应文件存在缺陷或瑕疵的理 </w:t>
      </w:r>
    </w:p>
    <w:p w14:paraId="16F2A8D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由，其风险由供应商承担。 </w:t>
      </w:r>
    </w:p>
    <w:p w14:paraId="03D248A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8.2 供应商提交的响应文件及供应商与采购人或采购代理机构、谈判小组就 </w:t>
      </w:r>
    </w:p>
    <w:p w14:paraId="20BD1BA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有关谈判的所有来往函电均使用中文。附有外文资料的，须翻译成中文并加盖供 </w:t>
      </w:r>
    </w:p>
    <w:p w14:paraId="335384B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应商公章，若翻译的中文资料与外文资料存在差异和矛盾，则以中文资料为准。 </w:t>
      </w:r>
    </w:p>
    <w:p w14:paraId="6667AB46">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其准确性由供应商负责。 </w:t>
      </w:r>
    </w:p>
    <w:p w14:paraId="124EABA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8.3 除谈判文件中另有规定外，谈判响应文件所使用的度量衡单位，均须采 用国家法定计量单位。未列明时应默认为我国法定计量单位。 </w:t>
      </w:r>
    </w:p>
    <w:p w14:paraId="2565DF3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8.4 响应文件应采用线上政采云投标客户端递交，电报、传真、电子邮件形 </w:t>
      </w:r>
    </w:p>
    <w:p w14:paraId="6055EDF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式的响应文件概不接受。 </w:t>
      </w:r>
    </w:p>
    <w:p w14:paraId="0B73C4A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8.5 供应商应按谈判文件中提供的响应文件格式进行填写。 </w:t>
      </w:r>
    </w:p>
    <w:p w14:paraId="282AC9B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9.报价要求 </w:t>
      </w:r>
    </w:p>
    <w:p w14:paraId="29B8597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9.1 供应商应当根据谈判文件“分项报价表”逐一报价； </w:t>
      </w:r>
    </w:p>
    <w:p w14:paraId="13FEE54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9.2 在首次报价表、分项报价表、最后报价表填写报价时应注意下列要求：</w:t>
      </w:r>
    </w:p>
    <w:p w14:paraId="2296A5F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（1）采购需求要求的、产品费、验收费、手续费、包装费、运输费、保险 </w:t>
      </w:r>
    </w:p>
    <w:p w14:paraId="3B7F52E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费、培训费、售前售中售后服务费、税金及不可预见费等全部费用。 </w:t>
      </w:r>
    </w:p>
    <w:p w14:paraId="5996DA3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（2）所有根据合同或其它原因应由供应商交纳和支付的税款和费用。 </w:t>
      </w:r>
    </w:p>
    <w:p w14:paraId="47E2C86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（3）供应商报价应为完成本竞争性谈判文件中所要求的货物应包括内容的 </w:t>
      </w:r>
    </w:p>
    <w:p w14:paraId="19BC69C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所有价格。凡因供应商对采购文件阅读不深、理解不透、误解、疏漏、或因市场 行情了解不清造成的后果和风险均由供应商自行承担。 </w:t>
      </w:r>
    </w:p>
    <w:p w14:paraId="408A8DD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9.3 供应商的每次报价均不得超过采购项目预算额度，否则视为无效响应。 </w:t>
      </w:r>
    </w:p>
    <w:p w14:paraId="372B45F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采购项目预算额度见【谈判须知前附表】。 </w:t>
      </w:r>
    </w:p>
    <w:p w14:paraId="40A6E5B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9.4 供应商提交的最后报价在合同执行过程中是固定不变的，不得以任何理 </w:t>
      </w:r>
    </w:p>
    <w:p w14:paraId="1D5FEB8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由予以变更。以可变动价格提交的报价将被认为是非实质响应而被拒绝。 </w:t>
      </w:r>
    </w:p>
    <w:p w14:paraId="282751E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9.5 谈判报价为总价。供应商须按要求填写谈判总报价，最后报价不得出现 </w:t>
      </w:r>
    </w:p>
    <w:p w14:paraId="510E960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两个或两个以上的报价方案。 </w:t>
      </w:r>
    </w:p>
    <w:p w14:paraId="471268F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9.6 报价币种为人民币。 </w:t>
      </w:r>
    </w:p>
    <w:p w14:paraId="1AE9D06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9.7</w:t>
      </w:r>
      <w:r>
        <w:rPr>
          <w:rFonts w:hint="eastAsia" w:ascii="宋体" w:hAnsi="宋体" w:eastAsia="宋体" w:cs="宋体"/>
          <w:b/>
          <w:bCs/>
          <w:color w:val="000000"/>
          <w:kern w:val="0"/>
          <w:sz w:val="24"/>
          <w:szCs w:val="24"/>
          <w:lang w:val="en-US" w:eastAsia="zh-CN" w:bidi="ar"/>
        </w:rPr>
        <w:t>实质性报价要求：</w:t>
      </w:r>
      <w:r>
        <w:rPr>
          <w:rFonts w:hint="eastAsia" w:ascii="宋体" w:hAnsi="宋体" w:eastAsia="宋体" w:cs="宋体"/>
          <w:color w:val="000000"/>
          <w:kern w:val="0"/>
          <w:sz w:val="24"/>
          <w:szCs w:val="24"/>
          <w:lang w:val="en-US" w:eastAsia="zh-CN" w:bidi="ar"/>
        </w:rPr>
        <w:t xml:space="preserve">投标人报价低于采购预算50%的，应当提供成本构成书面说明，并提交相关证明材料。供应商书面说明应当按照国家财务会计制度的规定要求，逐项就供应商提供的货物、服务的主营业务成本、税金及附加、销售费用、管理费用、财务费用等成本等（包含本招标文件要求的投标报价必须包括的全部内容）构成事项详细陈述。 </w:t>
      </w:r>
    </w:p>
    <w:p w14:paraId="056746B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10.保证金 </w:t>
      </w:r>
    </w:p>
    <w:p w14:paraId="223ABE5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10.1 供应商应按【谈判须知前附表】的规定，在提交响应文件的截止时间 </w:t>
      </w:r>
    </w:p>
    <w:p w14:paraId="3757F5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前提交不少于本谈判文件规定的人民币金额的谈判保证金。谈判保证金应当以转 </w:t>
      </w:r>
    </w:p>
    <w:p w14:paraId="0172712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账、支票、本票或者金融机构、担保机构出具的保函等非现金形式提交。供应商 </w:t>
      </w:r>
    </w:p>
    <w:p w14:paraId="4A8AC48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未按照谈判文件要求提交谈判保证金的，视为非实质性响应，其响应文件不予接 </w:t>
      </w:r>
    </w:p>
    <w:p w14:paraId="58B6773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受。谈判保证金所有递交方式均以到账时间为准。 投标人须在投标截止期前按以下要求交纳投标保证金（说明：收取的投标保证金不得超过采购项目预算金额的 2%）：</w:t>
      </w:r>
    </w:p>
    <w:p w14:paraId="2619D770">
      <w:pPr>
        <w:spacing w:line="360" w:lineRule="auto"/>
        <w:ind w:left="0" w:leftChars="0" w:firstLine="0" w:firstLineChars="0"/>
        <w:jc w:val="left"/>
        <w:rPr>
          <w:rFonts w:hint="eastAsia" w:ascii="宋体" w:hAnsi="宋体" w:eastAsia="宋体" w:cs="宋体"/>
          <w:color w:val="000000"/>
          <w:kern w:val="0"/>
          <w:sz w:val="24"/>
          <w:szCs w:val="24"/>
          <w:highlight w:val="none"/>
          <w:shd w:val="clear" w:color="auto" w:fill="auto"/>
          <w:lang w:val="en-US" w:eastAsia="zh-CN"/>
        </w:rPr>
      </w:pPr>
      <w:r>
        <w:rPr>
          <w:rFonts w:hint="eastAsia" w:ascii="宋体" w:hAnsi="宋体" w:eastAsia="宋体" w:cs="宋体"/>
          <w:color w:val="000000"/>
          <w:kern w:val="0"/>
          <w:sz w:val="24"/>
          <w:szCs w:val="24"/>
          <w:highlight w:val="none"/>
          <w:shd w:val="clear" w:color="auto" w:fill="auto"/>
          <w:lang w:val="en-US" w:eastAsia="zh-CN"/>
        </w:rPr>
        <w:t>小写：</w:t>
      </w:r>
      <w:r>
        <w:rPr>
          <w:rFonts w:hint="eastAsia" w:ascii="宋体" w:hAnsi="宋体" w:eastAsia="宋体" w:cs="宋体"/>
          <w:sz w:val="24"/>
          <w:szCs w:val="24"/>
          <w:lang w:val="en-US" w:eastAsia="zh-CN"/>
        </w:rPr>
        <w:t>¥6,000.00元</w:t>
      </w:r>
    </w:p>
    <w:p w14:paraId="5D90F2A7">
      <w:pPr>
        <w:spacing w:line="360" w:lineRule="auto"/>
        <w:ind w:left="0" w:leftChars="0" w:firstLine="0" w:firstLineChars="0"/>
        <w:jc w:val="left"/>
        <w:rPr>
          <w:rFonts w:hint="eastAsia" w:ascii="宋体" w:hAnsi="宋体" w:eastAsia="宋体" w:cs="宋体"/>
          <w:color w:val="000000"/>
          <w:kern w:val="0"/>
          <w:sz w:val="24"/>
          <w:szCs w:val="24"/>
          <w:highlight w:val="none"/>
          <w:shd w:val="clear" w:color="auto" w:fill="auto"/>
          <w:lang w:val="en-US" w:eastAsia="zh-CN"/>
        </w:rPr>
      </w:pPr>
      <w:r>
        <w:rPr>
          <w:rFonts w:hint="eastAsia" w:ascii="宋体" w:hAnsi="宋体" w:eastAsia="宋体" w:cs="宋体"/>
          <w:color w:val="000000"/>
          <w:kern w:val="0"/>
          <w:sz w:val="24"/>
          <w:szCs w:val="24"/>
          <w:highlight w:val="none"/>
          <w:shd w:val="clear" w:color="auto" w:fill="auto"/>
          <w:lang w:val="en-US" w:eastAsia="zh-CN"/>
        </w:rPr>
        <w:t>大写：陆仟元整</w:t>
      </w:r>
    </w:p>
    <w:p w14:paraId="406A223C">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kern w:val="0"/>
          <w:sz w:val="24"/>
          <w:szCs w:val="24"/>
          <w:highlight w:val="none"/>
          <w:shd w:val="clear" w:color="auto" w:fill="auto"/>
          <w:lang w:val="zh-CN"/>
        </w:rPr>
        <w:t>收款单位：海东乐都区乐欣中堃项目管理有限公司</w:t>
      </w:r>
    </w:p>
    <w:p w14:paraId="69271612">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lang w:eastAsia="zh-CN"/>
        </w:rPr>
      </w:pPr>
      <w:r>
        <w:rPr>
          <w:rFonts w:hint="eastAsia" w:ascii="宋体" w:hAnsi="宋体" w:eastAsia="宋体" w:cs="宋体"/>
          <w:color w:val="000000"/>
          <w:sz w:val="24"/>
          <w:szCs w:val="24"/>
          <w:highlight w:val="none"/>
          <w:shd w:val="clear" w:color="auto" w:fill="auto"/>
        </w:rPr>
        <w:t>开户银行：</w:t>
      </w:r>
      <w:r>
        <w:rPr>
          <w:rFonts w:hint="eastAsia" w:ascii="宋体" w:hAnsi="宋体" w:eastAsia="宋体" w:cs="宋体"/>
          <w:color w:val="000000"/>
          <w:sz w:val="24"/>
          <w:szCs w:val="24"/>
          <w:highlight w:val="none"/>
          <w:shd w:val="clear" w:color="auto" w:fill="auto"/>
          <w:lang w:eastAsia="zh-CN"/>
        </w:rPr>
        <w:t>中国建设银行股份有限公司乐都支行</w:t>
      </w:r>
    </w:p>
    <w:p w14:paraId="5BA8A966">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shd w:val="clear" w:color="auto" w:fill="auto"/>
          <w:lang w:val="en-US" w:eastAsia="zh-CN"/>
        </w:rPr>
        <w:t>银行</w:t>
      </w:r>
      <w:r>
        <w:rPr>
          <w:rFonts w:hint="eastAsia" w:ascii="宋体" w:hAnsi="宋体" w:eastAsia="宋体" w:cs="宋体"/>
          <w:color w:val="000000"/>
          <w:sz w:val="24"/>
          <w:szCs w:val="24"/>
          <w:highlight w:val="none"/>
          <w:shd w:val="clear" w:color="auto" w:fill="auto"/>
        </w:rPr>
        <w:t>账号：</w:t>
      </w:r>
      <w:r>
        <w:rPr>
          <w:rFonts w:hint="eastAsia" w:ascii="宋体" w:hAnsi="宋体" w:eastAsia="宋体" w:cs="宋体"/>
          <w:color w:val="000000"/>
          <w:sz w:val="24"/>
          <w:szCs w:val="24"/>
          <w:highlight w:val="none"/>
          <w:shd w:val="clear" w:color="auto" w:fill="auto"/>
          <w:lang w:eastAsia="zh-CN"/>
        </w:rPr>
        <w:t>63050163743700000674</w:t>
      </w:r>
    </w:p>
    <w:p w14:paraId="52576A8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交纳时间：以竞谈截止时间前招标代理机构财务收到银行送达的到账回单为准如采购项目变更开标时间，则保证金交纳时间相应顺延。 </w:t>
      </w:r>
    </w:p>
    <w:p w14:paraId="737BB91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10.2 供应商为联合体的，可以由联合体中的一方或者共同交纳保证金，其 </w:t>
      </w:r>
    </w:p>
    <w:p w14:paraId="3C99EF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交纳的保证金，对联合体各方均具有约束力。 </w:t>
      </w:r>
    </w:p>
    <w:p w14:paraId="3F51F30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10.3 保证金的退还按以下规定办理： </w:t>
      </w:r>
    </w:p>
    <w:p w14:paraId="41BB9C9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（1）成交供应商的保证金，在政府采购合同签订后 5 个工作日内退还，但 </w:t>
      </w:r>
    </w:p>
    <w:p w14:paraId="6BFD37A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因供应商自身原因导致无法退还的除外。 </w:t>
      </w:r>
    </w:p>
    <w:p w14:paraId="1BAD41F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（2）未成交供应商的保证金，在成交通知书发出后 5 个工作日内退还。 </w:t>
      </w:r>
    </w:p>
    <w:p w14:paraId="7432EE1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（3）终止竞争性谈判采购活动的，在发布项目终止公告后 5 个工作日内退 </w:t>
      </w:r>
    </w:p>
    <w:p w14:paraId="678B8A9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还。 </w:t>
      </w:r>
    </w:p>
    <w:p w14:paraId="389B865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10.4 有下列情形之一的，保证金不予退还，并上缴同级财政国库： </w:t>
      </w:r>
    </w:p>
    <w:p w14:paraId="08ABCEB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（1）供应商在提交响应文件截止时间后撤回响应文件的； </w:t>
      </w:r>
    </w:p>
    <w:p w14:paraId="302AD0A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（2）供应商在响应文件中提供虚假材料的； </w:t>
      </w:r>
    </w:p>
    <w:p w14:paraId="7573B8C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（3）除因不可抗力或谈判文件认可的情形以外，成交供应商不与采购人签 </w:t>
      </w:r>
    </w:p>
    <w:p w14:paraId="0DF5BF6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订合同的； </w:t>
      </w:r>
    </w:p>
    <w:p w14:paraId="48C2AB8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（4）供应商与采购人、其他供应商或者采购代理机构恶意串通的； </w:t>
      </w:r>
    </w:p>
    <w:p w14:paraId="2AAC103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（5）谈判文件规定的其他情形。</w:t>
      </w:r>
    </w:p>
    <w:p w14:paraId="3A929C7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11.响应文件的组成 </w:t>
      </w:r>
    </w:p>
    <w:p w14:paraId="438FD2F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11.1 响应文件包括下列内容： </w:t>
      </w:r>
    </w:p>
    <w:p w14:paraId="6EC6A7D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供应商应提交相关证明材料，作为其参加谈判和成交后有能力履行合同的证明。编写的谈判响应文件须包括以下内容（格式详见谈判文件第四部分内容）： </w:t>
      </w:r>
    </w:p>
    <w:p w14:paraId="22E4697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11.1.1 资格审查部分</w:t>
      </w:r>
    </w:p>
    <w:p w14:paraId="71D2636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1、响应函 </w:t>
      </w:r>
    </w:p>
    <w:p w14:paraId="78C3089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2、法定代表人证明书 </w:t>
      </w:r>
    </w:p>
    <w:p w14:paraId="26892D0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3、法定代表人授权书 </w:t>
      </w:r>
    </w:p>
    <w:p w14:paraId="1F29019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4、供应商承诺函 </w:t>
      </w:r>
    </w:p>
    <w:p w14:paraId="1E4CB6C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5、供应商诚信承诺书 </w:t>
      </w:r>
    </w:p>
    <w:p w14:paraId="74C815A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6、供应商资格证明文件 </w:t>
      </w:r>
    </w:p>
    <w:p w14:paraId="3A58674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7、财务状况、缴纳税收和社会保障资金证明 </w:t>
      </w:r>
    </w:p>
    <w:p w14:paraId="3B34195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8、无重大违法记录声明 </w:t>
      </w:r>
    </w:p>
    <w:p w14:paraId="0689CA0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9、谈判保证金证明 </w:t>
      </w:r>
    </w:p>
    <w:p w14:paraId="6AD0E17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11.1.2 有效性、完整性、响应程度审查部分 </w:t>
      </w:r>
    </w:p>
    <w:p w14:paraId="769FFCF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1、谈判首次报价表 </w:t>
      </w:r>
    </w:p>
    <w:p w14:paraId="2AAD0A9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2、分项报价表 </w:t>
      </w:r>
    </w:p>
    <w:p w14:paraId="6102EDA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3、技术规格响应表 </w:t>
      </w:r>
    </w:p>
    <w:p w14:paraId="074E2F6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4、具备履行合同所必须的设备和专业技术能力证明 </w:t>
      </w:r>
    </w:p>
    <w:p w14:paraId="519D710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5、供应商认为在其他方面有必要说明的事项 </w:t>
      </w:r>
    </w:p>
    <w:p w14:paraId="7054354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6、享受政府采购政策优惠的证明资料 </w:t>
      </w:r>
    </w:p>
    <w:p w14:paraId="55B9786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7、谈判最后报价表 </w:t>
      </w:r>
    </w:p>
    <w:p w14:paraId="155166D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供应商须按上述内容、顺序和格式编制响应文件，并按要求编制目录、页码， 并保证所提供的全部资料真实可信，自愿承担相应责任。 </w:t>
      </w:r>
    </w:p>
    <w:p w14:paraId="6D6DE93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11.2 在谈判过程中，供应商根据谈判小组书面形式要求提交的最后报价(或 </w:t>
      </w:r>
    </w:p>
    <w:p w14:paraId="05FA2E1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者重新提交的响应文件和最后报价)是响应文件的有效组成部分。 </w:t>
      </w:r>
    </w:p>
    <w:p w14:paraId="4C126D1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12.响应文件有效期 </w:t>
      </w:r>
    </w:p>
    <w:p w14:paraId="38AC832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响应文件有效期见【谈判须知前附表】，在此期间响应文件对供应商具有法 </w:t>
      </w:r>
    </w:p>
    <w:p w14:paraId="3597E11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律约束力，从提交首次响应文件截止时间之日起计算。响应文件有效期不足的将 被视为无效响应。</w:t>
      </w:r>
    </w:p>
    <w:p w14:paraId="307C6AE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13.响应文件的签署及规定 </w:t>
      </w:r>
    </w:p>
    <w:p w14:paraId="3427C16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13.1 响应文件应按谈判文件要求签字盖章。供应商代表可为供应商法定代 </w:t>
      </w:r>
    </w:p>
    <w:p w14:paraId="71E1CA6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表人(非法人组织为负责人或合伙人、个体工商户为负责人，谈判文件统称单位 </w:t>
      </w:r>
    </w:p>
    <w:p w14:paraId="50AB197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负责人)；供应商代表不是供应商的法定代表人（单位负责人）的，应提供法定 </w:t>
      </w:r>
    </w:p>
    <w:p w14:paraId="5D87E4A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代表人（单位负责人）授权委托书。 </w:t>
      </w:r>
    </w:p>
    <w:p w14:paraId="3CCC832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13.2 供应商应按照谈判文件所提供的文件格式，分别填写谈判文件第四部 </w:t>
      </w:r>
    </w:p>
    <w:p w14:paraId="167C364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分的内容，应分别注明所提供服务或货物的名称、技术配置及参数、数量和价格 </w:t>
      </w:r>
    </w:p>
    <w:p w14:paraId="7FCAA2F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等内容；谈判文件要求签字、盖章的地方必须由供应商的法定代表人或委托代理 </w:t>
      </w:r>
    </w:p>
    <w:p w14:paraId="10C1080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人签字、盖章齐全上传扫描件或由供应商的法定代表人或委托代理人电子签字、 </w:t>
      </w:r>
    </w:p>
    <w:p w14:paraId="030C3B6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盖单位电子章。 </w:t>
      </w:r>
    </w:p>
    <w:p w14:paraId="1C5D317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13.3 响应文件不得行间插字，若有修改错漏处，应由供应商法定代表人或 </w:t>
      </w:r>
    </w:p>
    <w:p w14:paraId="1C2A86C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者其委托代理人签字、加盖公章。否则，将导致响应文件无效。 </w:t>
      </w:r>
    </w:p>
    <w:p w14:paraId="7786144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13.4 在谈判过程中，供应商按谈判文件规定提交的最终报价，须打印或用 </w:t>
      </w:r>
    </w:p>
    <w:p w14:paraId="66A2352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不褪色材料书写，并经供应商代表签字，或者加盖供应商单位公章。否则，将导 </w:t>
      </w:r>
    </w:p>
    <w:p w14:paraId="4570CAF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致响应文件无效。 </w:t>
      </w:r>
    </w:p>
    <w:p w14:paraId="40E2365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13.5 供应商无论成交与否，其响应文件不予退还。 </w:t>
      </w:r>
    </w:p>
    <w:p w14:paraId="5CD175D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13.6 响应文件的其他要求见【谈判须知前附表】。 </w:t>
      </w:r>
    </w:p>
    <w:p w14:paraId="096074EA">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四、响应文件的递交 </w:t>
      </w:r>
    </w:p>
    <w:p w14:paraId="26CCB40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14.响应文件的递交与接收 </w:t>
      </w:r>
    </w:p>
    <w:p w14:paraId="7297057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14.1 投标人应当在谈判文件要求提交投标文件的截止时间前，将投标文件上传至政采云投标客户端。 </w:t>
      </w:r>
    </w:p>
    <w:p w14:paraId="0F4E35A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14.2 投标人在谈判文件要求提交投标文件的截止时间及开标时间前，未将</w:t>
      </w:r>
    </w:p>
    <w:p w14:paraId="26AE62C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投标文件上传至政采云投标客户端、或文件解密失败的，视为无效投标。 </w:t>
      </w:r>
    </w:p>
    <w:p w14:paraId="4F6A1BC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16.响应文件的补充、修改或者撤回 </w:t>
      </w:r>
    </w:p>
    <w:p w14:paraId="18C1BA6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供应商在谈判截止时间前，可以对所递交的响应文件进行补充、修改或者撤 </w:t>
      </w:r>
    </w:p>
    <w:p w14:paraId="5498E0B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回，并书面通知采购人或者采购代理机构。补充、修改的内容作为响应文件的组 </w:t>
      </w:r>
    </w:p>
    <w:p w14:paraId="045AEC1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成部分，补充、修改的内容与响应文件不一致的，以补充、修改的内容为准。 </w:t>
      </w:r>
    </w:p>
    <w:p w14:paraId="2211EFA2">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五、响应文件的评审与谈判 </w:t>
      </w:r>
    </w:p>
    <w:p w14:paraId="502F40C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17.谈判小组 </w:t>
      </w:r>
    </w:p>
    <w:p w14:paraId="0634D7B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17.1 竞争性谈判小组由采购人代表和评审专家共 3 人组成（3 人以上单数 </w:t>
      </w:r>
    </w:p>
    <w:p w14:paraId="42D56566">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组成），其中评审专家 2 名（评审专家人数不得少于竞争性谈判小组成员总数 </w:t>
      </w:r>
    </w:p>
    <w:p w14:paraId="506E3CC6">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 2/3）。采购人不得以评审专家身份参加本采购项目的评审。谈判小组评审专 </w:t>
      </w:r>
    </w:p>
    <w:p w14:paraId="7A74A6D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家从政府采购评审专家库内相关专业的专家名单中随机抽取。 </w:t>
      </w:r>
    </w:p>
    <w:p w14:paraId="4753860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17.2 谈判由采购代理机构负责组织，具体谈判事务由依法组建的谈判小组 </w:t>
      </w:r>
    </w:p>
    <w:p w14:paraId="2D3A975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负责，并独立履行下列职责： </w:t>
      </w:r>
    </w:p>
    <w:p w14:paraId="17E4B21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（1）确认谈判文件； </w:t>
      </w:r>
    </w:p>
    <w:p w14:paraId="4172963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（2）审查供应商的响应文件并作出评价； </w:t>
      </w:r>
    </w:p>
    <w:p w14:paraId="3A7F9AF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（3）要求供应商对谈判文件有关事项作出澄清或者说明； </w:t>
      </w:r>
    </w:p>
    <w:p w14:paraId="6C32A80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（4）编写评审报告； </w:t>
      </w:r>
    </w:p>
    <w:p w14:paraId="3AC6091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（5）确定成交候选人名单，以及根据采购人委托直接确定成交供应商； </w:t>
      </w:r>
    </w:p>
    <w:p w14:paraId="54B3BBF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（6）告知采购人、采购代理机构在评审过程中发现的供应商的违法违规行 </w:t>
      </w:r>
    </w:p>
    <w:p w14:paraId="3F8DEE7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为。 </w:t>
      </w:r>
    </w:p>
    <w:p w14:paraId="2873769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17.3 谈判小组应遵守并履行下列义务： </w:t>
      </w:r>
    </w:p>
    <w:p w14:paraId="160FDA2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（1）遵纪守法，客观、公正、廉洁地履行职责； </w:t>
      </w:r>
    </w:p>
    <w:p w14:paraId="37CE466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（2）按照谈判文件规定的成交方法评审，对评审意见承担谈判小组成员责 </w:t>
      </w:r>
    </w:p>
    <w:p w14:paraId="2741BB9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任； </w:t>
      </w:r>
    </w:p>
    <w:p w14:paraId="02D28E4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（3）对谈判响应文件、谈判情况和谈判中获悉的国家秘密、商业秘密保密；</w:t>
      </w:r>
    </w:p>
    <w:p w14:paraId="09AA861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（4）参与评审报告的起草； </w:t>
      </w:r>
    </w:p>
    <w:p w14:paraId="57B33BF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（5）配合采购人、采购代理机构答复供应商提出的质疑； </w:t>
      </w:r>
    </w:p>
    <w:p w14:paraId="007D384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（6）配合财政部门的投诉处理和监督检查工作。 </w:t>
      </w:r>
    </w:p>
    <w:p w14:paraId="3AC1517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17.4 谈判小组成员有下列情形之一的，应当回避： </w:t>
      </w:r>
    </w:p>
    <w:p w14:paraId="5D8C35F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（1）参加采购活动前 3 年内与供应商存在劳动关系； </w:t>
      </w:r>
    </w:p>
    <w:p w14:paraId="5B1F2ED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（2）参加采购活动前 3 年内担任供应商的董事、监事； </w:t>
      </w:r>
    </w:p>
    <w:p w14:paraId="36CA206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（3）参加采购活动前 3 年内是供应商的控股股东或者实际控制人； </w:t>
      </w:r>
    </w:p>
    <w:p w14:paraId="5383200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（4）与供应商的法定代表人或者负责人有夫妻、直系血亲、三代以内旁系 </w:t>
      </w:r>
    </w:p>
    <w:p w14:paraId="2E8E25A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血亲或者近姻亲关系； </w:t>
      </w:r>
    </w:p>
    <w:p w14:paraId="493B327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（5）与供应商有其他可能影响政府采购活动公平、公正进行的关系。 </w:t>
      </w:r>
    </w:p>
    <w:p w14:paraId="1FBAB68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18.响应文件审查 </w:t>
      </w:r>
    </w:p>
    <w:p w14:paraId="0156C75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18.1 谈判小组应当对响应文件进行评审，并根据谈判文件规定的程序、评 </w:t>
      </w:r>
    </w:p>
    <w:p w14:paraId="78A3CE0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定成交的标准等事项与实质性响应谈判文件要求的供应商进行谈判。 </w:t>
      </w:r>
    </w:p>
    <w:p w14:paraId="486B88A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18.2 在对供应商进行审查时，存在下列情况之一的，按无效处理： </w:t>
      </w:r>
    </w:p>
    <w:p w14:paraId="3D5E30D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（1）不符合谈判文件第一部分谈判须知前附表“供应商资格条件”的； </w:t>
      </w:r>
    </w:p>
    <w:p w14:paraId="517ABB3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（2）未按第 11.1.1 款“资格审查部分”要求提供相关资料的； </w:t>
      </w:r>
    </w:p>
    <w:p w14:paraId="1AC5A03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（3）响应文件没有按谈判文件规定和要求签字、盖章的； </w:t>
      </w:r>
    </w:p>
    <w:p w14:paraId="6D0FCAE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（4）谈判有效期、交货期及免费质保期不能满足谈判文件要求的； </w:t>
      </w:r>
    </w:p>
    <w:p w14:paraId="6ADBAD7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（5）谈判报价超过谈判文件规定的采购预算额度的； </w:t>
      </w:r>
    </w:p>
    <w:p w14:paraId="5BFB5D5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（6）所提供产品的技术规格、技术标准不符合采购项目要求的； </w:t>
      </w:r>
    </w:p>
    <w:p w14:paraId="50771DC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（7）谈判响应文件含有采购人不能接受的附加条件的； </w:t>
      </w:r>
    </w:p>
    <w:p w14:paraId="0A78FEB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（8）响应文件不满足谈判文件实质性要求和条件的； </w:t>
      </w:r>
    </w:p>
    <w:p w14:paraId="2E036E7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（9）谈判小组认为应按无效谈判处理的其他情况； </w:t>
      </w:r>
    </w:p>
    <w:p w14:paraId="1F46A0A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（10）未按谈判文件要求缴纳或未足额缴纳谈判保证金的。 </w:t>
      </w:r>
    </w:p>
    <w:p w14:paraId="5F3466A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（11）法律、法规规定的其他情形。</w:t>
      </w:r>
    </w:p>
    <w:p w14:paraId="718D9DD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19.谈判程序 </w:t>
      </w:r>
    </w:p>
    <w:p w14:paraId="5132D97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19.1 在谈判过程中，谈判小组所有成员集中与单一供应商分别进行谈判， </w:t>
      </w:r>
    </w:p>
    <w:p w14:paraId="663EE79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负责审议所有通过资格条件供应商的谈判响应文件，给予所有参加谈判的供应商 </w:t>
      </w:r>
    </w:p>
    <w:p w14:paraId="6C54AF4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平等的谈判机会。供应商应派其代表参加谈判。在谈判过程中谈判的任何一方不 </w:t>
      </w:r>
    </w:p>
    <w:p w14:paraId="7D425A6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得向他人透露与谈判有关的技术资料、价格或其他信息。 </w:t>
      </w:r>
    </w:p>
    <w:p w14:paraId="4D93BCB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19.2 在谈判过程中，谈判小组可以根据谈判文件和谈判情况实质性变动技 </w:t>
      </w:r>
    </w:p>
    <w:p w14:paraId="7E74BEA6">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术标准及要求中的技术、服务要求以及合同草案条款，但不得变动谈判文件中的 </w:t>
      </w:r>
    </w:p>
    <w:p w14:paraId="1FB6487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其他内容。实质性变动的内容，须经采购人代表确认，谈判小组将以书面形式将 </w:t>
      </w:r>
    </w:p>
    <w:p w14:paraId="49941D7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修改内容同时通知所有参加谈判的供应商。 </w:t>
      </w:r>
    </w:p>
    <w:p w14:paraId="68738F4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19.3 供应商应当按照谈判文件的变动情况和谈判小组的要求重新提交响应 </w:t>
      </w:r>
    </w:p>
    <w:p w14:paraId="6F69C05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文件，并由其法定代表人或授权代表签字或者加盖公章。由授权代表签字的，应 </w:t>
      </w:r>
    </w:p>
    <w:p w14:paraId="028F781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当附法定代表人授权书。供应商为自然人的，应当由本人签字并附身份证明。 </w:t>
      </w:r>
    </w:p>
    <w:p w14:paraId="5D9A282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19.4 响应文件中首次报价表内的报价为首次报价，根据技术、服务等满足 </w:t>
      </w:r>
    </w:p>
    <w:p w14:paraId="49F802E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谈判文件要求的情况，供应商可进行二次报价。 </w:t>
      </w:r>
    </w:p>
    <w:p w14:paraId="412CB25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19.5 谈判小组认为供应商的最后报价明显低于其他通过有效性、完整性、 </w:t>
      </w:r>
    </w:p>
    <w:p w14:paraId="4B9889B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响应程度审查供应商的报价，有可能影响产品质量或者不能诚信履约的，应当要 </w:t>
      </w:r>
    </w:p>
    <w:p w14:paraId="1085908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求其在谈判现场合理的时间内提供书面说明，必要时提交相关证明材料；供应商 </w:t>
      </w:r>
    </w:p>
    <w:p w14:paraId="3C03025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不能证明其报价合理性的，谈判小组应当将其作为无效谈判处理。 </w:t>
      </w:r>
    </w:p>
    <w:p w14:paraId="5B56DD8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19.6 谈判工作在有关部门的监督下依法开展，任何单位和个人不得非法干 </w:t>
      </w:r>
    </w:p>
    <w:p w14:paraId="62209B4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预、影响谈判工作和谈判结果。 </w:t>
      </w:r>
    </w:p>
    <w:p w14:paraId="13231AD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20.澄清 </w:t>
      </w:r>
    </w:p>
    <w:p w14:paraId="049BDB9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20.1 谈判小组在对响应文件(包括首次提交的响应文件、重新提交的响应文 </w:t>
      </w:r>
    </w:p>
    <w:p w14:paraId="5BF1EDA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件)的有效性、完整性和对谈判文件的响应程度进行审查时，可以要求供应商对 </w:t>
      </w:r>
    </w:p>
    <w:p w14:paraId="09DF506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响应文件中含义不明确、同类问题表述不一致或者有明显文字和计算错误的内容 </w:t>
      </w:r>
    </w:p>
    <w:p w14:paraId="5AEA23F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等作出必要的澄清、说明或者更正。 </w:t>
      </w:r>
    </w:p>
    <w:p w14:paraId="015B664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20.2 供应商的澄清、说明或者更正响应文件应当采用书面形式，由法定代表人或其授权代表签字或者加盖公章。由授权代表签字的，应当附法定代表人授 </w:t>
      </w:r>
    </w:p>
    <w:p w14:paraId="29D50F6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权书。供应商为自然人的，应当由本人签字并附身份证明，供应商的澄清、说明 </w:t>
      </w:r>
    </w:p>
    <w:p w14:paraId="41B6055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或者更正不得超出谈判文件的范围或者改变响应文件的实质性内容。 </w:t>
      </w:r>
    </w:p>
    <w:p w14:paraId="23E1416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21.退出谈判 </w:t>
      </w:r>
    </w:p>
    <w:p w14:paraId="277C53B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供应商在提交最后报价之前，可以根据谈判情况退出谈判，并由法定代表人 </w:t>
      </w:r>
    </w:p>
    <w:p w14:paraId="63779D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或其授权代表签字或加盖公章书面通知采购人、采购代理机构或者谈判小组。采 </w:t>
      </w:r>
    </w:p>
    <w:p w14:paraId="19EB1C2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购人、采购代理机构按规定退还退出谈判的供应商的保证金。 </w:t>
      </w:r>
    </w:p>
    <w:p w14:paraId="2AC24E8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22.最后报价 </w:t>
      </w:r>
    </w:p>
    <w:p w14:paraId="5EB4330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22.1 谈判结束后，符合谈判文件规定的实质性要求和条件的供应商不少于 3 家的，谈判小组应当要求符合谈判文件规定的实质性要求和条件的供应商在规定时间内提交最后报价。最后报价应由供应商代表签字或者加盖供应商单位公章。 </w:t>
      </w:r>
    </w:p>
    <w:p w14:paraId="71AA4F0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22.2 谈判文件不能详细列明采购需求的技术、服务要求，需经谈判由供应 </w:t>
      </w:r>
    </w:p>
    <w:p w14:paraId="6A4502A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商提供最终设计方案或解决方案的，谈判结束后，谈判小组应当按照少数服从多 </w:t>
      </w:r>
    </w:p>
    <w:p w14:paraId="32EDEAD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数的原则投票推荐 3 家以上供应商的设计方案或者解决方案，并要求其在规定时间内提交最后报价。 </w:t>
      </w:r>
    </w:p>
    <w:p w14:paraId="735244A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22.3 最后报价的评审 </w:t>
      </w:r>
    </w:p>
    <w:p w14:paraId="4A6791F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（1）最后报价出现大写金额和小写金额不一致的，以大写金额为准。 </w:t>
      </w:r>
    </w:p>
    <w:p w14:paraId="0EE5BF3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（2）需落实政府采购政策的，按相关规定进行价格扣除。 </w:t>
      </w:r>
    </w:p>
    <w:p w14:paraId="639E7F3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22.4 最后报价如果高于其响应文件中的首次报价的，以最后报价为准。 </w:t>
      </w:r>
    </w:p>
    <w:p w14:paraId="1D265AF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22.5 采购人、采购代理机构在按规定公布供应商的最后报价前，不得公开 </w:t>
      </w:r>
    </w:p>
    <w:p w14:paraId="03032CE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供应商的技术资料、价格和其他信息。 </w:t>
      </w:r>
    </w:p>
    <w:p w14:paraId="1310F78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22.6 若最后报价时出现最低价相同的情形，谈判小组应召集报价相同的供 </w:t>
      </w:r>
    </w:p>
    <w:p w14:paraId="3A5D110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应商进行再次报价（或直接提出成交候选人）（由采购人、代理机构自主选择）。 </w:t>
      </w:r>
    </w:p>
    <w:p w14:paraId="28DA86F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23.确定成交供应商 </w:t>
      </w:r>
    </w:p>
    <w:p w14:paraId="6FC2AC8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23.1 谈判小组应当从质量和服务均能满足采购文件实质性响应要求的供应</w:t>
      </w:r>
    </w:p>
    <w:p w14:paraId="3DE7E2B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商中，按照最后报价由低到高的顺序提出 3 名以上成交候选人，并编写评审报告。 </w:t>
      </w:r>
    </w:p>
    <w:p w14:paraId="41150C4C">
      <w:pPr>
        <w:keepNext w:val="0"/>
        <w:keepLines w:val="0"/>
        <w:widowControl/>
        <w:suppressLineNumbers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供应商最后报价涉及算术修正、需落实政府采购政策的，按上款规定由低到高顺序排序。 </w:t>
      </w:r>
    </w:p>
    <w:p w14:paraId="11D80C0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23.2 谈判小组应当根据评审记录和评审结果编写评审报告。评审报告应当 </w:t>
      </w:r>
    </w:p>
    <w:p w14:paraId="0A172B9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由谈判小组全体人员签字认可。谈判小组成员对评审报告有异议的，按照少数服 </w:t>
      </w:r>
    </w:p>
    <w:p w14:paraId="35BDBEC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从多数的原则推荐成交候选人，采购程序继续进行。对评审报告有异议的谈判小 </w:t>
      </w:r>
    </w:p>
    <w:p w14:paraId="4127D05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组成员，应当在报告上签署不同意见并说明理由，由谈判小组书面记录相关情况。 </w:t>
      </w:r>
    </w:p>
    <w:p w14:paraId="0B2DA8F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谈判小组成员拒绝在报告上签字又不书面说明其不同意见和理由的，视为同意评 </w:t>
      </w:r>
    </w:p>
    <w:p w14:paraId="5C78D32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审报告。 </w:t>
      </w:r>
    </w:p>
    <w:p w14:paraId="673E5C1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23.3 采购代理机构应当在评审结束后 2 个工作日内将评审报告送采购人确认。 </w:t>
      </w:r>
    </w:p>
    <w:p w14:paraId="0C1F4C3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23.4 采购人应当在收到评审报告后 5 个工作日内，从评审报告提出的成交 </w:t>
      </w:r>
    </w:p>
    <w:p w14:paraId="062D8E1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候选人中，根据质量和服务均能满足采购文件实质性响应要求且最后报价最低的 </w:t>
      </w:r>
    </w:p>
    <w:p w14:paraId="1F286ED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原则确定成交供应商，也可以书面授权谈判小组直接确定成交供应商。 </w:t>
      </w:r>
    </w:p>
    <w:p w14:paraId="081EF81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23.5 采购人逾期未确定成交供应商且不提出异议的，视为确定评审报告提 </w:t>
      </w:r>
    </w:p>
    <w:p w14:paraId="4C11998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出的最后报价最低的供应商为成交供应商。 </w:t>
      </w:r>
    </w:p>
    <w:p w14:paraId="5E74811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24.重新评审 </w:t>
      </w:r>
    </w:p>
    <w:p w14:paraId="584FACB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24.1 除资格审查认定错误和价格计算错误外，采购人、采购代理机构不以 </w:t>
      </w:r>
    </w:p>
    <w:p w14:paraId="4B00D9C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任何理由组织重新评审。 </w:t>
      </w:r>
    </w:p>
    <w:p w14:paraId="6EA0E1D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24.2 采购人、采购代理机构发现谈判小组未按照谈判文件规定的评定成交 </w:t>
      </w:r>
    </w:p>
    <w:p w14:paraId="62FC118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标准进行评审的，应当重新开展采购活动，并同时书面报告同级财政部门。 </w:t>
      </w:r>
    </w:p>
    <w:p w14:paraId="4FF1F7E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25.谈判终止 </w:t>
      </w:r>
    </w:p>
    <w:p w14:paraId="744B319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25.1 出现下列情形之一的，采购人、采购代理机构应当终止竞争性谈判采 </w:t>
      </w:r>
    </w:p>
    <w:p w14:paraId="17BFE1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购活动，在指定的媒体上发布项目终止公告并说明原因，重新开展采购活动： </w:t>
      </w:r>
    </w:p>
    <w:p w14:paraId="5A0309C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（1）因情况变化，不再符合规定的竞争性谈判采购方式适用情形的； </w:t>
      </w:r>
    </w:p>
    <w:p w14:paraId="75228F2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（2）出现影响采购公正的违法、违规行为的；</w:t>
      </w:r>
    </w:p>
    <w:p w14:paraId="3DA4A9A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（3）在采购过程中符合谈判要求的供应商或者报价未超过采购预算的供应 </w:t>
      </w:r>
    </w:p>
    <w:p w14:paraId="18AA421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商不足 3 家的，或者提交最后报价的供应商少于 3 家的； </w:t>
      </w:r>
    </w:p>
    <w:p w14:paraId="39EC381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（4）因重大变故，采购任务取消的。 </w:t>
      </w:r>
    </w:p>
    <w:p w14:paraId="6A7A995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26.串通情形认定及处理 </w:t>
      </w:r>
    </w:p>
    <w:p w14:paraId="6411C9A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26.1 供应商不得与采购人、采购代理机构、其他供应商恶意串通；不得向 </w:t>
      </w:r>
    </w:p>
    <w:p w14:paraId="02CDA02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采购人、采购代理机构或者谈判小组成员行贿或者提供其他不正当利益；不得提供虚假材料谋取成交；不得以任何方式干扰、影响采购工作。 </w:t>
      </w:r>
    </w:p>
    <w:p w14:paraId="5AB267F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26.2 有下列情形之一的，成交无效，对供应商依照《政府采购法》第七十 </w:t>
      </w:r>
    </w:p>
    <w:p w14:paraId="7D7175C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七条的规定追究法律责任： </w:t>
      </w:r>
    </w:p>
    <w:p w14:paraId="0BE8CFD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（1）供应商直接或者间接从采购人或者采购代理机构处获得其他供应商的相关情况并修改其响应文件； </w:t>
      </w:r>
    </w:p>
    <w:p w14:paraId="292327B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（2）供应商按照采购人或者采购代理机构的授意撤换、修改响应文件； </w:t>
      </w:r>
    </w:p>
    <w:p w14:paraId="2A5A8B8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（3）供应商之间协商报价、技术方案等响应文件的实质性内容； </w:t>
      </w:r>
    </w:p>
    <w:p w14:paraId="609B150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（4）属于同一集团、协会、商会等组织成员的供应商按照该组织要求协同参加政府采购活动； </w:t>
      </w:r>
    </w:p>
    <w:p w14:paraId="406503C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（5）供应商之间事先约定由某一特定供应商成交； </w:t>
      </w:r>
    </w:p>
    <w:p w14:paraId="3D40248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（6）供应商之间商定部分供应商放弃参加政府采购活动或者放弃成交； </w:t>
      </w:r>
    </w:p>
    <w:p w14:paraId="6F3F1DC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（7）供应商与采购人或者采购代理机构之间、供应商相互之间，为谋求特定供应商成交或者排斥其他供应商的其他串通行为。 </w:t>
      </w:r>
    </w:p>
    <w:p w14:paraId="659E841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26.3 有下列情形之一的，视为供应商串通，其响应无效： </w:t>
      </w:r>
    </w:p>
    <w:p w14:paraId="3A85FCE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（1）不同供应商的响应文件由同一单位或者个人编制； </w:t>
      </w:r>
    </w:p>
    <w:p w14:paraId="612A760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（2）不同供应商委托同一单位或者个人办理谈判事宜； </w:t>
      </w:r>
    </w:p>
    <w:p w14:paraId="4C837D5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（3）不同供应商的响应文件载明的项目管理成员或者联系人员为同一人； </w:t>
      </w:r>
    </w:p>
    <w:p w14:paraId="73C6EE9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（4）不同供应商的响应文件异常一致或者报价呈规律性差异； </w:t>
      </w:r>
    </w:p>
    <w:p w14:paraId="29592B0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（5）不同供应商的响应文件相互混装； </w:t>
      </w:r>
    </w:p>
    <w:p w14:paraId="69CE222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（6）不同供应商的保证金从同一单位或者个人的账户转出。</w:t>
      </w:r>
    </w:p>
    <w:p w14:paraId="2FF99127">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六、成交结果信息公布与授予合同 </w:t>
      </w:r>
    </w:p>
    <w:p w14:paraId="5F4F47C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27.成交信息的公布与通知 </w:t>
      </w:r>
    </w:p>
    <w:p w14:paraId="4E232B3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27.1 代理机构应自确定成交供应商之日起 2 个工作日内在青海政府采购信息网上公告成交结果，同时向成交供应商发出《成交通知书》。成交通知书对采购人和成交供应商具有同等法律效力。 </w:t>
      </w:r>
    </w:p>
    <w:p w14:paraId="319B3ED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27.2 成交结果公告应当包括以下内容： </w:t>
      </w:r>
    </w:p>
    <w:p w14:paraId="473313A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（1）采购人和采购代理机构的名称、地址和联系方式； </w:t>
      </w:r>
    </w:p>
    <w:p w14:paraId="410B235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（2）项目名称和项目编号； </w:t>
      </w:r>
    </w:p>
    <w:p w14:paraId="62AE5A9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（3）成交供应商名称、地址和成交金额； </w:t>
      </w:r>
    </w:p>
    <w:p w14:paraId="2AF0058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（4）主要成交标的的名称、规格型号、数量、单价、服务要求； </w:t>
      </w:r>
    </w:p>
    <w:p w14:paraId="31E38E0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（5）谈判小组成员名单。 </w:t>
      </w:r>
    </w:p>
    <w:p w14:paraId="7DC8C80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27.3《成交通知书》发出后，采购人不得违法改变采购结果，成交供应商无 </w:t>
      </w:r>
    </w:p>
    <w:p w14:paraId="17083FE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正当理由不得放弃。 </w:t>
      </w:r>
    </w:p>
    <w:p w14:paraId="2F796A5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28.授予合同 </w:t>
      </w:r>
    </w:p>
    <w:p w14:paraId="4557FF8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28.1 谈判文件、成交供应商的响应文件及其补充的响应文件、成交通知书 </w:t>
      </w:r>
    </w:p>
    <w:p w14:paraId="1BCFD0D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等均为签订政府采购合同的依据。 </w:t>
      </w:r>
    </w:p>
    <w:p w14:paraId="31036A4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28.2 采购人与成交供应商双方应当自《成交通知书》发出之日起 30 日内， </w:t>
      </w:r>
    </w:p>
    <w:p w14:paraId="4C05779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按照谈判文件确定的合同文本以及采购标的、规格型号、采购金额、采购数量、 </w:t>
      </w:r>
    </w:p>
    <w:p w14:paraId="7419A2D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技术和服务要求等事项签订政府采购合同。 </w:t>
      </w:r>
    </w:p>
    <w:p w14:paraId="57198CE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28.3 采购人不得向成交供应商提出超出谈判文件以外的任何要求作为订立 </w:t>
      </w:r>
    </w:p>
    <w:p w14:paraId="579FA12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合同的条件，不得与成交供应商订立背离谈判文件确定的合同文本以及采购标 </w:t>
      </w:r>
    </w:p>
    <w:p w14:paraId="6C2B280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的、规格型号、采购金额、采购数量、技术和服务要求等实质性内容的协议。 </w:t>
      </w:r>
    </w:p>
    <w:p w14:paraId="684C8DF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28.4 采购人或采购代理机构应当自采购合同签订之日起 2 个工作日内，将 </w:t>
      </w:r>
    </w:p>
    <w:p w14:paraId="30CAC2A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采购合同在青海政府采购信息网上公告，但政府采购合同中涉及国家秘密、商业 </w:t>
      </w:r>
    </w:p>
    <w:p w14:paraId="084416A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秘密的内容除外。</w:t>
      </w:r>
    </w:p>
    <w:p w14:paraId="617A0FA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29.履约验收 </w:t>
      </w:r>
    </w:p>
    <w:p w14:paraId="760646A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29.1 履约保证金：无（或根据《政府采购实施条例》第四十八条明确约定 </w:t>
      </w:r>
    </w:p>
    <w:p w14:paraId="1508636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保证金缴纳数额及方式）:采购文件要求中标或者成交供应商提交履约保证金的， </w:t>
      </w:r>
    </w:p>
    <w:p w14:paraId="7C4D39C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供应商应当以支票、汇票、本票或者金融机构、担保机构出具的保函等非现金形 </w:t>
      </w:r>
    </w:p>
    <w:p w14:paraId="0FC5D85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式提交。履约保证金的数额不得超过政府采购合同金额的 10%。 </w:t>
      </w:r>
    </w:p>
    <w:p w14:paraId="42718EF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29.2 采购人或者采购代理机构应当按照政府采购合同规定的技术、服务、 </w:t>
      </w:r>
    </w:p>
    <w:p w14:paraId="31AB4C8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安全标准组织对供应商履约情况进行验收，并出具验收书。验收书应当包括每一 </w:t>
      </w:r>
    </w:p>
    <w:p w14:paraId="552C063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项技术、服务、安全标准的履约情况。 </w:t>
      </w:r>
    </w:p>
    <w:p w14:paraId="5785757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29.3 采购人可以邀请参加本项目的其他供应商或者第三方机构参与验收。 </w:t>
      </w:r>
    </w:p>
    <w:p w14:paraId="3B19385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参与验收的供应商或者第三方机构的意见作为验收书的参考资料一并存档。 </w:t>
      </w:r>
    </w:p>
    <w:p w14:paraId="64EFB80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29.4 采购人应当加强履约管理，并按照采购合同约定，及时向成交供应商 </w:t>
      </w:r>
    </w:p>
    <w:p w14:paraId="66F382A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支付采购资金。对于成交供应商违反采购合同约定的行为，采购人应当及时处理， </w:t>
      </w:r>
    </w:p>
    <w:p w14:paraId="6F5EDA5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依法追究其违约责任。 </w:t>
      </w:r>
    </w:p>
    <w:p w14:paraId="2003D9C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29.5 采购人、采购代理机构应当建立真实完整的谈判档案，妥善保存谈判 </w:t>
      </w:r>
    </w:p>
    <w:p w14:paraId="5CCFCC7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的相关资料。 </w:t>
      </w:r>
    </w:p>
    <w:p w14:paraId="54D52833">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七、询问与质疑 </w:t>
      </w:r>
    </w:p>
    <w:p w14:paraId="6A7F899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30.对采购过程、结果的询问及质疑 </w:t>
      </w:r>
    </w:p>
    <w:p w14:paraId="12B10CC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30.1 供应商对政府采购过程、结果有疑问的，可以向采购人、采购代理机 </w:t>
      </w:r>
    </w:p>
    <w:p w14:paraId="08C7F8B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构提出询问。 </w:t>
      </w:r>
    </w:p>
    <w:p w14:paraId="026B9DE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30.2 参与所质疑项目的供应商认为采购过程、成交结果使自己的权益受到 </w:t>
      </w:r>
    </w:p>
    <w:p w14:paraId="728BB44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损害的，可以在知道或者应知其权益受到损害之日起 7 个工作日内，以书面形式向采购人、采购代理机构提出质疑。 </w:t>
      </w:r>
    </w:p>
    <w:p w14:paraId="2DAC5CA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30.3 供应商应在法定质疑期内一次性提出针对同一采购程序环节的质疑。</w:t>
      </w:r>
    </w:p>
    <w:p w14:paraId="5A4FBFB5">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八、政府采购政策 </w:t>
      </w:r>
    </w:p>
    <w:p w14:paraId="1845C08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31.政府采购政策 </w:t>
      </w:r>
    </w:p>
    <w:p w14:paraId="25BCBF4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31.1 节能产品、环境标志产品的采购： </w:t>
      </w:r>
    </w:p>
    <w:p w14:paraId="1392E6C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根据《关于调整优化节能产品、环境标志产品政府采购执行机制的通知》（财 </w:t>
      </w:r>
    </w:p>
    <w:p w14:paraId="3B7184F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库〔2019〕9 号）的要求，采购人拟采购的产品属于品目清单范围的，采购人及 </w:t>
      </w:r>
    </w:p>
    <w:p w14:paraId="59F9188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其委托的采购代理机构应当依据国家确定的认证机构出具的、处于有效期之内的 </w:t>
      </w:r>
    </w:p>
    <w:p w14:paraId="3B49F5C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节能产品、环境标志产品认证证书，对获得证书的产品实施政府优先采购或强制采购。 </w:t>
      </w:r>
    </w:p>
    <w:p w14:paraId="3754098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文件规定的产品。除【谈判须知前附表】另有规定外，采购项目拒绝进口产品参 加谈判。本款规定同意购买进口产品的，不限制满足谈判文件要求的国内产品参与谈判竞争。</w:t>
      </w:r>
    </w:p>
    <w:p w14:paraId="2CE6ADA3">
      <w:pPr>
        <w:widowControl/>
        <w:spacing w:line="360" w:lineRule="auto"/>
        <w:ind w:firstLine="0" w:firstLineChars="0"/>
        <w:jc w:val="center"/>
        <w:outlineLvl w:val="1"/>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九、其他规定 </w:t>
      </w:r>
    </w:p>
    <w:p w14:paraId="18A59261">
      <w:pPr>
        <w:keepNext w:val="0"/>
        <w:keepLines w:val="0"/>
        <w:widowControl/>
        <w:suppressLineNumbers w:val="0"/>
        <w:spacing w:line="360" w:lineRule="auto"/>
        <w:ind w:left="0" w:leftChars="0" w:firstLine="241" w:firstLineChars="1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32.代理服务费 </w:t>
      </w:r>
    </w:p>
    <w:p w14:paraId="2ED03E00">
      <w:pPr>
        <w:autoSpaceDE w:val="0"/>
        <w:autoSpaceDN w:val="0"/>
        <w:spacing w:line="360" w:lineRule="auto"/>
        <w:ind w:left="0" w:leftChars="0" w:firstLine="0" w:firstLineChars="0"/>
        <w:jc w:val="left"/>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zh-CN"/>
        </w:rPr>
        <w:t>收取对象：</w:t>
      </w:r>
      <w:r>
        <w:rPr>
          <w:rFonts w:hint="eastAsia" w:ascii="宋体" w:hAnsi="宋体" w:eastAsia="宋体" w:cs="宋体"/>
          <w:color w:val="000000"/>
          <w:kern w:val="0"/>
          <w:sz w:val="24"/>
          <w:szCs w:val="24"/>
          <w:highlight w:val="none"/>
          <w:lang w:val="en-US" w:eastAsia="zh-CN"/>
        </w:rPr>
        <w:t>成交供应商</w:t>
      </w:r>
    </w:p>
    <w:p w14:paraId="69098F15">
      <w:pPr>
        <w:keepNext w:val="0"/>
        <w:keepLines w:val="0"/>
        <w:widowControl/>
        <w:suppressLineNumbers w:val="0"/>
        <w:spacing w:line="360" w:lineRule="auto"/>
        <w:ind w:left="0" w:leftChars="0" w:firstLine="0" w:firstLineChars="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收费</w:t>
      </w:r>
      <w:r>
        <w:rPr>
          <w:rFonts w:hint="eastAsia" w:ascii="宋体" w:hAnsi="宋体" w:eastAsia="宋体" w:cs="宋体"/>
          <w:color w:val="auto"/>
          <w:kern w:val="0"/>
          <w:sz w:val="24"/>
          <w:szCs w:val="24"/>
          <w:highlight w:val="none"/>
          <w:lang w:val="en-US" w:eastAsia="zh-CN"/>
        </w:rPr>
        <w:t>金额</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支付</w:t>
      </w:r>
      <w:r>
        <w:rPr>
          <w:rFonts w:hint="eastAsia" w:ascii="宋体" w:hAnsi="宋体" w:eastAsia="宋体" w:cs="宋体"/>
          <w:color w:val="auto"/>
          <w:kern w:val="0"/>
          <w:sz w:val="24"/>
          <w:szCs w:val="24"/>
          <w:highlight w:val="none"/>
          <w:lang w:val="en-US" w:eastAsia="zh-CN"/>
        </w:rPr>
        <w:t>6,000.00</w:t>
      </w:r>
      <w:r>
        <w:rPr>
          <w:rFonts w:hint="eastAsia" w:ascii="宋体" w:hAnsi="宋体" w:eastAsia="宋体" w:cs="宋体"/>
          <w:color w:val="auto"/>
          <w:kern w:val="0"/>
          <w:sz w:val="24"/>
          <w:szCs w:val="24"/>
          <w:highlight w:val="none"/>
          <w:lang w:val="zh-CN"/>
        </w:rPr>
        <w:t>元（大写：</w:t>
      </w:r>
      <w:r>
        <w:rPr>
          <w:rFonts w:hint="eastAsia" w:ascii="宋体" w:hAnsi="宋体" w:eastAsia="宋体" w:cs="宋体"/>
          <w:color w:val="auto"/>
          <w:kern w:val="0"/>
          <w:sz w:val="24"/>
          <w:szCs w:val="24"/>
          <w:highlight w:val="none"/>
          <w:lang w:val="en-US" w:eastAsia="zh-CN"/>
        </w:rPr>
        <w:t>陆仟元整</w:t>
      </w:r>
      <w:r>
        <w:rPr>
          <w:rFonts w:hint="eastAsia" w:ascii="宋体" w:hAnsi="宋体" w:eastAsia="宋体" w:cs="宋体"/>
          <w:color w:val="auto"/>
          <w:kern w:val="0"/>
          <w:sz w:val="24"/>
          <w:szCs w:val="24"/>
          <w:highlight w:val="none"/>
          <w:lang w:val="zh-CN"/>
        </w:rPr>
        <w:t>）</w:t>
      </w:r>
    </w:p>
    <w:p w14:paraId="53EB16EC">
      <w:pPr>
        <w:keepNext w:val="0"/>
        <w:keepLines w:val="0"/>
        <w:widowControl/>
        <w:suppressLineNumbers w:val="0"/>
        <w:spacing w:line="360" w:lineRule="auto"/>
        <w:ind w:left="0" w:leftChars="0" w:firstLine="0" w:firstLine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代理服务费账号： </w:t>
      </w:r>
    </w:p>
    <w:p w14:paraId="3B10D448">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kern w:val="0"/>
          <w:sz w:val="24"/>
          <w:szCs w:val="24"/>
          <w:highlight w:val="none"/>
          <w:shd w:val="clear" w:color="auto" w:fill="auto"/>
          <w:lang w:val="zh-CN"/>
        </w:rPr>
        <w:t>收款单位：海东乐都区乐欣中堃项目管理有限公司</w:t>
      </w:r>
    </w:p>
    <w:p w14:paraId="6DDBB6E6">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lang w:eastAsia="zh-CN"/>
        </w:rPr>
      </w:pPr>
      <w:r>
        <w:rPr>
          <w:rFonts w:hint="eastAsia" w:ascii="宋体" w:hAnsi="宋体" w:eastAsia="宋体" w:cs="宋体"/>
          <w:color w:val="000000"/>
          <w:sz w:val="24"/>
          <w:szCs w:val="24"/>
          <w:highlight w:val="none"/>
          <w:shd w:val="clear" w:color="auto" w:fill="auto"/>
        </w:rPr>
        <w:t>开户银行：</w:t>
      </w:r>
      <w:r>
        <w:rPr>
          <w:rFonts w:hint="eastAsia" w:ascii="宋体" w:hAnsi="宋体" w:eastAsia="宋体" w:cs="宋体"/>
          <w:color w:val="000000"/>
          <w:sz w:val="24"/>
          <w:szCs w:val="24"/>
          <w:highlight w:val="none"/>
          <w:shd w:val="clear" w:color="auto" w:fill="auto"/>
          <w:lang w:eastAsia="zh-CN"/>
        </w:rPr>
        <w:t>中国建设银行股份有限公司乐都支行</w:t>
      </w:r>
    </w:p>
    <w:p w14:paraId="3C6A4ECE">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shd w:val="clear" w:color="auto" w:fill="auto"/>
        </w:rPr>
        <w:t>保证金账号：</w:t>
      </w:r>
      <w:r>
        <w:rPr>
          <w:rFonts w:hint="eastAsia" w:ascii="宋体" w:hAnsi="宋体" w:eastAsia="宋体" w:cs="宋体"/>
          <w:color w:val="000000"/>
          <w:sz w:val="24"/>
          <w:szCs w:val="24"/>
          <w:highlight w:val="none"/>
          <w:shd w:val="clear" w:color="auto" w:fill="auto"/>
          <w:lang w:eastAsia="zh-CN"/>
        </w:rPr>
        <w:t>63050163743700000674</w:t>
      </w:r>
    </w:p>
    <w:p w14:paraId="211DF52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缴费时间：截止期，以银行到账时间为准。</w:t>
      </w:r>
    </w:p>
    <w:p w14:paraId="5BF475B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33.其他规定 </w:t>
      </w:r>
    </w:p>
    <w:p w14:paraId="49D3452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谈判文件的其他规定见【谈判须知前附表】。</w:t>
      </w:r>
    </w:p>
    <w:p w14:paraId="15CF25F3">
      <w:pPr>
        <w:keepNext w:val="0"/>
        <w:keepLines w:val="0"/>
        <w:widowControl/>
        <w:suppressLineNumbers w:val="0"/>
        <w:jc w:val="left"/>
      </w:pPr>
    </w:p>
    <w:p w14:paraId="5B7F7AEF">
      <w:pPr>
        <w:rPr>
          <w:rFonts w:hint="eastAsia" w:ascii="宋体" w:hAnsi="宋体" w:eastAsia="宋体" w:cs="宋体"/>
          <w:b/>
          <w:color w:val="000000" w:themeColor="text1"/>
          <w:kern w:val="28"/>
          <w:sz w:val="36"/>
          <w:szCs w:val="36"/>
          <w:lang w:val="en-US" w:eastAsia="zh-CN"/>
          <w14:textFill>
            <w14:solidFill>
              <w14:schemeClr w14:val="tx1"/>
            </w14:solidFill>
          </w14:textFill>
        </w:rPr>
      </w:pPr>
      <w:r>
        <w:rPr>
          <w:rFonts w:hint="eastAsia" w:ascii="宋体" w:hAnsi="宋体" w:eastAsia="宋体" w:cs="宋体"/>
          <w:b/>
          <w:color w:val="000000" w:themeColor="text1"/>
          <w:kern w:val="28"/>
          <w:sz w:val="36"/>
          <w:szCs w:val="36"/>
          <w:lang w:val="en-US" w:eastAsia="zh-CN"/>
          <w14:textFill>
            <w14:solidFill>
              <w14:schemeClr w14:val="tx1"/>
            </w14:solidFill>
          </w14:textFill>
        </w:rPr>
        <w:br w:type="page"/>
      </w:r>
    </w:p>
    <w:p w14:paraId="446F6375">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44" w:name="_Toc26561"/>
      <w:r>
        <w:rPr>
          <w:rFonts w:hint="eastAsia" w:ascii="宋体" w:hAnsi="宋体" w:eastAsia="宋体" w:cs="宋体"/>
          <w:b/>
          <w:color w:val="000000" w:themeColor="text1"/>
          <w:kern w:val="28"/>
          <w:sz w:val="36"/>
          <w:szCs w:val="36"/>
          <w:lang w:val="en-US" w:eastAsia="zh-CN"/>
          <w14:textFill>
            <w14:solidFill>
              <w14:schemeClr w14:val="tx1"/>
            </w14:solidFill>
          </w14:textFill>
        </w:rPr>
        <w:t>采购需求</w:t>
      </w:r>
      <w:bookmarkEnd w:id="44"/>
      <w:r>
        <w:rPr>
          <w:rFonts w:hint="eastAsia" w:ascii="宋体" w:hAnsi="宋体" w:eastAsia="宋体" w:cs="宋体"/>
          <w:b/>
          <w:color w:val="000000" w:themeColor="text1"/>
          <w:kern w:val="28"/>
          <w:sz w:val="36"/>
          <w:szCs w:val="36"/>
          <w:lang w:val="en-US" w:eastAsia="zh-CN"/>
          <w14:textFill>
            <w14:solidFill>
              <w14:schemeClr w14:val="tx1"/>
            </w14:solidFill>
          </w14:textFill>
        </w:rPr>
        <w:t xml:space="preserve"> </w:t>
      </w:r>
    </w:p>
    <w:p w14:paraId="296017EC">
      <w:pPr>
        <w:pStyle w:val="24"/>
        <w:spacing w:before="0" w:after="0" w:line="360" w:lineRule="auto"/>
        <w:ind w:firstLine="480"/>
        <w:jc w:val="left"/>
        <w:outlineLvl w:val="1"/>
        <w:rPr>
          <w:rFonts w:ascii="宋体" w:hAnsi="宋体" w:eastAsia="宋体" w:cs="宋体"/>
          <w:b/>
          <w:bCs/>
          <w:color w:val="000000" w:themeColor="text1"/>
          <w:sz w:val="28"/>
          <w:szCs w:val="28"/>
          <w14:textFill>
            <w14:solidFill>
              <w14:schemeClr w14:val="tx1"/>
            </w14:solidFill>
          </w14:textFill>
        </w:rPr>
      </w:pPr>
      <w:bookmarkStart w:id="45" w:name="_Toc4441"/>
      <w:r>
        <w:rPr>
          <w:rFonts w:hint="eastAsia" w:ascii="宋体" w:hAnsi="宋体" w:eastAsia="宋体" w:cs="宋体"/>
          <w:b/>
          <w:bCs/>
          <w:color w:val="000000" w:themeColor="text1"/>
          <w:sz w:val="28"/>
          <w:szCs w:val="28"/>
          <w14:textFill>
            <w14:solidFill>
              <w14:schemeClr w14:val="tx1"/>
            </w14:solidFill>
          </w14:textFill>
        </w:rPr>
        <w:t>1.</w:t>
      </w:r>
      <w:r>
        <w:rPr>
          <w:rFonts w:hint="eastAsia" w:ascii="宋体" w:hAnsi="宋体" w:eastAsia="宋体" w:cs="宋体"/>
          <w:b/>
          <w:bCs/>
          <w:color w:val="000000" w:themeColor="text1"/>
          <w:sz w:val="28"/>
          <w:szCs w:val="28"/>
          <w:lang w:val="en-US" w:eastAsia="zh-CN"/>
          <w14:textFill>
            <w14:solidFill>
              <w14:schemeClr w14:val="tx1"/>
            </w14:solidFill>
          </w14:textFill>
        </w:rPr>
        <w:t>响应</w:t>
      </w:r>
      <w:r>
        <w:rPr>
          <w:rFonts w:hint="eastAsia" w:ascii="宋体" w:hAnsi="宋体" w:eastAsia="宋体" w:cs="宋体"/>
          <w:b/>
          <w:bCs/>
          <w:color w:val="000000" w:themeColor="text1"/>
          <w:sz w:val="28"/>
          <w:szCs w:val="28"/>
          <w14:textFill>
            <w14:solidFill>
              <w14:schemeClr w14:val="tx1"/>
            </w14:solidFill>
          </w14:textFill>
        </w:rPr>
        <w:t>说明</w:t>
      </w:r>
      <w:bookmarkEnd w:id="45"/>
      <w:r>
        <w:rPr>
          <w:rFonts w:hint="eastAsia" w:ascii="宋体" w:hAnsi="宋体" w:eastAsia="宋体" w:cs="宋体"/>
          <w:b/>
          <w:bCs/>
          <w:color w:val="000000" w:themeColor="text1"/>
          <w:sz w:val="28"/>
          <w:szCs w:val="28"/>
          <w14:textFill>
            <w14:solidFill>
              <w14:schemeClr w14:val="tx1"/>
            </w14:solidFill>
          </w14:textFill>
        </w:rPr>
        <w:t xml:space="preserve"> </w:t>
      </w:r>
    </w:p>
    <w:p w14:paraId="53A09481">
      <w:pPr>
        <w:keepNext w:val="0"/>
        <w:keepLines w:val="0"/>
        <w:pageBreakBefore w:val="0"/>
        <w:widowControl w:val="0"/>
        <w:kinsoku/>
        <w:wordWrap/>
        <w:overflowPunct/>
        <w:topLinePunct w:val="0"/>
        <w:bidi w:val="0"/>
        <w:snapToGrid/>
        <w:spacing w:after="240" w:line="360" w:lineRule="auto"/>
        <w:ind w:firstLine="480" w:firstLineChars="200"/>
        <w:textAlignment w:val="auto"/>
        <w:rPr>
          <w:rFonts w:hint="eastAsia" w:ascii="宋体" w:hAnsi="宋体" w:eastAsia="宋体" w:cs="宋体"/>
          <w:kern w:val="0"/>
          <w:sz w:val="24"/>
          <w:szCs w:val="24"/>
          <w:lang w:val="zh-CN"/>
        </w:rPr>
      </w:pPr>
      <w:bookmarkStart w:id="46" w:name="_Toc7646"/>
      <w:r>
        <w:rPr>
          <w:rFonts w:hint="eastAsia" w:ascii="宋体" w:hAnsi="宋体" w:eastAsia="宋体" w:cs="宋体"/>
          <w:kern w:val="0"/>
          <w:sz w:val="24"/>
          <w:szCs w:val="24"/>
          <w:lang w:val="zh-CN"/>
        </w:rPr>
        <w:t>1.1 供应商可以按照竞争性谈判文件规定的选择</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，但必须对所投中的所有内容作为一个整体进行</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，不能拆分或少报。否则，</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无效。</w:t>
      </w:r>
    </w:p>
    <w:p w14:paraId="45E4FB66">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 谈判响应报价应包括包括产品费、验收费、手续费、包装费、运输费、保险费、安装费、调试费、差旅费、售前、售中、售后服务费、税金及不可预见费等全部费用。若谈判响应报价不能完全包括上述内容，该</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将被认为非实质性响应。</w:t>
      </w:r>
    </w:p>
    <w:p w14:paraId="725B73B4">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1.3 供应商必须如实填写“技术规格响应表”，在“</w:t>
      </w:r>
      <w:r>
        <w:rPr>
          <w:rFonts w:hint="eastAsia" w:ascii="宋体" w:hAnsi="宋体" w:cs="宋体"/>
          <w:kern w:val="0"/>
          <w:sz w:val="24"/>
          <w:szCs w:val="24"/>
          <w:lang w:val="zh-CN"/>
        </w:rPr>
        <w:t>响应</w:t>
      </w:r>
      <w:r>
        <w:rPr>
          <w:rFonts w:hint="eastAsia" w:ascii="宋体" w:hAnsi="宋体" w:eastAsia="宋体" w:cs="宋体"/>
          <w:kern w:val="0"/>
          <w:sz w:val="24"/>
          <w:szCs w:val="24"/>
          <w:lang w:val="zh-CN"/>
        </w:rPr>
        <w:t>产品技术参数、指标”栏中列出所投产品的具体规格型号和具体技术参数、指标；以</w:t>
      </w:r>
      <w:r>
        <w:rPr>
          <w:rFonts w:hint="eastAsia" w:ascii="宋体" w:hAnsi="宋体" w:eastAsia="宋体" w:cs="宋体"/>
          <w:kern w:val="0"/>
          <w:sz w:val="24"/>
          <w:szCs w:val="24"/>
          <w:lang w:val="en-US" w:eastAsia="zh-CN"/>
        </w:rPr>
        <w:t>采购人</w:t>
      </w:r>
      <w:r>
        <w:rPr>
          <w:rFonts w:hint="eastAsia" w:ascii="宋体" w:hAnsi="宋体" w:eastAsia="宋体" w:cs="宋体"/>
          <w:kern w:val="0"/>
          <w:sz w:val="24"/>
          <w:szCs w:val="24"/>
          <w:lang w:val="zh-CN"/>
        </w:rPr>
        <w:t>需求为最低指标要求，供应商对超出或不满足最低指标要求的指标需列出“＋、-、0”偏差。如果与</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文件中提供的产品检测报告、彩页等证明材料中的实质性响应情况不一致或直接复制</w:t>
      </w:r>
      <w:r>
        <w:rPr>
          <w:rFonts w:hint="eastAsia" w:ascii="宋体" w:hAnsi="宋体" w:eastAsia="宋体" w:cs="宋体"/>
          <w:kern w:val="0"/>
          <w:sz w:val="24"/>
          <w:szCs w:val="24"/>
          <w:lang w:val="en-US" w:eastAsia="zh-CN"/>
        </w:rPr>
        <w:t>谈判</w:t>
      </w:r>
      <w:r>
        <w:rPr>
          <w:rFonts w:hint="eastAsia" w:ascii="宋体" w:hAnsi="宋体" w:eastAsia="宋体" w:cs="宋体"/>
          <w:kern w:val="0"/>
          <w:sz w:val="24"/>
          <w:szCs w:val="24"/>
          <w:lang w:val="zh-CN"/>
        </w:rPr>
        <w:t>文件“采购需求技术参数、指标”内容的，按无效</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处理。</w:t>
      </w:r>
    </w:p>
    <w:p w14:paraId="2CF0A730">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1.4 本次采购产品均为国产产品，所投产品必须符合国家的强制性标准。</w:t>
      </w:r>
    </w:p>
    <w:p w14:paraId="39F3E2CA">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1.5 所投产品或其任何一部分不得侵犯专利权、著作权、商标权和工业设计权等知识产权。</w:t>
      </w:r>
    </w:p>
    <w:p w14:paraId="527A127C">
      <w:pPr>
        <w:pStyle w:val="24"/>
        <w:spacing w:before="0" w:after="0" w:line="360" w:lineRule="auto"/>
        <w:ind w:firstLine="480"/>
        <w:jc w:val="left"/>
        <w:outlineLvl w:val="1"/>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2.报价说明</w:t>
      </w:r>
      <w:bookmarkEnd w:id="46"/>
      <w:r>
        <w:rPr>
          <w:rFonts w:hint="eastAsia" w:ascii="宋体" w:hAnsi="宋体" w:eastAsia="宋体" w:cs="宋体"/>
          <w:b/>
          <w:bCs/>
          <w:color w:val="000000" w:themeColor="text1"/>
          <w:sz w:val="28"/>
          <w:szCs w:val="28"/>
          <w14:textFill>
            <w14:solidFill>
              <w14:schemeClr w14:val="tx1"/>
            </w14:solidFill>
          </w14:textFill>
        </w:rPr>
        <w:t xml:space="preserve"> </w:t>
      </w:r>
    </w:p>
    <w:p w14:paraId="3D6DA54A">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bookmarkStart w:id="47" w:name="_Toc9782"/>
      <w:r>
        <w:rPr>
          <w:rFonts w:hint="eastAsia" w:ascii="宋体" w:hAnsi="宋体" w:eastAsia="宋体" w:cs="宋体"/>
          <w:kern w:val="0"/>
          <w:sz w:val="24"/>
          <w:szCs w:val="24"/>
          <w:lang w:val="zh-CN"/>
        </w:rPr>
        <w:t>本次谈判文件中规定的采购预算额度为采购最高限价，供应商的响应报价不得超出此额度。否则，响应无效。</w:t>
      </w:r>
    </w:p>
    <w:p w14:paraId="31000521">
      <w:pPr>
        <w:keepNext w:val="0"/>
        <w:keepLines w:val="0"/>
        <w:pageBreakBefore w:val="0"/>
        <w:widowControl w:val="0"/>
        <w:kinsoku/>
        <w:wordWrap/>
        <w:overflowPunct/>
        <w:topLinePunct w:val="0"/>
        <w:autoSpaceDE w:val="0"/>
        <w:autoSpaceDN w:val="0"/>
        <w:bidi w:val="0"/>
        <w:adjustRightInd w:val="0"/>
        <w:snapToGrid/>
        <w:spacing w:after="240" w:line="360" w:lineRule="auto"/>
        <w:ind w:firstLine="562" w:firstLineChars="200"/>
        <w:textAlignment w:val="auto"/>
        <w:rPr>
          <w:rFonts w:hint="eastAsia" w:ascii="宋体" w:hAnsi="宋体" w:eastAsia="宋体" w:cs="宋体"/>
          <w:b/>
          <w:bCs/>
          <w:color w:val="000000" w:themeColor="text1"/>
          <w:sz w:val="28"/>
          <w:szCs w:val="28"/>
          <w:lang w:val="zh-CN" w:eastAsia="zh-CN" w:bidi="ar-SA"/>
          <w14:textFill>
            <w14:solidFill>
              <w14:schemeClr w14:val="tx1"/>
            </w14:solidFill>
          </w14:textFill>
        </w:rPr>
      </w:pPr>
      <w:r>
        <w:rPr>
          <w:rFonts w:hint="eastAsia" w:ascii="宋体" w:hAnsi="宋体" w:eastAsia="宋体" w:cs="宋体"/>
          <w:b/>
          <w:bCs/>
          <w:color w:val="000000" w:themeColor="text1"/>
          <w:sz w:val="28"/>
          <w:szCs w:val="28"/>
          <w:lang w:val="en-US" w:eastAsia="zh-CN" w:bidi="ar-SA"/>
          <w14:textFill>
            <w14:solidFill>
              <w14:schemeClr w14:val="tx1"/>
            </w14:solidFill>
          </w14:textFill>
        </w:rPr>
        <w:t>3.商务</w:t>
      </w:r>
      <w:r>
        <w:rPr>
          <w:rFonts w:hint="eastAsia" w:ascii="宋体" w:hAnsi="宋体" w:eastAsia="宋体" w:cs="宋体"/>
          <w:b/>
          <w:bCs/>
          <w:color w:val="000000" w:themeColor="text1"/>
          <w:sz w:val="28"/>
          <w:szCs w:val="28"/>
          <w:lang w:val="zh-CN" w:eastAsia="zh-CN" w:bidi="ar-SA"/>
          <w14:textFill>
            <w14:solidFill>
              <w14:schemeClr w14:val="tx1"/>
            </w14:solidFill>
          </w14:textFill>
        </w:rPr>
        <w:t>要求</w:t>
      </w:r>
      <w:bookmarkEnd w:id="47"/>
      <w:r>
        <w:rPr>
          <w:rFonts w:hint="eastAsia" w:ascii="宋体" w:hAnsi="宋体" w:eastAsia="宋体" w:cs="宋体"/>
          <w:b/>
          <w:bCs/>
          <w:color w:val="000000" w:themeColor="text1"/>
          <w:sz w:val="28"/>
          <w:szCs w:val="28"/>
          <w:lang w:val="zh-CN" w:eastAsia="zh-CN" w:bidi="ar-SA"/>
          <w14:textFill>
            <w14:solidFill>
              <w14:schemeClr w14:val="tx1"/>
            </w14:solidFill>
          </w14:textFill>
        </w:rPr>
        <w:t xml:space="preserve"> </w:t>
      </w:r>
    </w:p>
    <w:p w14:paraId="6F217768">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bookmarkStart w:id="48" w:name="_Toc536543223"/>
      <w:bookmarkStart w:id="49" w:name="_Toc19521329"/>
      <w:bookmarkStart w:id="50" w:name="_Toc393984747"/>
      <w:r>
        <w:rPr>
          <w:rFonts w:hint="eastAsia" w:ascii="宋体" w:hAnsi="宋体" w:eastAsia="宋体" w:cs="宋体"/>
          <w:color w:val="000000" w:themeColor="text1"/>
          <w:sz w:val="24"/>
          <w:szCs w:val="24"/>
          <w:lang w:val="en-US" w:eastAsia="zh-CN" w:bidi="ar-SA"/>
          <w14:textFill>
            <w14:solidFill>
              <w14:schemeClr w14:val="tx1"/>
            </w14:solidFill>
          </w14:textFill>
        </w:rPr>
        <w:t>3.1 交货时间：</w:t>
      </w:r>
      <w:r>
        <w:rPr>
          <w:rFonts w:hint="eastAsia" w:ascii="宋体" w:hAnsi="宋体" w:eastAsia="宋体" w:cs="宋体"/>
          <w:color w:val="000000" w:themeColor="text1"/>
          <w:sz w:val="24"/>
          <w:szCs w:val="24"/>
          <w:lang w:val="zh-CN" w:eastAsia="zh-CN" w:bidi="ar-SA"/>
          <w14:textFill>
            <w14:solidFill>
              <w14:schemeClr w14:val="tx1"/>
            </w14:solidFill>
          </w14:textFill>
        </w:rPr>
        <w:t>自合同签订之日起7日历日。</w:t>
      </w:r>
    </w:p>
    <w:p w14:paraId="4124EA81">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3.2 交货地点：乐都区10个乡镇(街道)20个村(社区)，分别为高店镇大峡村，高庙镇西村村，岗沟街道滨河路社区、李家村、九哈家社区、七里店社区，洪水镇双二村、阿西村，碾伯街道古城西社区、新乐西社区、河门村、西门村、八家村、古城东社区，蒲台乡千户台村，瞿县镇徐家台村，寿乐镇杨家岗村，下营乡上营村雨润镇大地湾村、羊圈村。在村委会、社区、辖属幼儿园及日间照料中心内建设。</w:t>
      </w:r>
    </w:p>
    <w:p w14:paraId="13616D4A">
      <w:pPr>
        <w:autoSpaceDE w:val="0"/>
        <w:autoSpaceDN w:val="0"/>
        <w:spacing w:line="360" w:lineRule="auto"/>
        <w:ind w:left="0" w:leftChars="0" w:firstLine="480" w:firstLineChars="20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zh-CN" w:eastAsia="zh-CN" w:bidi="ar-SA"/>
          <w14:textFill>
            <w14:solidFill>
              <w14:schemeClr w14:val="tx1"/>
            </w14:solidFill>
          </w14:textFill>
        </w:rPr>
        <w:t>.3</w:t>
      </w:r>
      <w:r>
        <w:rPr>
          <w:rFonts w:hint="eastAsia" w:ascii="宋体" w:hAnsi="宋体" w:eastAsia="宋体" w:cs="宋体"/>
          <w:color w:val="000000" w:themeColor="text1"/>
          <w:sz w:val="24"/>
          <w:szCs w:val="24"/>
          <w:lang w:val="en-US" w:eastAsia="zh-CN" w:bidi="ar-SA"/>
          <w14:textFill>
            <w14:solidFill>
              <w14:schemeClr w14:val="tx1"/>
            </w14:solidFill>
          </w14:textFill>
        </w:rPr>
        <w:t xml:space="preserve"> </w:t>
      </w:r>
      <w:r>
        <w:rPr>
          <w:rFonts w:hint="eastAsia" w:ascii="宋体" w:hAnsi="宋体" w:eastAsia="宋体" w:cs="宋体"/>
          <w:color w:val="000000" w:themeColor="text1"/>
          <w:sz w:val="24"/>
          <w:szCs w:val="24"/>
          <w:lang w:val="zh-CN" w:eastAsia="zh-CN" w:bidi="ar-SA"/>
          <w14:textFill>
            <w14:solidFill>
              <w14:schemeClr w14:val="tx1"/>
            </w14:solidFill>
          </w14:textFill>
        </w:rPr>
        <w:t>付款方式：</w:t>
      </w:r>
      <w:r>
        <w:rPr>
          <w:rFonts w:hint="eastAsia" w:ascii="宋体" w:hAnsi="宋体" w:eastAsia="宋体" w:cs="宋体"/>
          <w:color w:val="000000" w:themeColor="text1"/>
          <w:sz w:val="24"/>
          <w:szCs w:val="24"/>
          <w:lang w:val="en-US" w:eastAsia="zh-CN" w:bidi="ar-SA"/>
          <w14:textFill>
            <w14:solidFill>
              <w14:schemeClr w14:val="tx1"/>
            </w14:solidFill>
          </w14:textFill>
        </w:rPr>
        <w:t>以合同约定为准</w:t>
      </w:r>
    </w:p>
    <w:p w14:paraId="1C884A1D">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zh-CN" w:eastAsia="zh-CN" w:bidi="ar-SA"/>
          <w14:textFill>
            <w14:solidFill>
              <w14:schemeClr w14:val="tx1"/>
            </w14:solidFill>
          </w14:textFill>
        </w:rPr>
        <w:t>.4 质保期：</w:t>
      </w:r>
      <w:r>
        <w:rPr>
          <w:rFonts w:hint="eastAsia" w:ascii="宋体" w:hAnsi="宋体" w:eastAsia="宋体" w:cs="宋体"/>
          <w:color w:val="000000" w:themeColor="text1"/>
          <w:sz w:val="24"/>
          <w:szCs w:val="24"/>
          <w:lang w:val="en-US" w:eastAsia="zh-CN" w:bidi="ar-SA"/>
          <w14:textFill>
            <w14:solidFill>
              <w14:schemeClr w14:val="tx1"/>
            </w14:solidFill>
          </w14:textFill>
        </w:rPr>
        <w:t>1年</w:t>
      </w:r>
    </w:p>
    <w:p w14:paraId="48A60ABD">
      <w:pPr>
        <w:keepNext w:val="0"/>
        <w:keepLines w:val="0"/>
        <w:pageBreakBefore w:val="0"/>
        <w:widowControl w:val="0"/>
        <w:kinsoku/>
        <w:wordWrap/>
        <w:overflowPunct/>
        <w:topLinePunct w:val="0"/>
        <w:autoSpaceDE w:val="0"/>
        <w:autoSpaceDN w:val="0"/>
        <w:bidi w:val="0"/>
        <w:adjustRightInd w:val="0"/>
        <w:snapToGrid/>
        <w:spacing w:after="240" w:line="360" w:lineRule="auto"/>
        <w:ind w:firstLine="562" w:firstLineChars="200"/>
        <w:textAlignment w:val="auto"/>
        <w:rPr>
          <w:rFonts w:hint="eastAsia" w:ascii="宋体" w:hAnsi="宋体" w:eastAsia="宋体" w:cs="宋体"/>
          <w:b/>
          <w:bCs/>
          <w:color w:val="000000" w:themeColor="text1"/>
          <w:sz w:val="28"/>
          <w:szCs w:val="28"/>
          <w:lang w:val="en-US" w:eastAsia="zh-CN" w:bidi="ar-SA"/>
          <w14:textFill>
            <w14:solidFill>
              <w14:schemeClr w14:val="tx1"/>
            </w14:solidFill>
          </w14:textFill>
        </w:rPr>
      </w:pPr>
      <w:r>
        <w:rPr>
          <w:rFonts w:hint="eastAsia" w:ascii="宋体" w:hAnsi="宋体" w:eastAsia="宋体" w:cs="宋体"/>
          <w:b/>
          <w:bCs/>
          <w:color w:val="000000" w:themeColor="text1"/>
          <w:sz w:val="28"/>
          <w:szCs w:val="28"/>
          <w:lang w:val="en-US" w:eastAsia="zh-CN" w:bidi="ar-SA"/>
          <w14:textFill>
            <w14:solidFill>
              <w14:schemeClr w14:val="tx1"/>
            </w14:solidFill>
          </w14:textFill>
        </w:rPr>
        <w:t xml:space="preserve">4、项目建设内容和规模 </w:t>
      </w:r>
    </w:p>
    <w:p w14:paraId="0237306B">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本次项目采购儿童读物、玩具、娱乐设施，该项目清单为1所“儿童之家”设施设备，本次按照20个(村委会、社区、辖属幼儿园及日间照料中心)采购，合计采购 20套。</w:t>
      </w:r>
    </w:p>
    <w:p w14:paraId="707FBF94">
      <w:pPr>
        <w:keepNext w:val="0"/>
        <w:keepLines w:val="0"/>
        <w:pageBreakBefore w:val="0"/>
        <w:widowControl w:val="0"/>
        <w:kinsoku/>
        <w:wordWrap/>
        <w:overflowPunct/>
        <w:topLinePunct w:val="0"/>
        <w:autoSpaceDE w:val="0"/>
        <w:autoSpaceDN w:val="0"/>
        <w:bidi w:val="0"/>
        <w:adjustRightInd w:val="0"/>
        <w:snapToGrid/>
        <w:spacing w:after="240" w:line="360" w:lineRule="auto"/>
        <w:ind w:firstLine="562" w:firstLineChars="200"/>
        <w:jc w:val="center"/>
        <w:textAlignment w:val="auto"/>
        <w:rPr>
          <w:rFonts w:hint="eastAsia" w:ascii="宋体" w:hAnsi="宋体" w:eastAsia="宋体" w:cs="宋体"/>
          <w:b/>
          <w:bCs/>
          <w:color w:val="000000" w:themeColor="text1"/>
          <w:sz w:val="28"/>
          <w:szCs w:val="28"/>
          <w:lang w:val="en-US" w:eastAsia="zh-CN" w:bidi="ar-SA"/>
          <w14:textFill>
            <w14:solidFill>
              <w14:schemeClr w14:val="tx1"/>
            </w14:solidFill>
          </w14:textFill>
        </w:rPr>
      </w:pPr>
      <w:r>
        <w:rPr>
          <w:rFonts w:hint="eastAsia" w:ascii="宋体" w:hAnsi="宋体" w:eastAsia="宋体" w:cs="宋体"/>
          <w:b/>
          <w:bCs/>
          <w:color w:val="000000" w:themeColor="text1"/>
          <w:sz w:val="28"/>
          <w:szCs w:val="28"/>
          <w:lang w:val="en-US" w:eastAsia="zh-CN" w:bidi="ar-SA"/>
          <w14:textFill>
            <w14:solidFill>
              <w14:schemeClr w14:val="tx1"/>
            </w14:solidFill>
          </w14:textFill>
        </w:rPr>
        <w:t>大陕村、西村村等19个“儿童之家”设备设施</w:t>
      </w:r>
    </w:p>
    <w:p w14:paraId="71F43AEE">
      <w:pPr>
        <w:keepNext w:val="0"/>
        <w:keepLines w:val="0"/>
        <w:pageBreakBefore w:val="0"/>
        <w:widowControl w:val="0"/>
        <w:kinsoku/>
        <w:wordWrap/>
        <w:overflowPunct/>
        <w:topLinePunct w:val="0"/>
        <w:autoSpaceDE w:val="0"/>
        <w:autoSpaceDN w:val="0"/>
        <w:bidi w:val="0"/>
        <w:adjustRightInd w:val="0"/>
        <w:snapToGrid/>
        <w:spacing w:after="240" w:line="360" w:lineRule="auto"/>
        <w:ind w:firstLine="562" w:firstLineChars="200"/>
        <w:jc w:val="center"/>
        <w:textAlignment w:val="auto"/>
        <w:rPr>
          <w:rFonts w:hint="eastAsia" w:ascii="宋体" w:hAnsi="宋体" w:eastAsia="宋体" w:cs="宋体"/>
          <w:b/>
          <w:bCs/>
          <w:color w:val="000000" w:themeColor="text1"/>
          <w:sz w:val="28"/>
          <w:szCs w:val="28"/>
          <w:lang w:val="en-US" w:eastAsia="zh-CN" w:bidi="ar-SA"/>
          <w14:textFill>
            <w14:solidFill>
              <w14:schemeClr w14:val="tx1"/>
            </w14:solidFill>
          </w14:textFill>
        </w:rPr>
      </w:pPr>
      <w:r>
        <w:rPr>
          <w:rFonts w:hint="eastAsia" w:ascii="宋体" w:hAnsi="宋体" w:eastAsia="宋体" w:cs="宋体"/>
          <w:b/>
          <w:bCs/>
          <w:color w:val="000000" w:themeColor="text1"/>
          <w:sz w:val="28"/>
          <w:szCs w:val="28"/>
          <w:lang w:val="en-US" w:eastAsia="zh-CN" w:bidi="ar-SA"/>
          <w14:textFill>
            <w14:solidFill>
              <w14:schemeClr w14:val="tx1"/>
            </w14:solidFill>
          </w14:textFill>
        </w:rPr>
        <w:t>采购一览表（单套）</w:t>
      </w:r>
    </w:p>
    <w:tbl>
      <w:tblPr>
        <w:tblStyle w:val="28"/>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6"/>
        <w:gridCol w:w="701"/>
        <w:gridCol w:w="750"/>
        <w:gridCol w:w="6178"/>
      </w:tblGrid>
      <w:tr w14:paraId="2697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18" w:type="dxa"/>
            <w:vAlign w:val="center"/>
          </w:tcPr>
          <w:p w14:paraId="324ACCDB">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序号</w:t>
            </w:r>
          </w:p>
        </w:tc>
        <w:tc>
          <w:tcPr>
            <w:tcW w:w="1286" w:type="dxa"/>
            <w:vAlign w:val="center"/>
          </w:tcPr>
          <w:p w14:paraId="478EA31B">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名称</w:t>
            </w:r>
          </w:p>
        </w:tc>
        <w:tc>
          <w:tcPr>
            <w:tcW w:w="701" w:type="dxa"/>
            <w:vAlign w:val="center"/>
          </w:tcPr>
          <w:p w14:paraId="3F1BE1A9">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数量</w:t>
            </w:r>
          </w:p>
        </w:tc>
        <w:tc>
          <w:tcPr>
            <w:tcW w:w="750" w:type="dxa"/>
            <w:vAlign w:val="center"/>
          </w:tcPr>
          <w:p w14:paraId="47801CF8">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单位</w:t>
            </w:r>
          </w:p>
        </w:tc>
        <w:tc>
          <w:tcPr>
            <w:tcW w:w="6178" w:type="dxa"/>
            <w:vAlign w:val="center"/>
          </w:tcPr>
          <w:p w14:paraId="31B8BA9F">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规格、材质</w:t>
            </w:r>
          </w:p>
        </w:tc>
      </w:tr>
      <w:tr w14:paraId="08E2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8" w:type="dxa"/>
            <w:vAlign w:val="center"/>
          </w:tcPr>
          <w:p w14:paraId="39A5977E">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一</w:t>
            </w:r>
          </w:p>
        </w:tc>
        <w:tc>
          <w:tcPr>
            <w:tcW w:w="1286" w:type="dxa"/>
            <w:vAlign w:val="center"/>
          </w:tcPr>
          <w:p w14:paraId="7E98A65C">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体育类</w:t>
            </w:r>
          </w:p>
        </w:tc>
        <w:tc>
          <w:tcPr>
            <w:tcW w:w="701" w:type="dxa"/>
            <w:vAlign w:val="center"/>
          </w:tcPr>
          <w:p w14:paraId="4C8E07EC">
            <w:pPr>
              <w:autoSpaceDE w:val="0"/>
              <w:autoSpaceDN w:val="0"/>
              <w:spacing w:line="360" w:lineRule="auto"/>
              <w:ind w:firstLine="480"/>
              <w:jc w:val="center"/>
              <w:rPr>
                <w:rFonts w:hint="default" w:ascii="宋体" w:hAnsi="宋体" w:eastAsia="宋体" w:cs="宋体"/>
                <w:color w:val="000000" w:themeColor="text1"/>
                <w:sz w:val="24"/>
                <w:szCs w:val="24"/>
                <w:lang w:val="en-US" w:eastAsia="zh-CN" w:bidi="ar-SA"/>
                <w14:textFill>
                  <w14:solidFill>
                    <w14:schemeClr w14:val="tx1"/>
                  </w14:solidFill>
                </w14:textFill>
              </w:rPr>
            </w:pPr>
          </w:p>
        </w:tc>
        <w:tc>
          <w:tcPr>
            <w:tcW w:w="750" w:type="dxa"/>
            <w:vAlign w:val="center"/>
          </w:tcPr>
          <w:p w14:paraId="18F6654E">
            <w:pPr>
              <w:autoSpaceDE w:val="0"/>
              <w:autoSpaceDN w:val="0"/>
              <w:spacing w:line="360" w:lineRule="auto"/>
              <w:ind w:firstLine="480"/>
              <w:jc w:val="center"/>
              <w:rPr>
                <w:rFonts w:hint="default" w:ascii="宋体" w:hAnsi="宋体" w:eastAsia="宋体" w:cs="宋体"/>
                <w:color w:val="000000" w:themeColor="text1"/>
                <w:sz w:val="24"/>
                <w:szCs w:val="24"/>
                <w:lang w:val="en-US" w:eastAsia="zh-CN" w:bidi="ar-SA"/>
                <w14:textFill>
                  <w14:solidFill>
                    <w14:schemeClr w14:val="tx1"/>
                  </w14:solidFill>
                </w14:textFill>
              </w:rPr>
            </w:pPr>
          </w:p>
        </w:tc>
        <w:tc>
          <w:tcPr>
            <w:tcW w:w="6178" w:type="dxa"/>
            <w:vAlign w:val="center"/>
          </w:tcPr>
          <w:p w14:paraId="012617DD">
            <w:pPr>
              <w:autoSpaceDE w:val="0"/>
              <w:autoSpaceDN w:val="0"/>
              <w:spacing w:line="360" w:lineRule="auto"/>
              <w:ind w:firstLine="480"/>
              <w:rPr>
                <w:rFonts w:hint="default" w:ascii="宋体" w:hAnsi="宋体" w:eastAsia="宋体" w:cs="宋体"/>
                <w:color w:val="000000" w:themeColor="text1"/>
                <w:sz w:val="24"/>
                <w:szCs w:val="24"/>
                <w:lang w:val="en-US" w:eastAsia="zh-CN" w:bidi="ar-SA"/>
                <w14:textFill>
                  <w14:solidFill>
                    <w14:schemeClr w14:val="tx1"/>
                  </w14:solidFill>
                </w14:textFill>
              </w:rPr>
            </w:pPr>
          </w:p>
        </w:tc>
      </w:tr>
      <w:tr w14:paraId="3A8E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18" w:type="dxa"/>
            <w:vAlign w:val="center"/>
          </w:tcPr>
          <w:p w14:paraId="3A98DE39">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p>
        </w:tc>
        <w:tc>
          <w:tcPr>
            <w:tcW w:w="1286" w:type="dxa"/>
            <w:vAlign w:val="center"/>
          </w:tcPr>
          <w:p w14:paraId="51301553">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篮球</w:t>
            </w:r>
          </w:p>
        </w:tc>
        <w:tc>
          <w:tcPr>
            <w:tcW w:w="701" w:type="dxa"/>
            <w:vAlign w:val="center"/>
          </w:tcPr>
          <w:p w14:paraId="778242B2">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p>
        </w:tc>
        <w:tc>
          <w:tcPr>
            <w:tcW w:w="750" w:type="dxa"/>
            <w:vAlign w:val="center"/>
          </w:tcPr>
          <w:p w14:paraId="780BA4CD">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个</w:t>
            </w:r>
          </w:p>
        </w:tc>
        <w:tc>
          <w:tcPr>
            <w:tcW w:w="6178" w:type="dxa"/>
            <w:vAlign w:val="center"/>
          </w:tcPr>
          <w:p w14:paraId="3387E467">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圆周长：750-760mm。</w:t>
            </w:r>
          </w:p>
          <w:p w14:paraId="352FA486">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反弹高度；1100</w:t>
            </w:r>
            <w:r>
              <w:rPr>
                <w:rFonts w:hint="default" w:ascii="宋体" w:hAnsi="宋体" w:eastAsia="宋体" w:cs="宋体"/>
                <w:color w:val="000000" w:themeColor="text1"/>
                <w:sz w:val="24"/>
                <w:szCs w:val="24"/>
                <w:lang w:val="en-US" w:eastAsia="zh-CN" w:bidi="ar-SA"/>
                <w14:textFill>
                  <w14:solidFill>
                    <w14:schemeClr w14:val="tx1"/>
                  </w14:solidFill>
                </w14:textFill>
              </w:rPr>
              <w:t xml:space="preserve"> </w:t>
            </w:r>
            <w:r>
              <w:rPr>
                <w:rFonts w:hint="eastAsia" w:ascii="宋体" w:hAnsi="宋体" w:eastAsia="宋体" w:cs="宋体"/>
                <w:color w:val="000000" w:themeColor="text1"/>
                <w:sz w:val="24"/>
                <w:szCs w:val="24"/>
                <w:lang w:val="en-US" w:eastAsia="zh-CN" w:bidi="ar-SA"/>
                <w14:textFill>
                  <w14:solidFill>
                    <w14:schemeClr w14:val="tx1"/>
                  </w14:solidFill>
                </w14:textFill>
              </w:rPr>
              <w:t>-</w:t>
            </w:r>
            <w:r>
              <w:rPr>
                <w:rFonts w:hint="default" w:ascii="宋体" w:hAnsi="宋体" w:eastAsia="宋体" w:cs="宋体"/>
                <w:color w:val="000000" w:themeColor="text1"/>
                <w:sz w:val="24"/>
                <w:szCs w:val="24"/>
                <w:lang w:val="en-US" w:eastAsia="zh-CN" w:bidi="ar-SA"/>
                <w14:textFill>
                  <w14:solidFill>
                    <w14:schemeClr w14:val="tx1"/>
                  </w14:solidFill>
                </w14:textFill>
              </w:rPr>
              <w:t>1400</w:t>
            </w:r>
          </w:p>
          <w:p w14:paraId="33916A24">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耐冲击性：≥1000</w:t>
            </w:r>
          </w:p>
          <w:p w14:paraId="07AAD34C">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冲击后膨胀率≤</w:t>
            </w:r>
            <w:r>
              <w:rPr>
                <w:rFonts w:hint="default" w:ascii="宋体" w:hAnsi="宋体" w:eastAsia="宋体" w:cs="宋体"/>
                <w:color w:val="000000" w:themeColor="text1"/>
                <w:sz w:val="24"/>
                <w:szCs w:val="24"/>
                <w:lang w:val="en-US" w:eastAsia="zh-CN" w:bidi="ar-SA"/>
                <w14:textFill>
                  <w14:solidFill>
                    <w14:schemeClr w14:val="tx1"/>
                  </w14:solidFill>
                </w14:textFill>
              </w:rPr>
              <w:t>1.03</w:t>
            </w:r>
            <w:r>
              <w:rPr>
                <w:rFonts w:hint="eastAsia" w:ascii="宋体" w:hAnsi="宋体" w:eastAsia="宋体" w:cs="宋体"/>
                <w:color w:val="000000" w:themeColor="text1"/>
                <w:sz w:val="24"/>
                <w:szCs w:val="24"/>
                <w:lang w:val="en-US" w:eastAsia="zh-CN" w:bidi="ar-SA"/>
                <w14:textFill>
                  <w14:solidFill>
                    <w14:schemeClr w14:val="tx1"/>
                  </w14:solidFill>
                </w14:textFill>
              </w:rPr>
              <w:t>%</w:t>
            </w:r>
          </w:p>
          <w:p w14:paraId="7C12277B">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冲击后变形值≤</w:t>
            </w:r>
            <w:r>
              <w:rPr>
                <w:rFonts w:hint="default" w:ascii="宋体" w:hAnsi="宋体" w:eastAsia="宋体" w:cs="宋体"/>
                <w:color w:val="000000" w:themeColor="text1"/>
                <w:sz w:val="24"/>
                <w:szCs w:val="24"/>
                <w:lang w:val="en-US" w:eastAsia="zh-CN" w:bidi="ar-SA"/>
                <w14:textFill>
                  <w14:solidFill>
                    <w14:schemeClr w14:val="tx1"/>
                  </w14:solidFill>
                </w14:textFill>
              </w:rPr>
              <w:t>3mm</w:t>
            </w:r>
          </w:p>
          <w:p w14:paraId="79F23F28">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冲击后球内压下降率≤12</w:t>
            </w:r>
            <w:r>
              <w:rPr>
                <w:rFonts w:hint="default" w:ascii="宋体" w:hAnsi="宋体" w:eastAsia="宋体" w:cs="宋体"/>
                <w:color w:val="000000" w:themeColor="text1"/>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lang w:val="en-US" w:eastAsia="zh-CN" w:bidi="ar-SA"/>
                <w14:textFill>
                  <w14:solidFill>
                    <w14:schemeClr w14:val="tx1"/>
                  </w14:solidFill>
                </w14:textFill>
              </w:rPr>
              <w:t>，</w:t>
            </w:r>
          </w:p>
          <w:p w14:paraId="2C21574F">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冲击后球体外观：应无破裂、内爆、脱皮、脱线、断线和变形等现象符合</w:t>
            </w:r>
            <w:r>
              <w:rPr>
                <w:rFonts w:hint="default" w:ascii="宋体" w:hAnsi="宋体" w:eastAsia="宋体" w:cs="宋体"/>
                <w:color w:val="000000" w:themeColor="text1"/>
                <w:sz w:val="24"/>
                <w:szCs w:val="24"/>
                <w:lang w:val="en-US" w:eastAsia="zh-CN" w:bidi="ar-SA"/>
                <w14:textFill>
                  <w14:solidFill>
                    <w14:schemeClr w14:val="tx1"/>
                  </w14:solidFill>
                </w14:textFill>
              </w:rPr>
              <w:t>GB/T22868-2008</w:t>
            </w:r>
            <w:r>
              <w:rPr>
                <w:rFonts w:hint="eastAsia" w:ascii="宋体" w:hAnsi="宋体" w:eastAsia="宋体" w:cs="宋体"/>
                <w:color w:val="000000" w:themeColor="text1"/>
                <w:sz w:val="24"/>
                <w:szCs w:val="24"/>
                <w:lang w:val="en-US" w:eastAsia="zh-CN" w:bidi="ar-SA"/>
                <w14:textFill>
                  <w14:solidFill>
                    <w14:schemeClr w14:val="tx1"/>
                  </w14:solidFill>
                </w14:textFill>
              </w:rPr>
              <w:t>《篮球》规定的要求。</w:t>
            </w:r>
          </w:p>
          <w:p w14:paraId="23EBE186">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提供第三方检测机构出具的检测报告</w:t>
            </w:r>
          </w:p>
        </w:tc>
      </w:tr>
      <w:tr w14:paraId="4FB7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01DA4145">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p>
        </w:tc>
        <w:tc>
          <w:tcPr>
            <w:tcW w:w="1286" w:type="dxa"/>
            <w:vAlign w:val="center"/>
          </w:tcPr>
          <w:p w14:paraId="5696495A">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足球</w:t>
            </w:r>
          </w:p>
        </w:tc>
        <w:tc>
          <w:tcPr>
            <w:tcW w:w="701" w:type="dxa"/>
            <w:vAlign w:val="center"/>
          </w:tcPr>
          <w:p w14:paraId="69F621D1">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p>
        </w:tc>
        <w:tc>
          <w:tcPr>
            <w:tcW w:w="750" w:type="dxa"/>
            <w:vAlign w:val="center"/>
          </w:tcPr>
          <w:p w14:paraId="0EBA2716">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个</w:t>
            </w:r>
          </w:p>
        </w:tc>
        <w:tc>
          <w:tcPr>
            <w:tcW w:w="6178" w:type="dxa"/>
            <w:vAlign w:val="center"/>
          </w:tcPr>
          <w:p w14:paraId="73DFE632">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反弹高度</w:t>
            </w:r>
            <w:r>
              <w:rPr>
                <w:rFonts w:hint="default" w:ascii="宋体" w:hAnsi="宋体" w:eastAsia="宋体" w:cs="宋体"/>
                <w:color w:val="000000" w:themeColor="text1"/>
                <w:sz w:val="24"/>
                <w:szCs w:val="24"/>
                <w:lang w:val="en-US" w:eastAsia="zh-CN" w:bidi="ar-SA"/>
                <w14:textFill>
                  <w14:solidFill>
                    <w14:schemeClr w14:val="tx1"/>
                  </w14:solidFill>
                </w14:textFill>
              </w:rPr>
              <w:t>1</w:t>
            </w:r>
            <w:r>
              <w:rPr>
                <w:rFonts w:hint="eastAsia" w:ascii="宋体" w:hAnsi="宋体" w:eastAsia="宋体" w:cs="宋体"/>
                <w:color w:val="000000" w:themeColor="text1"/>
                <w:sz w:val="24"/>
                <w:szCs w:val="24"/>
                <w:lang w:val="en-US" w:eastAsia="zh-CN" w:bidi="ar-SA"/>
                <w14:textFill>
                  <w14:solidFill>
                    <w14:schemeClr w14:val="tx1"/>
                  </w14:solidFill>
                </w14:textFill>
              </w:rPr>
              <w:t>150</w:t>
            </w:r>
            <w:r>
              <w:rPr>
                <w:rFonts w:hint="default" w:ascii="宋体" w:hAnsi="宋体" w:eastAsia="宋体" w:cs="宋体"/>
                <w:color w:val="000000" w:themeColor="text1"/>
                <w:sz w:val="24"/>
                <w:szCs w:val="24"/>
                <w:lang w:val="en-US" w:eastAsia="zh-CN" w:bidi="ar-SA"/>
                <w14:textFill>
                  <w14:solidFill>
                    <w14:schemeClr w14:val="tx1"/>
                  </w14:solidFill>
                </w14:textFill>
              </w:rPr>
              <w:t>~14</w:t>
            </w:r>
            <w:r>
              <w:rPr>
                <w:rFonts w:hint="eastAsia" w:ascii="宋体" w:hAnsi="宋体" w:eastAsia="宋体" w:cs="宋体"/>
                <w:color w:val="000000" w:themeColor="text1"/>
                <w:sz w:val="24"/>
                <w:szCs w:val="24"/>
                <w:lang w:val="en-US" w:eastAsia="zh-CN" w:bidi="ar-SA"/>
                <w14:textFill>
                  <w14:solidFill>
                    <w14:schemeClr w14:val="tx1"/>
                  </w14:solidFill>
                </w14:textFill>
              </w:rPr>
              <w:t>50</w:t>
            </w:r>
            <w:r>
              <w:rPr>
                <w:rFonts w:hint="default" w:ascii="宋体" w:hAnsi="宋体" w:eastAsia="宋体" w:cs="宋体"/>
                <w:color w:val="000000" w:themeColor="text1"/>
                <w:sz w:val="24"/>
                <w:szCs w:val="24"/>
                <w:lang w:val="en-US" w:eastAsia="zh-CN" w:bidi="ar-SA"/>
                <w14:textFill>
                  <w14:solidFill>
                    <w14:schemeClr w14:val="tx1"/>
                  </w14:solidFill>
                </w14:textFill>
              </w:rPr>
              <w:t>mm</w:t>
            </w:r>
            <w:r>
              <w:rPr>
                <w:rFonts w:hint="eastAsia" w:ascii="宋体" w:hAnsi="宋体" w:eastAsia="宋体" w:cs="宋体"/>
                <w:color w:val="000000" w:themeColor="text1"/>
                <w:sz w:val="24"/>
                <w:szCs w:val="24"/>
                <w:lang w:val="en-US" w:eastAsia="zh-CN" w:bidi="ar-SA"/>
                <w14:textFill>
                  <w14:solidFill>
                    <w14:schemeClr w14:val="tx1"/>
                  </w14:solidFill>
                </w14:textFill>
              </w:rPr>
              <w:t>，</w:t>
            </w:r>
          </w:p>
          <w:p w14:paraId="2A146527">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冲击后膨胀率≤</w:t>
            </w:r>
            <w:r>
              <w:rPr>
                <w:rFonts w:hint="default" w:ascii="宋体" w:hAnsi="宋体" w:eastAsia="宋体" w:cs="宋体"/>
                <w:color w:val="000000" w:themeColor="text1"/>
                <w:sz w:val="24"/>
                <w:szCs w:val="24"/>
                <w:lang w:val="en-US" w:eastAsia="zh-CN" w:bidi="ar-SA"/>
                <w14:textFill>
                  <w14:solidFill>
                    <w14:schemeClr w14:val="tx1"/>
                  </w14:solidFill>
                </w14:textFill>
              </w:rPr>
              <w:t>1.03</w:t>
            </w:r>
            <w:r>
              <w:rPr>
                <w:rFonts w:hint="eastAsia" w:ascii="宋体" w:hAnsi="宋体" w:eastAsia="宋体" w:cs="宋体"/>
                <w:color w:val="000000" w:themeColor="text1"/>
                <w:sz w:val="24"/>
                <w:szCs w:val="24"/>
                <w:lang w:val="en-US" w:eastAsia="zh-CN" w:bidi="ar-SA"/>
                <w14:textFill>
                  <w14:solidFill>
                    <w14:schemeClr w14:val="tx1"/>
                  </w14:solidFill>
                </w14:textFill>
              </w:rPr>
              <w:t>%</w:t>
            </w:r>
          </w:p>
          <w:p w14:paraId="48AB52C9">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冲击后变形值≤</w:t>
            </w:r>
            <w:r>
              <w:rPr>
                <w:rFonts w:hint="default" w:ascii="宋体" w:hAnsi="宋体" w:eastAsia="宋体" w:cs="宋体"/>
                <w:color w:val="000000" w:themeColor="text1"/>
                <w:sz w:val="24"/>
                <w:szCs w:val="24"/>
                <w:lang w:val="en-US" w:eastAsia="zh-CN" w:bidi="ar-SA"/>
                <w14:textFill>
                  <w14:solidFill>
                    <w14:schemeClr w14:val="tx1"/>
                  </w14:solidFill>
                </w14:textFill>
              </w:rPr>
              <w:t>3mm</w:t>
            </w:r>
          </w:p>
          <w:p w14:paraId="7C0087E3">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冲击后球内压下降率≤12</w:t>
            </w:r>
            <w:r>
              <w:rPr>
                <w:rFonts w:hint="default" w:ascii="宋体" w:hAnsi="宋体" w:eastAsia="宋体" w:cs="宋体"/>
                <w:color w:val="000000" w:themeColor="text1"/>
                <w:sz w:val="24"/>
                <w:szCs w:val="24"/>
                <w:lang w:val="en-US" w:eastAsia="zh-CN" w:bidi="ar-SA"/>
                <w14:textFill>
                  <w14:solidFill>
                    <w14:schemeClr w14:val="tx1"/>
                  </w14:solidFill>
                </w14:textFill>
              </w:rPr>
              <w:t>%</w:t>
            </w:r>
          </w:p>
          <w:p w14:paraId="5DDB7358">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冲击后球体外观：应无破裂、内爆、脱皮、脱胶、断线和变形等现象，符合</w:t>
            </w:r>
            <w:r>
              <w:rPr>
                <w:rFonts w:hint="default" w:ascii="宋体" w:hAnsi="宋体" w:eastAsia="宋体" w:cs="宋体"/>
                <w:color w:val="000000" w:themeColor="text1"/>
                <w:sz w:val="24"/>
                <w:szCs w:val="24"/>
                <w:lang w:val="en-US" w:eastAsia="zh-CN" w:bidi="ar-SA"/>
                <w14:textFill>
                  <w14:solidFill>
                    <w14:schemeClr w14:val="tx1"/>
                  </w14:solidFill>
                </w14:textFill>
              </w:rPr>
              <w:t>GB/T22892-2008</w:t>
            </w:r>
            <w:r>
              <w:rPr>
                <w:rFonts w:hint="eastAsia" w:ascii="宋体" w:hAnsi="宋体" w:eastAsia="宋体" w:cs="宋体"/>
                <w:color w:val="000000" w:themeColor="text1"/>
                <w:sz w:val="24"/>
                <w:szCs w:val="24"/>
                <w:lang w:val="en-US" w:eastAsia="zh-CN" w:bidi="ar-SA"/>
                <w14:textFill>
                  <w14:solidFill>
                    <w14:schemeClr w14:val="tx1"/>
                  </w14:solidFill>
                </w14:textFill>
              </w:rPr>
              <w:t>《足球》规定的要求。</w:t>
            </w:r>
          </w:p>
          <w:p w14:paraId="3A0DA00F">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提供第三方检测机构出具的检测报告</w:t>
            </w:r>
          </w:p>
        </w:tc>
      </w:tr>
      <w:tr w14:paraId="715E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6009EF77">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w:t>
            </w:r>
          </w:p>
        </w:tc>
        <w:tc>
          <w:tcPr>
            <w:tcW w:w="1286" w:type="dxa"/>
            <w:vAlign w:val="center"/>
          </w:tcPr>
          <w:p w14:paraId="6BD90E5A">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羽毛球</w:t>
            </w:r>
          </w:p>
        </w:tc>
        <w:tc>
          <w:tcPr>
            <w:tcW w:w="701" w:type="dxa"/>
            <w:vAlign w:val="center"/>
          </w:tcPr>
          <w:p w14:paraId="55C6178F">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p>
        </w:tc>
        <w:tc>
          <w:tcPr>
            <w:tcW w:w="750" w:type="dxa"/>
            <w:vAlign w:val="center"/>
          </w:tcPr>
          <w:p w14:paraId="2E5A9F91">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副</w:t>
            </w:r>
          </w:p>
        </w:tc>
        <w:tc>
          <w:tcPr>
            <w:tcW w:w="6178" w:type="dxa"/>
            <w:vAlign w:val="center"/>
          </w:tcPr>
          <w:p w14:paraId="0692142E">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材质：玻碳纤维/碳复合</w:t>
            </w:r>
            <w:r>
              <w:rPr>
                <w:rFonts w:hint="eastAsia" w:ascii="宋体" w:hAnsi="宋体" w:eastAsia="宋体" w:cs="宋体"/>
                <w:color w:val="000000" w:themeColor="text1"/>
                <w:sz w:val="24"/>
                <w:szCs w:val="24"/>
                <w:lang w:val="en-US" w:eastAsia="zh-CN" w:bidi="ar-SA"/>
                <w14:textFill>
                  <w14:solidFill>
                    <w14:schemeClr w14:val="tx1"/>
                  </w14:solidFill>
                </w14:textFill>
              </w:rPr>
              <w:t>；</w:t>
            </w:r>
          </w:p>
          <w:p w14:paraId="06ADAEE7">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尺寸</w:t>
            </w:r>
            <w:r>
              <w:rPr>
                <w:rFonts w:hint="eastAsia" w:ascii="宋体" w:hAnsi="宋体" w:eastAsia="宋体" w:cs="宋体"/>
                <w:color w:val="000000" w:themeColor="text1"/>
                <w:sz w:val="24"/>
                <w:szCs w:val="24"/>
                <w:lang w:val="en-US" w:eastAsia="zh-CN" w:bidi="ar-SA"/>
                <w14:textFill>
                  <w14:solidFill>
                    <w14:schemeClr w14:val="tx1"/>
                  </w14:solidFill>
                </w14:textFill>
              </w:rPr>
              <w:t>：</w:t>
            </w:r>
            <w:r>
              <w:rPr>
                <w:rFonts w:hint="default" w:ascii="宋体" w:hAnsi="宋体" w:eastAsia="宋体" w:cs="宋体"/>
                <w:color w:val="000000" w:themeColor="text1"/>
                <w:sz w:val="24"/>
                <w:szCs w:val="24"/>
                <w:lang w:val="en-US" w:eastAsia="zh-CN" w:bidi="ar-SA"/>
                <w14:textFill>
                  <w14:solidFill>
                    <w14:schemeClr w14:val="tx1"/>
                  </w14:solidFill>
                </w14:textFill>
              </w:rPr>
              <w:t>665</w:t>
            </w:r>
            <w:r>
              <w:rPr>
                <w:rFonts w:hint="eastAsia" w:ascii="宋体" w:hAnsi="宋体" w:eastAsia="宋体" w:cs="宋体"/>
                <w:color w:val="000000" w:themeColor="text1"/>
                <w:sz w:val="24"/>
                <w:szCs w:val="24"/>
                <w:lang w:val="en-US" w:eastAsia="zh-CN" w:bidi="ar-SA"/>
                <w14:textFill>
                  <w14:solidFill>
                    <w14:schemeClr w14:val="tx1"/>
                  </w14:solidFill>
                </w14:textFill>
              </w:rPr>
              <w:t>mm±5</w:t>
            </w:r>
            <w:r>
              <w:rPr>
                <w:rFonts w:hint="default" w:ascii="宋体" w:hAnsi="宋体" w:eastAsia="宋体" w:cs="宋体"/>
                <w:color w:val="000000" w:themeColor="text1"/>
                <w:sz w:val="24"/>
                <w:szCs w:val="24"/>
                <w:lang w:val="en-US" w:eastAsia="zh-CN" w:bidi="ar-SA"/>
                <w14:textFill>
                  <w14:solidFill>
                    <w14:schemeClr w14:val="tx1"/>
                  </w14:solidFill>
                </w14:textFill>
              </w:rPr>
              <w:t>mm</w:t>
            </w:r>
            <w:r>
              <w:rPr>
                <w:rFonts w:hint="eastAsia" w:ascii="宋体" w:hAnsi="宋体" w:eastAsia="宋体" w:cs="宋体"/>
                <w:color w:val="000000" w:themeColor="text1"/>
                <w:sz w:val="24"/>
                <w:szCs w:val="24"/>
                <w:lang w:val="en-US" w:eastAsia="zh-CN" w:bidi="ar-SA"/>
                <w14:textFill>
                  <w14:solidFill>
                    <w14:schemeClr w14:val="tx1"/>
                  </w14:solidFill>
                </w14:textFill>
              </w:rPr>
              <w:t>；</w:t>
            </w:r>
          </w:p>
          <w:p w14:paraId="2F590E71">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拍柄</w:t>
            </w:r>
            <w:r>
              <w:rPr>
                <w:rFonts w:hint="eastAsia" w:ascii="宋体" w:hAnsi="宋体" w:eastAsia="宋体" w:cs="宋体"/>
                <w:color w:val="000000" w:themeColor="text1"/>
                <w:sz w:val="24"/>
                <w:szCs w:val="24"/>
                <w:lang w:val="en-US" w:eastAsia="zh-CN" w:bidi="ar-SA"/>
                <w14:textFill>
                  <w14:solidFill>
                    <w14:schemeClr w14:val="tx1"/>
                  </w14:solidFill>
                </w14:textFill>
              </w:rPr>
              <w:t>：</w:t>
            </w:r>
            <w:r>
              <w:rPr>
                <w:rFonts w:hint="default" w:ascii="宋体" w:hAnsi="宋体" w:eastAsia="宋体" w:cs="宋体"/>
                <w:color w:val="000000" w:themeColor="text1"/>
                <w:sz w:val="24"/>
                <w:szCs w:val="24"/>
                <w:lang w:val="en-US" w:eastAsia="zh-CN" w:bidi="ar-SA"/>
                <w14:textFill>
                  <w14:solidFill>
                    <w14:schemeClr w14:val="tx1"/>
                  </w14:solidFill>
                </w14:textFill>
              </w:rPr>
              <w:t>G5</w:t>
            </w:r>
          </w:p>
          <w:p w14:paraId="671AA6DD">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提供相关证明材料</w:t>
            </w:r>
          </w:p>
        </w:tc>
      </w:tr>
      <w:tr w14:paraId="1A58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vAlign w:val="center"/>
          </w:tcPr>
          <w:p w14:paraId="170E6BB6">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4</w:t>
            </w:r>
          </w:p>
        </w:tc>
        <w:tc>
          <w:tcPr>
            <w:tcW w:w="1286" w:type="dxa"/>
            <w:vAlign w:val="center"/>
          </w:tcPr>
          <w:p w14:paraId="5E8D0E24">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乒乓球台</w:t>
            </w:r>
          </w:p>
        </w:tc>
        <w:tc>
          <w:tcPr>
            <w:tcW w:w="701" w:type="dxa"/>
            <w:vAlign w:val="center"/>
          </w:tcPr>
          <w:p w14:paraId="46F28F34">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p>
        </w:tc>
        <w:tc>
          <w:tcPr>
            <w:tcW w:w="750" w:type="dxa"/>
            <w:vAlign w:val="center"/>
          </w:tcPr>
          <w:p w14:paraId="185A7A68">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6178" w:type="dxa"/>
            <w:vAlign w:val="center"/>
          </w:tcPr>
          <w:p w14:paraId="625CAEC5">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球台尺寸</w:t>
            </w:r>
            <w:r>
              <w:rPr>
                <w:rFonts w:hint="eastAsia" w:ascii="宋体" w:hAnsi="宋体" w:eastAsia="宋体" w:cs="宋体"/>
                <w:color w:val="000000" w:themeColor="text1"/>
                <w:sz w:val="24"/>
                <w:szCs w:val="24"/>
                <w:lang w:val="en-US" w:eastAsia="zh-CN" w:bidi="ar-SA"/>
                <w14:textFill>
                  <w14:solidFill>
                    <w14:schemeClr w14:val="tx1"/>
                  </w14:solidFill>
                </w14:textFill>
              </w:rPr>
              <w:t>：</w:t>
            </w:r>
            <w:r>
              <w:rPr>
                <w:rFonts w:hint="default" w:ascii="宋体" w:hAnsi="宋体" w:eastAsia="宋体" w:cs="宋体"/>
                <w:color w:val="000000" w:themeColor="text1"/>
                <w:sz w:val="24"/>
                <w:szCs w:val="24"/>
                <w:lang w:val="en-US" w:eastAsia="zh-CN" w:bidi="ar-SA"/>
                <w14:textFill>
                  <w14:solidFill>
                    <w14:schemeClr w14:val="tx1"/>
                  </w14:solidFill>
                </w14:textFill>
              </w:rPr>
              <w:t>76</w:t>
            </w:r>
            <w:r>
              <w:rPr>
                <w:rFonts w:hint="eastAsia" w:ascii="宋体" w:hAnsi="宋体" w:eastAsia="宋体" w:cs="宋体"/>
                <w:color w:val="000000" w:themeColor="text1"/>
                <w:sz w:val="24"/>
                <w:szCs w:val="24"/>
                <w:lang w:val="en-US" w:eastAsia="zh-CN" w:bidi="ar-SA"/>
                <w14:textFill>
                  <w14:solidFill>
                    <w14:schemeClr w14:val="tx1"/>
                  </w14:solidFill>
                </w14:textFill>
              </w:rPr>
              <w:t>0mm*</w:t>
            </w:r>
            <w:r>
              <w:rPr>
                <w:rFonts w:hint="default" w:ascii="宋体" w:hAnsi="宋体" w:eastAsia="宋体" w:cs="宋体"/>
                <w:color w:val="000000" w:themeColor="text1"/>
                <w:sz w:val="24"/>
                <w:szCs w:val="24"/>
                <w:lang w:val="en-US" w:eastAsia="zh-CN" w:bidi="ar-SA"/>
                <w14:textFill>
                  <w14:solidFill>
                    <w14:schemeClr w14:val="tx1"/>
                  </w14:solidFill>
                </w14:textFill>
              </w:rPr>
              <w:t>274</w:t>
            </w:r>
            <w:r>
              <w:rPr>
                <w:rFonts w:hint="eastAsia" w:ascii="宋体" w:hAnsi="宋体" w:eastAsia="宋体" w:cs="宋体"/>
                <w:color w:val="000000" w:themeColor="text1"/>
                <w:sz w:val="24"/>
                <w:szCs w:val="24"/>
                <w:lang w:val="en-US" w:eastAsia="zh-CN" w:bidi="ar-SA"/>
                <w14:textFill>
                  <w14:solidFill>
                    <w14:schemeClr w14:val="tx1"/>
                  </w14:solidFill>
                </w14:textFill>
              </w:rPr>
              <w:t>0mm*</w:t>
            </w:r>
            <w:r>
              <w:rPr>
                <w:rFonts w:hint="default" w:ascii="宋体" w:hAnsi="宋体" w:eastAsia="宋体" w:cs="宋体"/>
                <w:color w:val="000000" w:themeColor="text1"/>
                <w:sz w:val="24"/>
                <w:szCs w:val="24"/>
                <w:lang w:val="en-US" w:eastAsia="zh-CN" w:bidi="ar-SA"/>
                <w14:textFill>
                  <w14:solidFill>
                    <w14:schemeClr w14:val="tx1"/>
                  </w14:solidFill>
                </w14:textFill>
              </w:rPr>
              <w:t>1525</w:t>
            </w:r>
            <w:r>
              <w:rPr>
                <w:rFonts w:hint="eastAsia" w:ascii="宋体" w:hAnsi="宋体" w:eastAsia="宋体" w:cs="宋体"/>
                <w:color w:val="000000" w:themeColor="text1"/>
                <w:sz w:val="24"/>
                <w:szCs w:val="24"/>
                <w:lang w:val="en-US" w:eastAsia="zh-CN" w:bidi="ar-SA"/>
                <w14:textFill>
                  <w14:solidFill>
                    <w14:schemeClr w14:val="tx1"/>
                  </w14:solidFill>
                </w14:textFill>
              </w:rPr>
              <w:t>mm±5mm。</w:t>
            </w:r>
          </w:p>
          <w:p w14:paraId="195B0584">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球台面板厚度t：15mm-30mm</w:t>
            </w:r>
          </w:p>
          <w:p w14:paraId="45C16993">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半张台面对角线之差≤4mm</w:t>
            </w:r>
          </w:p>
          <w:p w14:paraId="13D6017D">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脚架体外侧安装距离距端线外侧＞150mm</w:t>
            </w:r>
          </w:p>
          <w:p w14:paraId="25870E83">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脚架体横撑离地面（端线）＞300mm</w:t>
            </w:r>
          </w:p>
          <w:p w14:paraId="4FE30DAD">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提供第三方检测机构出具的检测报告</w:t>
            </w:r>
          </w:p>
        </w:tc>
      </w:tr>
      <w:tr w14:paraId="7105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19569CB8">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5</w:t>
            </w:r>
          </w:p>
        </w:tc>
        <w:tc>
          <w:tcPr>
            <w:tcW w:w="1286" w:type="dxa"/>
            <w:vAlign w:val="center"/>
          </w:tcPr>
          <w:p w14:paraId="5C9ACFC6">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儿童桌上足球</w:t>
            </w:r>
          </w:p>
        </w:tc>
        <w:tc>
          <w:tcPr>
            <w:tcW w:w="701" w:type="dxa"/>
            <w:vAlign w:val="center"/>
          </w:tcPr>
          <w:p w14:paraId="319633A5">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p>
        </w:tc>
        <w:tc>
          <w:tcPr>
            <w:tcW w:w="750" w:type="dxa"/>
            <w:vAlign w:val="center"/>
          </w:tcPr>
          <w:p w14:paraId="649179BE">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6178" w:type="dxa"/>
            <w:vAlign w:val="center"/>
          </w:tcPr>
          <w:p w14:paraId="29F51C46">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材质</w:t>
            </w:r>
            <w:r>
              <w:rPr>
                <w:rFonts w:hint="eastAsia" w:ascii="宋体" w:hAnsi="宋体" w:eastAsia="宋体" w:cs="宋体"/>
                <w:color w:val="000000" w:themeColor="text1"/>
                <w:sz w:val="24"/>
                <w:szCs w:val="24"/>
                <w:lang w:val="en-US" w:eastAsia="zh-CN" w:bidi="ar-SA"/>
                <w14:textFill>
                  <w14:solidFill>
                    <w14:schemeClr w14:val="tx1"/>
                  </w14:solidFill>
                </w14:textFill>
              </w:rPr>
              <w:t>：木质</w:t>
            </w:r>
          </w:p>
          <w:p w14:paraId="50B037AD">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尺寸</w:t>
            </w:r>
            <w:r>
              <w:rPr>
                <w:rFonts w:hint="eastAsia" w:ascii="宋体" w:hAnsi="宋体" w:eastAsia="宋体" w:cs="宋体"/>
                <w:color w:val="000000" w:themeColor="text1"/>
                <w:sz w:val="24"/>
                <w:szCs w:val="24"/>
                <w:lang w:val="en-US" w:eastAsia="zh-CN" w:bidi="ar-SA"/>
                <w14:textFill>
                  <w14:solidFill>
                    <w14:schemeClr w14:val="tx1"/>
                  </w14:solidFill>
                </w14:textFill>
              </w:rPr>
              <w:t>：</w:t>
            </w:r>
            <w:r>
              <w:rPr>
                <w:rFonts w:hint="default" w:ascii="宋体" w:hAnsi="宋体" w:eastAsia="宋体" w:cs="宋体"/>
                <w:color w:val="000000" w:themeColor="text1"/>
                <w:sz w:val="24"/>
                <w:szCs w:val="24"/>
                <w:lang w:val="en-US" w:eastAsia="zh-CN" w:bidi="ar-SA"/>
                <w14:textFill>
                  <w14:solidFill>
                    <w14:schemeClr w14:val="tx1"/>
                  </w14:solidFill>
                </w14:textFill>
              </w:rPr>
              <w:t>69</w:t>
            </w:r>
            <w:r>
              <w:rPr>
                <w:rFonts w:hint="eastAsia" w:ascii="宋体" w:hAnsi="宋体" w:eastAsia="宋体" w:cs="宋体"/>
                <w:color w:val="000000" w:themeColor="text1"/>
                <w:sz w:val="24"/>
                <w:szCs w:val="24"/>
                <w:lang w:val="en-US" w:eastAsia="zh-CN" w:bidi="ar-SA"/>
                <w14:textFill>
                  <w14:solidFill>
                    <w14:schemeClr w14:val="tx1"/>
                  </w14:solidFill>
                </w14:textFill>
              </w:rPr>
              <w:t>0mm</w:t>
            </w:r>
            <w:r>
              <w:rPr>
                <w:rFonts w:hint="default" w:ascii="宋体" w:hAnsi="宋体" w:eastAsia="宋体" w:cs="宋体"/>
                <w:color w:val="000000" w:themeColor="text1"/>
                <w:sz w:val="24"/>
                <w:szCs w:val="24"/>
                <w:lang w:val="en-US" w:eastAsia="zh-CN" w:bidi="ar-SA"/>
                <w14:textFill>
                  <w14:solidFill>
                    <w14:schemeClr w14:val="tx1"/>
                  </w14:solidFill>
                </w14:textFill>
              </w:rPr>
              <w:t>*37</w:t>
            </w:r>
            <w:r>
              <w:rPr>
                <w:rFonts w:hint="eastAsia" w:ascii="宋体" w:hAnsi="宋体" w:eastAsia="宋体" w:cs="宋体"/>
                <w:color w:val="000000" w:themeColor="text1"/>
                <w:sz w:val="24"/>
                <w:szCs w:val="24"/>
                <w:lang w:val="en-US" w:eastAsia="zh-CN" w:bidi="ar-SA"/>
                <w14:textFill>
                  <w14:solidFill>
                    <w14:schemeClr w14:val="tx1"/>
                  </w14:solidFill>
                </w14:textFill>
              </w:rPr>
              <w:t>0mm</w:t>
            </w:r>
            <w:r>
              <w:rPr>
                <w:rFonts w:hint="default" w:ascii="宋体" w:hAnsi="宋体" w:eastAsia="宋体" w:cs="宋体"/>
                <w:color w:val="000000" w:themeColor="text1"/>
                <w:sz w:val="24"/>
                <w:szCs w:val="24"/>
                <w:lang w:val="en-US" w:eastAsia="zh-CN" w:bidi="ar-SA"/>
                <w14:textFill>
                  <w14:solidFill>
                    <w14:schemeClr w14:val="tx1"/>
                  </w14:solidFill>
                </w14:textFill>
              </w:rPr>
              <w:t>*24</w:t>
            </w:r>
            <w:r>
              <w:rPr>
                <w:rFonts w:hint="eastAsia" w:ascii="宋体" w:hAnsi="宋体" w:eastAsia="宋体" w:cs="宋体"/>
                <w:color w:val="000000" w:themeColor="text1"/>
                <w:sz w:val="24"/>
                <w:szCs w:val="24"/>
                <w:lang w:val="en-US" w:eastAsia="zh-CN" w:bidi="ar-SA"/>
                <w14:textFill>
                  <w14:solidFill>
                    <w14:schemeClr w14:val="tx1"/>
                  </w14:solidFill>
                </w14:textFill>
              </w:rPr>
              <w:t>0mm±10mm</w:t>
            </w:r>
          </w:p>
          <w:p w14:paraId="674A9954">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实心球员、实心足球、固定式计分器、创意取球口设计</w:t>
            </w:r>
            <w:r>
              <w:rPr>
                <w:rFonts w:hint="eastAsia" w:ascii="宋体" w:hAnsi="宋体" w:eastAsia="宋体" w:cs="宋体"/>
                <w:color w:val="000000" w:themeColor="text1"/>
                <w:sz w:val="24"/>
                <w:szCs w:val="24"/>
                <w:lang w:val="en-US" w:eastAsia="zh-CN" w:bidi="ar-SA"/>
                <w14:textFill>
                  <w14:solidFill>
                    <w14:schemeClr w14:val="tx1"/>
                  </w14:solidFill>
                </w14:textFill>
              </w:rPr>
              <w:t>。</w:t>
            </w:r>
          </w:p>
        </w:tc>
      </w:tr>
      <w:tr w14:paraId="0D43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818" w:type="dxa"/>
            <w:vAlign w:val="center"/>
          </w:tcPr>
          <w:p w14:paraId="492E0D7A">
            <w:pPr>
              <w:autoSpaceDE w:val="0"/>
              <w:autoSpaceDN w:val="0"/>
              <w:spacing w:line="360" w:lineRule="auto"/>
              <w:ind w:firstLine="48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6</w:t>
            </w:r>
          </w:p>
        </w:tc>
        <w:tc>
          <w:tcPr>
            <w:tcW w:w="1286" w:type="dxa"/>
            <w:vAlign w:val="center"/>
          </w:tcPr>
          <w:p w14:paraId="32347647">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儿童室内篮球架</w:t>
            </w:r>
          </w:p>
        </w:tc>
        <w:tc>
          <w:tcPr>
            <w:tcW w:w="701" w:type="dxa"/>
            <w:vAlign w:val="center"/>
          </w:tcPr>
          <w:p w14:paraId="752DC50E">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p>
        </w:tc>
        <w:tc>
          <w:tcPr>
            <w:tcW w:w="750" w:type="dxa"/>
            <w:vAlign w:val="center"/>
          </w:tcPr>
          <w:p w14:paraId="2F82225B">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6178" w:type="dxa"/>
            <w:vAlign w:val="center"/>
          </w:tcPr>
          <w:p w14:paraId="0214F2EF">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篮板尺寸：58</w:t>
            </w:r>
            <w:r>
              <w:rPr>
                <w:rFonts w:hint="eastAsia" w:ascii="宋体" w:hAnsi="宋体" w:eastAsia="宋体" w:cs="宋体"/>
                <w:color w:val="000000" w:themeColor="text1"/>
                <w:sz w:val="24"/>
                <w:szCs w:val="24"/>
                <w:lang w:val="en-US" w:eastAsia="zh-CN" w:bidi="ar-SA"/>
                <w14:textFill>
                  <w14:solidFill>
                    <w14:schemeClr w14:val="tx1"/>
                  </w14:solidFill>
                </w14:textFill>
              </w:rPr>
              <w:t>0mm</w:t>
            </w:r>
            <w:r>
              <w:rPr>
                <w:rFonts w:hint="default" w:ascii="宋体" w:hAnsi="宋体" w:eastAsia="宋体" w:cs="宋体"/>
                <w:color w:val="000000" w:themeColor="text1"/>
                <w:sz w:val="24"/>
                <w:szCs w:val="24"/>
                <w:lang w:val="en-US" w:eastAsia="zh-CN" w:bidi="ar-SA"/>
                <w14:textFill>
                  <w14:solidFill>
                    <w14:schemeClr w14:val="tx1"/>
                  </w14:solidFill>
                </w14:textFill>
              </w:rPr>
              <w:t>*40</w:t>
            </w:r>
            <w:r>
              <w:rPr>
                <w:rFonts w:hint="eastAsia" w:ascii="宋体" w:hAnsi="宋体" w:eastAsia="宋体" w:cs="宋体"/>
                <w:color w:val="000000" w:themeColor="text1"/>
                <w:sz w:val="24"/>
                <w:szCs w:val="24"/>
                <w:lang w:val="en-US" w:eastAsia="zh-CN" w:bidi="ar-SA"/>
                <w14:textFill>
                  <w14:solidFill>
                    <w14:schemeClr w14:val="tx1"/>
                  </w14:solidFill>
                </w14:textFill>
              </w:rPr>
              <w:t>0mm±10mm；</w:t>
            </w:r>
          </w:p>
          <w:p w14:paraId="75ACBBA3">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篮圈直径：28CM</w:t>
            </w:r>
            <w:r>
              <w:rPr>
                <w:rFonts w:hint="eastAsia" w:ascii="宋体" w:hAnsi="宋体" w:eastAsia="宋体" w:cs="宋体"/>
                <w:color w:val="000000" w:themeColor="text1"/>
                <w:sz w:val="24"/>
                <w:szCs w:val="24"/>
                <w:lang w:val="en-US" w:eastAsia="zh-CN" w:bidi="ar-SA"/>
                <w14:textFill>
                  <w14:solidFill>
                    <w14:schemeClr w14:val="tx1"/>
                  </w14:solidFill>
                </w14:textFill>
              </w:rPr>
              <w:t>；</w:t>
            </w:r>
          </w:p>
          <w:p w14:paraId="3B25F82E">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篮板材质：升级PET篮板</w:t>
            </w:r>
            <w:r>
              <w:rPr>
                <w:rFonts w:hint="eastAsia" w:ascii="宋体" w:hAnsi="宋体" w:eastAsia="宋体" w:cs="宋体"/>
                <w:color w:val="000000" w:themeColor="text1"/>
                <w:sz w:val="24"/>
                <w:szCs w:val="24"/>
                <w:lang w:val="en-US" w:eastAsia="zh-CN" w:bidi="ar-SA"/>
                <w14:textFill>
                  <w14:solidFill>
                    <w14:schemeClr w14:val="tx1"/>
                  </w14:solidFill>
                </w14:textFill>
              </w:rPr>
              <w:t>；</w:t>
            </w:r>
          </w:p>
          <w:p w14:paraId="6CC51924">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升降方式：旋钮升降</w:t>
            </w:r>
            <w:r>
              <w:rPr>
                <w:rFonts w:hint="eastAsia" w:ascii="宋体" w:hAnsi="宋体" w:eastAsia="宋体" w:cs="宋体"/>
                <w:color w:val="000000" w:themeColor="text1"/>
                <w:sz w:val="24"/>
                <w:szCs w:val="24"/>
                <w:lang w:val="en-US" w:eastAsia="zh-CN" w:bidi="ar-SA"/>
                <w14:textFill>
                  <w14:solidFill>
                    <w14:schemeClr w14:val="tx1"/>
                  </w14:solidFill>
                </w14:textFill>
              </w:rPr>
              <w:t>；</w:t>
            </w:r>
          </w:p>
          <w:p w14:paraId="5860A184">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升降高度：95</w:t>
            </w:r>
            <w:r>
              <w:rPr>
                <w:rFonts w:hint="eastAsia" w:ascii="宋体" w:hAnsi="宋体" w:eastAsia="宋体" w:cs="宋体"/>
                <w:color w:val="000000" w:themeColor="text1"/>
                <w:sz w:val="24"/>
                <w:szCs w:val="24"/>
                <w:lang w:val="en-US" w:eastAsia="zh-CN" w:bidi="ar-SA"/>
                <w14:textFill>
                  <w14:solidFill>
                    <w14:schemeClr w14:val="tx1"/>
                  </w14:solidFill>
                </w14:textFill>
              </w:rPr>
              <w:t>0</w:t>
            </w:r>
            <w:r>
              <w:rPr>
                <w:rFonts w:hint="default" w:ascii="宋体" w:hAnsi="宋体" w:eastAsia="宋体" w:cs="宋体"/>
                <w:color w:val="000000" w:themeColor="text1"/>
                <w:sz w:val="24"/>
                <w:szCs w:val="24"/>
                <w:lang w:val="en-US" w:eastAsia="zh-CN" w:bidi="ar-SA"/>
                <w14:textFill>
                  <w14:solidFill>
                    <w14:schemeClr w14:val="tx1"/>
                  </w14:solidFill>
                </w14:textFill>
              </w:rPr>
              <w:t>-205</w:t>
            </w:r>
            <w:r>
              <w:rPr>
                <w:rFonts w:hint="eastAsia" w:ascii="宋体" w:hAnsi="宋体" w:eastAsia="宋体" w:cs="宋体"/>
                <w:color w:val="000000" w:themeColor="text1"/>
                <w:sz w:val="24"/>
                <w:szCs w:val="24"/>
                <w:lang w:val="en-US" w:eastAsia="zh-CN" w:bidi="ar-SA"/>
                <w14:textFill>
                  <w14:solidFill>
                    <w14:schemeClr w14:val="tx1"/>
                  </w14:solidFill>
                </w14:textFill>
              </w:rPr>
              <w:t>0mm；</w:t>
            </w:r>
          </w:p>
          <w:p w14:paraId="0885D8FB">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底座材质：加厚PE底座</w:t>
            </w:r>
            <w:r>
              <w:rPr>
                <w:rFonts w:hint="eastAsia" w:ascii="宋体" w:hAnsi="宋体" w:eastAsia="宋体" w:cs="宋体"/>
                <w:color w:val="000000" w:themeColor="text1"/>
                <w:sz w:val="24"/>
                <w:szCs w:val="24"/>
                <w:lang w:val="en-US" w:eastAsia="zh-CN" w:bidi="ar-SA"/>
                <w14:textFill>
                  <w14:solidFill>
                    <w14:schemeClr w14:val="tx1"/>
                  </w14:solidFill>
                </w14:textFill>
              </w:rPr>
              <w:t>；</w:t>
            </w:r>
          </w:p>
          <w:p w14:paraId="3FA32409">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底座尺寸：62</w:t>
            </w:r>
            <w:r>
              <w:rPr>
                <w:rFonts w:hint="eastAsia" w:ascii="宋体" w:hAnsi="宋体" w:eastAsia="宋体" w:cs="宋体"/>
                <w:color w:val="000000" w:themeColor="text1"/>
                <w:sz w:val="24"/>
                <w:szCs w:val="24"/>
                <w:lang w:val="en-US" w:eastAsia="zh-CN" w:bidi="ar-SA"/>
                <w14:textFill>
                  <w14:solidFill>
                    <w14:schemeClr w14:val="tx1"/>
                  </w14:solidFill>
                </w14:textFill>
              </w:rPr>
              <w:t>0</w:t>
            </w:r>
            <w:r>
              <w:rPr>
                <w:rFonts w:hint="default" w:ascii="宋体" w:hAnsi="宋体" w:eastAsia="宋体" w:cs="宋体"/>
                <w:color w:val="000000" w:themeColor="text1"/>
                <w:sz w:val="24"/>
                <w:szCs w:val="24"/>
                <w:lang w:val="en-US" w:eastAsia="zh-CN" w:bidi="ar-SA"/>
                <w14:textFill>
                  <w14:solidFill>
                    <w14:schemeClr w14:val="tx1"/>
                  </w14:solidFill>
                </w14:textFill>
              </w:rPr>
              <w:t>*42</w:t>
            </w:r>
            <w:r>
              <w:rPr>
                <w:rFonts w:hint="eastAsia" w:ascii="宋体" w:hAnsi="宋体" w:eastAsia="宋体" w:cs="宋体"/>
                <w:color w:val="000000" w:themeColor="text1"/>
                <w:sz w:val="24"/>
                <w:szCs w:val="24"/>
                <w:lang w:val="en-US" w:eastAsia="zh-CN" w:bidi="ar-SA"/>
                <w14:textFill>
                  <w14:solidFill>
                    <w14:schemeClr w14:val="tx1"/>
                  </w14:solidFill>
                </w14:textFill>
              </w:rPr>
              <w:t>0</w:t>
            </w:r>
            <w:r>
              <w:rPr>
                <w:rFonts w:hint="default" w:ascii="宋体" w:hAnsi="宋体" w:eastAsia="宋体" w:cs="宋体"/>
                <w:color w:val="000000" w:themeColor="text1"/>
                <w:sz w:val="24"/>
                <w:szCs w:val="24"/>
                <w:lang w:val="en-US" w:eastAsia="zh-CN" w:bidi="ar-SA"/>
                <w14:textFill>
                  <w14:solidFill>
                    <w14:schemeClr w14:val="tx1"/>
                  </w14:solidFill>
                </w14:textFill>
              </w:rPr>
              <w:t>*12</w:t>
            </w:r>
            <w:r>
              <w:rPr>
                <w:rFonts w:hint="eastAsia" w:ascii="宋体" w:hAnsi="宋体" w:eastAsia="宋体" w:cs="宋体"/>
                <w:color w:val="000000" w:themeColor="text1"/>
                <w:sz w:val="24"/>
                <w:szCs w:val="24"/>
                <w:lang w:val="en-US" w:eastAsia="zh-CN" w:bidi="ar-SA"/>
                <w14:textFill>
                  <w14:solidFill>
                    <w14:schemeClr w14:val="tx1"/>
                  </w14:solidFill>
                </w14:textFill>
              </w:rPr>
              <w:t>0mm；</w:t>
            </w:r>
          </w:p>
          <w:p w14:paraId="3108DB9E">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底座配重：底座填充水/沙</w:t>
            </w:r>
            <w:r>
              <w:rPr>
                <w:rFonts w:hint="eastAsia" w:ascii="宋体" w:hAnsi="宋体" w:eastAsia="宋体" w:cs="宋体"/>
                <w:color w:val="000000" w:themeColor="text1"/>
                <w:sz w:val="24"/>
                <w:szCs w:val="24"/>
                <w:lang w:val="en-US" w:eastAsia="zh-CN" w:bidi="ar-SA"/>
                <w14:textFill>
                  <w14:solidFill>
                    <w14:schemeClr w14:val="tx1"/>
                  </w14:solidFill>
                </w14:textFill>
              </w:rPr>
              <w:t>。</w:t>
            </w:r>
          </w:p>
        </w:tc>
      </w:tr>
      <w:tr w14:paraId="7AF5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47580251">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w:t>
            </w:r>
          </w:p>
        </w:tc>
        <w:tc>
          <w:tcPr>
            <w:tcW w:w="1286" w:type="dxa"/>
            <w:vAlign w:val="center"/>
          </w:tcPr>
          <w:p w14:paraId="231BD5E2">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室内跷跷板</w:t>
            </w:r>
          </w:p>
        </w:tc>
        <w:tc>
          <w:tcPr>
            <w:tcW w:w="701" w:type="dxa"/>
            <w:vAlign w:val="center"/>
          </w:tcPr>
          <w:p w14:paraId="4F8D1D5F">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p>
        </w:tc>
        <w:tc>
          <w:tcPr>
            <w:tcW w:w="750" w:type="dxa"/>
            <w:vAlign w:val="center"/>
          </w:tcPr>
          <w:p w14:paraId="66D8C9D6">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台</w:t>
            </w:r>
          </w:p>
        </w:tc>
        <w:tc>
          <w:tcPr>
            <w:tcW w:w="6178" w:type="dxa"/>
            <w:vAlign w:val="center"/>
          </w:tcPr>
          <w:p w14:paraId="0F38478E">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可迁移元素含量：</w:t>
            </w:r>
          </w:p>
          <w:p w14:paraId="55A12AE1">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Sb≤60%</w:t>
            </w:r>
          </w:p>
          <w:p w14:paraId="0D08D2C5">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As≤25%</w:t>
            </w:r>
          </w:p>
          <w:p w14:paraId="031C92E7">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Ba≤1000%</w:t>
            </w:r>
          </w:p>
          <w:p w14:paraId="1669BCFD">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Cd≤75%</w:t>
            </w:r>
          </w:p>
          <w:p w14:paraId="30A6AFA1">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Hg≤60%</w:t>
            </w:r>
          </w:p>
          <w:p w14:paraId="039068AC">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Se≤500%</w:t>
            </w:r>
          </w:p>
          <w:p w14:paraId="4DC25CD9">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Cr≤60%</w:t>
            </w:r>
          </w:p>
          <w:p w14:paraId="5C5A1DFF">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Pb≤90%</w:t>
            </w:r>
          </w:p>
          <w:p w14:paraId="12F1A9D2">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符合GB6675.4-2014规定的要求</w:t>
            </w:r>
          </w:p>
          <w:p w14:paraId="355219B8">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提供第三方检测机构出具的检测报告</w:t>
            </w:r>
          </w:p>
        </w:tc>
      </w:tr>
      <w:tr w14:paraId="0FA9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18" w:type="dxa"/>
            <w:vAlign w:val="center"/>
          </w:tcPr>
          <w:p w14:paraId="1278D3CF">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二</w:t>
            </w:r>
          </w:p>
        </w:tc>
        <w:tc>
          <w:tcPr>
            <w:tcW w:w="1286" w:type="dxa"/>
            <w:vAlign w:val="center"/>
          </w:tcPr>
          <w:p w14:paraId="5E122B92">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书法类</w:t>
            </w:r>
          </w:p>
        </w:tc>
        <w:tc>
          <w:tcPr>
            <w:tcW w:w="701" w:type="dxa"/>
            <w:vAlign w:val="center"/>
          </w:tcPr>
          <w:p w14:paraId="5A874A95">
            <w:pPr>
              <w:autoSpaceDE w:val="0"/>
              <w:autoSpaceDN w:val="0"/>
              <w:spacing w:line="360" w:lineRule="auto"/>
              <w:ind w:firstLine="480"/>
              <w:jc w:val="center"/>
              <w:rPr>
                <w:rFonts w:hint="default" w:ascii="宋体" w:hAnsi="宋体" w:eastAsia="宋体" w:cs="宋体"/>
                <w:color w:val="000000" w:themeColor="text1"/>
                <w:sz w:val="24"/>
                <w:szCs w:val="24"/>
                <w:lang w:val="en-US" w:eastAsia="zh-CN" w:bidi="ar-SA"/>
                <w14:textFill>
                  <w14:solidFill>
                    <w14:schemeClr w14:val="tx1"/>
                  </w14:solidFill>
                </w14:textFill>
              </w:rPr>
            </w:pPr>
          </w:p>
        </w:tc>
        <w:tc>
          <w:tcPr>
            <w:tcW w:w="750" w:type="dxa"/>
            <w:vAlign w:val="center"/>
          </w:tcPr>
          <w:p w14:paraId="7FDA34F7">
            <w:pPr>
              <w:autoSpaceDE w:val="0"/>
              <w:autoSpaceDN w:val="0"/>
              <w:spacing w:line="360" w:lineRule="auto"/>
              <w:ind w:firstLine="480"/>
              <w:jc w:val="center"/>
              <w:rPr>
                <w:rFonts w:hint="default" w:ascii="宋体" w:hAnsi="宋体" w:eastAsia="宋体" w:cs="宋体"/>
                <w:color w:val="000000" w:themeColor="text1"/>
                <w:sz w:val="24"/>
                <w:szCs w:val="24"/>
                <w:lang w:val="en-US" w:eastAsia="zh-CN" w:bidi="ar-SA"/>
                <w14:textFill>
                  <w14:solidFill>
                    <w14:schemeClr w14:val="tx1"/>
                  </w14:solidFill>
                </w14:textFill>
              </w:rPr>
            </w:pPr>
          </w:p>
        </w:tc>
        <w:tc>
          <w:tcPr>
            <w:tcW w:w="6178" w:type="dxa"/>
            <w:vAlign w:val="center"/>
          </w:tcPr>
          <w:p w14:paraId="7E436495">
            <w:pPr>
              <w:autoSpaceDE w:val="0"/>
              <w:autoSpaceDN w:val="0"/>
              <w:spacing w:line="360" w:lineRule="auto"/>
              <w:ind w:firstLine="480"/>
              <w:rPr>
                <w:rFonts w:hint="default" w:ascii="宋体" w:hAnsi="宋体" w:eastAsia="宋体" w:cs="宋体"/>
                <w:color w:val="000000" w:themeColor="text1"/>
                <w:sz w:val="24"/>
                <w:szCs w:val="24"/>
                <w:lang w:val="en-US" w:eastAsia="zh-CN" w:bidi="ar-SA"/>
                <w14:textFill>
                  <w14:solidFill>
                    <w14:schemeClr w14:val="tx1"/>
                  </w14:solidFill>
                </w14:textFill>
              </w:rPr>
            </w:pPr>
          </w:p>
        </w:tc>
      </w:tr>
      <w:tr w14:paraId="1F33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trPr>
        <w:tc>
          <w:tcPr>
            <w:tcW w:w="818" w:type="dxa"/>
            <w:vAlign w:val="center"/>
          </w:tcPr>
          <w:p w14:paraId="706A5A11">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p>
        </w:tc>
        <w:tc>
          <w:tcPr>
            <w:tcW w:w="1286" w:type="dxa"/>
            <w:vAlign w:val="center"/>
          </w:tcPr>
          <w:p w14:paraId="78AF4E3F">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儿童桌椅</w:t>
            </w:r>
          </w:p>
        </w:tc>
        <w:tc>
          <w:tcPr>
            <w:tcW w:w="701" w:type="dxa"/>
            <w:vAlign w:val="center"/>
          </w:tcPr>
          <w:p w14:paraId="6E2DC657">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4</w:t>
            </w:r>
          </w:p>
        </w:tc>
        <w:tc>
          <w:tcPr>
            <w:tcW w:w="750" w:type="dxa"/>
            <w:vAlign w:val="center"/>
          </w:tcPr>
          <w:p w14:paraId="05AD2D28">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6178" w:type="dxa"/>
            <w:shd w:val="clear" w:color="auto" w:fill="auto"/>
            <w:vAlign w:val="center"/>
          </w:tcPr>
          <w:p w14:paraId="539CC943">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桌腿间距: 455</w:t>
            </w:r>
            <w:r>
              <w:rPr>
                <w:rFonts w:hint="eastAsia" w:ascii="宋体" w:hAnsi="宋体" w:eastAsia="宋体" w:cs="宋体"/>
                <w:color w:val="000000" w:themeColor="text1"/>
                <w:sz w:val="24"/>
                <w:szCs w:val="24"/>
                <w:lang w:val="en-US" w:eastAsia="zh-CN" w:bidi="ar-SA"/>
                <w14:textFill>
                  <w14:solidFill>
                    <w14:schemeClr w14:val="tx1"/>
                  </w14:solidFill>
                </w14:textFill>
              </w:rPr>
              <w:t>mm-</w:t>
            </w:r>
            <w:r>
              <w:rPr>
                <w:rFonts w:hint="default" w:ascii="宋体" w:hAnsi="宋体" w:eastAsia="宋体" w:cs="宋体"/>
                <w:color w:val="000000" w:themeColor="text1"/>
                <w:sz w:val="24"/>
                <w:szCs w:val="24"/>
                <w:lang w:val="en-US" w:eastAsia="zh-CN" w:bidi="ar-SA"/>
                <w14:textFill>
                  <w14:solidFill>
                    <w14:schemeClr w14:val="tx1"/>
                  </w14:solidFill>
                </w14:textFill>
              </w:rPr>
              <w:t>555</w:t>
            </w:r>
            <w:r>
              <w:rPr>
                <w:rFonts w:hint="eastAsia" w:ascii="宋体" w:hAnsi="宋体" w:eastAsia="宋体" w:cs="宋体"/>
                <w:color w:val="000000" w:themeColor="text1"/>
                <w:sz w:val="24"/>
                <w:szCs w:val="24"/>
                <w:lang w:val="en-US" w:eastAsia="zh-CN" w:bidi="ar-SA"/>
                <w14:textFill>
                  <w14:solidFill>
                    <w14:schemeClr w14:val="tx1"/>
                  </w14:solidFill>
                </w14:textFill>
              </w:rPr>
              <w:t>mm；</w:t>
            </w:r>
          </w:p>
          <w:p w14:paraId="71202897">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桌面长</w:t>
            </w:r>
            <w:r>
              <w:rPr>
                <w:rFonts w:hint="eastAsia" w:ascii="宋体" w:hAnsi="宋体" w:eastAsia="宋体" w:cs="宋体"/>
                <w:color w:val="000000" w:themeColor="text1"/>
                <w:sz w:val="24"/>
                <w:szCs w:val="24"/>
                <w:lang w:val="en-US" w:eastAsia="zh-CN" w:bidi="ar-SA"/>
                <w14:textFill>
                  <w14:solidFill>
                    <w14:schemeClr w14:val="tx1"/>
                  </w14:solidFill>
                </w14:textFill>
              </w:rPr>
              <w:t>*</w:t>
            </w:r>
            <w:r>
              <w:rPr>
                <w:rFonts w:hint="default" w:ascii="宋体" w:hAnsi="宋体" w:eastAsia="宋体" w:cs="宋体"/>
                <w:color w:val="000000" w:themeColor="text1"/>
                <w:sz w:val="24"/>
                <w:szCs w:val="24"/>
                <w:lang w:val="en-US" w:eastAsia="zh-CN" w:bidi="ar-SA"/>
                <w14:textFill>
                  <w14:solidFill>
                    <w14:schemeClr w14:val="tx1"/>
                  </w14:solidFill>
                </w14:textFill>
              </w:rPr>
              <w:t>宽：70</w:t>
            </w:r>
            <w:r>
              <w:rPr>
                <w:rFonts w:hint="eastAsia" w:ascii="宋体" w:hAnsi="宋体" w:eastAsia="宋体" w:cs="宋体"/>
                <w:color w:val="000000" w:themeColor="text1"/>
                <w:sz w:val="24"/>
                <w:szCs w:val="24"/>
                <w:lang w:val="en-US" w:eastAsia="zh-CN" w:bidi="ar-SA"/>
                <w14:textFill>
                  <w14:solidFill>
                    <w14:schemeClr w14:val="tx1"/>
                  </w14:solidFill>
                </w14:textFill>
              </w:rPr>
              <w:t>0mm</w:t>
            </w:r>
            <w:r>
              <w:rPr>
                <w:rFonts w:hint="default" w:ascii="宋体" w:hAnsi="宋体" w:eastAsia="宋体" w:cs="宋体"/>
                <w:color w:val="000000" w:themeColor="text1"/>
                <w:sz w:val="24"/>
                <w:szCs w:val="24"/>
                <w:lang w:val="en-US" w:eastAsia="zh-CN" w:bidi="ar-SA"/>
                <w14:textFill>
                  <w14:solidFill>
                    <w14:schemeClr w14:val="tx1"/>
                  </w14:solidFill>
                </w14:textFill>
              </w:rPr>
              <w:t>*455</w:t>
            </w:r>
            <w:r>
              <w:rPr>
                <w:rFonts w:hint="eastAsia" w:ascii="宋体" w:hAnsi="宋体" w:eastAsia="宋体" w:cs="宋体"/>
                <w:color w:val="000000" w:themeColor="text1"/>
                <w:sz w:val="24"/>
                <w:szCs w:val="24"/>
                <w:lang w:val="en-US" w:eastAsia="zh-CN" w:bidi="ar-SA"/>
                <w14:textFill>
                  <w14:solidFill>
                    <w14:schemeClr w14:val="tx1"/>
                  </w14:solidFill>
                </w14:textFill>
              </w:rPr>
              <w:t>mm±5mm；</w:t>
            </w:r>
          </w:p>
          <w:p w14:paraId="71123E5F">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桌子可升降高度：6</w:t>
            </w:r>
            <w:r>
              <w:rPr>
                <w:rFonts w:hint="eastAsia" w:ascii="宋体" w:hAnsi="宋体" w:eastAsia="宋体" w:cs="宋体"/>
                <w:color w:val="000000" w:themeColor="text1"/>
                <w:sz w:val="24"/>
                <w:szCs w:val="24"/>
                <w:lang w:val="en-US" w:eastAsia="zh-CN" w:bidi="ar-SA"/>
                <w14:textFill>
                  <w14:solidFill>
                    <w14:schemeClr w14:val="tx1"/>
                  </w14:solidFill>
                </w14:textFill>
              </w:rPr>
              <w:t>00</w:t>
            </w:r>
            <w:r>
              <w:rPr>
                <w:rFonts w:hint="default" w:ascii="宋体" w:hAnsi="宋体" w:eastAsia="宋体" w:cs="宋体"/>
                <w:color w:val="000000" w:themeColor="text1"/>
                <w:sz w:val="24"/>
                <w:szCs w:val="24"/>
                <w:lang w:val="en-US" w:eastAsia="zh-CN" w:bidi="ar-SA"/>
                <w14:textFill>
                  <w14:solidFill>
                    <w14:schemeClr w14:val="tx1"/>
                  </w14:solidFill>
                </w14:textFill>
              </w:rPr>
              <w:t>-7</w:t>
            </w:r>
            <w:r>
              <w:rPr>
                <w:rFonts w:hint="eastAsia" w:ascii="宋体" w:hAnsi="宋体" w:eastAsia="宋体" w:cs="宋体"/>
                <w:color w:val="000000" w:themeColor="text1"/>
                <w:sz w:val="24"/>
                <w:szCs w:val="24"/>
                <w:lang w:val="en-US" w:eastAsia="zh-CN" w:bidi="ar-SA"/>
                <w14:textFill>
                  <w14:solidFill>
                    <w14:schemeClr w14:val="tx1"/>
                  </w14:solidFill>
                </w14:textFill>
              </w:rPr>
              <w:t>50mm；</w:t>
            </w:r>
          </w:p>
          <w:p w14:paraId="05456293">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椅子可升降高度：3</w:t>
            </w:r>
            <w:r>
              <w:rPr>
                <w:rFonts w:hint="eastAsia" w:ascii="宋体" w:hAnsi="宋体" w:eastAsia="宋体" w:cs="宋体"/>
                <w:color w:val="000000" w:themeColor="text1"/>
                <w:sz w:val="24"/>
                <w:szCs w:val="24"/>
                <w:lang w:val="en-US" w:eastAsia="zh-CN" w:bidi="ar-SA"/>
                <w14:textFill>
                  <w14:solidFill>
                    <w14:schemeClr w14:val="tx1"/>
                  </w14:solidFill>
                </w14:textFill>
              </w:rPr>
              <w:t>0</w:t>
            </w:r>
            <w:r>
              <w:rPr>
                <w:rFonts w:hint="default" w:ascii="宋体" w:hAnsi="宋体" w:eastAsia="宋体" w:cs="宋体"/>
                <w:color w:val="000000" w:themeColor="text1"/>
                <w:sz w:val="24"/>
                <w:szCs w:val="24"/>
                <w:lang w:val="en-US" w:eastAsia="zh-CN" w:bidi="ar-SA"/>
                <w14:textFill>
                  <w14:solidFill>
                    <w14:schemeClr w14:val="tx1"/>
                  </w14:solidFill>
                </w14:textFill>
              </w:rPr>
              <w:t>-4</w:t>
            </w:r>
            <w:r>
              <w:rPr>
                <w:rFonts w:hint="eastAsia" w:ascii="宋体" w:hAnsi="宋体" w:eastAsia="宋体" w:cs="宋体"/>
                <w:color w:val="000000" w:themeColor="text1"/>
                <w:sz w:val="24"/>
                <w:szCs w:val="24"/>
                <w:lang w:val="en-US" w:eastAsia="zh-CN" w:bidi="ar-SA"/>
                <w14:textFill>
                  <w14:solidFill>
                    <w14:schemeClr w14:val="tx1"/>
                  </w14:solidFill>
                </w14:textFill>
              </w:rPr>
              <w:t>5mm；</w:t>
            </w:r>
          </w:p>
          <w:p w14:paraId="4673882A">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功能：</w:t>
            </w:r>
            <w:r>
              <w:rPr>
                <w:rFonts w:hint="default" w:ascii="宋体" w:hAnsi="宋体" w:eastAsia="宋体" w:cs="宋体"/>
                <w:color w:val="000000" w:themeColor="text1"/>
                <w:sz w:val="24"/>
                <w:szCs w:val="24"/>
                <w:lang w:val="en-US" w:eastAsia="zh-CN" w:bidi="ar-SA"/>
                <w14:textFill>
                  <w14:solidFill>
                    <w14:schemeClr w14:val="tx1"/>
                  </w14:solidFill>
                </w14:textFill>
              </w:rPr>
              <w:t>配有护眼灯保护视力，矫正器更好纠正坐姿</w:t>
            </w:r>
          </w:p>
        </w:tc>
      </w:tr>
      <w:tr w14:paraId="6A43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vAlign w:val="center"/>
          </w:tcPr>
          <w:p w14:paraId="40FE8635">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p>
        </w:tc>
        <w:tc>
          <w:tcPr>
            <w:tcW w:w="1286" w:type="dxa"/>
            <w:vAlign w:val="center"/>
          </w:tcPr>
          <w:p w14:paraId="587AC43C">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图书、玩具柜</w:t>
            </w:r>
          </w:p>
        </w:tc>
        <w:tc>
          <w:tcPr>
            <w:tcW w:w="701" w:type="dxa"/>
            <w:vAlign w:val="center"/>
          </w:tcPr>
          <w:p w14:paraId="5F1DE469">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p>
        </w:tc>
        <w:tc>
          <w:tcPr>
            <w:tcW w:w="750" w:type="dxa"/>
            <w:vAlign w:val="center"/>
          </w:tcPr>
          <w:p w14:paraId="39D06617">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6178" w:type="dxa"/>
            <w:vAlign w:val="center"/>
          </w:tcPr>
          <w:p w14:paraId="3F13141B">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材质；橡胶木</w:t>
            </w:r>
          </w:p>
          <w:p w14:paraId="29380A38">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规格；1200mm*300 mm*800mm±10mm</w:t>
            </w:r>
          </w:p>
          <w:p w14:paraId="6835A015">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功能；</w:t>
            </w:r>
            <w:r>
              <w:rPr>
                <w:rFonts w:hint="default" w:ascii="宋体" w:hAnsi="宋体" w:eastAsia="宋体" w:cs="宋体"/>
                <w:color w:val="000000" w:themeColor="text1"/>
                <w:sz w:val="24"/>
                <w:szCs w:val="24"/>
                <w:lang w:val="en-US" w:eastAsia="zh-CN" w:bidi="ar-SA"/>
                <w14:textFill>
                  <w14:solidFill>
                    <w14:schemeClr w14:val="tx1"/>
                  </w14:solidFill>
                </w14:textFill>
              </w:rPr>
              <w:t>供幼儿摆放蒙氏教玩具，归类整洁</w:t>
            </w:r>
            <w:r>
              <w:rPr>
                <w:rFonts w:hint="eastAsia" w:ascii="宋体" w:hAnsi="宋体" w:eastAsia="宋体" w:cs="宋体"/>
                <w:color w:val="000000" w:themeColor="text1"/>
                <w:sz w:val="24"/>
                <w:szCs w:val="24"/>
                <w:lang w:val="en-US" w:eastAsia="zh-CN" w:bidi="ar-SA"/>
                <w14:textFill>
                  <w14:solidFill>
                    <w14:schemeClr w14:val="tx1"/>
                  </w14:solidFill>
                </w14:textFill>
              </w:rPr>
              <w:t>。</w:t>
            </w:r>
          </w:p>
        </w:tc>
      </w:tr>
      <w:tr w14:paraId="1510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818" w:type="dxa"/>
            <w:vAlign w:val="center"/>
          </w:tcPr>
          <w:p w14:paraId="10A6E2F1">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w:t>
            </w:r>
          </w:p>
        </w:tc>
        <w:tc>
          <w:tcPr>
            <w:tcW w:w="1286" w:type="dxa"/>
            <w:vAlign w:val="center"/>
          </w:tcPr>
          <w:p w14:paraId="75A865E9">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图书</w:t>
            </w:r>
          </w:p>
        </w:tc>
        <w:tc>
          <w:tcPr>
            <w:tcW w:w="701" w:type="dxa"/>
            <w:vAlign w:val="center"/>
          </w:tcPr>
          <w:p w14:paraId="3FEF726F">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p>
        </w:tc>
        <w:tc>
          <w:tcPr>
            <w:tcW w:w="750" w:type="dxa"/>
            <w:vAlign w:val="center"/>
          </w:tcPr>
          <w:p w14:paraId="1B8E403F">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6178" w:type="dxa"/>
            <w:vAlign w:val="center"/>
          </w:tcPr>
          <w:p w14:paraId="76ACA324">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儿歌300首1册、小猴子下山1册、大头儿子和小头爸爸1册、核桃山1册、父与子全集4册、安徒生童话4册、格林童话、十万个为什么8册</w:t>
            </w:r>
            <w:r>
              <w:rPr>
                <w:rFonts w:hint="eastAsia" w:ascii="宋体" w:hAnsi="宋体" w:eastAsia="宋体" w:cs="宋体"/>
                <w:color w:val="000000" w:themeColor="text1"/>
                <w:sz w:val="24"/>
                <w:szCs w:val="24"/>
                <w:lang w:val="en-US" w:eastAsia="zh-CN" w:bidi="ar-SA"/>
                <w14:textFill>
                  <w14:solidFill>
                    <w14:schemeClr w14:val="tx1"/>
                  </w14:solidFill>
                </w14:textFill>
              </w:rPr>
              <w:t>。</w:t>
            </w:r>
          </w:p>
        </w:tc>
      </w:tr>
      <w:tr w14:paraId="1047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18" w:type="dxa"/>
            <w:vAlign w:val="center"/>
          </w:tcPr>
          <w:p w14:paraId="68EEEBCA">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4</w:t>
            </w:r>
          </w:p>
        </w:tc>
        <w:tc>
          <w:tcPr>
            <w:tcW w:w="1286" w:type="dxa"/>
            <w:vAlign w:val="center"/>
          </w:tcPr>
          <w:p w14:paraId="5537451F">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儿童阅读小沙发</w:t>
            </w:r>
          </w:p>
        </w:tc>
        <w:tc>
          <w:tcPr>
            <w:tcW w:w="701" w:type="dxa"/>
            <w:vAlign w:val="center"/>
          </w:tcPr>
          <w:p w14:paraId="350DA384">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p>
        </w:tc>
        <w:tc>
          <w:tcPr>
            <w:tcW w:w="750" w:type="dxa"/>
            <w:vAlign w:val="center"/>
          </w:tcPr>
          <w:p w14:paraId="10C74309">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6178" w:type="dxa"/>
            <w:vAlign w:val="center"/>
          </w:tcPr>
          <w:p w14:paraId="72EB7A11">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尺寸：144</w:t>
            </w:r>
            <w:r>
              <w:rPr>
                <w:rFonts w:hint="eastAsia" w:ascii="宋体" w:hAnsi="宋体" w:eastAsia="宋体" w:cs="宋体"/>
                <w:color w:val="000000" w:themeColor="text1"/>
                <w:sz w:val="24"/>
                <w:szCs w:val="24"/>
                <w:lang w:val="en-US" w:eastAsia="zh-CN" w:bidi="ar-SA"/>
                <w14:textFill>
                  <w14:solidFill>
                    <w14:schemeClr w14:val="tx1"/>
                  </w14:solidFill>
                </w14:textFill>
              </w:rPr>
              <w:t>0mm</w:t>
            </w:r>
            <w:r>
              <w:rPr>
                <w:rFonts w:hint="default" w:ascii="宋体" w:hAnsi="宋体" w:eastAsia="宋体" w:cs="宋体"/>
                <w:color w:val="000000" w:themeColor="text1"/>
                <w:sz w:val="24"/>
                <w:szCs w:val="24"/>
                <w:lang w:val="en-US" w:eastAsia="zh-CN" w:bidi="ar-SA"/>
                <w14:textFill>
                  <w14:solidFill>
                    <w14:schemeClr w14:val="tx1"/>
                  </w14:solidFill>
                </w14:textFill>
              </w:rPr>
              <w:t>x40</w:t>
            </w:r>
            <w:r>
              <w:rPr>
                <w:rFonts w:hint="eastAsia" w:ascii="宋体" w:hAnsi="宋体" w:eastAsia="宋体" w:cs="宋体"/>
                <w:color w:val="000000" w:themeColor="text1"/>
                <w:sz w:val="24"/>
                <w:szCs w:val="24"/>
                <w:lang w:val="en-US" w:eastAsia="zh-CN" w:bidi="ar-SA"/>
                <w14:textFill>
                  <w14:solidFill>
                    <w14:schemeClr w14:val="tx1"/>
                  </w14:solidFill>
                </w14:textFill>
              </w:rPr>
              <w:t>0mm</w:t>
            </w:r>
            <w:r>
              <w:rPr>
                <w:rFonts w:hint="default" w:ascii="宋体" w:hAnsi="宋体" w:eastAsia="宋体" w:cs="宋体"/>
                <w:color w:val="000000" w:themeColor="text1"/>
                <w:sz w:val="24"/>
                <w:szCs w:val="24"/>
                <w:lang w:val="en-US" w:eastAsia="zh-CN" w:bidi="ar-SA"/>
                <w14:textFill>
                  <w14:solidFill>
                    <w14:schemeClr w14:val="tx1"/>
                  </w14:solidFill>
                </w14:textFill>
              </w:rPr>
              <w:t>×54</w:t>
            </w:r>
            <w:r>
              <w:rPr>
                <w:rFonts w:hint="eastAsia" w:ascii="宋体" w:hAnsi="宋体" w:eastAsia="宋体" w:cs="宋体"/>
                <w:color w:val="000000" w:themeColor="text1"/>
                <w:sz w:val="24"/>
                <w:szCs w:val="24"/>
                <w:lang w:val="en-US" w:eastAsia="zh-CN" w:bidi="ar-SA"/>
                <w14:textFill>
                  <w14:solidFill>
                    <w14:schemeClr w14:val="tx1"/>
                  </w14:solidFill>
                </w14:textFill>
              </w:rPr>
              <w:t>0mm±10mm；</w:t>
            </w:r>
          </w:p>
          <w:p w14:paraId="7913A280">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动物组合儿童沙发材质：</w:t>
            </w:r>
          </w:p>
          <w:p w14:paraId="6198DF61">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环保PVC+原生海绵+实木内架</w:t>
            </w:r>
          </w:p>
        </w:tc>
      </w:tr>
      <w:tr w14:paraId="0BAD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818" w:type="dxa"/>
            <w:vAlign w:val="center"/>
          </w:tcPr>
          <w:p w14:paraId="209CE414">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5</w:t>
            </w:r>
          </w:p>
        </w:tc>
        <w:tc>
          <w:tcPr>
            <w:tcW w:w="1286" w:type="dxa"/>
            <w:vAlign w:val="center"/>
          </w:tcPr>
          <w:p w14:paraId="58B5848A">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纸墨笔砚</w:t>
            </w:r>
          </w:p>
        </w:tc>
        <w:tc>
          <w:tcPr>
            <w:tcW w:w="701" w:type="dxa"/>
            <w:vAlign w:val="center"/>
          </w:tcPr>
          <w:p w14:paraId="10A44814">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p>
        </w:tc>
        <w:tc>
          <w:tcPr>
            <w:tcW w:w="750" w:type="dxa"/>
            <w:vAlign w:val="center"/>
          </w:tcPr>
          <w:p w14:paraId="5F33477C">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6178" w:type="dxa"/>
            <w:vAlign w:val="center"/>
          </w:tcPr>
          <w:p w14:paraId="458AAD89">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文房四宝包含</w:t>
            </w:r>
            <w:r>
              <w:rPr>
                <w:rFonts w:hint="eastAsia" w:ascii="宋体" w:hAnsi="宋体" w:eastAsia="宋体" w:cs="宋体"/>
                <w:color w:val="000000" w:themeColor="text1"/>
                <w:sz w:val="24"/>
                <w:szCs w:val="24"/>
                <w:lang w:val="en-US" w:eastAsia="zh-CN" w:bidi="ar-SA"/>
                <w14:textFill>
                  <w14:solidFill>
                    <w14:schemeClr w14:val="tx1"/>
                  </w14:solidFill>
                </w14:textFill>
              </w:rPr>
              <w:t>：</w:t>
            </w:r>
          </w:p>
          <w:p w14:paraId="6C204DBD">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狼毫毛笔3支</w:t>
            </w:r>
          </w:p>
          <w:p w14:paraId="56C4C407">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黑檀木镇尺2个</w:t>
            </w:r>
          </w:p>
          <w:p w14:paraId="20E3ABE3">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青瓷印泥盒1个</w:t>
            </w:r>
          </w:p>
          <w:p w14:paraId="6964298E">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书道油烟墨1块</w:t>
            </w:r>
          </w:p>
          <w:p w14:paraId="3C145C12">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黑檀木印章1个</w:t>
            </w:r>
          </w:p>
          <w:p w14:paraId="26BAB91F">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澄泥砚1个</w:t>
            </w:r>
          </w:p>
          <w:p w14:paraId="3D4964BA">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青瓷笔搁1个</w:t>
            </w:r>
          </w:p>
          <w:p w14:paraId="037AAD74">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书道礼盒1个</w:t>
            </w:r>
          </w:p>
          <w:p w14:paraId="601E80BD">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典雅礼袋1个</w:t>
            </w:r>
          </w:p>
        </w:tc>
      </w:tr>
      <w:tr w14:paraId="17AC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818" w:type="dxa"/>
            <w:vAlign w:val="center"/>
          </w:tcPr>
          <w:p w14:paraId="07606DC4">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6</w:t>
            </w:r>
          </w:p>
        </w:tc>
        <w:tc>
          <w:tcPr>
            <w:tcW w:w="1286" w:type="dxa"/>
            <w:vAlign w:val="center"/>
          </w:tcPr>
          <w:p w14:paraId="79732829">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长条书法桌</w:t>
            </w:r>
          </w:p>
        </w:tc>
        <w:tc>
          <w:tcPr>
            <w:tcW w:w="701" w:type="dxa"/>
            <w:vAlign w:val="center"/>
          </w:tcPr>
          <w:p w14:paraId="54AD5383">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p>
        </w:tc>
        <w:tc>
          <w:tcPr>
            <w:tcW w:w="750" w:type="dxa"/>
            <w:vAlign w:val="center"/>
          </w:tcPr>
          <w:p w14:paraId="39F15366">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张</w:t>
            </w:r>
          </w:p>
        </w:tc>
        <w:tc>
          <w:tcPr>
            <w:tcW w:w="6178" w:type="dxa"/>
            <w:vAlign w:val="center"/>
          </w:tcPr>
          <w:p w14:paraId="294E539A">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饰面：采用三聚氰胺浸渍纸饰面，耐磨，防腐，不褪色，不发白，不起泡</w:t>
            </w:r>
          </w:p>
          <w:p w14:paraId="148FDD80">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基材：采用E0级或E1级的刨花板</w:t>
            </w:r>
          </w:p>
          <w:p w14:paraId="5FC787B9">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封边条：采用优质PVC封边条封边</w:t>
            </w:r>
          </w:p>
          <w:p w14:paraId="3FD4AF69">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钢架：管壁厚度1.2，防锈处理，喷涂工艺。</w:t>
            </w:r>
          </w:p>
        </w:tc>
      </w:tr>
      <w:tr w14:paraId="6920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818" w:type="dxa"/>
            <w:vAlign w:val="center"/>
          </w:tcPr>
          <w:p w14:paraId="4C9B2DE1">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w:t>
            </w:r>
          </w:p>
        </w:tc>
        <w:tc>
          <w:tcPr>
            <w:tcW w:w="1286" w:type="dxa"/>
            <w:vAlign w:val="center"/>
          </w:tcPr>
          <w:p w14:paraId="2C64A238">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白板</w:t>
            </w:r>
          </w:p>
        </w:tc>
        <w:tc>
          <w:tcPr>
            <w:tcW w:w="701" w:type="dxa"/>
            <w:vAlign w:val="center"/>
          </w:tcPr>
          <w:p w14:paraId="0856B320">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p>
        </w:tc>
        <w:tc>
          <w:tcPr>
            <w:tcW w:w="750" w:type="dxa"/>
            <w:vAlign w:val="center"/>
          </w:tcPr>
          <w:p w14:paraId="5812CA7F">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个</w:t>
            </w:r>
          </w:p>
        </w:tc>
        <w:tc>
          <w:tcPr>
            <w:tcW w:w="6178" w:type="dxa"/>
            <w:vAlign w:val="center"/>
          </w:tcPr>
          <w:p w14:paraId="5DC3F895">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规格：</w:t>
            </w:r>
            <w:r>
              <w:rPr>
                <w:rFonts w:hint="default" w:ascii="宋体" w:hAnsi="宋体" w:eastAsia="宋体" w:cs="宋体"/>
                <w:color w:val="000000" w:themeColor="text1"/>
                <w:sz w:val="24"/>
                <w:szCs w:val="24"/>
                <w:lang w:val="en-US" w:eastAsia="zh-CN" w:bidi="ar-SA"/>
                <w14:textFill>
                  <w14:solidFill>
                    <w14:schemeClr w14:val="tx1"/>
                  </w14:solidFill>
                </w14:textFill>
              </w:rPr>
              <w:t>90</w:t>
            </w:r>
            <w:r>
              <w:rPr>
                <w:rFonts w:hint="eastAsia" w:ascii="宋体" w:hAnsi="宋体" w:eastAsia="宋体" w:cs="宋体"/>
                <w:color w:val="000000" w:themeColor="text1"/>
                <w:sz w:val="24"/>
                <w:szCs w:val="24"/>
                <w:lang w:val="en-US" w:eastAsia="zh-CN" w:bidi="ar-SA"/>
                <w14:textFill>
                  <w14:solidFill>
                    <w14:schemeClr w14:val="tx1"/>
                  </w14:solidFill>
                </w14:textFill>
              </w:rPr>
              <w:t>0</w:t>
            </w:r>
            <w:r>
              <w:rPr>
                <w:rFonts w:hint="default" w:ascii="宋体" w:hAnsi="宋体" w:eastAsia="宋体" w:cs="宋体"/>
                <w:color w:val="000000" w:themeColor="text1"/>
                <w:sz w:val="24"/>
                <w:szCs w:val="24"/>
                <w:lang w:val="en-US" w:eastAsia="zh-CN" w:bidi="ar-SA"/>
                <w14:textFill>
                  <w14:solidFill>
                    <w14:schemeClr w14:val="tx1"/>
                  </w14:solidFill>
                </w14:textFill>
              </w:rPr>
              <w:t>*150</w:t>
            </w:r>
            <w:r>
              <w:rPr>
                <w:rFonts w:hint="eastAsia" w:ascii="宋体" w:hAnsi="宋体" w:eastAsia="宋体" w:cs="宋体"/>
                <w:color w:val="000000" w:themeColor="text1"/>
                <w:sz w:val="24"/>
                <w:szCs w:val="24"/>
                <w:lang w:val="en-US" w:eastAsia="zh-CN" w:bidi="ar-SA"/>
                <w14:textFill>
                  <w14:solidFill>
                    <w14:schemeClr w14:val="tx1"/>
                  </w14:solidFill>
                </w14:textFill>
              </w:rPr>
              <w:t>0mm±10mm</w:t>
            </w:r>
          </w:p>
          <w:p w14:paraId="3F2BBF99">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双杠支架</w:t>
            </w:r>
          </w:p>
          <w:p w14:paraId="01E82756">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可移动</w:t>
            </w:r>
          </w:p>
        </w:tc>
      </w:tr>
      <w:tr w14:paraId="5C9D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8" w:type="dxa"/>
            <w:vAlign w:val="center"/>
          </w:tcPr>
          <w:p w14:paraId="1522534B">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三</w:t>
            </w:r>
          </w:p>
        </w:tc>
        <w:tc>
          <w:tcPr>
            <w:tcW w:w="1286" w:type="dxa"/>
            <w:vAlign w:val="center"/>
          </w:tcPr>
          <w:p w14:paraId="16E64E39">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益智类</w:t>
            </w:r>
          </w:p>
        </w:tc>
        <w:tc>
          <w:tcPr>
            <w:tcW w:w="701" w:type="dxa"/>
            <w:vAlign w:val="center"/>
          </w:tcPr>
          <w:p w14:paraId="6E2CE0FE">
            <w:pPr>
              <w:autoSpaceDE w:val="0"/>
              <w:autoSpaceDN w:val="0"/>
              <w:spacing w:line="360" w:lineRule="auto"/>
              <w:ind w:firstLine="480"/>
              <w:jc w:val="center"/>
              <w:rPr>
                <w:rFonts w:hint="default" w:ascii="宋体" w:hAnsi="宋体" w:eastAsia="宋体" w:cs="宋体"/>
                <w:color w:val="000000" w:themeColor="text1"/>
                <w:sz w:val="24"/>
                <w:szCs w:val="24"/>
                <w:lang w:val="en-US" w:eastAsia="zh-CN" w:bidi="ar-SA"/>
                <w14:textFill>
                  <w14:solidFill>
                    <w14:schemeClr w14:val="tx1"/>
                  </w14:solidFill>
                </w14:textFill>
              </w:rPr>
            </w:pPr>
          </w:p>
        </w:tc>
        <w:tc>
          <w:tcPr>
            <w:tcW w:w="750" w:type="dxa"/>
            <w:vAlign w:val="center"/>
          </w:tcPr>
          <w:p w14:paraId="06ED59A7">
            <w:pPr>
              <w:autoSpaceDE w:val="0"/>
              <w:autoSpaceDN w:val="0"/>
              <w:spacing w:line="360" w:lineRule="auto"/>
              <w:ind w:firstLine="480"/>
              <w:jc w:val="center"/>
              <w:rPr>
                <w:rFonts w:hint="default" w:ascii="宋体" w:hAnsi="宋体" w:eastAsia="宋体" w:cs="宋体"/>
                <w:color w:val="000000" w:themeColor="text1"/>
                <w:sz w:val="24"/>
                <w:szCs w:val="24"/>
                <w:lang w:val="en-US" w:eastAsia="zh-CN" w:bidi="ar-SA"/>
                <w14:textFill>
                  <w14:solidFill>
                    <w14:schemeClr w14:val="tx1"/>
                  </w14:solidFill>
                </w14:textFill>
              </w:rPr>
            </w:pPr>
          </w:p>
        </w:tc>
        <w:tc>
          <w:tcPr>
            <w:tcW w:w="6178" w:type="dxa"/>
            <w:vAlign w:val="center"/>
          </w:tcPr>
          <w:p w14:paraId="0B26DBBC">
            <w:pPr>
              <w:autoSpaceDE w:val="0"/>
              <w:autoSpaceDN w:val="0"/>
              <w:spacing w:line="360" w:lineRule="auto"/>
              <w:ind w:firstLine="480"/>
              <w:rPr>
                <w:rFonts w:hint="default" w:ascii="宋体" w:hAnsi="宋体" w:eastAsia="宋体" w:cs="宋体"/>
                <w:color w:val="000000" w:themeColor="text1"/>
                <w:sz w:val="24"/>
                <w:szCs w:val="24"/>
                <w:lang w:val="en-US" w:eastAsia="zh-CN" w:bidi="ar-SA"/>
                <w14:textFill>
                  <w14:solidFill>
                    <w14:schemeClr w14:val="tx1"/>
                  </w14:solidFill>
                </w14:textFill>
              </w:rPr>
            </w:pPr>
          </w:p>
        </w:tc>
      </w:tr>
      <w:tr w14:paraId="24AC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8" w:type="dxa"/>
            <w:vAlign w:val="center"/>
          </w:tcPr>
          <w:p w14:paraId="59B57096">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p>
        </w:tc>
        <w:tc>
          <w:tcPr>
            <w:tcW w:w="1286" w:type="dxa"/>
            <w:vAlign w:val="center"/>
          </w:tcPr>
          <w:p w14:paraId="67E0EF0C">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小火车玩具</w:t>
            </w:r>
          </w:p>
        </w:tc>
        <w:tc>
          <w:tcPr>
            <w:tcW w:w="701" w:type="dxa"/>
            <w:vAlign w:val="center"/>
          </w:tcPr>
          <w:p w14:paraId="76C47D0B">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p>
        </w:tc>
        <w:tc>
          <w:tcPr>
            <w:tcW w:w="750" w:type="dxa"/>
            <w:vAlign w:val="center"/>
          </w:tcPr>
          <w:p w14:paraId="6BFC9B42">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6178" w:type="dxa"/>
            <w:vAlign w:val="center"/>
          </w:tcPr>
          <w:p w14:paraId="17EA6E54">
            <w:pPr>
              <w:tabs>
                <w:tab w:val="left" w:pos="368"/>
              </w:tabs>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遥控方式：手柄；</w:t>
            </w:r>
          </w:p>
          <w:p w14:paraId="1359593A">
            <w:pPr>
              <w:tabs>
                <w:tab w:val="left" w:pos="368"/>
              </w:tabs>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材质：塑料、电子元件；</w:t>
            </w:r>
          </w:p>
          <w:p w14:paraId="2611EE3A">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配置：1车头+4节车厢+1节遥控车厢，包电(3.7V充电锂电池)螺丝刀，加水瓶；</w:t>
            </w:r>
          </w:p>
          <w:p w14:paraId="384D201F">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功能：3处喷雾冒烟功能，智能仿真喷雾，前进/后退，静音，喷雾开关功能，2处灯光，仿真音效，鸣笛；</w:t>
            </w:r>
          </w:p>
          <w:p w14:paraId="7309C8FF">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轨道拼装尺寸：207</w:t>
            </w:r>
            <w:r>
              <w:rPr>
                <w:rFonts w:hint="eastAsia" w:ascii="宋体" w:hAnsi="宋体" w:eastAsia="宋体" w:cs="宋体"/>
                <w:color w:val="000000" w:themeColor="text1"/>
                <w:sz w:val="24"/>
                <w:szCs w:val="24"/>
                <w:lang w:val="en-US" w:eastAsia="zh-CN" w:bidi="ar-SA"/>
                <w14:textFill>
                  <w14:solidFill>
                    <w14:schemeClr w14:val="tx1"/>
                  </w14:solidFill>
                </w14:textFill>
              </w:rPr>
              <w:t>0mm</w:t>
            </w:r>
            <w:r>
              <w:rPr>
                <w:rFonts w:hint="default" w:ascii="宋体" w:hAnsi="宋体" w:eastAsia="宋体" w:cs="宋体"/>
                <w:color w:val="000000" w:themeColor="text1"/>
                <w:sz w:val="24"/>
                <w:szCs w:val="24"/>
                <w:lang w:val="en-US" w:eastAsia="zh-CN" w:bidi="ar-SA"/>
                <w14:textFill>
                  <w14:solidFill>
                    <w14:schemeClr w14:val="tx1"/>
                  </w14:solidFill>
                </w14:textFill>
              </w:rPr>
              <w:t>*99</w:t>
            </w:r>
            <w:r>
              <w:rPr>
                <w:rFonts w:hint="eastAsia" w:ascii="宋体" w:hAnsi="宋体" w:eastAsia="宋体" w:cs="宋体"/>
                <w:color w:val="000000" w:themeColor="text1"/>
                <w:sz w:val="24"/>
                <w:szCs w:val="24"/>
                <w:lang w:val="en-US" w:eastAsia="zh-CN" w:bidi="ar-SA"/>
                <w14:textFill>
                  <w14:solidFill>
                    <w14:schemeClr w14:val="tx1"/>
                  </w14:solidFill>
                </w14:textFill>
              </w:rPr>
              <w:t>0mm±10mm</w:t>
            </w:r>
            <w:r>
              <w:rPr>
                <w:rFonts w:hint="default" w:ascii="宋体" w:hAnsi="宋体" w:eastAsia="宋体" w:cs="宋体"/>
                <w:color w:val="000000" w:themeColor="text1"/>
                <w:sz w:val="24"/>
                <w:szCs w:val="24"/>
                <w:lang w:val="en-US" w:eastAsia="zh-CN" w:bidi="ar-SA"/>
                <w14:textFill>
                  <w14:solidFill>
                    <w14:schemeClr w14:val="tx1"/>
                  </w14:solidFill>
                </w14:textFill>
              </w:rPr>
              <w:t>；</w:t>
            </w:r>
          </w:p>
          <w:p w14:paraId="1295B49E">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长度：10米；</w:t>
            </w:r>
          </w:p>
        </w:tc>
      </w:tr>
      <w:tr w14:paraId="1D4B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7B4E38B1">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p>
        </w:tc>
        <w:tc>
          <w:tcPr>
            <w:tcW w:w="1286" w:type="dxa"/>
            <w:vAlign w:val="center"/>
          </w:tcPr>
          <w:p w14:paraId="735316BB">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儿童磁力拼接玩具</w:t>
            </w:r>
          </w:p>
        </w:tc>
        <w:tc>
          <w:tcPr>
            <w:tcW w:w="701" w:type="dxa"/>
            <w:vAlign w:val="center"/>
          </w:tcPr>
          <w:p w14:paraId="734CA369">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p>
        </w:tc>
        <w:tc>
          <w:tcPr>
            <w:tcW w:w="750" w:type="dxa"/>
            <w:vAlign w:val="center"/>
          </w:tcPr>
          <w:p w14:paraId="4B5EFBFC">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6178" w:type="dxa"/>
            <w:vAlign w:val="center"/>
          </w:tcPr>
          <w:p w14:paraId="2B4C5A03">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ABS</w:t>
            </w:r>
            <w:r>
              <w:rPr>
                <w:rFonts w:hint="eastAsia" w:ascii="宋体" w:hAnsi="宋体" w:eastAsia="宋体" w:cs="宋体"/>
                <w:color w:val="000000" w:themeColor="text1"/>
                <w:sz w:val="24"/>
                <w:szCs w:val="24"/>
                <w:lang w:val="en-US" w:eastAsia="zh-CN" w:bidi="ar-SA"/>
                <w14:textFill>
                  <w14:solidFill>
                    <w14:schemeClr w14:val="tx1"/>
                  </w14:solidFill>
                </w14:textFill>
              </w:rPr>
              <w:t>塑料材质：水上飞机.雷达车.航空母舰.两栖登陆船.加长件/4.收纳盒</w:t>
            </w:r>
          </w:p>
        </w:tc>
      </w:tr>
      <w:tr w14:paraId="4173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2AD58B49">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w:t>
            </w:r>
          </w:p>
        </w:tc>
        <w:tc>
          <w:tcPr>
            <w:tcW w:w="1286" w:type="dxa"/>
            <w:vAlign w:val="center"/>
          </w:tcPr>
          <w:p w14:paraId="46BA00EB">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象棋</w:t>
            </w:r>
          </w:p>
        </w:tc>
        <w:tc>
          <w:tcPr>
            <w:tcW w:w="701" w:type="dxa"/>
            <w:vAlign w:val="center"/>
          </w:tcPr>
          <w:p w14:paraId="7C211758">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p>
        </w:tc>
        <w:tc>
          <w:tcPr>
            <w:tcW w:w="750" w:type="dxa"/>
            <w:vAlign w:val="center"/>
          </w:tcPr>
          <w:p w14:paraId="7C7E13C8">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副</w:t>
            </w:r>
          </w:p>
        </w:tc>
        <w:tc>
          <w:tcPr>
            <w:tcW w:w="6178" w:type="dxa"/>
            <w:vAlign w:val="center"/>
          </w:tcPr>
          <w:p w14:paraId="41D04820">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最大号全实木带木棋盘</w:t>
            </w:r>
            <w:r>
              <w:rPr>
                <w:rFonts w:hint="eastAsia" w:ascii="宋体" w:hAnsi="宋体" w:eastAsia="宋体" w:cs="宋体"/>
                <w:color w:val="000000" w:themeColor="text1"/>
                <w:sz w:val="24"/>
                <w:szCs w:val="24"/>
                <w:lang w:val="en-US" w:eastAsia="zh-CN" w:bidi="ar-SA"/>
                <w14:textFill>
                  <w14:solidFill>
                    <w14:schemeClr w14:val="tx1"/>
                  </w14:solidFill>
                </w14:textFill>
              </w:rPr>
              <w:t>x</w:t>
            </w:r>
            <w:r>
              <w:rPr>
                <w:rFonts w:hint="default" w:ascii="宋体" w:hAnsi="宋体" w:eastAsia="宋体" w:cs="宋体"/>
                <w:color w:val="000000" w:themeColor="text1"/>
                <w:sz w:val="24"/>
                <w:szCs w:val="24"/>
                <w:lang w:val="en-US" w:eastAsia="zh-CN" w:bidi="ar-SA"/>
                <w14:textFill>
                  <w14:solidFill>
                    <w14:schemeClr w14:val="tx1"/>
                  </w14:solidFill>
                </w14:textFill>
              </w:rPr>
              <w:t>的象棋套装60号</w:t>
            </w:r>
            <w:r>
              <w:rPr>
                <w:rFonts w:hint="eastAsia" w:ascii="宋体" w:hAnsi="宋体" w:eastAsia="宋体" w:cs="宋体"/>
                <w:color w:val="000000" w:themeColor="text1"/>
                <w:sz w:val="24"/>
                <w:szCs w:val="24"/>
                <w:lang w:val="en-US" w:eastAsia="zh-CN" w:bidi="ar-SA"/>
                <w14:textFill>
                  <w14:solidFill>
                    <w14:schemeClr w14:val="tx1"/>
                  </w14:solidFill>
                </w14:textFill>
              </w:rPr>
              <w:t>；</w:t>
            </w:r>
          </w:p>
          <w:p w14:paraId="62EA3AE2">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尺寸：55</w:t>
            </w:r>
            <w:r>
              <w:rPr>
                <w:rFonts w:hint="eastAsia" w:ascii="宋体" w:hAnsi="宋体" w:eastAsia="宋体" w:cs="宋体"/>
                <w:color w:val="000000" w:themeColor="text1"/>
                <w:sz w:val="24"/>
                <w:szCs w:val="24"/>
                <w:lang w:val="en-US" w:eastAsia="zh-CN" w:bidi="ar-SA"/>
                <w14:textFill>
                  <w14:solidFill>
                    <w14:schemeClr w14:val="tx1"/>
                  </w14:solidFill>
                </w14:textFill>
              </w:rPr>
              <w:t>0mm</w:t>
            </w:r>
            <w:r>
              <w:rPr>
                <w:rFonts w:hint="default" w:ascii="宋体" w:hAnsi="宋体" w:eastAsia="宋体" w:cs="宋体"/>
                <w:color w:val="000000" w:themeColor="text1"/>
                <w:sz w:val="24"/>
                <w:szCs w:val="24"/>
                <w:lang w:val="en-US" w:eastAsia="zh-CN" w:bidi="ar-SA"/>
                <w14:textFill>
                  <w14:solidFill>
                    <w14:schemeClr w14:val="tx1"/>
                  </w14:solidFill>
                </w14:textFill>
              </w:rPr>
              <w:t>*59</w:t>
            </w:r>
            <w:r>
              <w:rPr>
                <w:rFonts w:hint="eastAsia" w:ascii="宋体" w:hAnsi="宋体" w:eastAsia="宋体" w:cs="宋体"/>
                <w:color w:val="000000" w:themeColor="text1"/>
                <w:sz w:val="24"/>
                <w:szCs w:val="24"/>
                <w:lang w:val="en-US" w:eastAsia="zh-CN" w:bidi="ar-SA"/>
                <w14:textFill>
                  <w14:solidFill>
                    <w14:schemeClr w14:val="tx1"/>
                  </w14:solidFill>
                </w14:textFill>
              </w:rPr>
              <w:t>0mm</w:t>
            </w:r>
            <w:r>
              <w:rPr>
                <w:rFonts w:hint="default" w:ascii="宋体" w:hAnsi="宋体" w:eastAsia="宋体" w:cs="宋体"/>
                <w:color w:val="000000" w:themeColor="text1"/>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en-US" w:eastAsia="zh-CN" w:bidi="ar-SA"/>
                <w14:textFill>
                  <w14:solidFill>
                    <w14:schemeClr w14:val="tx1"/>
                  </w14:solidFill>
                </w14:textFill>
              </w:rPr>
              <w:t>0mm±10mm。</w:t>
            </w:r>
          </w:p>
        </w:tc>
      </w:tr>
      <w:tr w14:paraId="0828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4DB3C2E0">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4</w:t>
            </w:r>
          </w:p>
        </w:tc>
        <w:tc>
          <w:tcPr>
            <w:tcW w:w="1286" w:type="dxa"/>
            <w:vAlign w:val="center"/>
          </w:tcPr>
          <w:p w14:paraId="0AA6D064">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围棋</w:t>
            </w:r>
          </w:p>
        </w:tc>
        <w:tc>
          <w:tcPr>
            <w:tcW w:w="701" w:type="dxa"/>
            <w:vAlign w:val="center"/>
          </w:tcPr>
          <w:p w14:paraId="482AD49E">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p>
        </w:tc>
        <w:tc>
          <w:tcPr>
            <w:tcW w:w="750" w:type="dxa"/>
            <w:vAlign w:val="center"/>
          </w:tcPr>
          <w:p w14:paraId="193D0A69">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副</w:t>
            </w:r>
          </w:p>
        </w:tc>
        <w:tc>
          <w:tcPr>
            <w:tcW w:w="6178" w:type="dxa"/>
            <w:vAlign w:val="center"/>
          </w:tcPr>
          <w:p w14:paraId="0FD9DCD7">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符合GB  6675.2-2014、GB  6675.3-2014、GB6675.4-2014等玩具国家级标准。</w:t>
            </w:r>
          </w:p>
          <w:p w14:paraId="037AC3D6">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提供第三方检测机构出具的检测报告</w:t>
            </w:r>
          </w:p>
        </w:tc>
      </w:tr>
      <w:tr w14:paraId="53E8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42301EA0">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5</w:t>
            </w:r>
          </w:p>
        </w:tc>
        <w:tc>
          <w:tcPr>
            <w:tcW w:w="1286" w:type="dxa"/>
            <w:vAlign w:val="center"/>
          </w:tcPr>
          <w:p w14:paraId="12750F9D">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麻将桌</w:t>
            </w:r>
          </w:p>
        </w:tc>
        <w:tc>
          <w:tcPr>
            <w:tcW w:w="701" w:type="dxa"/>
            <w:vAlign w:val="center"/>
          </w:tcPr>
          <w:p w14:paraId="63422CB6">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p>
        </w:tc>
        <w:tc>
          <w:tcPr>
            <w:tcW w:w="750" w:type="dxa"/>
            <w:vAlign w:val="center"/>
          </w:tcPr>
          <w:p w14:paraId="2F8F1F55">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副</w:t>
            </w:r>
          </w:p>
        </w:tc>
        <w:tc>
          <w:tcPr>
            <w:tcW w:w="6178" w:type="dxa"/>
            <w:vAlign w:val="center"/>
          </w:tcPr>
          <w:p w14:paraId="58C8DCA5">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棋牌两用桌</w:t>
            </w:r>
            <w:r>
              <w:rPr>
                <w:rFonts w:hint="eastAsia" w:ascii="宋体" w:hAnsi="宋体" w:eastAsia="宋体" w:cs="宋体"/>
                <w:color w:val="000000" w:themeColor="text1"/>
                <w:sz w:val="24"/>
                <w:szCs w:val="24"/>
                <w:lang w:val="en-US" w:eastAsia="zh-CN" w:bidi="ar-SA"/>
                <w14:textFill>
                  <w14:solidFill>
                    <w14:schemeClr w14:val="tx1"/>
                  </w14:solidFill>
                </w14:textFill>
              </w:rPr>
              <w:t>：</w:t>
            </w:r>
            <w:r>
              <w:rPr>
                <w:rFonts w:hint="default" w:ascii="宋体" w:hAnsi="宋体" w:eastAsia="宋体" w:cs="宋体"/>
                <w:color w:val="000000" w:themeColor="text1"/>
                <w:sz w:val="24"/>
                <w:szCs w:val="24"/>
                <w:lang w:val="en-US" w:eastAsia="zh-CN" w:bidi="ar-SA"/>
                <w14:textFill>
                  <w14:solidFill>
                    <w14:schemeClr w14:val="tx1"/>
                  </w14:solidFill>
                </w14:textFill>
              </w:rPr>
              <w:t>80</w:t>
            </w:r>
            <w:r>
              <w:rPr>
                <w:rFonts w:hint="eastAsia" w:ascii="宋体" w:hAnsi="宋体" w:eastAsia="宋体" w:cs="宋体"/>
                <w:color w:val="000000" w:themeColor="text1"/>
                <w:sz w:val="24"/>
                <w:szCs w:val="24"/>
                <w:lang w:val="en-US" w:eastAsia="zh-CN" w:bidi="ar-SA"/>
                <w14:textFill>
                  <w14:solidFill>
                    <w14:schemeClr w14:val="tx1"/>
                  </w14:solidFill>
                </w14:textFill>
              </w:rPr>
              <w:t>0mm</w:t>
            </w:r>
            <w:r>
              <w:rPr>
                <w:rFonts w:hint="default" w:ascii="宋体" w:hAnsi="宋体" w:eastAsia="宋体" w:cs="宋体"/>
                <w:color w:val="000000" w:themeColor="text1"/>
                <w:sz w:val="24"/>
                <w:szCs w:val="24"/>
                <w:lang w:val="en-US" w:eastAsia="zh-CN" w:bidi="ar-SA"/>
                <w14:textFill>
                  <w14:solidFill>
                    <w14:schemeClr w14:val="tx1"/>
                  </w14:solidFill>
                </w14:textFill>
              </w:rPr>
              <w:t>*80</w:t>
            </w:r>
            <w:r>
              <w:rPr>
                <w:rFonts w:hint="eastAsia" w:ascii="宋体" w:hAnsi="宋体" w:eastAsia="宋体" w:cs="宋体"/>
                <w:color w:val="000000" w:themeColor="text1"/>
                <w:sz w:val="24"/>
                <w:szCs w:val="24"/>
                <w:lang w:val="en-US" w:eastAsia="zh-CN" w:bidi="ar-SA"/>
                <w14:textFill>
                  <w14:solidFill>
                    <w14:schemeClr w14:val="tx1"/>
                  </w14:solidFill>
                </w14:textFill>
              </w:rPr>
              <w:t>0mm</w:t>
            </w:r>
            <w:r>
              <w:rPr>
                <w:rFonts w:hint="default" w:ascii="宋体" w:hAnsi="宋体" w:eastAsia="宋体" w:cs="宋体"/>
                <w:color w:val="000000" w:themeColor="text1"/>
                <w:sz w:val="24"/>
                <w:szCs w:val="24"/>
                <w:lang w:val="en-US" w:eastAsia="zh-CN" w:bidi="ar-SA"/>
                <w14:textFill>
                  <w14:solidFill>
                    <w14:schemeClr w14:val="tx1"/>
                  </w14:solidFill>
                </w14:textFill>
              </w:rPr>
              <w:t>*74</w:t>
            </w:r>
            <w:r>
              <w:rPr>
                <w:rFonts w:hint="eastAsia" w:ascii="宋体" w:hAnsi="宋体" w:eastAsia="宋体" w:cs="宋体"/>
                <w:color w:val="000000" w:themeColor="text1"/>
                <w:sz w:val="24"/>
                <w:szCs w:val="24"/>
                <w:lang w:val="en-US" w:eastAsia="zh-CN" w:bidi="ar-SA"/>
                <w14:textFill>
                  <w14:solidFill>
                    <w14:schemeClr w14:val="tx1"/>
                  </w14:solidFill>
                </w14:textFill>
              </w:rPr>
              <w:t>0mm±10mm</w:t>
            </w:r>
            <w:r>
              <w:rPr>
                <w:rFonts w:hint="default" w:ascii="宋体" w:hAnsi="宋体" w:eastAsia="宋体" w:cs="宋体"/>
                <w:color w:val="000000" w:themeColor="text1"/>
                <w:sz w:val="24"/>
                <w:szCs w:val="24"/>
                <w:lang w:val="en-US" w:eastAsia="zh-CN" w:bidi="ar-SA"/>
                <w14:textFill>
                  <w14:solidFill>
                    <w14:schemeClr w14:val="tx1"/>
                  </w14:solidFill>
                </w14:textFill>
              </w:rPr>
              <w:t>，</w:t>
            </w:r>
          </w:p>
          <w:p w14:paraId="0C9C2AC7">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可折叠 PVC包边反面棋盘面+加厚烤漆腿</w:t>
            </w:r>
          </w:p>
        </w:tc>
      </w:tr>
      <w:tr w14:paraId="04D5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79602F76">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四</w:t>
            </w:r>
          </w:p>
        </w:tc>
        <w:tc>
          <w:tcPr>
            <w:tcW w:w="1286" w:type="dxa"/>
            <w:vAlign w:val="center"/>
          </w:tcPr>
          <w:p w14:paraId="4F9E815D">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手工类</w:t>
            </w:r>
          </w:p>
        </w:tc>
        <w:tc>
          <w:tcPr>
            <w:tcW w:w="701" w:type="dxa"/>
            <w:vAlign w:val="center"/>
          </w:tcPr>
          <w:p w14:paraId="002699A1">
            <w:pPr>
              <w:autoSpaceDE w:val="0"/>
              <w:autoSpaceDN w:val="0"/>
              <w:spacing w:line="360" w:lineRule="auto"/>
              <w:ind w:firstLine="480"/>
              <w:jc w:val="center"/>
              <w:rPr>
                <w:rFonts w:hint="default" w:ascii="宋体" w:hAnsi="宋体" w:eastAsia="宋体" w:cs="宋体"/>
                <w:color w:val="000000" w:themeColor="text1"/>
                <w:sz w:val="24"/>
                <w:szCs w:val="24"/>
                <w:lang w:val="en-US" w:eastAsia="zh-CN" w:bidi="ar-SA"/>
                <w14:textFill>
                  <w14:solidFill>
                    <w14:schemeClr w14:val="tx1"/>
                  </w14:solidFill>
                </w14:textFill>
              </w:rPr>
            </w:pPr>
          </w:p>
        </w:tc>
        <w:tc>
          <w:tcPr>
            <w:tcW w:w="750" w:type="dxa"/>
            <w:vAlign w:val="center"/>
          </w:tcPr>
          <w:p w14:paraId="6AC0F644">
            <w:pPr>
              <w:autoSpaceDE w:val="0"/>
              <w:autoSpaceDN w:val="0"/>
              <w:spacing w:line="360" w:lineRule="auto"/>
              <w:ind w:firstLine="480"/>
              <w:jc w:val="center"/>
              <w:rPr>
                <w:rFonts w:hint="default" w:ascii="宋体" w:hAnsi="宋体" w:eastAsia="宋体" w:cs="宋体"/>
                <w:color w:val="000000" w:themeColor="text1"/>
                <w:sz w:val="24"/>
                <w:szCs w:val="24"/>
                <w:lang w:val="en-US" w:eastAsia="zh-CN" w:bidi="ar-SA"/>
                <w14:textFill>
                  <w14:solidFill>
                    <w14:schemeClr w14:val="tx1"/>
                  </w14:solidFill>
                </w14:textFill>
              </w:rPr>
            </w:pPr>
          </w:p>
        </w:tc>
        <w:tc>
          <w:tcPr>
            <w:tcW w:w="6178" w:type="dxa"/>
            <w:vAlign w:val="center"/>
          </w:tcPr>
          <w:p w14:paraId="75F98A58">
            <w:pPr>
              <w:autoSpaceDE w:val="0"/>
              <w:autoSpaceDN w:val="0"/>
              <w:spacing w:line="360" w:lineRule="auto"/>
              <w:ind w:firstLine="480"/>
              <w:rPr>
                <w:rFonts w:hint="default" w:ascii="宋体" w:hAnsi="宋体" w:eastAsia="宋体" w:cs="宋体"/>
                <w:color w:val="000000" w:themeColor="text1"/>
                <w:sz w:val="24"/>
                <w:szCs w:val="24"/>
                <w:lang w:val="en-US" w:eastAsia="zh-CN" w:bidi="ar-SA"/>
                <w14:textFill>
                  <w14:solidFill>
                    <w14:schemeClr w14:val="tx1"/>
                  </w14:solidFill>
                </w14:textFill>
              </w:rPr>
            </w:pPr>
          </w:p>
        </w:tc>
      </w:tr>
      <w:tr w14:paraId="053D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67604B78">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p>
        </w:tc>
        <w:tc>
          <w:tcPr>
            <w:tcW w:w="1286" w:type="dxa"/>
            <w:vAlign w:val="center"/>
          </w:tcPr>
          <w:p w14:paraId="3A73F3A7">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喷水粘合珠</w:t>
            </w:r>
          </w:p>
        </w:tc>
        <w:tc>
          <w:tcPr>
            <w:tcW w:w="701" w:type="dxa"/>
            <w:vAlign w:val="center"/>
          </w:tcPr>
          <w:p w14:paraId="5C370C50">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8</w:t>
            </w:r>
          </w:p>
        </w:tc>
        <w:tc>
          <w:tcPr>
            <w:tcW w:w="750" w:type="dxa"/>
            <w:vAlign w:val="center"/>
          </w:tcPr>
          <w:p w14:paraId="33116138">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6178" w:type="dxa"/>
            <w:vAlign w:val="center"/>
          </w:tcPr>
          <w:p w14:paraId="5E66F917">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水雾魔珠，二十四色，2400颗水溶珠，配件全套</w:t>
            </w:r>
            <w:r>
              <w:rPr>
                <w:rFonts w:hint="eastAsia" w:ascii="宋体" w:hAnsi="宋体" w:eastAsia="宋体" w:cs="宋体"/>
                <w:color w:val="000000" w:themeColor="text1"/>
                <w:sz w:val="24"/>
                <w:szCs w:val="24"/>
                <w:lang w:val="en-US" w:eastAsia="zh-CN" w:bidi="ar-SA"/>
                <w14:textFill>
                  <w14:solidFill>
                    <w14:schemeClr w14:val="tx1"/>
                  </w14:solidFill>
                </w14:textFill>
              </w:rPr>
              <w:t>。</w:t>
            </w:r>
          </w:p>
        </w:tc>
      </w:tr>
      <w:tr w14:paraId="09AA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74CBF8C9">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p>
        </w:tc>
        <w:tc>
          <w:tcPr>
            <w:tcW w:w="1286" w:type="dxa"/>
            <w:vAlign w:val="center"/>
          </w:tcPr>
          <w:p w14:paraId="371A0FF1">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24色云朵粘土</w:t>
            </w:r>
          </w:p>
        </w:tc>
        <w:tc>
          <w:tcPr>
            <w:tcW w:w="701" w:type="dxa"/>
            <w:vAlign w:val="center"/>
          </w:tcPr>
          <w:p w14:paraId="3E7E6D33">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8</w:t>
            </w:r>
          </w:p>
        </w:tc>
        <w:tc>
          <w:tcPr>
            <w:tcW w:w="750" w:type="dxa"/>
            <w:vAlign w:val="center"/>
          </w:tcPr>
          <w:p w14:paraId="452468AF">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6178" w:type="dxa"/>
            <w:vAlign w:val="center"/>
          </w:tcPr>
          <w:p w14:paraId="163022DA">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超轻粘土彩泥带收纳箱24个，独立包装</w:t>
            </w:r>
            <w:r>
              <w:rPr>
                <w:rFonts w:hint="eastAsia" w:ascii="宋体" w:hAnsi="宋体" w:eastAsia="宋体" w:cs="宋体"/>
                <w:color w:val="000000" w:themeColor="text1"/>
                <w:sz w:val="24"/>
                <w:szCs w:val="24"/>
                <w:lang w:val="en-US" w:eastAsia="zh-CN" w:bidi="ar-SA"/>
                <w14:textFill>
                  <w14:solidFill>
                    <w14:schemeClr w14:val="tx1"/>
                  </w14:solidFill>
                </w14:textFill>
              </w:rPr>
              <w:t>。</w:t>
            </w:r>
          </w:p>
        </w:tc>
      </w:tr>
      <w:tr w14:paraId="3BDC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13C77D26">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五</w:t>
            </w:r>
          </w:p>
        </w:tc>
        <w:tc>
          <w:tcPr>
            <w:tcW w:w="1286" w:type="dxa"/>
            <w:vAlign w:val="center"/>
          </w:tcPr>
          <w:p w14:paraId="282CDC66">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“儿童之家”标识标牌</w:t>
            </w:r>
          </w:p>
        </w:tc>
        <w:tc>
          <w:tcPr>
            <w:tcW w:w="701" w:type="dxa"/>
            <w:vAlign w:val="center"/>
          </w:tcPr>
          <w:p w14:paraId="7E404CAF">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p>
        </w:tc>
        <w:tc>
          <w:tcPr>
            <w:tcW w:w="750" w:type="dxa"/>
            <w:vAlign w:val="center"/>
          </w:tcPr>
          <w:p w14:paraId="02545720">
            <w:pPr>
              <w:autoSpaceDE w:val="0"/>
              <w:autoSpaceDN w:val="0"/>
              <w:spacing w:line="360" w:lineRule="auto"/>
              <w:ind w:firstLine="480"/>
              <w:jc w:val="center"/>
              <w:rPr>
                <w:rFonts w:hint="default" w:ascii="宋体" w:hAnsi="宋体" w:eastAsia="宋体" w:cs="宋体"/>
                <w:color w:val="000000" w:themeColor="text1"/>
                <w:sz w:val="24"/>
                <w:szCs w:val="24"/>
                <w:lang w:val="en-US" w:eastAsia="zh-CN" w:bidi="ar-SA"/>
                <w14:textFill>
                  <w14:solidFill>
                    <w14:schemeClr w14:val="tx1"/>
                  </w14:solidFill>
                </w14:textFill>
              </w:rPr>
            </w:pPr>
          </w:p>
        </w:tc>
        <w:tc>
          <w:tcPr>
            <w:tcW w:w="6178" w:type="dxa"/>
            <w:vAlign w:val="center"/>
          </w:tcPr>
          <w:p w14:paraId="51882803">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材质</w:t>
            </w:r>
            <w:r>
              <w:rPr>
                <w:rFonts w:hint="eastAsia" w:ascii="宋体" w:hAnsi="宋体" w:eastAsia="宋体" w:cs="宋体"/>
                <w:color w:val="000000" w:themeColor="text1"/>
                <w:sz w:val="24"/>
                <w:szCs w:val="24"/>
                <w:lang w:val="en-US" w:eastAsia="zh-CN" w:bidi="ar-SA"/>
                <w14:textFill>
                  <w14:solidFill>
                    <w14:schemeClr w14:val="tx1"/>
                  </w14:solidFill>
                </w14:textFill>
              </w:rPr>
              <w:t>：</w:t>
            </w:r>
            <w:r>
              <w:rPr>
                <w:rFonts w:hint="default" w:ascii="宋体" w:hAnsi="宋体" w:eastAsia="宋体" w:cs="宋体"/>
                <w:color w:val="000000" w:themeColor="text1"/>
                <w:sz w:val="24"/>
                <w:szCs w:val="24"/>
                <w:lang w:val="en-US" w:eastAsia="zh-CN" w:bidi="ar-SA"/>
                <w14:textFill>
                  <w14:solidFill>
                    <w14:schemeClr w14:val="tx1"/>
                  </w14:solidFill>
                </w14:textFill>
              </w:rPr>
              <w:t>不锈钢</w:t>
            </w:r>
            <w:r>
              <w:rPr>
                <w:rFonts w:hint="eastAsia" w:ascii="宋体" w:hAnsi="宋体" w:eastAsia="宋体" w:cs="宋体"/>
                <w:color w:val="000000" w:themeColor="text1"/>
                <w:sz w:val="24"/>
                <w:szCs w:val="24"/>
                <w:lang w:val="en-US" w:eastAsia="zh-CN" w:bidi="ar-SA"/>
                <w14:textFill>
                  <w14:solidFill>
                    <w14:schemeClr w14:val="tx1"/>
                  </w14:solidFill>
                </w14:textFill>
              </w:rPr>
              <w:t>框架、</w:t>
            </w:r>
            <w:r>
              <w:rPr>
                <w:rFonts w:hint="default" w:ascii="宋体" w:hAnsi="宋体" w:eastAsia="宋体" w:cs="宋体"/>
                <w:color w:val="000000" w:themeColor="text1"/>
                <w:sz w:val="24"/>
                <w:szCs w:val="24"/>
                <w:lang w:val="en-US" w:eastAsia="zh-CN" w:bidi="ar-SA"/>
                <w14:textFill>
                  <w14:solidFill>
                    <w14:schemeClr w14:val="tx1"/>
                  </w14:solidFill>
                </w14:textFill>
              </w:rPr>
              <w:t>内容烤漆</w:t>
            </w:r>
            <w:r>
              <w:rPr>
                <w:rFonts w:hint="eastAsia" w:ascii="宋体" w:hAnsi="宋体" w:eastAsia="宋体" w:cs="宋体"/>
                <w:color w:val="000000" w:themeColor="text1"/>
                <w:sz w:val="24"/>
                <w:szCs w:val="24"/>
                <w:lang w:val="en-US" w:eastAsia="zh-CN" w:bidi="ar-SA"/>
                <w14:textFill>
                  <w14:solidFill>
                    <w14:schemeClr w14:val="tx1"/>
                  </w14:solidFill>
                </w14:textFill>
              </w:rPr>
              <w:t>；</w:t>
            </w:r>
          </w:p>
          <w:p w14:paraId="56016762">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规格</w:t>
            </w:r>
            <w:r>
              <w:rPr>
                <w:rFonts w:hint="eastAsia" w:ascii="宋体" w:hAnsi="宋体" w:eastAsia="宋体" w:cs="宋体"/>
                <w:color w:val="000000" w:themeColor="text1"/>
                <w:sz w:val="24"/>
                <w:szCs w:val="24"/>
                <w:lang w:val="en-US" w:eastAsia="zh-CN" w:bidi="ar-SA"/>
                <w14:textFill>
                  <w14:solidFill>
                    <w14:schemeClr w14:val="tx1"/>
                  </w14:solidFill>
                </w14:textFill>
              </w:rPr>
              <w:t>：定制</w:t>
            </w:r>
          </w:p>
          <w:p w14:paraId="1870B560">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不锈钢中化学成分：（此项以三方检测机构出具的检测报告为准）</w:t>
            </w:r>
            <w:bookmarkStart w:id="124" w:name="_GoBack"/>
            <w:bookmarkEnd w:id="124"/>
          </w:p>
          <w:p w14:paraId="32534754">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Cr:10.5%-20%</w:t>
            </w:r>
          </w:p>
          <w:p w14:paraId="6F074663">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C:≤0.20%</w:t>
            </w:r>
          </w:p>
          <w:p w14:paraId="071DA751">
            <w:pPr>
              <w:autoSpaceDE w:val="0"/>
              <w:autoSpaceDN w:val="0"/>
              <w:spacing w:line="360" w:lineRule="auto"/>
              <w:ind w:left="0" w:leftChars="0"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S：≤0.030%</w:t>
            </w:r>
          </w:p>
          <w:p w14:paraId="7C9CC73B">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P：≤0.050%</w:t>
            </w:r>
          </w:p>
          <w:p w14:paraId="1B2AAED9">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Mn：1%-13.5%</w:t>
            </w:r>
          </w:p>
          <w:p w14:paraId="7FFDBC1F">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Si：≤1.00%</w:t>
            </w:r>
          </w:p>
          <w:p w14:paraId="79E19BE4">
            <w:pPr>
              <w:autoSpaceDE w:val="0"/>
              <w:autoSpaceDN w:val="0"/>
              <w:spacing w:line="360" w:lineRule="auto"/>
              <w:ind w:left="0" w:leftChars="0" w:firstLine="0" w:firstLineChars="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Ni：0.7%-1.5%</w:t>
            </w:r>
          </w:p>
        </w:tc>
      </w:tr>
    </w:tbl>
    <w:p w14:paraId="604F309A">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注：以上设备本次项目采购19套</w:t>
      </w:r>
    </w:p>
    <w:p w14:paraId="3CC41D40">
      <w:pPr>
        <w:keepNext w:val="0"/>
        <w:keepLines w:val="0"/>
        <w:pageBreakBefore w:val="0"/>
        <w:widowControl w:val="0"/>
        <w:kinsoku/>
        <w:wordWrap/>
        <w:overflowPunct/>
        <w:topLinePunct w:val="0"/>
        <w:autoSpaceDE w:val="0"/>
        <w:autoSpaceDN w:val="0"/>
        <w:bidi w:val="0"/>
        <w:adjustRightInd w:val="0"/>
        <w:snapToGrid/>
        <w:spacing w:after="240" w:line="360" w:lineRule="auto"/>
        <w:ind w:firstLine="562" w:firstLineChars="200"/>
        <w:jc w:val="center"/>
        <w:textAlignment w:val="auto"/>
        <w:rPr>
          <w:rFonts w:hint="eastAsia" w:ascii="宋体" w:hAnsi="宋体" w:eastAsia="宋体" w:cs="宋体"/>
          <w:b/>
          <w:bCs/>
          <w:color w:val="000000" w:themeColor="text1"/>
          <w:sz w:val="28"/>
          <w:szCs w:val="28"/>
          <w:lang w:val="en-US" w:eastAsia="zh-CN" w:bidi="ar-SA"/>
          <w14:textFill>
            <w14:solidFill>
              <w14:schemeClr w14:val="tx1"/>
            </w14:solidFill>
          </w14:textFill>
        </w:rPr>
      </w:pPr>
      <w:r>
        <w:rPr>
          <w:rFonts w:hint="eastAsia" w:ascii="宋体" w:hAnsi="宋体" w:eastAsia="宋体" w:cs="宋体"/>
          <w:b/>
          <w:bCs/>
          <w:color w:val="000000" w:themeColor="text1"/>
          <w:sz w:val="28"/>
          <w:szCs w:val="28"/>
          <w:lang w:val="en-US" w:eastAsia="zh-CN" w:bidi="ar-SA"/>
          <w14:textFill>
            <w14:solidFill>
              <w14:schemeClr w14:val="tx1"/>
            </w14:solidFill>
          </w14:textFill>
        </w:rPr>
        <w:t>七里店社区“儿童之家”趣味课堂手工清单（单套）</w:t>
      </w:r>
    </w:p>
    <w:tbl>
      <w:tblPr>
        <w:tblStyle w:val="2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438"/>
        <w:gridCol w:w="918"/>
        <w:gridCol w:w="837"/>
        <w:gridCol w:w="4969"/>
      </w:tblGrid>
      <w:tr w14:paraId="3CCB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78DC5491">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序号</w:t>
            </w:r>
          </w:p>
        </w:tc>
        <w:tc>
          <w:tcPr>
            <w:tcW w:w="2438" w:type="dxa"/>
            <w:vAlign w:val="center"/>
          </w:tcPr>
          <w:p w14:paraId="5270C564">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名称</w:t>
            </w:r>
          </w:p>
        </w:tc>
        <w:tc>
          <w:tcPr>
            <w:tcW w:w="918" w:type="dxa"/>
            <w:vAlign w:val="center"/>
          </w:tcPr>
          <w:p w14:paraId="04BD47D3">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数量</w:t>
            </w:r>
          </w:p>
        </w:tc>
        <w:tc>
          <w:tcPr>
            <w:tcW w:w="837" w:type="dxa"/>
            <w:vAlign w:val="center"/>
          </w:tcPr>
          <w:p w14:paraId="28BF9B55">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单位</w:t>
            </w:r>
          </w:p>
        </w:tc>
        <w:tc>
          <w:tcPr>
            <w:tcW w:w="4969" w:type="dxa"/>
            <w:vAlign w:val="center"/>
          </w:tcPr>
          <w:p w14:paraId="5A8DD54E">
            <w:pPr>
              <w:autoSpaceDE w:val="0"/>
              <w:autoSpaceDN w:val="0"/>
              <w:spacing w:line="360" w:lineRule="auto"/>
              <w:ind w:firstLine="48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规格说明</w:t>
            </w:r>
          </w:p>
        </w:tc>
      </w:tr>
      <w:tr w14:paraId="3545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6BB3AA40">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p>
        </w:tc>
        <w:tc>
          <w:tcPr>
            <w:tcW w:w="2438" w:type="dxa"/>
            <w:vAlign w:val="center"/>
          </w:tcPr>
          <w:p w14:paraId="50A20473">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京剧脸谱制手工</w:t>
            </w:r>
          </w:p>
        </w:tc>
        <w:tc>
          <w:tcPr>
            <w:tcW w:w="918" w:type="dxa"/>
            <w:vAlign w:val="center"/>
          </w:tcPr>
          <w:p w14:paraId="3963111B">
            <w:pPr>
              <w:autoSpaceDE w:val="0"/>
              <w:autoSpaceDN w:val="0"/>
              <w:spacing w:line="24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70</w:t>
            </w:r>
          </w:p>
        </w:tc>
        <w:tc>
          <w:tcPr>
            <w:tcW w:w="837" w:type="dxa"/>
            <w:vAlign w:val="center"/>
          </w:tcPr>
          <w:p w14:paraId="5F8EDECF">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4969" w:type="dxa"/>
            <w:vAlign w:val="center"/>
          </w:tcPr>
          <w:p w14:paraId="400F45F6">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非遗手工DIY京剧脸谱制作材料传统文化主题戏曲元素装饰中国元旦</w:t>
            </w:r>
          </w:p>
        </w:tc>
      </w:tr>
      <w:tr w14:paraId="03B5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1D751F25">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p>
        </w:tc>
        <w:tc>
          <w:tcPr>
            <w:tcW w:w="2438" w:type="dxa"/>
            <w:vAlign w:val="center"/>
          </w:tcPr>
          <w:p w14:paraId="681DB054">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二十四节气挂饰手工</w:t>
            </w:r>
          </w:p>
        </w:tc>
        <w:tc>
          <w:tcPr>
            <w:tcW w:w="918" w:type="dxa"/>
            <w:vAlign w:val="center"/>
          </w:tcPr>
          <w:p w14:paraId="5707BC79">
            <w:pPr>
              <w:autoSpaceDE w:val="0"/>
              <w:autoSpaceDN w:val="0"/>
              <w:spacing w:line="24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70</w:t>
            </w:r>
          </w:p>
        </w:tc>
        <w:tc>
          <w:tcPr>
            <w:tcW w:w="837" w:type="dxa"/>
            <w:vAlign w:val="center"/>
          </w:tcPr>
          <w:p w14:paraId="427F7CB6">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4969" w:type="dxa"/>
            <w:vAlign w:val="center"/>
          </w:tcPr>
          <w:p w14:paraId="431ECF9D">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春天二十四节气挂饰墙壁装饰手工DIY材料制作环创全套</w:t>
            </w:r>
          </w:p>
        </w:tc>
      </w:tr>
      <w:tr w14:paraId="6F7B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1AC8F95C">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w:t>
            </w:r>
          </w:p>
        </w:tc>
        <w:tc>
          <w:tcPr>
            <w:tcW w:w="2438" w:type="dxa"/>
            <w:vAlign w:val="center"/>
          </w:tcPr>
          <w:p w14:paraId="7C26A104">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手绘画手工</w:t>
            </w:r>
          </w:p>
        </w:tc>
        <w:tc>
          <w:tcPr>
            <w:tcW w:w="918" w:type="dxa"/>
            <w:vAlign w:val="center"/>
          </w:tcPr>
          <w:p w14:paraId="2E19C247">
            <w:pPr>
              <w:autoSpaceDE w:val="0"/>
              <w:autoSpaceDN w:val="0"/>
              <w:spacing w:line="24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70</w:t>
            </w:r>
          </w:p>
        </w:tc>
        <w:tc>
          <w:tcPr>
            <w:tcW w:w="837" w:type="dxa"/>
            <w:vAlign w:val="center"/>
          </w:tcPr>
          <w:p w14:paraId="332501D8">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4969" w:type="dxa"/>
            <w:vAlign w:val="center"/>
          </w:tcPr>
          <w:p w14:paraId="310EB494">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陶瓷涂色花瓶DIY素胚美术手绘画材料桌面插干花摆饰非石膏</w:t>
            </w:r>
          </w:p>
        </w:tc>
      </w:tr>
      <w:tr w14:paraId="2A2A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22259F24">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4</w:t>
            </w:r>
          </w:p>
        </w:tc>
        <w:tc>
          <w:tcPr>
            <w:tcW w:w="2438" w:type="dxa"/>
            <w:vAlign w:val="center"/>
          </w:tcPr>
          <w:p w14:paraId="0E1A815F">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科学小实验套装</w:t>
            </w:r>
          </w:p>
        </w:tc>
        <w:tc>
          <w:tcPr>
            <w:tcW w:w="918" w:type="dxa"/>
            <w:vAlign w:val="center"/>
          </w:tcPr>
          <w:p w14:paraId="17CD8E82">
            <w:pPr>
              <w:autoSpaceDE w:val="0"/>
              <w:autoSpaceDN w:val="0"/>
              <w:spacing w:line="24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70</w:t>
            </w:r>
          </w:p>
        </w:tc>
        <w:tc>
          <w:tcPr>
            <w:tcW w:w="837" w:type="dxa"/>
            <w:vAlign w:val="center"/>
          </w:tcPr>
          <w:p w14:paraId="0919E97C">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4969" w:type="dxa"/>
            <w:vAlign w:val="center"/>
          </w:tcPr>
          <w:p w14:paraId="64502E29">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科学小实验套装手工科技小制作发明材料</w:t>
            </w:r>
          </w:p>
        </w:tc>
      </w:tr>
      <w:tr w14:paraId="593C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66B757D8">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5</w:t>
            </w:r>
          </w:p>
        </w:tc>
        <w:tc>
          <w:tcPr>
            <w:tcW w:w="2438" w:type="dxa"/>
            <w:vAlign w:val="center"/>
          </w:tcPr>
          <w:p w14:paraId="6D35D57B">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积木摆件</w:t>
            </w:r>
          </w:p>
        </w:tc>
        <w:tc>
          <w:tcPr>
            <w:tcW w:w="918" w:type="dxa"/>
            <w:vAlign w:val="center"/>
          </w:tcPr>
          <w:p w14:paraId="4E1DE9C3">
            <w:pPr>
              <w:autoSpaceDE w:val="0"/>
              <w:autoSpaceDN w:val="0"/>
              <w:spacing w:line="24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70</w:t>
            </w:r>
          </w:p>
        </w:tc>
        <w:tc>
          <w:tcPr>
            <w:tcW w:w="837" w:type="dxa"/>
            <w:vAlign w:val="center"/>
          </w:tcPr>
          <w:p w14:paraId="02CDBD40">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4969" w:type="dxa"/>
            <w:vAlign w:val="center"/>
          </w:tcPr>
          <w:p w14:paraId="7457183B">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哪吒敖丙国风积木吧唧托桌面摆件益智拼装玩具周边公仔</w:t>
            </w:r>
          </w:p>
        </w:tc>
      </w:tr>
      <w:tr w14:paraId="6335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2510D80F">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6</w:t>
            </w:r>
          </w:p>
        </w:tc>
        <w:tc>
          <w:tcPr>
            <w:tcW w:w="2438" w:type="dxa"/>
            <w:vAlign w:val="center"/>
          </w:tcPr>
          <w:p w14:paraId="1048D0ED">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手工剪纸底稿手工</w:t>
            </w:r>
          </w:p>
        </w:tc>
        <w:tc>
          <w:tcPr>
            <w:tcW w:w="918" w:type="dxa"/>
            <w:vAlign w:val="center"/>
          </w:tcPr>
          <w:p w14:paraId="7CDB23E7">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70</w:t>
            </w:r>
          </w:p>
        </w:tc>
        <w:tc>
          <w:tcPr>
            <w:tcW w:w="837" w:type="dxa"/>
            <w:vAlign w:val="center"/>
          </w:tcPr>
          <w:p w14:paraId="1C87AC34">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4969" w:type="dxa"/>
            <w:vAlign w:val="center"/>
          </w:tcPr>
          <w:p w14:paraId="149F79D7">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爱国剪纸A4底板刻纸图案底稿手工剪纸底稿成品装裱</w:t>
            </w:r>
          </w:p>
        </w:tc>
      </w:tr>
      <w:tr w14:paraId="5D60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71774011">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w:t>
            </w:r>
          </w:p>
        </w:tc>
        <w:tc>
          <w:tcPr>
            <w:tcW w:w="2438" w:type="dxa"/>
            <w:vAlign w:val="center"/>
          </w:tcPr>
          <w:p w14:paraId="4360299B">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漆扇制作材料包</w:t>
            </w:r>
          </w:p>
        </w:tc>
        <w:tc>
          <w:tcPr>
            <w:tcW w:w="918" w:type="dxa"/>
            <w:vAlign w:val="center"/>
          </w:tcPr>
          <w:p w14:paraId="52C0C830">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70</w:t>
            </w:r>
          </w:p>
        </w:tc>
        <w:tc>
          <w:tcPr>
            <w:tcW w:w="837" w:type="dxa"/>
            <w:vAlign w:val="center"/>
          </w:tcPr>
          <w:p w14:paraId="6C110C60">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4969" w:type="dxa"/>
            <w:vAlign w:val="center"/>
          </w:tcPr>
          <w:p w14:paraId="5FB16B60">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非遗漆扇制作材料包全套儿童手工扇子套装大漆颜料空白带字染</w:t>
            </w:r>
          </w:p>
        </w:tc>
      </w:tr>
      <w:tr w14:paraId="1297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6CC5E886">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8</w:t>
            </w:r>
          </w:p>
        </w:tc>
        <w:tc>
          <w:tcPr>
            <w:tcW w:w="2438" w:type="dxa"/>
            <w:vAlign w:val="center"/>
          </w:tcPr>
          <w:p w14:paraId="1241E8CA">
            <w:pPr>
              <w:autoSpaceDE w:val="0"/>
              <w:autoSpaceDN w:val="0"/>
              <w:spacing w:line="360" w:lineRule="auto"/>
              <w:ind w:left="0" w:leftChars="0" w:firstLine="0" w:firstLineChars="0"/>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手工毛线刺绣花</w:t>
            </w:r>
          </w:p>
        </w:tc>
        <w:tc>
          <w:tcPr>
            <w:tcW w:w="918" w:type="dxa"/>
            <w:vAlign w:val="center"/>
          </w:tcPr>
          <w:p w14:paraId="0BD46514">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73</w:t>
            </w:r>
          </w:p>
        </w:tc>
        <w:tc>
          <w:tcPr>
            <w:tcW w:w="837" w:type="dxa"/>
            <w:vAlign w:val="center"/>
          </w:tcPr>
          <w:p w14:paraId="10C09936">
            <w:pPr>
              <w:autoSpaceDE w:val="0"/>
              <w:autoSpaceDN w:val="0"/>
              <w:spacing w:line="360" w:lineRule="auto"/>
              <w:ind w:left="0" w:leftChars="0" w:firstLine="0" w:firstLineChars="0"/>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4969" w:type="dxa"/>
            <w:vAlign w:val="center"/>
          </w:tcPr>
          <w:p w14:paraId="7118C9B4">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儿童手工毛线刺绣画卡通动物制作材料趣味手工</w:t>
            </w:r>
          </w:p>
        </w:tc>
      </w:tr>
      <w:tr w14:paraId="69F1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47B44D53">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9</w:t>
            </w:r>
          </w:p>
        </w:tc>
        <w:tc>
          <w:tcPr>
            <w:tcW w:w="2438" w:type="dxa"/>
            <w:vAlign w:val="center"/>
          </w:tcPr>
          <w:p w14:paraId="3510755C">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织布手工挂钟材料包</w:t>
            </w:r>
          </w:p>
        </w:tc>
        <w:tc>
          <w:tcPr>
            <w:tcW w:w="918" w:type="dxa"/>
            <w:vAlign w:val="center"/>
          </w:tcPr>
          <w:p w14:paraId="3687D71C">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80</w:t>
            </w:r>
          </w:p>
        </w:tc>
        <w:tc>
          <w:tcPr>
            <w:tcW w:w="837" w:type="dxa"/>
            <w:vAlign w:val="center"/>
          </w:tcPr>
          <w:p w14:paraId="47332A35">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套</w:t>
            </w:r>
          </w:p>
        </w:tc>
        <w:tc>
          <w:tcPr>
            <w:tcW w:w="4969" w:type="dxa"/>
            <w:vAlign w:val="center"/>
          </w:tcPr>
          <w:p w14:paraId="2941725A">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织布手工挂钟材料包益智儿童玩具时钟挂件装饰卡通创意制作</w:t>
            </w:r>
          </w:p>
        </w:tc>
      </w:tr>
      <w:tr w14:paraId="0E7A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7F059237">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10</w:t>
            </w:r>
          </w:p>
        </w:tc>
        <w:tc>
          <w:tcPr>
            <w:tcW w:w="2438" w:type="dxa"/>
            <w:vAlign w:val="center"/>
          </w:tcPr>
          <w:p w14:paraId="0745F511">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“儿童之家”标识标牌</w:t>
            </w:r>
          </w:p>
        </w:tc>
        <w:tc>
          <w:tcPr>
            <w:tcW w:w="918" w:type="dxa"/>
            <w:vAlign w:val="center"/>
          </w:tcPr>
          <w:p w14:paraId="3522C2EB">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p>
        </w:tc>
        <w:tc>
          <w:tcPr>
            <w:tcW w:w="837" w:type="dxa"/>
            <w:vAlign w:val="center"/>
          </w:tcPr>
          <w:p w14:paraId="01AD5E00">
            <w:pPr>
              <w:autoSpaceDE w:val="0"/>
              <w:autoSpaceDN w:val="0"/>
              <w:spacing w:line="360" w:lineRule="auto"/>
              <w:ind w:left="0" w:leftChars="0" w:firstLine="0" w:firstLine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块</w:t>
            </w:r>
          </w:p>
        </w:tc>
        <w:tc>
          <w:tcPr>
            <w:tcW w:w="4969" w:type="dxa"/>
            <w:vAlign w:val="center"/>
          </w:tcPr>
          <w:p w14:paraId="3708935C">
            <w:pPr>
              <w:autoSpaceDE w:val="0"/>
              <w:autoSpaceDN w:val="0"/>
              <w:spacing w:line="360" w:lineRule="auto"/>
              <w:ind w:left="0" w:leftChars="0" w:firstLine="0" w:firstLineChars="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材质</w:t>
            </w:r>
            <w:r>
              <w:rPr>
                <w:rFonts w:hint="eastAsia" w:ascii="宋体" w:hAnsi="宋体" w:eastAsia="宋体" w:cs="宋体"/>
                <w:color w:val="000000" w:themeColor="text1"/>
                <w:sz w:val="24"/>
                <w:szCs w:val="24"/>
                <w:lang w:val="en-US" w:eastAsia="zh-CN" w:bidi="ar-SA"/>
                <w14:textFill>
                  <w14:solidFill>
                    <w14:schemeClr w14:val="tx1"/>
                  </w14:solidFill>
                </w14:textFill>
              </w:rPr>
              <w:t>：</w:t>
            </w:r>
            <w:r>
              <w:rPr>
                <w:rFonts w:hint="default" w:ascii="宋体" w:hAnsi="宋体" w:eastAsia="宋体" w:cs="宋体"/>
                <w:color w:val="000000" w:themeColor="text1"/>
                <w:sz w:val="24"/>
                <w:szCs w:val="24"/>
                <w:lang w:val="en-US" w:eastAsia="zh-CN" w:bidi="ar-SA"/>
                <w14:textFill>
                  <w14:solidFill>
                    <w14:schemeClr w14:val="tx1"/>
                  </w14:solidFill>
                </w14:textFill>
              </w:rPr>
              <w:t>不锈钢</w:t>
            </w:r>
            <w:r>
              <w:rPr>
                <w:rFonts w:hint="eastAsia" w:ascii="宋体" w:hAnsi="宋体" w:eastAsia="宋体" w:cs="宋体"/>
                <w:color w:val="000000" w:themeColor="text1"/>
                <w:sz w:val="24"/>
                <w:szCs w:val="24"/>
                <w:lang w:val="en-US" w:eastAsia="zh-CN" w:bidi="ar-SA"/>
                <w14:textFill>
                  <w14:solidFill>
                    <w14:schemeClr w14:val="tx1"/>
                  </w14:solidFill>
                </w14:textFill>
              </w:rPr>
              <w:t>框架、</w:t>
            </w:r>
            <w:r>
              <w:rPr>
                <w:rFonts w:hint="default" w:ascii="宋体" w:hAnsi="宋体" w:eastAsia="宋体" w:cs="宋体"/>
                <w:color w:val="000000" w:themeColor="text1"/>
                <w:sz w:val="24"/>
                <w:szCs w:val="24"/>
                <w:lang w:val="en-US" w:eastAsia="zh-CN" w:bidi="ar-SA"/>
                <w14:textFill>
                  <w14:solidFill>
                    <w14:schemeClr w14:val="tx1"/>
                  </w14:solidFill>
                </w14:textFill>
              </w:rPr>
              <w:t>内容烤漆</w:t>
            </w:r>
            <w:r>
              <w:rPr>
                <w:rFonts w:hint="eastAsia" w:ascii="宋体" w:hAnsi="宋体" w:eastAsia="宋体" w:cs="宋体"/>
                <w:color w:val="000000" w:themeColor="text1"/>
                <w:sz w:val="24"/>
                <w:szCs w:val="24"/>
                <w:lang w:val="en-US" w:eastAsia="zh-CN" w:bidi="ar-SA"/>
                <w14:textFill>
                  <w14:solidFill>
                    <w14:schemeClr w14:val="tx1"/>
                  </w14:solidFill>
                </w14:textFill>
              </w:rPr>
              <w:t>；</w:t>
            </w:r>
          </w:p>
          <w:p w14:paraId="384146DA">
            <w:pPr>
              <w:autoSpaceDE w:val="0"/>
              <w:autoSpaceDN w:val="0"/>
              <w:spacing w:line="360" w:lineRule="auto"/>
              <w:ind w:left="0" w:leftChars="0" w:firstLine="0" w:firstLineChars="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规格</w:t>
            </w:r>
            <w:r>
              <w:rPr>
                <w:rFonts w:hint="eastAsia" w:ascii="宋体" w:hAnsi="宋体" w:eastAsia="宋体" w:cs="宋体"/>
                <w:color w:val="000000" w:themeColor="text1"/>
                <w:sz w:val="24"/>
                <w:szCs w:val="24"/>
                <w:lang w:val="en-US" w:eastAsia="zh-CN" w:bidi="ar-SA"/>
                <w14:textFill>
                  <w14:solidFill>
                    <w14:schemeClr w14:val="tx1"/>
                  </w14:solidFill>
                </w14:textFill>
              </w:rPr>
              <w:t>：定制</w:t>
            </w:r>
          </w:p>
          <w:p w14:paraId="5EBBD600">
            <w:pPr>
              <w:autoSpaceDE w:val="0"/>
              <w:autoSpaceDN w:val="0"/>
              <w:spacing w:line="360" w:lineRule="auto"/>
              <w:ind w:left="0" w:leftChars="0" w:firstLine="0" w:firstLineChars="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不锈钢中化学成分：（此项以三方检测机构出具的检测报告为准）</w:t>
            </w:r>
          </w:p>
          <w:p w14:paraId="50BCD858">
            <w:pPr>
              <w:autoSpaceDE w:val="0"/>
              <w:autoSpaceDN w:val="0"/>
              <w:spacing w:line="360" w:lineRule="auto"/>
              <w:ind w:left="0" w:leftChars="0" w:firstLine="0" w:firstLineChars="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Cr:10.5%-13.5%</w:t>
            </w:r>
          </w:p>
          <w:p w14:paraId="0B092DBF">
            <w:pPr>
              <w:autoSpaceDE w:val="0"/>
              <w:autoSpaceDN w:val="0"/>
              <w:spacing w:line="360" w:lineRule="auto"/>
              <w:ind w:left="0" w:leftChars="0" w:firstLine="0" w:firstLineChars="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C:≤0.20%</w:t>
            </w:r>
          </w:p>
          <w:p w14:paraId="0798C5B5">
            <w:pPr>
              <w:autoSpaceDE w:val="0"/>
              <w:autoSpaceDN w:val="0"/>
              <w:spacing w:line="360" w:lineRule="auto"/>
              <w:ind w:left="0" w:leftChars="0" w:firstLine="0" w:firstLineChars="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S：≤0.030%</w:t>
            </w:r>
          </w:p>
          <w:p w14:paraId="17579303">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P：≤0.050%</w:t>
            </w:r>
          </w:p>
          <w:p w14:paraId="7BFEF61F">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Mn：9.2%-12.5%</w:t>
            </w:r>
          </w:p>
          <w:p w14:paraId="087EAF46">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Si：≤1.00%</w:t>
            </w:r>
          </w:p>
          <w:p w14:paraId="4BE1EA1D">
            <w:pPr>
              <w:autoSpaceDE w:val="0"/>
              <w:autoSpaceDN w:val="0"/>
              <w:spacing w:line="360" w:lineRule="auto"/>
              <w:ind w:left="0" w:leftChars="0" w:firstLine="0" w:firstLineChars="0"/>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Ni：0.7%-1.5%</w:t>
            </w:r>
          </w:p>
        </w:tc>
      </w:tr>
    </w:tbl>
    <w:p w14:paraId="6F8C6F6C">
      <w:pPr>
        <w:autoSpaceDE w:val="0"/>
        <w:autoSpaceDN w:val="0"/>
        <w:spacing w:line="360" w:lineRule="auto"/>
        <w:ind w:firstLine="480"/>
        <w:rPr>
          <w:rFonts w:hint="eastAsia"/>
          <w:sz w:val="28"/>
          <w:szCs w:val="28"/>
          <w:lang w:val="en-US" w:eastAsia="zh-CN"/>
        </w:rPr>
      </w:pPr>
      <w:r>
        <w:rPr>
          <w:rFonts w:hint="eastAsia" w:ascii="宋体" w:hAnsi="宋体" w:eastAsia="宋体" w:cs="宋体"/>
          <w:color w:val="000000" w:themeColor="text1"/>
          <w:sz w:val="24"/>
          <w:szCs w:val="24"/>
          <w:lang w:val="en-US" w:eastAsia="zh-CN" w:bidi="ar-SA"/>
          <w14:textFill>
            <w14:solidFill>
              <w14:schemeClr w14:val="tx1"/>
            </w14:solidFill>
          </w14:textFill>
        </w:rPr>
        <w:t>注：以上设备本次项目采购1套</w:t>
      </w:r>
    </w:p>
    <w:p w14:paraId="3B1141A3">
      <w:pPr>
        <w:tabs>
          <w:tab w:val="left" w:pos="1729"/>
        </w:tabs>
        <w:spacing w:line="240" w:lineRule="auto"/>
        <w:ind w:firstLine="0" w:firstLineChars="0"/>
        <w:jc w:val="left"/>
        <w:rPr>
          <w:rFonts w:asciiTheme="minorEastAsia" w:hAnsiTheme="minorEastAsia" w:cstheme="minorEastAsia"/>
          <w:b/>
          <w:bCs/>
          <w:sz w:val="18"/>
          <w:szCs w:val="18"/>
        </w:rPr>
      </w:pPr>
    </w:p>
    <w:bookmarkEnd w:id="48"/>
    <w:bookmarkEnd w:id="49"/>
    <w:bookmarkEnd w:id="50"/>
    <w:p w14:paraId="1107EB0D">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51" w:name="_Toc67"/>
      <w:r>
        <w:rPr>
          <w:rFonts w:hint="eastAsia" w:ascii="宋体" w:hAnsi="宋体" w:eastAsia="宋体" w:cs="宋体"/>
          <w:b/>
          <w:color w:val="000000" w:themeColor="text1"/>
          <w:kern w:val="28"/>
          <w:sz w:val="36"/>
          <w:szCs w:val="36"/>
          <w:lang w:val="en-US" w:eastAsia="zh-CN"/>
          <w14:textFill>
            <w14:solidFill>
              <w14:schemeClr w14:val="tx1"/>
            </w14:solidFill>
          </w14:textFill>
        </w:rPr>
        <w:t>谈判响应文件格式</w:t>
      </w:r>
      <w:bookmarkEnd w:id="51"/>
      <w:r>
        <w:rPr>
          <w:rFonts w:hint="eastAsia" w:ascii="宋体" w:hAnsi="宋体" w:eastAsia="宋体" w:cs="宋体"/>
          <w:b/>
          <w:color w:val="000000" w:themeColor="text1"/>
          <w:kern w:val="28"/>
          <w:sz w:val="36"/>
          <w:szCs w:val="36"/>
          <w:lang w:val="en-US" w:eastAsia="zh-CN"/>
          <w14:textFill>
            <w14:solidFill>
              <w14:schemeClr w14:val="tx1"/>
            </w14:solidFill>
          </w14:textFill>
        </w:rPr>
        <w:t xml:space="preserve"> </w:t>
      </w:r>
      <w:bookmarkEnd w:id="40"/>
      <w:bookmarkEnd w:id="41"/>
      <w:bookmarkEnd w:id="42"/>
      <w:bookmarkEnd w:id="43"/>
    </w:p>
    <w:p w14:paraId="16FC3533">
      <w:pPr>
        <w:adjustRightInd w:val="0"/>
        <w:spacing w:line="360" w:lineRule="auto"/>
        <w:ind w:left="2530" w:hanging="1680" w:hangingChars="700"/>
        <w:jc w:val="center"/>
        <w:textAlignment w:val="baseline"/>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目录</w:t>
      </w:r>
    </w:p>
    <w:p w14:paraId="24D6240D">
      <w:pPr>
        <w:adjustRightInd w:val="0"/>
        <w:spacing w:line="360" w:lineRule="auto"/>
        <w:ind w:left="2530" w:hanging="1680" w:hangingChars="700"/>
        <w:textAlignment w:val="baseline"/>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1:响应函</w:t>
      </w:r>
    </w:p>
    <w:p w14:paraId="4277DBD7">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2:法定代表人证明书</w:t>
      </w:r>
    </w:p>
    <w:p w14:paraId="3BF13FB0">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3:法定代表人授权书</w:t>
      </w:r>
    </w:p>
    <w:p w14:paraId="63F0829D">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4:供应商承诺函</w:t>
      </w:r>
    </w:p>
    <w:p w14:paraId="6FE67A22">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5:供应商诚信承诺书</w:t>
      </w:r>
    </w:p>
    <w:p w14:paraId="3C2DBD80">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6:供应商资格证明材料文件</w:t>
      </w:r>
    </w:p>
    <w:p w14:paraId="272B79ED">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7:财务状况、缴纳税收和社会保障资金证明</w:t>
      </w:r>
    </w:p>
    <w:p w14:paraId="77C0F711">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8:无重大违法记录声明</w:t>
      </w:r>
    </w:p>
    <w:p w14:paraId="19BEB359">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9:谈判保证金证明</w:t>
      </w:r>
    </w:p>
    <w:p w14:paraId="0756BC05">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10:竞争性谈判首次报价表</w:t>
      </w:r>
    </w:p>
    <w:p w14:paraId="56C9AD3F">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11:分项报价表</w:t>
      </w:r>
    </w:p>
    <w:p w14:paraId="7A7BE5FC">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12:技术规格响应表</w:t>
      </w:r>
    </w:p>
    <w:p w14:paraId="31F9F211">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13:产品相关资料</w:t>
      </w:r>
    </w:p>
    <w:p w14:paraId="183C83FC">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14:供应商认为在其他方面有必要说明的事项</w:t>
      </w:r>
    </w:p>
    <w:p w14:paraId="21813AFE">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15:享受政府采购政策优惠的证明资料</w:t>
      </w:r>
    </w:p>
    <w:p w14:paraId="6E179AA6">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16:竞争性谈判最终报价表</w:t>
      </w:r>
    </w:p>
    <w:p w14:paraId="6BF4F854">
      <w:pPr>
        <w:adjustRightInd w:val="0"/>
        <w:spacing w:line="360" w:lineRule="auto"/>
        <w:ind w:left="2530" w:hanging="1680" w:hangingChars="700"/>
        <w:textAlignment w:val="baseline"/>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17:最终分项报价表</w:t>
      </w:r>
      <w:r>
        <w:rPr>
          <w:rFonts w:hint="eastAsia" w:ascii="宋体" w:hAnsi="宋体" w:eastAsia="宋体" w:cs="宋体"/>
          <w:b/>
          <w:color w:val="000000" w:themeColor="text1"/>
          <w:sz w:val="24"/>
          <w:szCs w:val="24"/>
          <w14:textFill>
            <w14:solidFill>
              <w14:schemeClr w14:val="tx1"/>
            </w14:solidFill>
          </w14:textFill>
        </w:rPr>
        <w:br w:type="page"/>
      </w:r>
    </w:p>
    <w:p w14:paraId="381FF7F1">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青海省政府采购项目</w:t>
      </w:r>
    </w:p>
    <w:p w14:paraId="54804AB8">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14:paraId="6F4D9F05">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lang w:val="en-US" w:eastAsia="zh-CN"/>
          <w14:textFill>
            <w14:solidFill>
              <w14:schemeClr w14:val="tx1"/>
            </w14:solidFill>
          </w14:textFill>
        </w:rPr>
        <w:t>谈判</w:t>
      </w:r>
      <w:r>
        <w:rPr>
          <w:rFonts w:hint="eastAsia" w:ascii="宋体" w:hAnsi="宋体" w:eastAsia="宋体" w:cs="宋体"/>
          <w:b/>
          <w:color w:val="000000" w:themeColor="text1"/>
          <w:sz w:val="72"/>
          <w:szCs w:val="72"/>
          <w14:textFill>
            <w14:solidFill>
              <w14:schemeClr w14:val="tx1"/>
            </w14:solidFill>
          </w14:textFill>
        </w:rPr>
        <w:t>响应文件</w:t>
      </w:r>
    </w:p>
    <w:p w14:paraId="232B8CBB">
      <w:pPr>
        <w:adjustRightInd w:val="0"/>
        <w:spacing w:line="360" w:lineRule="auto"/>
        <w:ind w:firstLine="0" w:firstLineChars="0"/>
        <w:jc w:val="center"/>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lang w:eastAsia="zh-CN"/>
          <w14:textFill>
            <w14:solidFill>
              <w14:schemeClr w14:val="tx1"/>
            </w14:solidFill>
          </w14:textFill>
        </w:rPr>
        <w:t>（资格审查</w:t>
      </w:r>
      <w:r>
        <w:rPr>
          <w:rFonts w:hint="eastAsia" w:ascii="宋体" w:hAnsi="宋体" w:eastAsia="宋体" w:cs="宋体"/>
          <w:b/>
          <w:color w:val="000000" w:themeColor="text1"/>
          <w:sz w:val="36"/>
          <w:szCs w:val="36"/>
          <w:lang w:val="en-US" w:eastAsia="zh-CN"/>
          <w14:textFill>
            <w14:solidFill>
              <w14:schemeClr w14:val="tx1"/>
            </w14:solidFill>
          </w14:textFill>
        </w:rPr>
        <w:t>部分</w:t>
      </w:r>
      <w:r>
        <w:rPr>
          <w:rFonts w:hint="eastAsia" w:ascii="宋体" w:hAnsi="宋体" w:eastAsia="宋体" w:cs="宋体"/>
          <w:b/>
          <w:color w:val="000000" w:themeColor="text1"/>
          <w:sz w:val="36"/>
          <w:szCs w:val="36"/>
          <w:lang w:eastAsia="zh-CN"/>
          <w14:textFill>
            <w14:solidFill>
              <w14:schemeClr w14:val="tx1"/>
            </w14:solidFill>
          </w14:textFill>
        </w:rPr>
        <w:t>）</w:t>
      </w:r>
    </w:p>
    <w:p w14:paraId="311B337A">
      <w:pPr>
        <w:adjustRightInd w:val="0"/>
        <w:spacing w:line="360" w:lineRule="auto"/>
        <w:ind w:firstLine="0" w:firstLineChars="0"/>
        <w:textAlignment w:val="baseline"/>
        <w:rPr>
          <w:rFonts w:ascii="宋体" w:hAnsi="宋体" w:eastAsia="宋体" w:cs="宋体"/>
          <w:b/>
          <w:bCs/>
          <w:color w:val="000000" w:themeColor="text1"/>
          <w:sz w:val="36"/>
          <w:szCs w:val="36"/>
          <w14:textFill>
            <w14:solidFill>
              <w14:schemeClr w14:val="tx1"/>
            </w14:solidFill>
          </w14:textFill>
        </w:rPr>
      </w:pPr>
    </w:p>
    <w:p w14:paraId="12034FBA">
      <w:pPr>
        <w:adjustRightInd w:val="0"/>
        <w:spacing w:line="360" w:lineRule="auto"/>
        <w:ind w:firstLine="0" w:firstLineChars="0"/>
        <w:textAlignment w:val="baseline"/>
        <w:rPr>
          <w:rFonts w:hint="eastAsia" w:ascii="宋体" w:hAnsi="宋体" w:eastAsia="宋体" w:cs="宋体"/>
          <w:b/>
          <w:bCs/>
          <w:color w:val="000000" w:themeColor="text1"/>
          <w:sz w:val="36"/>
          <w:szCs w:val="36"/>
          <w14:textFill>
            <w14:solidFill>
              <w14:schemeClr w14:val="tx1"/>
            </w14:solidFill>
          </w14:textFill>
        </w:rPr>
      </w:pPr>
    </w:p>
    <w:p w14:paraId="224E590A">
      <w:pPr>
        <w:adjustRightInd w:val="0"/>
        <w:spacing w:line="360" w:lineRule="auto"/>
        <w:ind w:firstLine="0" w:firstLineChars="0"/>
        <w:textAlignment w:val="baseline"/>
        <w:rPr>
          <w:rFonts w:hint="eastAsia" w:ascii="宋体" w:hAnsi="宋体" w:eastAsia="宋体" w:cs="宋体"/>
          <w:b/>
          <w:bCs/>
          <w:color w:val="000000" w:themeColor="text1"/>
          <w:sz w:val="36"/>
          <w:szCs w:val="36"/>
          <w14:textFill>
            <w14:solidFill>
              <w14:schemeClr w14:val="tx1"/>
            </w14:solidFill>
          </w14:textFill>
        </w:rPr>
      </w:pPr>
    </w:p>
    <w:p w14:paraId="0EDD3EBA">
      <w:pPr>
        <w:adjustRightInd w:val="0"/>
        <w:spacing w:line="360" w:lineRule="auto"/>
        <w:ind w:left="2530" w:hanging="2530" w:hangingChars="70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14:textFill>
            <w14:solidFill>
              <w14:schemeClr w14:val="tx1"/>
            </w14:solidFill>
          </w14:textFill>
        </w:rPr>
        <w:t>：</w:t>
      </w:r>
      <w:r>
        <w:rPr>
          <w:rFonts w:hint="eastAsia" w:ascii="宋体" w:hAnsi="宋体" w:eastAsia="宋体" w:cs="宋体"/>
          <w:b/>
          <w:color w:val="000000" w:themeColor="text1"/>
          <w:sz w:val="36"/>
          <w:szCs w:val="36"/>
          <w:lang w:eastAsia="zh-CN"/>
          <w14:textFill>
            <w14:solidFill>
              <w14:schemeClr w14:val="tx1"/>
            </w14:solidFill>
          </w14:textFill>
        </w:rPr>
        <w:t>乐欣中堃竞谈（货物）2025-019</w:t>
      </w:r>
    </w:p>
    <w:p w14:paraId="72272916">
      <w:pPr>
        <w:adjustRightInd w:val="0"/>
        <w:spacing w:line="360" w:lineRule="auto"/>
        <w:ind w:left="2530" w:hanging="2530" w:hangingChars="700"/>
        <w:textAlignment w:val="baseline"/>
        <w:rPr>
          <w:rFonts w:hint="eastAsia" w:ascii="宋体" w:hAnsi="宋体" w:eastAsia="宋体" w:cs="宋体"/>
          <w:b/>
          <w:bCs/>
          <w:color w:val="000000" w:themeColor="text1"/>
          <w:spacing w:val="-23"/>
          <w:w w:val="90"/>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采购项目名称：</w:t>
      </w:r>
      <w:r>
        <w:rPr>
          <w:rFonts w:hint="eastAsia" w:ascii="宋体" w:hAnsi="宋体" w:eastAsia="宋体" w:cs="宋体"/>
          <w:b/>
          <w:bCs/>
          <w:color w:val="000000" w:themeColor="text1"/>
          <w:sz w:val="36"/>
          <w:szCs w:val="36"/>
          <w:lang w:eastAsia="zh-CN"/>
          <w14:textFill>
            <w14:solidFill>
              <w14:schemeClr w14:val="tx1"/>
            </w14:solidFill>
          </w14:textFill>
        </w:rPr>
        <w:t>海东市乐都区“示范性儿童之家”项目</w:t>
      </w:r>
    </w:p>
    <w:p w14:paraId="00DC1041">
      <w:pPr>
        <w:adjustRightInd w:val="0"/>
        <w:spacing w:line="360" w:lineRule="auto"/>
        <w:ind w:firstLine="0" w:firstLineChars="0"/>
        <w:textAlignment w:val="baseline"/>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供应商名称</w:t>
      </w:r>
      <w:r>
        <w:rPr>
          <w:rFonts w:hint="eastAsia" w:ascii="宋体" w:hAnsi="宋体" w:eastAsia="宋体" w:cs="宋体"/>
          <w:b/>
          <w:color w:val="000000" w:themeColor="text1"/>
          <w:sz w:val="36"/>
          <w:szCs w:val="36"/>
          <w14:textFill>
            <w14:solidFill>
              <w14:schemeClr w14:val="tx1"/>
            </w14:solidFill>
          </w14:textFill>
        </w:rPr>
        <w:t>：</w:t>
      </w:r>
    </w:p>
    <w:p w14:paraId="464BB261">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52378EAF">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61693E0A">
      <w:pPr>
        <w:spacing w:line="360" w:lineRule="auto"/>
        <w:ind w:firstLine="643"/>
        <w:jc w:val="center"/>
        <w:rPr>
          <w:rFonts w:hint="eastAsia" w:ascii="宋体" w:hAnsi="宋体" w:eastAsia="宋体" w:cs="宋体"/>
          <w:b/>
          <w:color w:val="000000" w:themeColor="text1"/>
          <w:sz w:val="32"/>
          <w14:textFill>
            <w14:solidFill>
              <w14:schemeClr w14:val="tx1"/>
            </w14:solidFill>
          </w14:textFill>
        </w:rPr>
      </w:pPr>
    </w:p>
    <w:p w14:paraId="37301CB7">
      <w:pPr>
        <w:spacing w:line="360" w:lineRule="auto"/>
        <w:ind w:firstLine="643"/>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供应商：</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（公章）</w:t>
      </w:r>
    </w:p>
    <w:p w14:paraId="26E3A70D">
      <w:pPr>
        <w:spacing w:line="360" w:lineRule="auto"/>
        <w:ind w:firstLine="643"/>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法定代表人或委托代理人：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（签字或盖章）</w:t>
      </w:r>
    </w:p>
    <w:p w14:paraId="4D346844">
      <w:pPr>
        <w:wordWrap w:val="0"/>
        <w:spacing w:line="360" w:lineRule="auto"/>
        <w:ind w:firstLine="0" w:firstLineChars="0"/>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年   月  日</w:t>
      </w:r>
    </w:p>
    <w:p w14:paraId="511EDC5C">
      <w:pPr>
        <w:pStyle w:val="24"/>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br w:type="page"/>
      </w:r>
    </w:p>
    <w:p w14:paraId="758D48EC">
      <w:pPr>
        <w:keepNext/>
        <w:pageBreakBefore/>
        <w:widowControl/>
        <w:spacing w:line="360" w:lineRule="auto"/>
        <w:ind w:firstLine="0" w:firstLineChars="0"/>
        <w:jc w:val="left"/>
        <w:outlineLvl w:val="1"/>
        <w:rPr>
          <w:rFonts w:ascii="宋体" w:hAnsi="宋体" w:eastAsia="宋体" w:cs="宋体"/>
          <w:b/>
          <w:color w:val="000000" w:themeColor="text1"/>
          <w:sz w:val="24"/>
          <w:szCs w:val="24"/>
          <w14:textFill>
            <w14:solidFill>
              <w14:schemeClr w14:val="tx1"/>
            </w14:solidFill>
          </w14:textFill>
        </w:rPr>
      </w:pPr>
      <w:bookmarkStart w:id="52" w:name="_Toc30269"/>
      <w:bookmarkStart w:id="53" w:name="_Toc17238"/>
      <w:r>
        <w:rPr>
          <w:rFonts w:hint="eastAsia" w:ascii="宋体" w:hAnsi="宋体" w:eastAsia="宋体" w:cs="宋体"/>
          <w:b/>
          <w:color w:val="000000" w:themeColor="text1"/>
          <w:sz w:val="24"/>
          <w:szCs w:val="24"/>
          <w14:textFill>
            <w14:solidFill>
              <w14:schemeClr w14:val="tx1"/>
            </w14:solidFill>
          </w14:textFill>
        </w:rPr>
        <w:t>附件</w:t>
      </w:r>
      <w:bookmarkStart w:id="54" w:name="_Toc325726037"/>
      <w:bookmarkStart w:id="55" w:name="_Toc376936768"/>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响应</w:t>
      </w:r>
      <w:r>
        <w:rPr>
          <w:rFonts w:hint="eastAsia" w:ascii="宋体" w:hAnsi="宋体" w:eastAsia="宋体" w:cs="宋体"/>
          <w:b/>
          <w:color w:val="000000" w:themeColor="text1"/>
          <w:sz w:val="24"/>
          <w:szCs w:val="24"/>
          <w14:textFill>
            <w14:solidFill>
              <w14:schemeClr w14:val="tx1"/>
            </w14:solidFill>
          </w14:textFill>
        </w:rPr>
        <w:t>函</w:t>
      </w:r>
      <w:bookmarkEnd w:id="52"/>
      <w:bookmarkEnd w:id="53"/>
      <w:bookmarkEnd w:id="54"/>
      <w:bookmarkEnd w:id="55"/>
    </w:p>
    <w:p w14:paraId="619FA5FA">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14:paraId="4B5D49EB">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响应</w:t>
      </w:r>
      <w:r>
        <w:rPr>
          <w:rFonts w:hint="eastAsia" w:ascii="宋体" w:hAnsi="宋体" w:eastAsia="宋体" w:cs="宋体"/>
          <w:b/>
          <w:color w:val="000000" w:themeColor="text1"/>
          <w:sz w:val="24"/>
          <w:szCs w:val="24"/>
          <w14:textFill>
            <w14:solidFill>
              <w14:schemeClr w14:val="tx1"/>
            </w14:solidFill>
          </w14:textFill>
        </w:rPr>
        <w:t>函</w:t>
      </w:r>
    </w:p>
    <w:p w14:paraId="3689FE35">
      <w:pPr>
        <w:spacing w:line="360" w:lineRule="auto"/>
        <w:ind w:firstLine="0" w:firstLineChars="0"/>
        <w:textAlignment w:val="baseline"/>
        <w:rPr>
          <w:rFonts w:ascii="宋体" w:hAnsi="宋体" w:eastAsia="宋体" w:cs="宋体"/>
          <w:b/>
          <w:color w:val="000000" w:themeColor="text1"/>
          <w:sz w:val="24"/>
          <w:szCs w:val="24"/>
          <w14:textFill>
            <w14:solidFill>
              <w14:schemeClr w14:val="tx1"/>
            </w14:solidFill>
          </w14:textFill>
        </w:rPr>
      </w:pPr>
    </w:p>
    <w:p w14:paraId="008F28C0">
      <w:pPr>
        <w:spacing w:line="360" w:lineRule="auto"/>
        <w:ind w:firstLine="0" w:firstLineChars="0"/>
        <w:textAlignment w:val="baseline"/>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致：</w:t>
      </w:r>
      <w:r>
        <w:rPr>
          <w:rFonts w:hint="eastAsia" w:ascii="宋体" w:hAnsi="宋体" w:eastAsia="宋体" w:cs="宋体"/>
          <w:b/>
          <w:color w:val="000000" w:themeColor="text1"/>
          <w:sz w:val="24"/>
          <w:szCs w:val="24"/>
          <w:lang w:eastAsia="zh-CN"/>
          <w14:textFill>
            <w14:solidFill>
              <w14:schemeClr w14:val="tx1"/>
            </w14:solidFill>
          </w14:textFill>
        </w:rPr>
        <w:t>海东乐都区乐欣中堃项目管理有限公司</w:t>
      </w:r>
    </w:p>
    <w:p w14:paraId="120034E9">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15BAA889">
      <w:pPr>
        <w:adjustRightInd w:val="0"/>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我们收到</w:t>
      </w:r>
      <w:r>
        <w:rPr>
          <w:rFonts w:hint="eastAsia" w:ascii="宋体" w:hAnsi="宋体" w:eastAsia="宋体" w:cs="宋体"/>
          <w:color w:val="000000" w:themeColor="text1"/>
          <w:sz w:val="24"/>
          <w:szCs w:val="24"/>
          <w:lang w:eastAsia="zh-CN"/>
          <w14:textFill>
            <w14:solidFill>
              <w14:schemeClr w14:val="tx1"/>
            </w14:solidFill>
          </w14:textFill>
        </w:rPr>
        <w:t>海东市乐都区“示范性儿童之家”项目，乐欣中堃竞谈（货物）2025-019谈判</w:t>
      </w:r>
      <w:r>
        <w:rPr>
          <w:rFonts w:hint="eastAsia" w:ascii="宋体" w:hAnsi="宋体" w:eastAsia="宋体" w:cs="宋体"/>
          <w:color w:val="000000" w:themeColor="text1"/>
          <w:sz w:val="24"/>
          <w:szCs w:val="24"/>
          <w:u w:val="none"/>
          <w14:textFill>
            <w14:solidFill>
              <w14:schemeClr w14:val="tx1"/>
            </w14:solidFill>
          </w14:textFill>
        </w:rPr>
        <w:t>文件</w:t>
      </w:r>
      <w:r>
        <w:rPr>
          <w:rFonts w:hint="eastAsia" w:ascii="宋体" w:hAnsi="宋体" w:eastAsia="宋体" w:cs="宋体"/>
          <w:color w:val="000000" w:themeColor="text1"/>
          <w:sz w:val="24"/>
          <w:szCs w:val="24"/>
          <w14:textFill>
            <w14:solidFill>
              <w14:schemeClr w14:val="tx1"/>
            </w14:solidFill>
          </w14:textFill>
        </w:rPr>
        <w:t>，经研究，法定代表人</w:t>
      </w:r>
      <w:r>
        <w:rPr>
          <w:rFonts w:hint="eastAsia" w:ascii="宋体" w:hAnsi="宋体" w:eastAsia="宋体" w:cs="宋体"/>
          <w:color w:val="000000" w:themeColor="text1"/>
          <w:sz w:val="24"/>
          <w:szCs w:val="24"/>
          <w:u w:val="single"/>
          <w14:textFill>
            <w14:solidFill>
              <w14:schemeClr w14:val="tx1"/>
            </w14:solidFill>
          </w14:textFill>
        </w:rPr>
        <w:t>（姓名、职务）</w:t>
      </w:r>
      <w:r>
        <w:rPr>
          <w:rFonts w:hint="eastAsia" w:ascii="宋体" w:hAnsi="宋体" w:eastAsia="宋体" w:cs="宋体"/>
          <w:color w:val="000000" w:themeColor="text1"/>
          <w:sz w:val="24"/>
          <w:szCs w:val="24"/>
          <w14:textFill>
            <w14:solidFill>
              <w14:schemeClr w14:val="tx1"/>
            </w14:solidFill>
          </w14:textFill>
        </w:rPr>
        <w:t>正式授权</w:t>
      </w:r>
      <w:r>
        <w:rPr>
          <w:rFonts w:hint="eastAsia" w:ascii="宋体" w:hAnsi="宋体" w:eastAsia="宋体" w:cs="宋体"/>
          <w:color w:val="000000" w:themeColor="text1"/>
          <w:sz w:val="24"/>
          <w:szCs w:val="24"/>
          <w:u w:val="single"/>
          <w14:textFill>
            <w14:solidFill>
              <w14:schemeClr w14:val="tx1"/>
            </w14:solidFill>
          </w14:textFill>
        </w:rPr>
        <w:t>（委托代理人姓名、职务）</w:t>
      </w:r>
      <w:r>
        <w:rPr>
          <w:rFonts w:hint="eastAsia" w:ascii="宋体" w:hAnsi="宋体" w:eastAsia="宋体" w:cs="宋体"/>
          <w:color w:val="000000" w:themeColor="text1"/>
          <w:sz w:val="24"/>
          <w:szCs w:val="24"/>
          <w14:textFill>
            <w14:solidFill>
              <w14:schemeClr w14:val="tx1"/>
            </w14:solidFill>
          </w14:textFill>
        </w:rPr>
        <w:t>代表供应商</w:t>
      </w:r>
      <w:r>
        <w:rPr>
          <w:rFonts w:hint="eastAsia" w:ascii="宋体" w:hAnsi="宋体" w:eastAsia="宋体" w:cs="宋体"/>
          <w:color w:val="000000" w:themeColor="text1"/>
          <w:sz w:val="24"/>
          <w:szCs w:val="24"/>
          <w:u w:val="single"/>
          <w14:textFill>
            <w14:solidFill>
              <w14:schemeClr w14:val="tx1"/>
            </w14:solidFill>
          </w14:textFill>
        </w:rPr>
        <w:t>（供应商名称、地址）</w:t>
      </w:r>
      <w:r>
        <w:rPr>
          <w:rFonts w:hint="eastAsia" w:ascii="宋体" w:hAnsi="宋体" w:eastAsia="宋体" w:cs="宋体"/>
          <w:color w:val="000000" w:themeColor="text1"/>
          <w:sz w:val="24"/>
          <w:szCs w:val="24"/>
          <w14:textFill>
            <w14:solidFill>
              <w14:schemeClr w14:val="tx1"/>
            </w14:solidFill>
          </w14:textFill>
        </w:rPr>
        <w:t>提交</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响应文件。</w:t>
      </w:r>
    </w:p>
    <w:p w14:paraId="714E5F63">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据此函，签字代表宣布同意如下：</w:t>
      </w:r>
    </w:p>
    <w:p w14:paraId="01284227">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1、我方已详阅</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文件的全部内容，包括澄清、修改条款等有关附件，承诺对其完全理解并接受。</w:t>
      </w:r>
    </w:p>
    <w:p w14:paraId="41FDD28F">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有效期自开标之日起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个日历日内有效。如果在规定的</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时间后，我方在</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有效期内撤回投标或成交后不签约的，</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保证金将被贵方没收。</w:t>
      </w:r>
    </w:p>
    <w:p w14:paraId="469ABA24">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3、我方同意按照贵方要求提供与</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有关的一切数据或资料，理解并接受贵方制定的</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办法。</w:t>
      </w:r>
    </w:p>
    <w:p w14:paraId="20D162F3">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4、与本</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有关的一切正式往来通讯请寄：</w:t>
      </w:r>
    </w:p>
    <w:p w14:paraId="7A295FB1">
      <w:pPr>
        <w:spacing w:line="360" w:lineRule="auto"/>
        <w:ind w:firstLine="480" w:firstLineChars="200"/>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邮编：</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7B70D193">
      <w:pPr>
        <w:spacing w:line="360" w:lineRule="auto"/>
        <w:ind w:firstLine="480" w:firstLineChars="200"/>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传真：</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15C5547B">
      <w:pPr>
        <w:spacing w:line="360" w:lineRule="auto"/>
        <w:ind w:firstLine="480" w:firstLineChars="200"/>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法定代表人姓名：</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60A1BAD4">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3D9562CC">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152509D2">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4CB34386">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单位名称</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08E230FB">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525264EA">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3EC4106F">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0F924BCD">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bookmarkStart w:id="56" w:name="_Toc9182"/>
      <w:bookmarkStart w:id="57" w:name="_Toc11289"/>
      <w:bookmarkStart w:id="58" w:name="_Toc26950"/>
      <w:bookmarkStart w:id="59" w:name="_Toc31069"/>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法定代表人证明书</w:t>
      </w:r>
      <w:bookmarkEnd w:id="56"/>
      <w:bookmarkEnd w:id="57"/>
      <w:bookmarkStart w:id="60" w:name="_Toc31033"/>
    </w:p>
    <w:p w14:paraId="7E9B82D9">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61" w:name="_Toc5597"/>
      <w:bookmarkStart w:id="62" w:name="_Toc16182"/>
      <w:bookmarkStart w:id="63" w:name="_Toc1958"/>
      <w:r>
        <w:rPr>
          <w:rFonts w:hint="eastAsia" w:ascii="宋体" w:hAnsi="宋体" w:eastAsia="宋体" w:cs="宋体"/>
          <w:b/>
          <w:color w:val="000000" w:themeColor="text1"/>
          <w:sz w:val="24"/>
          <w:szCs w:val="24"/>
          <w:lang w:val="zh-CN" w:eastAsia="zh-CN"/>
          <w14:textFill>
            <w14:solidFill>
              <w14:schemeClr w14:val="tx1"/>
            </w14:solidFill>
          </w14:textFill>
        </w:rPr>
        <w:t>法定代表人证明书</w:t>
      </w:r>
      <w:bookmarkEnd w:id="60"/>
      <w:bookmarkEnd w:id="61"/>
      <w:bookmarkEnd w:id="62"/>
      <w:bookmarkEnd w:id="63"/>
    </w:p>
    <w:p w14:paraId="26F9590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致：</w:t>
      </w:r>
      <w:r>
        <w:rPr>
          <w:rFonts w:hint="eastAsia" w:ascii="宋体" w:hAnsi="宋体" w:eastAsia="宋体" w:cs="宋体"/>
          <w:b/>
          <w:color w:val="000000" w:themeColor="text1"/>
          <w:sz w:val="24"/>
          <w:szCs w:val="24"/>
          <w:lang w:eastAsia="zh-CN"/>
          <w14:textFill>
            <w14:solidFill>
              <w14:schemeClr w14:val="tx1"/>
            </w14:solidFill>
          </w14:textFill>
        </w:rPr>
        <w:t>海东乐都区乐欣中堃项目管理有限公司</w:t>
      </w:r>
    </w:p>
    <w:p w14:paraId="0948231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 xml:space="preserve"> </w:t>
      </w:r>
      <w:r>
        <w:rPr>
          <w:rFonts w:hint="eastAsia" w:ascii="宋体" w:hAnsi="宋体" w:cs="宋体"/>
          <w:kern w:val="0"/>
          <w:sz w:val="24"/>
          <w:szCs w:val="24"/>
          <w:u w:val="single"/>
          <w:lang w:val="zh-CN"/>
        </w:rPr>
        <w:t>（法定代表人姓名）</w:t>
      </w:r>
      <w:r>
        <w:rPr>
          <w:rFonts w:hint="eastAsia" w:ascii="宋体" w:hAnsi="宋体" w:cs="宋体"/>
          <w:kern w:val="0"/>
          <w:sz w:val="24"/>
          <w:szCs w:val="24"/>
          <w:lang w:val="zh-CN"/>
        </w:rPr>
        <w:t>现任我单位</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职务，为法定代表人，特此证明。</w:t>
      </w:r>
    </w:p>
    <w:p w14:paraId="38C9A4F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p>
    <w:p w14:paraId="3A6D3FF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法定代表人基本情况：</w:t>
      </w:r>
    </w:p>
    <w:p w14:paraId="5E90120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u w:val="single"/>
          <w:lang w:val="zh-CN"/>
        </w:rPr>
      </w:pPr>
      <w:r>
        <w:rPr>
          <w:rFonts w:hint="eastAsia" w:ascii="宋体" w:hAnsi="宋体" w:cs="宋体"/>
          <w:kern w:val="0"/>
          <w:sz w:val="24"/>
          <w:szCs w:val="24"/>
          <w:lang w:val="zh-CN"/>
        </w:rPr>
        <w:t>性别：</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年龄：</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 xml:space="preserve"> 民族：</w:t>
      </w:r>
      <w:r>
        <w:rPr>
          <w:rFonts w:hint="eastAsia" w:ascii="宋体" w:hAnsi="宋体" w:cs="宋体"/>
          <w:kern w:val="0"/>
          <w:sz w:val="24"/>
          <w:szCs w:val="24"/>
          <w:u w:val="single"/>
          <w:lang w:val="zh-CN"/>
        </w:rPr>
        <w:t xml:space="preserve">             </w:t>
      </w:r>
    </w:p>
    <w:p w14:paraId="6B4D62E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u w:val="single"/>
          <w:lang w:val="zh-CN"/>
        </w:rPr>
      </w:pPr>
      <w:r>
        <w:rPr>
          <w:rFonts w:hint="eastAsia" w:ascii="宋体" w:hAnsi="宋体" w:cs="宋体"/>
          <w:kern w:val="0"/>
          <w:sz w:val="24"/>
          <w:szCs w:val="24"/>
          <w:lang w:val="zh-CN"/>
        </w:rPr>
        <w:t>地址：</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lang w:val="zh-CN"/>
        </w:rPr>
        <w:t xml:space="preserve">        </w:t>
      </w:r>
    </w:p>
    <w:p w14:paraId="19D9158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身份证号码：</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lang w:val="zh-CN"/>
        </w:rPr>
        <w:t xml:space="preserve">        </w:t>
      </w:r>
    </w:p>
    <w:p w14:paraId="2D8C812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p>
    <w:p w14:paraId="4B66141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附法定代表人第二代身份证双面扫描（或复印）件</w:t>
      </w:r>
    </w:p>
    <w:p w14:paraId="685CDC9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p>
    <w:p w14:paraId="023FC1A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p>
    <w:p w14:paraId="0CE515A1">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1F6A780B">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2E4E255D">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79EC18E9">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1F80DCEE">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lang w:val="zh-CN"/>
          <w14:textFill>
            <w14:solidFill>
              <w14:schemeClr w14:val="tx1"/>
            </w14:solidFill>
          </w14:textFill>
        </w:rPr>
        <w:t>法定代表人授权书</w:t>
      </w:r>
      <w:bookmarkStart w:id="64" w:name="_Toc21065"/>
    </w:p>
    <w:p w14:paraId="1491E079">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65" w:name="_Toc10461"/>
      <w:bookmarkStart w:id="66" w:name="_Toc7552"/>
      <w:bookmarkStart w:id="67" w:name="_Toc11583"/>
      <w:r>
        <w:rPr>
          <w:rFonts w:hint="eastAsia" w:ascii="宋体" w:hAnsi="宋体" w:eastAsia="宋体" w:cs="宋体"/>
          <w:b/>
          <w:color w:val="000000" w:themeColor="text1"/>
          <w:sz w:val="24"/>
          <w:szCs w:val="24"/>
          <w:lang w:val="zh-CN" w:eastAsia="zh-CN"/>
          <w14:textFill>
            <w14:solidFill>
              <w14:schemeClr w14:val="tx1"/>
            </w14:solidFill>
          </w14:textFill>
        </w:rPr>
        <w:t>法定代表人授权书</w:t>
      </w:r>
      <w:bookmarkEnd w:id="64"/>
      <w:bookmarkEnd w:id="65"/>
      <w:bookmarkEnd w:id="66"/>
      <w:bookmarkEnd w:id="67"/>
    </w:p>
    <w:p w14:paraId="36FD2362">
      <w:pPr>
        <w:keepNext w:val="0"/>
        <w:keepLines w:val="0"/>
        <w:pageBreakBefore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致：海东乐都区乐欣中堃项目管理有限公司</w:t>
      </w:r>
    </w:p>
    <w:p w14:paraId="54A9DD35">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系中华人民共和国合法企业，法定地址</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w:t>
      </w:r>
    </w:p>
    <w:p w14:paraId="10F8F170">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（法定代表人姓名）</w:t>
      </w:r>
      <w:r>
        <w:rPr>
          <w:rFonts w:hint="eastAsia" w:ascii="宋体" w:hAnsi="宋体" w:eastAsia="宋体" w:cs="宋体"/>
          <w:kern w:val="0"/>
          <w:sz w:val="24"/>
          <w:szCs w:val="24"/>
          <w:lang w:val="zh-CN"/>
        </w:rPr>
        <w:t>特授权</w:t>
      </w:r>
      <w:r>
        <w:rPr>
          <w:rFonts w:hint="eastAsia" w:ascii="宋体" w:hAnsi="宋体" w:eastAsia="宋体" w:cs="宋体"/>
          <w:kern w:val="0"/>
          <w:sz w:val="24"/>
          <w:szCs w:val="24"/>
          <w:u w:val="single"/>
          <w:lang w:val="zh-CN"/>
        </w:rPr>
        <w:t>（委托代理人姓名）</w:t>
      </w:r>
      <w:r>
        <w:rPr>
          <w:rFonts w:hint="eastAsia" w:ascii="宋体" w:hAnsi="宋体" w:eastAsia="宋体" w:cs="宋体"/>
          <w:kern w:val="0"/>
          <w:sz w:val="24"/>
          <w:szCs w:val="24"/>
          <w:lang w:val="zh-CN"/>
        </w:rPr>
        <w:t>代表我单位全权办理</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项目的</w:t>
      </w:r>
      <w:r>
        <w:rPr>
          <w:rFonts w:hint="eastAsia" w:ascii="宋体" w:hAnsi="宋体" w:cs="宋体"/>
          <w:kern w:val="0"/>
          <w:sz w:val="24"/>
          <w:szCs w:val="24"/>
          <w:lang w:val="zh-CN"/>
        </w:rPr>
        <w:t>响应</w:t>
      </w:r>
      <w:r>
        <w:rPr>
          <w:rFonts w:hint="eastAsia" w:ascii="宋体" w:hAnsi="宋体" w:eastAsia="宋体" w:cs="宋体"/>
          <w:kern w:val="0"/>
          <w:sz w:val="24"/>
          <w:szCs w:val="24"/>
          <w:lang w:val="zh-CN"/>
        </w:rPr>
        <w:t>、答疑等具体工作，并签署全部有关的文件、资料。</w:t>
      </w:r>
    </w:p>
    <w:p w14:paraId="29E6AB81">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我单位对被授权人的签名负全部责任。</w:t>
      </w:r>
    </w:p>
    <w:p w14:paraId="17159AC4">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在撤销授权的书面通知以前，本授权书一直有效，被授权人签署的所有文件</w:t>
      </w:r>
    </w:p>
    <w:p w14:paraId="183A8869">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（在授权书有效期内签署的）不因授权的撤销而失效。</w:t>
      </w:r>
    </w:p>
    <w:p w14:paraId="49C7A4EB">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授权期限：</w:t>
      </w:r>
    </w:p>
    <w:p w14:paraId="3855CC47">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被授权人联系电话：</w:t>
      </w:r>
    </w:p>
    <w:p w14:paraId="15A7A375">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zh-CN"/>
        </w:rPr>
        <w:t>被授权人（委托代理人）签字或盖章：</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职务：</w:t>
      </w:r>
      <w:r>
        <w:rPr>
          <w:rFonts w:hint="eastAsia" w:ascii="宋体" w:hAnsi="宋体" w:eastAsia="宋体" w:cs="宋体"/>
          <w:kern w:val="0"/>
          <w:sz w:val="24"/>
          <w:szCs w:val="24"/>
          <w:u w:val="single"/>
        </w:rPr>
        <w:t xml:space="preserve">              </w:t>
      </w:r>
    </w:p>
    <w:p w14:paraId="0DFBD6B2">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u w:val="single"/>
          <w:lang w:val="zh-CN"/>
        </w:rPr>
      </w:pPr>
      <w:r>
        <w:rPr>
          <w:rFonts w:hint="eastAsia" w:ascii="宋体" w:hAnsi="宋体" w:eastAsia="宋体" w:cs="宋体"/>
          <w:kern w:val="0"/>
          <w:sz w:val="24"/>
          <w:szCs w:val="24"/>
          <w:lang w:val="zh-CN"/>
        </w:rPr>
        <w:t>授权人（法定代表人）签字或盖章：</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职务：</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zh-CN"/>
        </w:rPr>
        <w:t xml:space="preserve">  </w:t>
      </w:r>
    </w:p>
    <w:p w14:paraId="6A0561D2">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p>
    <w:p w14:paraId="065E5220">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附被授权人第二代身份证双面扫描（或复印）件</w:t>
      </w:r>
    </w:p>
    <w:p w14:paraId="76B22D74">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p>
    <w:p w14:paraId="197E5AF5">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09322E07">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443F224D">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2A0FD1AA">
      <w:pPr>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083194D6">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bookmarkStart w:id="68" w:name="_Toc24328"/>
      <w:bookmarkStart w:id="69" w:name="_Toc4740"/>
      <w:bookmarkStart w:id="70" w:name="_Toc22178"/>
      <w:bookmarkStart w:id="71" w:name="_Toc3745"/>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14:textFill>
            <w14:solidFill>
              <w14:schemeClr w14:val="tx1"/>
            </w14:solidFill>
          </w14:textFill>
        </w:rPr>
        <w:t>供应商承</w:t>
      </w:r>
      <w:r>
        <w:rPr>
          <w:rFonts w:hint="eastAsia" w:ascii="宋体" w:hAnsi="宋体" w:eastAsia="宋体" w:cs="宋体"/>
          <w:b/>
          <w:color w:val="000000" w:themeColor="text1"/>
          <w:sz w:val="24"/>
          <w:szCs w:val="24"/>
          <w:lang w:val="zh-CN"/>
          <w14:textFill>
            <w14:solidFill>
              <w14:schemeClr w14:val="tx1"/>
            </w14:solidFill>
          </w14:textFill>
        </w:rPr>
        <w:t>诺函</w:t>
      </w:r>
      <w:bookmarkEnd w:id="68"/>
      <w:bookmarkEnd w:id="69"/>
      <w:bookmarkEnd w:id="70"/>
      <w:bookmarkEnd w:id="71"/>
      <w:bookmarkStart w:id="72" w:name="_Toc2764"/>
    </w:p>
    <w:p w14:paraId="03A7C7DD">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73" w:name="_Toc14780"/>
      <w:bookmarkStart w:id="74" w:name="_Toc10264"/>
      <w:bookmarkStart w:id="75" w:name="_Toc3192"/>
      <w:r>
        <w:rPr>
          <w:rFonts w:hint="eastAsia" w:ascii="宋体" w:hAnsi="宋体" w:eastAsia="宋体" w:cs="宋体"/>
          <w:b/>
          <w:color w:val="000000" w:themeColor="text1"/>
          <w:sz w:val="24"/>
          <w:szCs w:val="24"/>
          <w:lang w:val="zh-CN" w:eastAsia="zh-CN"/>
          <w14:textFill>
            <w14:solidFill>
              <w14:schemeClr w14:val="tx1"/>
            </w14:solidFill>
          </w14:textFill>
        </w:rPr>
        <w:t>供应商承诺函</w:t>
      </w:r>
      <w:bookmarkEnd w:id="72"/>
      <w:bookmarkEnd w:id="73"/>
      <w:bookmarkEnd w:id="74"/>
      <w:bookmarkEnd w:id="75"/>
    </w:p>
    <w:p w14:paraId="30432E51">
      <w:pPr>
        <w:keepNext w:val="0"/>
        <w:keepLines w:val="0"/>
        <w:pageBreakBefore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致：海东乐都区乐欣中堃项目管理有限公司</w:t>
      </w:r>
    </w:p>
    <w:p w14:paraId="38B90CD8">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关于贵方202</w:t>
      </w:r>
      <w:r>
        <w:rPr>
          <w:rFonts w:hint="eastAsia" w:ascii="宋体" w:hAnsi="宋体" w:cs="宋体"/>
          <w:kern w:val="0"/>
          <w:sz w:val="24"/>
          <w:szCs w:val="24"/>
          <w:lang w:val="en-US" w:eastAsia="zh-CN"/>
        </w:rPr>
        <w:t>5</w:t>
      </w:r>
      <w:r>
        <w:rPr>
          <w:rFonts w:hint="eastAsia" w:ascii="宋体" w:hAnsi="宋体" w:eastAsia="宋体" w:cs="宋体"/>
          <w:kern w:val="0"/>
          <w:sz w:val="24"/>
          <w:szCs w:val="24"/>
          <w:lang w:val="zh-CN"/>
        </w:rPr>
        <w:t>年</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月</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日</w:t>
      </w:r>
      <w:r>
        <w:rPr>
          <w:rFonts w:hint="eastAsia" w:ascii="宋体" w:hAnsi="宋体" w:eastAsia="宋体" w:cs="宋体"/>
          <w:kern w:val="0"/>
          <w:sz w:val="24"/>
          <w:szCs w:val="24"/>
          <w:u w:val="single"/>
          <w:lang w:val="zh-CN"/>
        </w:rPr>
        <w:t>海东市乐都区“示范性儿童之家”项目（乐欣中堃竞谈（货物）2025-019）</w:t>
      </w:r>
      <w:r>
        <w:rPr>
          <w:rFonts w:hint="eastAsia" w:ascii="宋体" w:hAnsi="宋体" w:eastAsia="宋体" w:cs="宋体"/>
          <w:kern w:val="0"/>
          <w:sz w:val="24"/>
          <w:szCs w:val="24"/>
          <w:lang w:val="zh-CN"/>
        </w:rPr>
        <w:t>，本签字人愿意参加</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，提供采购一览表中要求的所有产品，并证实提交的所有资料是准确的和真实的。同时，我代表</w:t>
      </w:r>
      <w:r>
        <w:rPr>
          <w:rFonts w:hint="eastAsia" w:ascii="宋体" w:hAnsi="宋体" w:eastAsia="宋体" w:cs="宋体"/>
          <w:kern w:val="0"/>
          <w:sz w:val="24"/>
          <w:szCs w:val="24"/>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lang w:val="zh-CN"/>
        </w:rPr>
        <w:t>（</w:t>
      </w:r>
      <w:r>
        <w:rPr>
          <w:rFonts w:hint="eastAsia" w:ascii="宋体" w:hAnsi="宋体" w:eastAsia="宋体" w:cs="宋体"/>
          <w:kern w:val="0"/>
          <w:sz w:val="24"/>
          <w:szCs w:val="24"/>
        </w:rPr>
        <w:t>供应商</w:t>
      </w:r>
      <w:r>
        <w:rPr>
          <w:rFonts w:hint="eastAsia" w:ascii="宋体" w:hAnsi="宋体" w:eastAsia="宋体" w:cs="宋体"/>
          <w:kern w:val="0"/>
          <w:sz w:val="24"/>
          <w:szCs w:val="24"/>
          <w:lang w:val="zh-CN"/>
        </w:rPr>
        <w:t>人名称），在此作如下承诺：</w:t>
      </w:r>
    </w:p>
    <w:p w14:paraId="66C61313">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1.完全理解和接受</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文件的一切规定和要求；</w:t>
      </w:r>
    </w:p>
    <w:p w14:paraId="239234FA">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2.若</w:t>
      </w:r>
      <w:r>
        <w:rPr>
          <w:rFonts w:hint="eastAsia" w:ascii="宋体" w:hAnsi="宋体" w:eastAsia="宋体" w:cs="宋体"/>
          <w:kern w:val="0"/>
          <w:sz w:val="24"/>
          <w:szCs w:val="24"/>
        </w:rPr>
        <w:t>成交</w:t>
      </w:r>
      <w:r>
        <w:rPr>
          <w:rFonts w:hint="eastAsia" w:ascii="宋体" w:hAnsi="宋体" w:eastAsia="宋体" w:cs="宋体"/>
          <w:kern w:val="0"/>
          <w:sz w:val="24"/>
          <w:szCs w:val="24"/>
          <w:lang w:val="zh-CN"/>
        </w:rPr>
        <w:t>，我方将按照</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文件的具体规定与采购人签订采购合同，并且严格履行合同义务，按时交货，提供优质的产品和服务。如果在合同执行过程中，发现质量、数量出现问题，我方一定尽快更换或补退货，并承担相应的经济责任；</w:t>
      </w:r>
    </w:p>
    <w:p w14:paraId="3F0312E3">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3、我方保证甲方在使用该产品或其任何一部分时，不受第三方提出的侵犯专利权、著作权、商标权和工业设计权等知识产权的起诉，若有违犯，愿承担相应的一切责任。</w:t>
      </w:r>
    </w:p>
    <w:p w14:paraId="79912797">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4、我方承诺，除</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文件中规定的进口产品外，所投的产品均为国产产品，且均符合国家强制性标准。若有不实，愿承担相应的责任。</w:t>
      </w:r>
    </w:p>
    <w:p w14:paraId="24660174">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5、在整个</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过程中我方若有违规行为，贵方可按</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文件之规定给予处罚，我方完全接受。</w:t>
      </w:r>
    </w:p>
    <w:p w14:paraId="4338739D">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6、若</w:t>
      </w:r>
      <w:r>
        <w:rPr>
          <w:rFonts w:hint="eastAsia" w:ascii="宋体" w:hAnsi="宋体" w:eastAsia="宋体" w:cs="宋体"/>
          <w:kern w:val="0"/>
          <w:sz w:val="24"/>
          <w:szCs w:val="24"/>
        </w:rPr>
        <w:t>成交</w:t>
      </w:r>
      <w:r>
        <w:rPr>
          <w:rFonts w:hint="eastAsia" w:ascii="宋体" w:hAnsi="宋体" w:eastAsia="宋体" w:cs="宋体"/>
          <w:kern w:val="0"/>
          <w:sz w:val="24"/>
          <w:szCs w:val="24"/>
          <w:lang w:val="zh-CN"/>
        </w:rPr>
        <w:t>，本承诺将成为合同不可分割的一部分，与合同具有同等的法律效力。</w:t>
      </w:r>
    </w:p>
    <w:p w14:paraId="3CE454F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7971C7E7">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28C6385B">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6AA5EA10">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lang w:val="zh-CN"/>
          <w14:textFill>
            <w14:solidFill>
              <w14:schemeClr w14:val="tx1"/>
            </w14:solidFill>
          </w14:textFill>
        </w:rPr>
        <w:t>诚信承诺书</w:t>
      </w:r>
      <w:bookmarkStart w:id="76" w:name="_Toc2170"/>
    </w:p>
    <w:p w14:paraId="7A162D42">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77" w:name="_Toc5344"/>
      <w:bookmarkStart w:id="78" w:name="_Toc23774"/>
      <w:bookmarkStart w:id="79" w:name="_Toc5914"/>
      <w:r>
        <w:rPr>
          <w:rFonts w:hint="eastAsia" w:ascii="宋体" w:hAnsi="宋体" w:eastAsia="宋体" w:cs="宋体"/>
          <w:b/>
          <w:color w:val="000000" w:themeColor="text1"/>
          <w:sz w:val="24"/>
          <w:szCs w:val="24"/>
          <w:lang w:val="zh-CN" w:eastAsia="zh-CN"/>
          <w14:textFill>
            <w14:solidFill>
              <w14:schemeClr w14:val="tx1"/>
            </w14:solidFill>
          </w14:textFill>
        </w:rPr>
        <w:t>供应商诚信承诺书</w:t>
      </w:r>
      <w:bookmarkEnd w:id="76"/>
      <w:bookmarkEnd w:id="77"/>
      <w:bookmarkEnd w:id="78"/>
      <w:bookmarkEnd w:id="79"/>
    </w:p>
    <w:p w14:paraId="19163E53">
      <w:pPr>
        <w:keepNext w:val="0"/>
        <w:keepLines w:val="0"/>
        <w:pageBreakBefore w:val="0"/>
        <w:kinsoku/>
        <w:wordWrap/>
        <w:overflowPunct/>
        <w:topLinePunct w:val="0"/>
        <w:autoSpaceDE w:val="0"/>
        <w:autoSpaceDN w:val="0"/>
        <w:bidi w:val="0"/>
        <w:snapToGrid/>
        <w:spacing w:after="240" w:line="240" w:lineRule="auto"/>
        <w:ind w:firstLine="482" w:firstLineChars="200"/>
        <w:textAlignment w:val="auto"/>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致：海东乐都区乐欣中堃项目管理有限公司</w:t>
      </w:r>
    </w:p>
    <w:p w14:paraId="6A9542C0">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为了诚实、客观、有序地参与青海省政府采购活动，愿就以下内容作出承诺：</w:t>
      </w:r>
    </w:p>
    <w:p w14:paraId="31A00300">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eastAsia="zh-CN" w:bidi="ar-SA"/>
        </w:rPr>
        <w:t>一、</w:t>
      </w:r>
      <w:r>
        <w:rPr>
          <w:rFonts w:hint="eastAsia" w:ascii="宋体" w:hAnsi="宋体" w:eastAsia="宋体" w:cs="宋体"/>
          <w:kern w:val="0"/>
          <w:sz w:val="24"/>
          <w:szCs w:val="24"/>
          <w:lang w:val="zh-CN"/>
        </w:rPr>
        <w:t>自觉遵守各项法律、法规、规章、制度以及社会公德，维护廉洁环境，与同场竞争的其他供应商平等参加政府采购活动。</w:t>
      </w:r>
    </w:p>
    <w:p w14:paraId="10D7B623">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rPr>
        <w:t>二、参加采购代理机构组织的政府采购活动时，严格按照谈判文件的规定和要求提供所需的相关材料，并对所提供的各类资料的真实性负责，不虚假应标，</w:t>
      </w:r>
      <w:r>
        <w:rPr>
          <w:rFonts w:hint="eastAsia" w:ascii="宋体" w:hAnsi="宋体" w:eastAsia="宋体" w:cs="宋体"/>
          <w:kern w:val="0"/>
          <w:sz w:val="24"/>
          <w:szCs w:val="24"/>
          <w:lang w:val="zh-CN" w:eastAsia="zh-CN" w:bidi="ar-SA"/>
        </w:rPr>
        <w:t>不虚列业绩。</w:t>
      </w:r>
    </w:p>
    <w:p w14:paraId="305D6589">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三、尊重参与政府采购活动各相关方的合法行为，接受政府采购活动依法形成的意见、结果。</w:t>
      </w:r>
    </w:p>
    <w:p w14:paraId="17EFB29C">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四、依法参加政府采购活动，不围标、串标，维护市场秩序，不提供“三无”产品、以次充好。</w:t>
      </w:r>
    </w:p>
    <w:p w14:paraId="663AF1B4">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五、积极推动政府采购活动健康开展，对采购活动有疑问、异议时，按法律规定的程序实名反映情况，不恶意中伤、无事生非，以和谐、平等的心态参加政府采购活动。</w:t>
      </w:r>
    </w:p>
    <w:p w14:paraId="1698900F">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六、认真履行成交人应承担的责任和义务，全面执行采购合同规定的各项内容，保质保量地按时提供采购物品。</w:t>
      </w:r>
    </w:p>
    <w:p w14:paraId="3D92607F">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若本企业（单位）发生有悖于上述承诺的行为，愿意接受《中华人民共和国政府采购法》和《政府采购法实施条例》中对供应商的相关处理。</w:t>
      </w:r>
    </w:p>
    <w:p w14:paraId="643BB36A">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本承诺是采购项目谈判文件的组成部分。</w:t>
      </w:r>
    </w:p>
    <w:p w14:paraId="3455C21C">
      <w:pPr>
        <w:keepNext w:val="0"/>
        <w:keepLines w:val="0"/>
        <w:pageBreakBefore w:val="0"/>
        <w:kinsoku/>
        <w:wordWrap/>
        <w:overflowPunct/>
        <w:topLinePunct w:val="0"/>
        <w:autoSpaceDE w:val="0"/>
        <w:autoSpaceDN w:val="0"/>
        <w:bidi w:val="0"/>
        <w:snapToGrid/>
        <w:spacing w:after="240" w:line="360" w:lineRule="auto"/>
        <w:ind w:firstLine="482" w:firstLineChars="200"/>
        <w:jc w:val="right"/>
        <w:textAlignment w:val="auto"/>
        <w:rPr>
          <w:rFonts w:hint="eastAsia" w:ascii="宋体" w:hAnsi="宋体" w:eastAsia="宋体" w:cs="宋体"/>
          <w:b/>
          <w:bCs/>
          <w:kern w:val="0"/>
          <w:sz w:val="24"/>
          <w:szCs w:val="24"/>
          <w:lang w:val="zh-CN"/>
        </w:rPr>
      </w:pPr>
    </w:p>
    <w:p w14:paraId="5A743B50">
      <w:pPr>
        <w:keepNext w:val="0"/>
        <w:keepLines w:val="0"/>
        <w:pageBreakBefore w:val="0"/>
        <w:kinsoku/>
        <w:wordWrap/>
        <w:overflowPunct/>
        <w:topLinePunct w:val="0"/>
        <w:autoSpaceDE w:val="0"/>
        <w:autoSpaceDN w:val="0"/>
        <w:bidi w:val="0"/>
        <w:snapToGrid/>
        <w:spacing w:after="240" w:line="360" w:lineRule="auto"/>
        <w:ind w:firstLine="482" w:firstLineChars="200"/>
        <w:jc w:val="right"/>
        <w:textAlignment w:val="auto"/>
        <w:rPr>
          <w:rFonts w:hint="eastAsia" w:ascii="宋体" w:hAnsi="宋体" w:eastAsia="宋体" w:cs="宋体"/>
          <w:b/>
          <w:bCs/>
          <w:kern w:val="0"/>
          <w:sz w:val="24"/>
          <w:szCs w:val="24"/>
          <w:lang w:val="zh-CN"/>
        </w:rPr>
      </w:pPr>
    </w:p>
    <w:p w14:paraId="140E7AE9">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748F557C">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42C9AB0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3258E3F1">
      <w:pPr>
        <w:spacing w:line="360" w:lineRule="auto"/>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2682E0B3">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80" w:name="_Toc18171"/>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6：供应商</w:t>
      </w:r>
      <w:r>
        <w:rPr>
          <w:rFonts w:hint="eastAsia" w:ascii="宋体" w:hAnsi="宋体" w:eastAsia="宋体" w:cs="宋体"/>
          <w:b/>
          <w:color w:val="000000" w:themeColor="text1"/>
          <w:sz w:val="24"/>
          <w:szCs w:val="24"/>
          <w:lang w:val="zh-CN"/>
          <w14:textFill>
            <w14:solidFill>
              <w14:schemeClr w14:val="tx1"/>
            </w14:solidFill>
          </w14:textFill>
        </w:rPr>
        <w:t>资格证明材料</w:t>
      </w:r>
      <w:bookmarkEnd w:id="80"/>
      <w:bookmarkStart w:id="81" w:name="_Toc17325"/>
      <w:r>
        <w:rPr>
          <w:rFonts w:hint="eastAsia" w:ascii="宋体" w:hAnsi="宋体" w:eastAsia="宋体" w:cs="宋体"/>
          <w:b/>
          <w:color w:val="000000" w:themeColor="text1"/>
          <w:sz w:val="24"/>
          <w:szCs w:val="24"/>
          <w:lang w:val="en-US" w:eastAsia="zh-CN"/>
          <w14:textFill>
            <w14:solidFill>
              <w14:schemeClr w14:val="tx1"/>
            </w14:solidFill>
          </w14:textFill>
        </w:rPr>
        <w:t>文件</w:t>
      </w:r>
    </w:p>
    <w:bookmarkEnd w:id="81"/>
    <w:p w14:paraId="20DE6D47">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供应商资格证明文件</w:t>
      </w:r>
    </w:p>
    <w:p w14:paraId="6823C97D">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资格证明材料包括：</w:t>
      </w:r>
    </w:p>
    <w:p w14:paraId="6ED06ACD">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（1）提供有效的营业执照、税务登记证、机构代码证或三证（五证）合一统一社会代码证及其他资格证明文件（扫描或复印件）；</w:t>
      </w:r>
    </w:p>
    <w:p w14:paraId="02086C41">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F2D85EC">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采购</w:t>
      </w:r>
      <w:r>
        <w:rPr>
          <w:rFonts w:hint="eastAsia" w:ascii="宋体" w:hAnsi="宋体" w:eastAsia="宋体" w:cs="宋体"/>
          <w:sz w:val="24"/>
          <w:szCs w:val="24"/>
        </w:rPr>
        <w:t>文件规定的有关资格证书、许可证书、认证等。</w:t>
      </w:r>
    </w:p>
    <w:p w14:paraId="46F5D0DD">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（3）供应商认为有必要提供的其他资格证明文件。</w:t>
      </w:r>
    </w:p>
    <w:p w14:paraId="30D68464">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143D8B59">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7</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zh-CN"/>
          <w14:textFill>
            <w14:solidFill>
              <w14:schemeClr w14:val="tx1"/>
            </w14:solidFill>
          </w14:textFill>
        </w:rPr>
        <w:t>财务状况、缴纳税收和社会保障资金证明</w:t>
      </w:r>
    </w:p>
    <w:p w14:paraId="3E188522">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82" w:name="_Toc9232"/>
      <w:r>
        <w:rPr>
          <w:rFonts w:hint="eastAsia" w:ascii="宋体" w:hAnsi="宋体" w:eastAsia="宋体" w:cs="宋体"/>
          <w:b/>
          <w:color w:val="000000" w:themeColor="text1"/>
          <w:sz w:val="24"/>
          <w:szCs w:val="24"/>
          <w:lang w:val="zh-CN" w:eastAsia="zh-CN"/>
          <w14:textFill>
            <w14:solidFill>
              <w14:schemeClr w14:val="tx1"/>
            </w14:solidFill>
          </w14:textFill>
        </w:rPr>
        <w:t>财务状况、缴纳税收和社会保障资金证明</w:t>
      </w:r>
      <w:bookmarkEnd w:id="82"/>
    </w:p>
    <w:p w14:paraId="082FCE59">
      <w:pPr>
        <w:keepNext w:val="0"/>
        <w:keepLines w:val="0"/>
        <w:pageBreakBefore w:val="0"/>
        <w:kinsoku/>
        <w:wordWrap/>
        <w:overflowPunct/>
        <w:topLinePunct w:val="0"/>
        <w:bidi w:val="0"/>
        <w:snapToGrid/>
        <w:spacing w:after="240"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提供以下相关材料。</w:t>
      </w:r>
    </w:p>
    <w:p w14:paraId="13B647D7">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zh-CN"/>
        </w:rPr>
        <w:t>1、</w:t>
      </w:r>
      <w:r>
        <w:rPr>
          <w:rFonts w:hint="eastAsia" w:ascii="宋体" w:hAnsi="宋体" w:eastAsia="宋体" w:cs="宋体"/>
          <w:color w:val="000000"/>
          <w:kern w:val="0"/>
          <w:sz w:val="24"/>
          <w:szCs w:val="24"/>
          <w:lang w:val="en-US" w:eastAsia="zh-CN" w:bidi="ar"/>
        </w:rPr>
        <w:t>供应商是法人的，</w:t>
      </w:r>
      <w:r>
        <w:rPr>
          <w:rFonts w:hint="eastAsia" w:ascii="宋体" w:hAnsi="宋体" w:eastAsia="宋体" w:cs="宋体"/>
          <w:sz w:val="24"/>
          <w:szCs w:val="24"/>
          <w:lang w:val="zh-CN"/>
        </w:rPr>
        <w:t>供应商须提供经第三方机构出具的（2023年或2024年）的财务审计报告，包括但不限于资产负债表、现金流量表、利润表和财务（会计）报表附注,并提供第三方机构的营业执照、执业证书或提供基本开户银行出具近三个月内的资信证明（同时提供基本存款账户开户许可证）。扫描（或复印）件应全面、完整、清晰。</w:t>
      </w:r>
    </w:p>
    <w:p w14:paraId="650F1B98">
      <w:pPr>
        <w:pStyle w:val="12"/>
      </w:pPr>
      <w:r>
        <w:rPr>
          <w:rFonts w:hint="eastAsia" w:ascii="宋体" w:hAnsi="宋体" w:eastAsia="宋体" w:cs="宋体"/>
          <w:sz w:val="24"/>
          <w:szCs w:val="24"/>
          <w:lang w:val="zh-CN"/>
        </w:rPr>
        <w:t>2、提供近半年内</w:t>
      </w:r>
      <w:r>
        <w:rPr>
          <w:rFonts w:hint="eastAsia" w:ascii="宋体" w:hAnsi="宋体" w:cs="宋体"/>
          <w:sz w:val="24"/>
          <w:szCs w:val="24"/>
          <w:lang w:val="en-US" w:eastAsia="zh-CN"/>
        </w:rPr>
        <w:t>任意</w:t>
      </w:r>
      <w:r>
        <w:rPr>
          <w:rFonts w:hint="eastAsia" w:ascii="宋体" w:hAnsi="宋体" w:eastAsia="宋体" w:cs="宋体"/>
          <w:sz w:val="24"/>
          <w:szCs w:val="24"/>
        </w:rPr>
        <w:t>3</w:t>
      </w:r>
      <w:r>
        <w:rPr>
          <w:rFonts w:hint="eastAsia" w:ascii="宋体" w:hAnsi="宋体" w:eastAsia="宋体" w:cs="宋体"/>
          <w:sz w:val="24"/>
          <w:szCs w:val="24"/>
          <w:lang w:val="zh-CN"/>
        </w:rPr>
        <w:t>个月企业依法缴纳税收和</w:t>
      </w:r>
      <w:r>
        <w:rPr>
          <w:rFonts w:hint="eastAsia" w:ascii="宋体" w:hAnsi="宋体" w:eastAsia="宋体" w:cs="宋体"/>
          <w:sz w:val="24"/>
          <w:szCs w:val="24"/>
          <w:lang w:val="en-US" w:eastAsia="zh-CN"/>
        </w:rPr>
        <w:t>企业</w:t>
      </w:r>
      <w:r>
        <w:rPr>
          <w:rFonts w:hint="eastAsia" w:ascii="宋体" w:hAnsi="宋体" w:eastAsia="宋体" w:cs="宋体"/>
          <w:sz w:val="24"/>
          <w:szCs w:val="24"/>
          <w:lang w:val="zh-CN"/>
        </w:rPr>
        <w:t>社会保障资金记录的证明材料。依法免税或不需要缴纳社会保障资金的供应商，应提供相应文件证明其依法免税或不需要缴纳社会保障资金。</w:t>
      </w:r>
    </w:p>
    <w:p w14:paraId="76A0ED1E">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7E72C2E8">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8</w:t>
      </w:r>
      <w:r>
        <w:rPr>
          <w:rFonts w:hint="eastAsia" w:ascii="宋体" w:hAnsi="宋体" w:eastAsia="宋体" w:cs="宋体"/>
          <w:b/>
          <w:color w:val="000000" w:themeColor="text1"/>
          <w:sz w:val="24"/>
          <w:szCs w:val="24"/>
          <w14:textFill>
            <w14:solidFill>
              <w14:schemeClr w14:val="tx1"/>
            </w14:solidFill>
          </w14:textFill>
        </w:rPr>
        <w:t>：</w:t>
      </w:r>
      <w:bookmarkEnd w:id="58"/>
      <w:bookmarkEnd w:id="59"/>
      <w:bookmarkStart w:id="83" w:name="_Toc29828"/>
      <w:bookmarkStart w:id="84" w:name="_Toc5186"/>
      <w:bookmarkStart w:id="85" w:name="_Toc500493807"/>
      <w:r>
        <w:rPr>
          <w:rFonts w:hint="eastAsia" w:ascii="宋体" w:hAnsi="宋体" w:eastAsia="宋体" w:cs="宋体"/>
          <w:b/>
          <w:color w:val="000000" w:themeColor="text1"/>
          <w:sz w:val="24"/>
          <w:szCs w:val="24"/>
          <w:lang w:val="zh-CN"/>
          <w14:textFill>
            <w14:solidFill>
              <w14:schemeClr w14:val="tx1"/>
            </w14:solidFill>
          </w14:textFill>
        </w:rPr>
        <w:t>无重大违法记录声明</w:t>
      </w:r>
      <w:bookmarkEnd w:id="83"/>
      <w:bookmarkEnd w:id="84"/>
      <w:bookmarkEnd w:id="85"/>
    </w:p>
    <w:p w14:paraId="523A4CC3">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86" w:name="_Toc3546"/>
      <w:r>
        <w:rPr>
          <w:rFonts w:hint="eastAsia" w:ascii="宋体" w:hAnsi="宋体" w:eastAsia="宋体" w:cs="宋体"/>
          <w:b/>
          <w:color w:val="000000" w:themeColor="text1"/>
          <w:sz w:val="24"/>
          <w:szCs w:val="24"/>
          <w:lang w:val="zh-CN" w:eastAsia="zh-CN"/>
          <w14:textFill>
            <w14:solidFill>
              <w14:schemeClr w14:val="tx1"/>
            </w14:solidFill>
          </w14:textFill>
        </w:rPr>
        <w:t>无重大违法记录声明</w:t>
      </w:r>
      <w:bookmarkEnd w:id="86"/>
    </w:p>
    <w:p w14:paraId="2635FD14">
      <w:pPr>
        <w:keepNext w:val="0"/>
        <w:keepLines w:val="0"/>
        <w:pageBreakBefore w:val="0"/>
        <w:kinsoku/>
        <w:wordWrap/>
        <w:overflowPunct/>
        <w:topLinePunct w:val="0"/>
        <w:bidi w:val="0"/>
        <w:snapToGrid/>
        <w:spacing w:after="24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提供参加政府采购活动前3年内在经营活动中没有重大违法记录的书面声明，并附“信用中国”、“</w:t>
      </w:r>
      <w:r>
        <w:rPr>
          <w:rFonts w:hint="eastAsia" w:ascii="宋体" w:hAnsi="宋体" w:eastAsia="宋体" w:cs="宋体"/>
          <w:sz w:val="24"/>
          <w:szCs w:val="24"/>
          <w:lang w:val="en-US" w:eastAsia="zh-CN"/>
        </w:rPr>
        <w:t>中国</w:t>
      </w:r>
      <w:r>
        <w:rPr>
          <w:rFonts w:hint="eastAsia" w:ascii="宋体" w:hAnsi="宋体" w:eastAsia="宋体" w:cs="宋体"/>
          <w:sz w:val="24"/>
          <w:szCs w:val="24"/>
        </w:rPr>
        <w:t>政府采购网”网站无任何不良记录的查询截图，时间为</w:t>
      </w:r>
      <w:r>
        <w:rPr>
          <w:rFonts w:hint="eastAsia" w:ascii="宋体" w:hAnsi="宋体" w:eastAsia="宋体" w:cs="宋体"/>
          <w:sz w:val="24"/>
          <w:szCs w:val="24"/>
          <w:lang w:eastAsia="zh-CN"/>
        </w:rPr>
        <w:t>响应</w:t>
      </w:r>
      <w:r>
        <w:rPr>
          <w:rFonts w:hint="eastAsia" w:ascii="宋体" w:hAnsi="宋体" w:eastAsia="宋体" w:cs="宋体"/>
          <w:sz w:val="24"/>
          <w:szCs w:val="24"/>
        </w:rPr>
        <w:t>截止时间前</w:t>
      </w:r>
      <w:r>
        <w:rPr>
          <w:rFonts w:hint="eastAsia" w:ascii="宋体" w:hAnsi="宋体" w:eastAsia="宋体" w:cs="宋体"/>
          <w:sz w:val="24"/>
          <w:szCs w:val="24"/>
          <w:lang w:val="en-US" w:eastAsia="zh-CN"/>
        </w:rPr>
        <w:t>5</w:t>
      </w:r>
      <w:r>
        <w:rPr>
          <w:rFonts w:hint="eastAsia" w:ascii="宋体" w:hAnsi="宋体" w:eastAsia="宋体" w:cs="宋体"/>
          <w:sz w:val="24"/>
          <w:szCs w:val="24"/>
        </w:rPr>
        <w:t>天内。</w:t>
      </w:r>
    </w:p>
    <w:p w14:paraId="43980EC3">
      <w:pPr>
        <w:keepNext w:val="0"/>
        <w:keepLines w:val="0"/>
        <w:pageBreakBefore w:val="0"/>
        <w:kinsoku/>
        <w:wordWrap/>
        <w:overflowPunct/>
        <w:topLinePunct w:val="0"/>
        <w:bidi w:val="0"/>
        <w:snapToGrid/>
        <w:spacing w:after="240"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（格式可自定）</w:t>
      </w:r>
    </w:p>
    <w:p w14:paraId="6153F1BB">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0A4918E5">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75F51208">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6B213239">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76360E51">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6AED34C7">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52051A4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6EB014A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7006149D">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0FD3534D">
      <w:pPr>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br w:type="page"/>
      </w:r>
    </w:p>
    <w:p w14:paraId="1F063E2B">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9</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val="zh-CN"/>
          <w14:textFill>
            <w14:solidFill>
              <w14:schemeClr w14:val="tx1"/>
            </w14:solidFill>
          </w14:textFill>
        </w:rPr>
        <w:t>保证金证明</w:t>
      </w:r>
    </w:p>
    <w:p w14:paraId="28B2F2C9">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谈判保证金证明</w:t>
      </w:r>
    </w:p>
    <w:p w14:paraId="56B05789">
      <w:pPr>
        <w:keepNext w:val="0"/>
        <w:keepLines w:val="0"/>
        <w:pageBreakBefore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eastAsia="宋体" w:cs="宋体"/>
          <w:b/>
          <w:bCs/>
          <w:color w:val="000000"/>
          <w:sz w:val="24"/>
          <w:szCs w:val="24"/>
          <w:lang w:val="zh-CN" w:eastAsia="zh-CN"/>
        </w:rPr>
      </w:pPr>
      <w:r>
        <w:rPr>
          <w:rFonts w:hint="eastAsia" w:ascii="宋体" w:hAnsi="宋体" w:eastAsia="宋体" w:cs="宋体"/>
          <w:b/>
          <w:bCs/>
          <w:color w:val="000000"/>
          <w:sz w:val="24"/>
          <w:szCs w:val="24"/>
          <w:lang w:val="zh-CN"/>
        </w:rPr>
        <w:t>致：</w:t>
      </w:r>
      <w:r>
        <w:rPr>
          <w:rFonts w:hint="eastAsia" w:ascii="宋体" w:hAnsi="宋体" w:cs="宋体"/>
          <w:b/>
          <w:bCs/>
          <w:kern w:val="0"/>
          <w:sz w:val="24"/>
          <w:szCs w:val="24"/>
          <w:lang w:eastAsia="zh-CN"/>
        </w:rPr>
        <w:t>海东乐都区乐欣中堃项目管理有限公司</w:t>
      </w:r>
    </w:p>
    <w:p w14:paraId="254E6433">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我方为</w:t>
      </w:r>
      <w:r>
        <w:rPr>
          <w:rFonts w:hint="eastAsia" w:ascii="宋体" w:hAnsi="宋体" w:eastAsia="宋体" w:cs="宋体"/>
          <w:kern w:val="0"/>
          <w:sz w:val="24"/>
          <w:szCs w:val="24"/>
          <w:u w:val="single"/>
          <w:lang w:val="zh-CN"/>
        </w:rPr>
        <w:t>海东市乐都区“示范性儿童之家”项目（乐欣中堃竞谈（货物）2025-019</w:t>
      </w:r>
      <w:r>
        <w:rPr>
          <w:rFonts w:hint="eastAsia" w:ascii="宋体" w:hAnsi="宋体" w:cs="宋体"/>
          <w:bCs/>
          <w:color w:val="auto"/>
          <w:sz w:val="24"/>
          <w:szCs w:val="24"/>
          <w:u w:val="single"/>
        </w:rPr>
        <w:t>）</w:t>
      </w:r>
      <w:r>
        <w:rPr>
          <w:rFonts w:hint="eastAsia" w:ascii="宋体" w:hAnsi="宋体" w:eastAsia="宋体" w:cs="宋体"/>
          <w:color w:val="000000"/>
          <w:sz w:val="24"/>
          <w:szCs w:val="24"/>
          <w:lang w:val="zh-CN"/>
        </w:rPr>
        <w:t>递交保证金人民币</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（大写：人民币</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元）已于</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日以</w:t>
      </w:r>
      <w:r>
        <w:rPr>
          <w:rFonts w:hint="eastAsia" w:ascii="宋体" w:hAnsi="宋体" w:eastAsia="宋体" w:cs="宋体"/>
          <w:color w:val="000000"/>
          <w:sz w:val="24"/>
          <w:szCs w:val="24"/>
        </w:rPr>
        <w:t>企业账户</w:t>
      </w:r>
      <w:r>
        <w:rPr>
          <w:rFonts w:hint="eastAsia" w:ascii="宋体" w:hAnsi="宋体" w:eastAsia="宋体" w:cs="宋体"/>
          <w:color w:val="000000"/>
          <w:sz w:val="24"/>
          <w:szCs w:val="24"/>
          <w:lang w:val="zh-CN"/>
        </w:rPr>
        <w:t>转账方式汇入你方账户。</w:t>
      </w:r>
    </w:p>
    <w:p w14:paraId="2327DEB8">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附件：保证金交款证明、开户许可证复印件（加盖公章）</w:t>
      </w:r>
    </w:p>
    <w:p w14:paraId="167BB3F8">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022A2DBB">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户    名：</w:t>
      </w:r>
    </w:p>
    <w:p w14:paraId="5D9DB9A7">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开户银行：</w:t>
      </w:r>
    </w:p>
    <w:p w14:paraId="1D7D5B74">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开户帐号：</w:t>
      </w:r>
    </w:p>
    <w:p w14:paraId="284C0693">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sz w:val="24"/>
          <w:szCs w:val="24"/>
          <w:lang w:val="zh-CN"/>
        </w:rPr>
      </w:pPr>
    </w:p>
    <w:p w14:paraId="4C130623">
      <w:pPr>
        <w:keepNext w:val="0"/>
        <w:keepLines w:val="0"/>
        <w:pageBreakBefore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若采用银行保函，则格式自拟</w:t>
      </w:r>
    </w:p>
    <w:p w14:paraId="0CAA55DC">
      <w:pPr>
        <w:pStyle w:val="25"/>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lang w:val="zh-CN"/>
        </w:rPr>
      </w:pPr>
    </w:p>
    <w:p w14:paraId="766E3825">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1DFBBFDA">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103497AA">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1423B094">
      <w:pPr>
        <w:autoSpaceDE w:val="0"/>
        <w:autoSpaceDN w:val="0"/>
        <w:spacing w:line="360" w:lineRule="auto"/>
        <w:ind w:firstLine="0"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p w14:paraId="15FCBE28">
      <w:pPr>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br w:type="page"/>
      </w:r>
    </w:p>
    <w:p w14:paraId="20343D22">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lang w:val="en-US" w:eastAsia="zh-CN"/>
          <w14:textFill>
            <w14:solidFill>
              <w14:schemeClr w14:val="tx1"/>
            </w14:solidFill>
          </w14:textFill>
        </w:rPr>
        <w:t>青海省政府采购项目</w:t>
      </w:r>
    </w:p>
    <w:p w14:paraId="002C712B">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p>
    <w:p w14:paraId="4A41431A">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lang w:val="en-US" w:eastAsia="zh-CN"/>
          <w14:textFill>
            <w14:solidFill>
              <w14:schemeClr w14:val="tx1"/>
            </w14:solidFill>
          </w14:textFill>
        </w:rPr>
        <w:t>谈判</w:t>
      </w:r>
      <w:r>
        <w:rPr>
          <w:rFonts w:hint="eastAsia" w:ascii="宋体" w:hAnsi="宋体" w:eastAsia="宋体" w:cs="宋体"/>
          <w:b/>
          <w:color w:val="000000" w:themeColor="text1"/>
          <w:sz w:val="72"/>
          <w:szCs w:val="72"/>
          <w14:textFill>
            <w14:solidFill>
              <w14:schemeClr w14:val="tx1"/>
            </w14:solidFill>
          </w14:textFill>
        </w:rPr>
        <w:t>响应文件</w:t>
      </w:r>
    </w:p>
    <w:p w14:paraId="376D3469">
      <w:pPr>
        <w:adjustRightInd w:val="0"/>
        <w:spacing w:line="360" w:lineRule="auto"/>
        <w:ind w:firstLine="0" w:firstLineChars="0"/>
        <w:jc w:val="center"/>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lang w:eastAsia="zh-CN"/>
          <w14:textFill>
            <w14:solidFill>
              <w14:schemeClr w14:val="tx1"/>
            </w14:solidFill>
          </w14:textFill>
        </w:rPr>
        <w:t>（有效性、完整性、响应程度审查部分）</w:t>
      </w:r>
    </w:p>
    <w:p w14:paraId="28AAC2CF">
      <w:pPr>
        <w:adjustRightInd w:val="0"/>
        <w:spacing w:line="360" w:lineRule="auto"/>
        <w:ind w:firstLine="0" w:firstLineChars="0"/>
        <w:textAlignment w:val="baseline"/>
        <w:rPr>
          <w:rFonts w:ascii="宋体" w:hAnsi="宋体" w:eastAsia="宋体" w:cs="宋体"/>
          <w:b/>
          <w:bCs/>
          <w:color w:val="000000" w:themeColor="text1"/>
          <w:sz w:val="36"/>
          <w:szCs w:val="36"/>
          <w14:textFill>
            <w14:solidFill>
              <w14:schemeClr w14:val="tx1"/>
            </w14:solidFill>
          </w14:textFill>
        </w:rPr>
      </w:pPr>
    </w:p>
    <w:p w14:paraId="03279462">
      <w:pPr>
        <w:adjustRightInd w:val="0"/>
        <w:spacing w:line="360" w:lineRule="auto"/>
        <w:ind w:firstLine="0" w:firstLineChars="0"/>
        <w:textAlignment w:val="baseline"/>
        <w:rPr>
          <w:rFonts w:hint="eastAsia" w:ascii="宋体" w:hAnsi="宋体" w:eastAsia="宋体" w:cs="宋体"/>
          <w:b/>
          <w:bCs/>
          <w:color w:val="000000" w:themeColor="text1"/>
          <w:sz w:val="36"/>
          <w:szCs w:val="36"/>
          <w14:textFill>
            <w14:solidFill>
              <w14:schemeClr w14:val="tx1"/>
            </w14:solidFill>
          </w14:textFill>
        </w:rPr>
      </w:pPr>
    </w:p>
    <w:p w14:paraId="550214AB">
      <w:pPr>
        <w:adjustRightInd w:val="0"/>
        <w:spacing w:line="360" w:lineRule="auto"/>
        <w:ind w:firstLine="0" w:firstLineChars="0"/>
        <w:textAlignment w:val="baseline"/>
        <w:rPr>
          <w:rFonts w:hint="eastAsia" w:ascii="宋体" w:hAnsi="宋体" w:eastAsia="宋体" w:cs="宋体"/>
          <w:b/>
          <w:bCs/>
          <w:color w:val="000000" w:themeColor="text1"/>
          <w:sz w:val="36"/>
          <w:szCs w:val="36"/>
          <w14:textFill>
            <w14:solidFill>
              <w14:schemeClr w14:val="tx1"/>
            </w14:solidFill>
          </w14:textFill>
        </w:rPr>
      </w:pPr>
    </w:p>
    <w:p w14:paraId="5D0E5BEF">
      <w:pPr>
        <w:adjustRightInd w:val="0"/>
        <w:spacing w:line="360" w:lineRule="auto"/>
        <w:ind w:left="2530" w:hanging="2530" w:hangingChars="70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14:textFill>
            <w14:solidFill>
              <w14:schemeClr w14:val="tx1"/>
            </w14:solidFill>
          </w14:textFill>
        </w:rPr>
        <w:t>：</w:t>
      </w:r>
      <w:r>
        <w:rPr>
          <w:rFonts w:hint="eastAsia" w:ascii="宋体" w:hAnsi="宋体" w:eastAsia="宋体" w:cs="宋体"/>
          <w:b/>
          <w:color w:val="000000" w:themeColor="text1"/>
          <w:sz w:val="36"/>
          <w:szCs w:val="36"/>
          <w:lang w:eastAsia="zh-CN"/>
          <w14:textFill>
            <w14:solidFill>
              <w14:schemeClr w14:val="tx1"/>
            </w14:solidFill>
          </w14:textFill>
        </w:rPr>
        <w:t>乐欣中堃竞谈（货物）2025-019</w:t>
      </w:r>
    </w:p>
    <w:p w14:paraId="5FFF27F8">
      <w:pPr>
        <w:adjustRightInd w:val="0"/>
        <w:spacing w:line="360" w:lineRule="auto"/>
        <w:ind w:left="2530" w:hanging="2530" w:hangingChars="700"/>
        <w:textAlignment w:val="baseline"/>
        <w:rPr>
          <w:rFonts w:hint="eastAsia" w:ascii="宋体" w:hAnsi="宋体" w:eastAsia="宋体" w:cs="宋体"/>
          <w:b/>
          <w:bCs/>
          <w:color w:val="000000" w:themeColor="text1"/>
          <w:spacing w:val="-23"/>
          <w:w w:val="90"/>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采购项目名称：</w:t>
      </w:r>
      <w:r>
        <w:rPr>
          <w:rFonts w:hint="eastAsia" w:ascii="宋体" w:hAnsi="宋体" w:eastAsia="宋体" w:cs="宋体"/>
          <w:b/>
          <w:bCs/>
          <w:color w:val="000000" w:themeColor="text1"/>
          <w:sz w:val="36"/>
          <w:szCs w:val="36"/>
          <w:lang w:eastAsia="zh-CN"/>
          <w14:textFill>
            <w14:solidFill>
              <w14:schemeClr w14:val="tx1"/>
            </w14:solidFill>
          </w14:textFill>
        </w:rPr>
        <w:t>海东市乐都区“示范性儿童之家”项目</w:t>
      </w:r>
    </w:p>
    <w:p w14:paraId="58DE3637">
      <w:pPr>
        <w:adjustRightInd w:val="0"/>
        <w:spacing w:line="360" w:lineRule="auto"/>
        <w:ind w:firstLine="0" w:firstLineChars="0"/>
        <w:textAlignment w:val="baseline"/>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供应商名称</w:t>
      </w:r>
      <w:r>
        <w:rPr>
          <w:rFonts w:hint="eastAsia" w:ascii="宋体" w:hAnsi="宋体" w:eastAsia="宋体" w:cs="宋体"/>
          <w:b/>
          <w:color w:val="000000" w:themeColor="text1"/>
          <w:sz w:val="36"/>
          <w:szCs w:val="36"/>
          <w14:textFill>
            <w14:solidFill>
              <w14:schemeClr w14:val="tx1"/>
            </w14:solidFill>
          </w14:textFill>
        </w:rPr>
        <w:t>：</w:t>
      </w:r>
    </w:p>
    <w:p w14:paraId="46CDB34E">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4AF1BA55">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16CF4708">
      <w:pPr>
        <w:spacing w:line="360" w:lineRule="auto"/>
        <w:ind w:firstLine="643"/>
        <w:jc w:val="center"/>
        <w:rPr>
          <w:rFonts w:hint="eastAsia" w:ascii="宋体" w:hAnsi="宋体" w:eastAsia="宋体" w:cs="宋体"/>
          <w:b/>
          <w:color w:val="000000" w:themeColor="text1"/>
          <w:sz w:val="32"/>
          <w14:textFill>
            <w14:solidFill>
              <w14:schemeClr w14:val="tx1"/>
            </w14:solidFill>
          </w14:textFill>
        </w:rPr>
      </w:pPr>
    </w:p>
    <w:p w14:paraId="3C5FB5CD">
      <w:pPr>
        <w:wordWrap w:val="0"/>
        <w:spacing w:line="360" w:lineRule="auto"/>
        <w:ind w:firstLine="0" w:firstLineChars="0"/>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年   月  日</w:t>
      </w:r>
    </w:p>
    <w:p w14:paraId="60E9BEAA">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36B6AF15">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eastAsia="zh-CN"/>
          <w14:textFill>
            <w14:solidFill>
              <w14:schemeClr w14:val="tx1"/>
            </w14:solidFill>
          </w14:textFill>
        </w:rPr>
      </w:pPr>
      <w:bookmarkStart w:id="87" w:name="_Toc1343"/>
      <w:bookmarkStart w:id="88" w:name="_Toc3991"/>
      <w:bookmarkStart w:id="89" w:name="_Toc239"/>
      <w:bookmarkStart w:id="90" w:name="_Toc15724"/>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10</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zh-CN" w:eastAsia="zh-CN"/>
          <w14:textFill>
            <w14:solidFill>
              <w14:schemeClr w14:val="tx1"/>
            </w14:solidFill>
          </w14:textFill>
        </w:rPr>
        <w:t>竞争性谈判</w:t>
      </w:r>
      <w:r>
        <w:rPr>
          <w:rFonts w:hint="eastAsia" w:ascii="宋体" w:hAnsi="宋体" w:eastAsia="宋体" w:cs="宋体"/>
          <w:b/>
          <w:color w:val="000000" w:themeColor="text1"/>
          <w:sz w:val="24"/>
          <w:szCs w:val="24"/>
          <w:lang w:val="en-US" w:eastAsia="zh-CN"/>
          <w14:textFill>
            <w14:solidFill>
              <w14:schemeClr w14:val="tx1"/>
            </w14:solidFill>
          </w14:textFill>
        </w:rPr>
        <w:t>首次</w:t>
      </w:r>
      <w:r>
        <w:rPr>
          <w:rFonts w:hint="eastAsia" w:ascii="宋体" w:hAnsi="宋体" w:eastAsia="宋体" w:cs="宋体"/>
          <w:b/>
          <w:color w:val="000000" w:themeColor="text1"/>
          <w:sz w:val="24"/>
          <w:szCs w:val="24"/>
          <w:lang w:val="zh-CN" w:eastAsia="zh-CN"/>
          <w14:textFill>
            <w14:solidFill>
              <w14:schemeClr w14:val="tx1"/>
            </w14:solidFill>
          </w14:textFill>
        </w:rPr>
        <w:t>报价表</w:t>
      </w:r>
      <w:bookmarkEnd w:id="87"/>
      <w:bookmarkEnd w:id="88"/>
      <w:bookmarkEnd w:id="89"/>
      <w:bookmarkEnd w:id="90"/>
    </w:p>
    <w:p w14:paraId="7D7B5F72">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竞争性谈判</w:t>
      </w:r>
      <w:r>
        <w:rPr>
          <w:rFonts w:hint="eastAsia" w:ascii="宋体" w:hAnsi="宋体" w:eastAsia="宋体" w:cs="宋体"/>
          <w:b/>
          <w:color w:val="000000" w:themeColor="text1"/>
          <w:sz w:val="24"/>
          <w:szCs w:val="24"/>
          <w:lang w:val="en-US" w:eastAsia="zh-CN"/>
          <w14:textFill>
            <w14:solidFill>
              <w14:schemeClr w14:val="tx1"/>
            </w14:solidFill>
          </w14:textFill>
        </w:rPr>
        <w:t>首次</w:t>
      </w:r>
      <w:r>
        <w:rPr>
          <w:rFonts w:hint="eastAsia" w:ascii="宋体" w:hAnsi="宋体" w:eastAsia="宋体" w:cs="宋体"/>
          <w:b/>
          <w:color w:val="000000" w:themeColor="text1"/>
          <w:sz w:val="24"/>
          <w:szCs w:val="24"/>
          <w:lang w:val="zh-CN" w:eastAsia="zh-CN"/>
          <w14:textFill>
            <w14:solidFill>
              <w14:schemeClr w14:val="tx1"/>
            </w14:solidFill>
          </w14:textFill>
        </w:rPr>
        <w:t>报价表</w:t>
      </w:r>
    </w:p>
    <w:p w14:paraId="46D2D68C">
      <w:pPr>
        <w:pStyle w:val="12"/>
        <w:keepNext w:val="0"/>
        <w:keepLines w:val="0"/>
        <w:pageBreakBefore w:val="0"/>
        <w:kinsoku/>
        <w:overflowPunct/>
        <w:topLinePunct w:val="0"/>
        <w:bidi w:val="0"/>
        <w:spacing w:after="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供应商名称：     </w:t>
      </w:r>
    </w:p>
    <w:p w14:paraId="0D37854D">
      <w:pPr>
        <w:keepNext w:val="0"/>
        <w:keepLines w:val="0"/>
        <w:pageBreakBefore w:val="0"/>
        <w:kinsoku/>
        <w:overflowPunct/>
        <w:topLinePunct w:val="0"/>
        <w:bidi w:val="0"/>
        <w:spacing w:after="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单位：人民币（元）</w:t>
      </w:r>
    </w:p>
    <w:tbl>
      <w:tblPr>
        <w:tblStyle w:val="27"/>
        <w:tblW w:w="10117"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2499"/>
        <w:gridCol w:w="1424"/>
        <w:gridCol w:w="1647"/>
        <w:gridCol w:w="1647"/>
        <w:gridCol w:w="1647"/>
      </w:tblGrid>
      <w:tr w14:paraId="6AC2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53" w:type="dxa"/>
            <w:noWrap w:val="0"/>
            <w:vAlign w:val="center"/>
          </w:tcPr>
          <w:p w14:paraId="3A6A8E7F">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项目名称</w:t>
            </w:r>
          </w:p>
        </w:tc>
        <w:tc>
          <w:tcPr>
            <w:tcW w:w="2499" w:type="dxa"/>
            <w:noWrap w:val="0"/>
            <w:vAlign w:val="center"/>
          </w:tcPr>
          <w:p w14:paraId="04132E9E">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bCs/>
                <w:sz w:val="24"/>
                <w:szCs w:val="24"/>
                <w:lang w:eastAsia="zh-CN"/>
              </w:rPr>
              <w:t>竞争性谈判</w:t>
            </w:r>
            <w:r>
              <w:rPr>
                <w:rFonts w:hint="eastAsia" w:ascii="宋体" w:hAnsi="宋体" w:eastAsia="宋体" w:cs="宋体"/>
                <w:bCs/>
                <w:sz w:val="24"/>
                <w:szCs w:val="24"/>
              </w:rPr>
              <w:t>首次报价</w:t>
            </w:r>
          </w:p>
        </w:tc>
        <w:tc>
          <w:tcPr>
            <w:tcW w:w="1424" w:type="dxa"/>
            <w:noWrap w:val="0"/>
            <w:vAlign w:val="center"/>
          </w:tcPr>
          <w:p w14:paraId="0C7FB3C8">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交货期</w:t>
            </w:r>
          </w:p>
        </w:tc>
        <w:tc>
          <w:tcPr>
            <w:tcW w:w="1647" w:type="dxa"/>
            <w:noWrap w:val="0"/>
            <w:vAlign w:val="center"/>
          </w:tcPr>
          <w:p w14:paraId="5661F4A9">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交货地点</w:t>
            </w:r>
          </w:p>
        </w:tc>
        <w:tc>
          <w:tcPr>
            <w:tcW w:w="1647" w:type="dxa"/>
            <w:noWrap w:val="0"/>
            <w:vAlign w:val="center"/>
          </w:tcPr>
          <w:p w14:paraId="1F2C6A0A">
            <w:pPr>
              <w:keepNext w:val="0"/>
              <w:keepLines w:val="0"/>
              <w:pageBreakBefore w:val="0"/>
              <w:kinsoku/>
              <w:overflowPunct/>
              <w:topLinePunct w:val="0"/>
              <w:bidi w:val="0"/>
              <w:spacing w:after="24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1647" w:type="dxa"/>
            <w:noWrap w:val="0"/>
            <w:vAlign w:val="center"/>
          </w:tcPr>
          <w:p w14:paraId="15D7430E">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备注</w:t>
            </w:r>
          </w:p>
        </w:tc>
      </w:tr>
      <w:tr w14:paraId="78D4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53" w:type="dxa"/>
            <w:vMerge w:val="restart"/>
            <w:noWrap w:val="0"/>
            <w:vAlign w:val="center"/>
          </w:tcPr>
          <w:p w14:paraId="1ABA92B5">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2499" w:type="dxa"/>
            <w:noWrap w:val="0"/>
            <w:vAlign w:val="center"/>
          </w:tcPr>
          <w:p w14:paraId="1DF9D1B3">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小写：</w:t>
            </w:r>
          </w:p>
        </w:tc>
        <w:tc>
          <w:tcPr>
            <w:tcW w:w="1424" w:type="dxa"/>
            <w:vMerge w:val="restart"/>
            <w:noWrap w:val="0"/>
            <w:vAlign w:val="center"/>
          </w:tcPr>
          <w:p w14:paraId="1FD5AFC1">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restart"/>
            <w:noWrap w:val="0"/>
            <w:vAlign w:val="center"/>
          </w:tcPr>
          <w:p w14:paraId="6E753C76">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restart"/>
            <w:noWrap w:val="0"/>
            <w:vAlign w:val="center"/>
          </w:tcPr>
          <w:p w14:paraId="0C1DBA4E">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restart"/>
            <w:noWrap w:val="0"/>
            <w:vAlign w:val="center"/>
          </w:tcPr>
          <w:p w14:paraId="41DE7F77">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r w14:paraId="15C0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53" w:type="dxa"/>
            <w:vMerge w:val="continue"/>
            <w:noWrap w:val="0"/>
            <w:vAlign w:val="center"/>
          </w:tcPr>
          <w:p w14:paraId="68567444">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2499" w:type="dxa"/>
            <w:noWrap w:val="0"/>
            <w:vAlign w:val="center"/>
          </w:tcPr>
          <w:p w14:paraId="1124BE63">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大写：</w:t>
            </w:r>
          </w:p>
        </w:tc>
        <w:tc>
          <w:tcPr>
            <w:tcW w:w="1424" w:type="dxa"/>
            <w:vMerge w:val="continue"/>
            <w:noWrap w:val="0"/>
            <w:vAlign w:val="center"/>
          </w:tcPr>
          <w:p w14:paraId="51FEE7EB">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continue"/>
            <w:noWrap w:val="0"/>
            <w:vAlign w:val="center"/>
          </w:tcPr>
          <w:p w14:paraId="2C2E3F3B">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continue"/>
            <w:noWrap w:val="0"/>
            <w:vAlign w:val="center"/>
          </w:tcPr>
          <w:p w14:paraId="0048C22A">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continue"/>
            <w:noWrap w:val="0"/>
            <w:vAlign w:val="center"/>
          </w:tcPr>
          <w:p w14:paraId="7056A650">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r w14:paraId="370F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752" w:type="dxa"/>
            <w:gridSpan w:val="2"/>
            <w:noWrap w:val="0"/>
            <w:vAlign w:val="center"/>
          </w:tcPr>
          <w:p w14:paraId="18966520">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优惠承诺及其他：</w:t>
            </w:r>
          </w:p>
        </w:tc>
        <w:tc>
          <w:tcPr>
            <w:tcW w:w="6365" w:type="dxa"/>
            <w:gridSpan w:val="4"/>
            <w:noWrap w:val="0"/>
            <w:vAlign w:val="center"/>
          </w:tcPr>
          <w:p w14:paraId="0D4E8E17">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bl>
    <w:p w14:paraId="47F7F66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注：1.填写此表时不得改变表格形式。</w:t>
      </w:r>
    </w:p>
    <w:p w14:paraId="518FD45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2.“谈判总价”为</w:t>
      </w:r>
      <w:r>
        <w:rPr>
          <w:rFonts w:hint="eastAsia" w:ascii="宋体" w:hAnsi="宋体" w:eastAsia="宋体" w:cs="宋体"/>
          <w:bCs/>
          <w:sz w:val="24"/>
          <w:szCs w:val="24"/>
          <w:lang w:val="en-US" w:eastAsia="zh-CN"/>
        </w:rPr>
        <w:t>响应</w:t>
      </w:r>
      <w:r>
        <w:rPr>
          <w:rFonts w:hint="eastAsia" w:ascii="宋体" w:hAnsi="宋体" w:eastAsia="宋体" w:cs="宋体"/>
          <w:bCs/>
          <w:sz w:val="24"/>
          <w:szCs w:val="24"/>
          <w:lang w:val="zh-CN"/>
        </w:rPr>
        <w:t>总价。包括产品费、验收费、手续费、包装费、运输费、保险费、培训费、售前售中售后服务费、税金及不可预见费等全部费用。</w:t>
      </w:r>
    </w:p>
    <w:p w14:paraId="784DCF2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3.“交货期”是指产品能够交付使用的具体时间（日历日）。</w:t>
      </w:r>
    </w:p>
    <w:p w14:paraId="7A3C0696">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zh-CN"/>
        </w:rPr>
        <w:t xml:space="preserve">4. </w:t>
      </w:r>
      <w:r>
        <w:rPr>
          <w:rFonts w:hint="eastAsia" w:ascii="宋体" w:hAnsi="宋体" w:eastAsia="宋体" w:cs="宋体"/>
          <w:bCs/>
          <w:sz w:val="24"/>
          <w:szCs w:val="24"/>
          <w:lang w:val="en-US" w:eastAsia="zh-CN"/>
        </w:rPr>
        <w:t>响应</w:t>
      </w:r>
      <w:r>
        <w:rPr>
          <w:rFonts w:hint="eastAsia" w:ascii="宋体" w:hAnsi="宋体" w:eastAsia="宋体" w:cs="宋体"/>
          <w:bCs/>
          <w:sz w:val="24"/>
          <w:szCs w:val="24"/>
          <w:lang w:val="zh-CN"/>
        </w:rPr>
        <w:t>报价不能有两个或两个以上的报价方案。</w:t>
      </w:r>
    </w:p>
    <w:p w14:paraId="009A74E8">
      <w:pPr>
        <w:keepNext w:val="0"/>
        <w:keepLines w:val="0"/>
        <w:pageBreakBefore w:val="0"/>
        <w:kinsoku/>
        <w:overflowPunct/>
        <w:topLinePunct w:val="0"/>
        <w:bidi w:val="0"/>
        <w:adjustRightInd w:val="0"/>
        <w:spacing w:after="240" w:line="360" w:lineRule="auto"/>
        <w:jc w:val="both"/>
        <w:textAlignment w:val="baseline"/>
        <w:rPr>
          <w:rFonts w:hint="eastAsia" w:ascii="宋体" w:hAnsi="宋体" w:eastAsia="宋体" w:cs="宋体"/>
          <w:b/>
          <w:sz w:val="24"/>
          <w:szCs w:val="24"/>
        </w:rPr>
      </w:pPr>
    </w:p>
    <w:p w14:paraId="65D1E2E9">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p>
    <w:p w14:paraId="6C8B1607">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bookmarkStart w:id="91" w:name="_Toc6325"/>
      <w:bookmarkStart w:id="92" w:name="_Toc28373"/>
      <w:bookmarkStart w:id="93" w:name="_Toc3399"/>
      <w:bookmarkStart w:id="94" w:name="_Toc22312"/>
      <w:bookmarkStart w:id="95" w:name="_Toc2469"/>
      <w:bookmarkStart w:id="96" w:name="_Toc4853"/>
      <w:bookmarkStart w:id="97" w:name="_Toc22483"/>
      <w:bookmarkStart w:id="98" w:name="_Toc7495"/>
      <w:bookmarkStart w:id="99" w:name="_Toc428180580"/>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214B2572">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66595E81">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2672F044">
      <w:pPr>
        <w:keepNext w:val="0"/>
        <w:keepLines w:val="0"/>
        <w:pageBreakBefore w:val="0"/>
        <w:kinsoku/>
        <w:overflowPunct/>
        <w:topLinePunct w:val="0"/>
        <w:autoSpaceDE w:val="0"/>
        <w:autoSpaceDN w:val="0"/>
        <w:bidi w:val="0"/>
        <w:adjustRightInd w:val="0"/>
        <w:spacing w:after="240" w:line="360" w:lineRule="auto"/>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textWrapping"/>
      </w:r>
    </w:p>
    <w:p w14:paraId="35281063">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43383535">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11</w:t>
      </w:r>
      <w:r>
        <w:rPr>
          <w:rFonts w:hint="eastAsia" w:ascii="宋体" w:hAnsi="宋体" w:eastAsia="宋体" w:cs="宋体"/>
          <w:b/>
          <w:color w:val="000000" w:themeColor="text1"/>
          <w:sz w:val="24"/>
          <w:szCs w:val="24"/>
          <w:lang w:val="zh-CN"/>
          <w14:textFill>
            <w14:solidFill>
              <w14:schemeClr w14:val="tx1"/>
            </w14:solidFill>
          </w14:textFill>
        </w:rPr>
        <w:t>：分项报价表</w:t>
      </w:r>
      <w:bookmarkEnd w:id="91"/>
      <w:bookmarkEnd w:id="92"/>
      <w:bookmarkEnd w:id="93"/>
      <w:bookmarkEnd w:id="94"/>
      <w:bookmarkEnd w:id="95"/>
      <w:bookmarkEnd w:id="96"/>
    </w:p>
    <w:p w14:paraId="2E4C9B36">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分项报价表</w:t>
      </w:r>
    </w:p>
    <w:p w14:paraId="4DFC3AD8">
      <w:pPr>
        <w:keepNext w:val="0"/>
        <w:keepLines w:val="0"/>
        <w:pageBreakBefore w:val="0"/>
        <w:kinsoku/>
        <w:overflowPunct/>
        <w:topLinePunct w:val="0"/>
        <w:autoSpaceDE w:val="0"/>
        <w:autoSpaceDN w:val="0"/>
        <w:bidi w:val="0"/>
        <w:adjustRightInd w:val="0"/>
        <w:spacing w:line="240" w:lineRule="auto"/>
        <w:ind w:firstLine="0" w:firstLineChars="0"/>
        <w:jc w:val="both"/>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供应商名称:                                     单位：人民币（元）</w:t>
      </w:r>
    </w:p>
    <w:tbl>
      <w:tblPr>
        <w:tblStyle w:val="27"/>
        <w:tblW w:w="9943" w:type="dxa"/>
        <w:jc w:val="center"/>
        <w:tblLayout w:type="fixed"/>
        <w:tblCellMar>
          <w:top w:w="0" w:type="dxa"/>
          <w:left w:w="28" w:type="dxa"/>
          <w:bottom w:w="0" w:type="dxa"/>
          <w:right w:w="28" w:type="dxa"/>
        </w:tblCellMar>
      </w:tblPr>
      <w:tblGrid>
        <w:gridCol w:w="741"/>
        <w:gridCol w:w="1309"/>
        <w:gridCol w:w="2139"/>
        <w:gridCol w:w="1271"/>
        <w:gridCol w:w="901"/>
        <w:gridCol w:w="858"/>
        <w:gridCol w:w="813"/>
        <w:gridCol w:w="957"/>
        <w:gridCol w:w="954"/>
      </w:tblGrid>
      <w:tr w14:paraId="3125F1FB">
        <w:tblPrEx>
          <w:tblCellMar>
            <w:top w:w="0" w:type="dxa"/>
            <w:left w:w="28" w:type="dxa"/>
            <w:bottom w:w="0" w:type="dxa"/>
            <w:right w:w="28" w:type="dxa"/>
          </w:tblCellMar>
        </w:tblPrEx>
        <w:trPr>
          <w:trHeight w:val="762" w:hRule="atLeast"/>
          <w:jc w:val="center"/>
        </w:trPr>
        <w:tc>
          <w:tcPr>
            <w:tcW w:w="741"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7A3F3FD6">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1309"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FFF9D8B">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产品</w:t>
            </w:r>
            <w:r>
              <w:rPr>
                <w:rFonts w:hint="eastAsia" w:ascii="宋体" w:hAnsi="宋体" w:eastAsia="宋体" w:cs="宋体"/>
                <w:kern w:val="0"/>
                <w:sz w:val="24"/>
                <w:szCs w:val="24"/>
                <w:lang w:val="zh-CN"/>
              </w:rPr>
              <w:t>名称</w:t>
            </w:r>
          </w:p>
        </w:tc>
        <w:tc>
          <w:tcPr>
            <w:tcW w:w="2139"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A1BD26A">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品牌或生产厂家</w:t>
            </w:r>
          </w:p>
        </w:tc>
        <w:tc>
          <w:tcPr>
            <w:tcW w:w="12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928DCF7">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规格型号</w:t>
            </w:r>
          </w:p>
        </w:tc>
        <w:tc>
          <w:tcPr>
            <w:tcW w:w="90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993B7EC">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数量</w:t>
            </w:r>
          </w:p>
        </w:tc>
        <w:tc>
          <w:tcPr>
            <w:tcW w:w="858"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3D5FFB">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单位</w:t>
            </w:r>
          </w:p>
        </w:tc>
        <w:tc>
          <w:tcPr>
            <w:tcW w:w="81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B8E8ABD">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单价</w:t>
            </w:r>
          </w:p>
        </w:tc>
        <w:tc>
          <w:tcPr>
            <w:tcW w:w="95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2D2484D">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总价</w:t>
            </w:r>
          </w:p>
        </w:tc>
        <w:tc>
          <w:tcPr>
            <w:tcW w:w="95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FB1A95C">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5908F863">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75EBF23">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8DFAE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E7288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B8CEC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C64FDD">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F130C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B4ECD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9DECD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69CF55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182F1A3A">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BDC569F">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B5E09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55E9A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98CA5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F004F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AC04A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B227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DA8DCA">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26234D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59C9B8B3">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A033AF8">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6DB4F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9D380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9C7D87">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E3CBD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5EED8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C8EB6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1EDBA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F9BD25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371AD794">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72A050D">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14B9C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45385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221CD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20BAE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2B506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B12E4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9CA07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B3054B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3A9317D4">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4FC06654">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BEEB5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15C13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B5B18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252F17">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16652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D3341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ECD8A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A41575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7049EEDE">
        <w:tblPrEx>
          <w:tblCellMar>
            <w:top w:w="0" w:type="dxa"/>
            <w:left w:w="28" w:type="dxa"/>
            <w:bottom w:w="0" w:type="dxa"/>
            <w:right w:w="28" w:type="dxa"/>
          </w:tblCellMar>
        </w:tblPrEx>
        <w:trPr>
          <w:trHeight w:val="757" w:hRule="atLeast"/>
          <w:jc w:val="center"/>
        </w:trPr>
        <w:tc>
          <w:tcPr>
            <w:tcW w:w="9943"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4CFF6B9C">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其他承诺及需要说明的事项：</w:t>
            </w:r>
          </w:p>
        </w:tc>
      </w:tr>
      <w:tr w14:paraId="09BA3890">
        <w:tblPrEx>
          <w:tblCellMar>
            <w:top w:w="0" w:type="dxa"/>
            <w:left w:w="28" w:type="dxa"/>
            <w:bottom w:w="0" w:type="dxa"/>
            <w:right w:w="28" w:type="dxa"/>
          </w:tblCellMar>
        </w:tblPrEx>
        <w:trPr>
          <w:trHeight w:val="1334" w:hRule="atLeast"/>
          <w:jc w:val="center"/>
        </w:trPr>
        <w:tc>
          <w:tcPr>
            <w:tcW w:w="2050"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5E6EC3C6">
            <w:pPr>
              <w:keepNext w:val="0"/>
              <w:keepLines w:val="0"/>
              <w:pageBreakBefore w:val="0"/>
              <w:kinsoku/>
              <w:overflowPunct/>
              <w:topLinePunct w:val="0"/>
              <w:autoSpaceDE w:val="0"/>
              <w:autoSpaceDN w:val="0"/>
              <w:bidi w:val="0"/>
              <w:adjustRightInd w:val="0"/>
              <w:spacing w:before="100"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总价</w:t>
            </w:r>
          </w:p>
        </w:tc>
        <w:tc>
          <w:tcPr>
            <w:tcW w:w="7893"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4E86204">
            <w:pPr>
              <w:keepNext w:val="0"/>
              <w:keepLines w:val="0"/>
              <w:pageBreakBefore w:val="0"/>
              <w:kinsoku/>
              <w:overflowPunct/>
              <w:topLinePunct w:val="0"/>
              <w:autoSpaceDE w:val="0"/>
              <w:autoSpaceDN w:val="0"/>
              <w:bidi w:val="0"/>
              <w:adjustRightInd w:val="0"/>
              <w:spacing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p w14:paraId="22072189">
            <w:pPr>
              <w:keepNext w:val="0"/>
              <w:keepLines w:val="0"/>
              <w:pageBreakBefore w:val="0"/>
              <w:kinsoku/>
              <w:overflowPunct/>
              <w:topLinePunct w:val="0"/>
              <w:autoSpaceDE w:val="0"/>
              <w:autoSpaceDN w:val="0"/>
              <w:bidi w:val="0"/>
              <w:adjustRightInd w:val="0"/>
              <w:spacing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tc>
      </w:tr>
    </w:tbl>
    <w:p w14:paraId="32B54851">
      <w:pPr>
        <w:keepNext w:val="0"/>
        <w:keepLines w:val="0"/>
        <w:pageBreakBefore w:val="0"/>
        <w:widowControl w:val="0"/>
        <w:kinsoku/>
        <w:wordWrap/>
        <w:overflowPunct/>
        <w:topLinePunct w:val="0"/>
        <w:autoSpaceDE w:val="0"/>
        <w:autoSpaceDN w:val="0"/>
        <w:bidi w:val="0"/>
        <w:adjustRightInd/>
        <w:snapToGrid/>
        <w:spacing w:after="240"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kern w:val="0"/>
          <w:sz w:val="24"/>
          <w:szCs w:val="24"/>
          <w:lang w:val="zh-CN"/>
        </w:rPr>
        <w:t>本表应依照每包采购一览表中的产品序号按顺序逐项填写，不得遗漏</w:t>
      </w:r>
      <w:r>
        <w:rPr>
          <w:rFonts w:hint="eastAsia" w:ascii="宋体" w:hAnsi="宋体" w:eastAsia="宋体" w:cs="宋体"/>
          <w:sz w:val="24"/>
          <w:szCs w:val="24"/>
          <w:lang w:val="zh-CN"/>
        </w:rPr>
        <w:t>。</w:t>
      </w:r>
    </w:p>
    <w:p w14:paraId="070DC79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谈判报价不能有两个或两个以上的报价方案。</w:t>
      </w:r>
    </w:p>
    <w:p w14:paraId="3A996041">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496E5FF7">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61472B65">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62B80A8A">
      <w:pPr>
        <w:autoSpaceDE w:val="0"/>
        <w:autoSpaceDN w:val="0"/>
        <w:adjustRightInd w:val="0"/>
        <w:spacing w:line="400" w:lineRule="exact"/>
        <w:rPr>
          <w:rFonts w:hint="eastAsia" w:ascii="宋体" w:hAnsi="宋体" w:eastAsia="宋体" w:cs="宋体"/>
          <w:b/>
          <w:sz w:val="24"/>
          <w:szCs w:val="24"/>
        </w:rPr>
      </w:pPr>
    </w:p>
    <w:bookmarkEnd w:id="97"/>
    <w:bookmarkEnd w:id="98"/>
    <w:bookmarkEnd w:id="99"/>
    <w:p w14:paraId="57AC3FCC">
      <w:pPr>
        <w:ind w:left="0" w:leftChars="0" w:firstLine="0" w:firstLineChars="0"/>
        <w:rPr>
          <w:rFonts w:hint="eastAsia"/>
        </w:rPr>
      </w:pPr>
      <w:r>
        <w:rPr>
          <w:rFonts w:hint="eastAsia"/>
        </w:rPr>
        <w:br w:type="page"/>
      </w:r>
    </w:p>
    <w:p w14:paraId="70F79F94">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bookmarkStart w:id="100" w:name="_Toc25995"/>
      <w:bookmarkStart w:id="101" w:name="_Toc3372"/>
      <w:bookmarkStart w:id="102" w:name="_Toc19457"/>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12</w:t>
      </w:r>
      <w:r>
        <w:rPr>
          <w:rFonts w:hint="eastAsia" w:ascii="宋体" w:hAnsi="宋体" w:eastAsia="宋体" w:cs="宋体"/>
          <w:b/>
          <w:color w:val="000000" w:themeColor="text1"/>
          <w:sz w:val="24"/>
          <w:szCs w:val="24"/>
          <w:lang w:val="zh-CN"/>
          <w14:textFill>
            <w14:solidFill>
              <w14:schemeClr w14:val="tx1"/>
            </w14:solidFill>
          </w14:textFill>
        </w:rPr>
        <w:t>：技术规格响应表</w:t>
      </w:r>
      <w:bookmarkEnd w:id="100"/>
      <w:bookmarkEnd w:id="101"/>
      <w:bookmarkEnd w:id="102"/>
    </w:p>
    <w:p w14:paraId="03C5C413">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技术规格响应表</w:t>
      </w:r>
    </w:p>
    <w:p w14:paraId="70DFD682">
      <w:pPr>
        <w:spacing w:line="360" w:lineRule="auto"/>
        <w:ind w:firstLine="0" w:firstLineChars="0"/>
        <w:jc w:val="both"/>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供应商名称:</w:t>
      </w:r>
    </w:p>
    <w:tbl>
      <w:tblPr>
        <w:tblStyle w:val="27"/>
        <w:tblW w:w="8992" w:type="dxa"/>
        <w:jc w:val="center"/>
        <w:tblLayout w:type="fixed"/>
        <w:tblCellMar>
          <w:top w:w="0" w:type="dxa"/>
          <w:left w:w="28" w:type="dxa"/>
          <w:bottom w:w="0" w:type="dxa"/>
          <w:right w:w="28" w:type="dxa"/>
        </w:tblCellMar>
      </w:tblPr>
      <w:tblGrid>
        <w:gridCol w:w="572"/>
        <w:gridCol w:w="637"/>
        <w:gridCol w:w="2033"/>
        <w:gridCol w:w="1084"/>
        <w:gridCol w:w="1100"/>
        <w:gridCol w:w="2083"/>
        <w:gridCol w:w="817"/>
        <w:gridCol w:w="666"/>
      </w:tblGrid>
      <w:tr w14:paraId="6817DECD">
        <w:trPr>
          <w:trHeight w:val="451"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2E6D764B">
            <w:pPr>
              <w:autoSpaceDE w:val="0"/>
              <w:autoSpaceDN w:val="0"/>
              <w:spacing w:line="360" w:lineRule="auto"/>
              <w:ind w:firstLine="0" w:firstLineChars="0"/>
              <w:jc w:val="center"/>
              <w:rPr>
                <w:rFonts w:ascii="宋体" w:hAnsi="宋体" w:cs="宋体"/>
                <w:sz w:val="24"/>
                <w:szCs w:val="24"/>
                <w:lang w:val="zh-CN"/>
              </w:rPr>
            </w:pPr>
          </w:p>
        </w:tc>
        <w:tc>
          <w:tcPr>
            <w:tcW w:w="3754" w:type="dxa"/>
            <w:gridSpan w:val="3"/>
            <w:tcBorders>
              <w:top w:val="single" w:color="000000" w:sz="6" w:space="0"/>
              <w:left w:val="single" w:color="000000" w:sz="6" w:space="0"/>
              <w:bottom w:val="single" w:color="000000" w:sz="6" w:space="0"/>
              <w:right w:val="single" w:color="000000" w:sz="6" w:space="0"/>
            </w:tcBorders>
            <w:noWrap w:val="0"/>
            <w:vAlign w:val="center"/>
          </w:tcPr>
          <w:p w14:paraId="26A5B3E6">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采购需求技术参数、指标</w:t>
            </w:r>
          </w:p>
        </w:tc>
        <w:tc>
          <w:tcPr>
            <w:tcW w:w="4000" w:type="dxa"/>
            <w:gridSpan w:val="3"/>
            <w:tcBorders>
              <w:top w:val="single" w:color="000000" w:sz="6" w:space="0"/>
              <w:left w:val="single" w:color="000000" w:sz="6" w:space="0"/>
              <w:bottom w:val="single" w:color="000000" w:sz="6" w:space="0"/>
              <w:right w:val="single" w:color="000000" w:sz="6" w:space="0"/>
            </w:tcBorders>
            <w:noWrap w:val="0"/>
            <w:vAlign w:val="center"/>
          </w:tcPr>
          <w:p w14:paraId="7166BA68">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响应产品技术参数、指标</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1F2AF1CB">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偏离</w:t>
            </w:r>
          </w:p>
        </w:tc>
      </w:tr>
      <w:tr w14:paraId="2974220C">
        <w:tblPrEx>
          <w:tblCellMar>
            <w:top w:w="0" w:type="dxa"/>
            <w:left w:w="28" w:type="dxa"/>
            <w:bottom w:w="0" w:type="dxa"/>
            <w:right w:w="28" w:type="dxa"/>
          </w:tblCellMar>
        </w:tblPrEx>
        <w:trPr>
          <w:trHeight w:val="451"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4402F393">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序号</w:t>
            </w:r>
          </w:p>
        </w:tc>
        <w:tc>
          <w:tcPr>
            <w:tcW w:w="637" w:type="dxa"/>
            <w:tcBorders>
              <w:top w:val="single" w:color="000000" w:sz="6" w:space="0"/>
              <w:left w:val="single" w:color="000000" w:sz="6" w:space="0"/>
              <w:bottom w:val="single" w:color="000000" w:sz="6" w:space="0"/>
              <w:right w:val="single" w:color="000000" w:sz="6" w:space="0"/>
            </w:tcBorders>
            <w:noWrap w:val="0"/>
            <w:vAlign w:val="center"/>
          </w:tcPr>
          <w:p w14:paraId="6A1EC087">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名称</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2E5C3A57">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技术参数及配置</w:t>
            </w: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6FFE4109">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数量</w:t>
            </w: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03B3DC04">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名称</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14:paraId="3D83D8F1">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技术参数及配置</w:t>
            </w:r>
          </w:p>
        </w:tc>
        <w:tc>
          <w:tcPr>
            <w:tcW w:w="817" w:type="dxa"/>
            <w:tcBorders>
              <w:top w:val="single" w:color="000000" w:sz="6" w:space="0"/>
              <w:left w:val="single" w:color="000000" w:sz="6" w:space="0"/>
              <w:bottom w:val="single" w:color="000000" w:sz="6" w:space="0"/>
              <w:right w:val="single" w:color="000000" w:sz="6" w:space="0"/>
            </w:tcBorders>
            <w:noWrap w:val="0"/>
            <w:vAlign w:val="center"/>
          </w:tcPr>
          <w:p w14:paraId="111C7FBC">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数量</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5E168E94">
            <w:pPr>
              <w:autoSpaceDE w:val="0"/>
              <w:autoSpaceDN w:val="0"/>
              <w:spacing w:line="360" w:lineRule="auto"/>
              <w:ind w:firstLine="0" w:firstLineChars="0"/>
              <w:jc w:val="center"/>
              <w:rPr>
                <w:rFonts w:ascii="宋体" w:hAnsi="宋体" w:cs="宋体"/>
                <w:sz w:val="24"/>
                <w:szCs w:val="24"/>
                <w:lang w:val="zh-CN"/>
              </w:rPr>
            </w:pPr>
          </w:p>
        </w:tc>
      </w:tr>
      <w:tr w14:paraId="38968F17">
        <w:tblPrEx>
          <w:tblCellMar>
            <w:top w:w="0" w:type="dxa"/>
            <w:left w:w="28" w:type="dxa"/>
            <w:bottom w:w="0" w:type="dxa"/>
            <w:right w:w="28" w:type="dxa"/>
          </w:tblCellMar>
        </w:tblPrEx>
        <w:trPr>
          <w:trHeight w:val="451"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3974F5DA">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1</w:t>
            </w:r>
          </w:p>
        </w:tc>
        <w:tc>
          <w:tcPr>
            <w:tcW w:w="637" w:type="dxa"/>
            <w:tcBorders>
              <w:top w:val="single" w:color="000000" w:sz="6" w:space="0"/>
              <w:left w:val="single" w:color="000000" w:sz="6" w:space="0"/>
              <w:bottom w:val="single" w:color="000000" w:sz="6" w:space="0"/>
              <w:right w:val="single" w:color="000000" w:sz="6" w:space="0"/>
            </w:tcBorders>
            <w:noWrap w:val="0"/>
            <w:vAlign w:val="center"/>
          </w:tcPr>
          <w:p w14:paraId="5260B23A">
            <w:pPr>
              <w:autoSpaceDE w:val="0"/>
              <w:autoSpaceDN w:val="0"/>
              <w:spacing w:line="360" w:lineRule="auto"/>
              <w:ind w:firstLine="0" w:firstLineChars="0"/>
              <w:jc w:val="center"/>
              <w:rPr>
                <w:rFonts w:ascii="宋体" w:hAnsi="宋体" w:cs="宋体"/>
                <w:sz w:val="24"/>
                <w:szCs w:val="24"/>
                <w:lang w:val="zh-CN"/>
              </w:rPr>
            </w:pP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3D3E22ED">
            <w:pPr>
              <w:autoSpaceDE w:val="0"/>
              <w:autoSpaceDN w:val="0"/>
              <w:spacing w:line="360" w:lineRule="auto"/>
              <w:ind w:firstLine="0" w:firstLineChars="0"/>
              <w:jc w:val="center"/>
              <w:rPr>
                <w:rFonts w:ascii="宋体" w:hAnsi="宋体" w:cs="宋体"/>
                <w:sz w:val="24"/>
                <w:szCs w:val="24"/>
                <w:lang w:val="zh-CN"/>
              </w:rPr>
            </w:pP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2E9ED85A">
            <w:pPr>
              <w:autoSpaceDE w:val="0"/>
              <w:autoSpaceDN w:val="0"/>
              <w:spacing w:line="360" w:lineRule="auto"/>
              <w:ind w:firstLine="0" w:firstLineChars="0"/>
              <w:jc w:val="center"/>
              <w:rPr>
                <w:rFonts w:ascii="宋体" w:hAnsi="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2B2C6ED4">
            <w:pPr>
              <w:autoSpaceDE w:val="0"/>
              <w:autoSpaceDN w:val="0"/>
              <w:spacing w:line="360" w:lineRule="auto"/>
              <w:ind w:firstLine="0" w:firstLineChars="0"/>
              <w:jc w:val="center"/>
              <w:rPr>
                <w:rFonts w:ascii="宋体" w:hAnsi="宋体" w:cs="宋体"/>
                <w:sz w:val="24"/>
                <w:szCs w:val="24"/>
                <w:lang w:val="zh-CN"/>
              </w:rPr>
            </w:pPr>
          </w:p>
        </w:tc>
        <w:tc>
          <w:tcPr>
            <w:tcW w:w="2083" w:type="dxa"/>
            <w:tcBorders>
              <w:top w:val="single" w:color="000000" w:sz="6" w:space="0"/>
              <w:left w:val="single" w:color="000000" w:sz="6" w:space="0"/>
              <w:bottom w:val="single" w:color="000000" w:sz="6" w:space="0"/>
              <w:right w:val="single" w:color="000000" w:sz="6" w:space="0"/>
            </w:tcBorders>
            <w:noWrap w:val="0"/>
            <w:vAlign w:val="center"/>
          </w:tcPr>
          <w:p w14:paraId="78C3437B">
            <w:pPr>
              <w:autoSpaceDE w:val="0"/>
              <w:autoSpaceDN w:val="0"/>
              <w:spacing w:line="360" w:lineRule="auto"/>
              <w:ind w:firstLine="0" w:firstLineChars="0"/>
              <w:jc w:val="center"/>
              <w:rPr>
                <w:rFonts w:ascii="宋体" w:hAnsi="宋体" w:cs="宋体"/>
                <w:sz w:val="24"/>
                <w:szCs w:val="24"/>
                <w:lang w:val="zh-CN"/>
              </w:rPr>
            </w:pPr>
          </w:p>
        </w:tc>
        <w:tc>
          <w:tcPr>
            <w:tcW w:w="817" w:type="dxa"/>
            <w:tcBorders>
              <w:top w:val="single" w:color="000000" w:sz="6" w:space="0"/>
              <w:left w:val="single" w:color="000000" w:sz="6" w:space="0"/>
              <w:bottom w:val="single" w:color="000000" w:sz="6" w:space="0"/>
              <w:right w:val="single" w:color="000000" w:sz="6" w:space="0"/>
            </w:tcBorders>
            <w:noWrap w:val="0"/>
            <w:vAlign w:val="center"/>
          </w:tcPr>
          <w:p w14:paraId="27AC94EE">
            <w:pPr>
              <w:autoSpaceDE w:val="0"/>
              <w:autoSpaceDN w:val="0"/>
              <w:spacing w:line="360" w:lineRule="auto"/>
              <w:ind w:firstLine="0" w:firstLineChars="0"/>
              <w:jc w:val="center"/>
              <w:rPr>
                <w:rFonts w:ascii="宋体" w:hAnsi="宋体" w:cs="宋体"/>
                <w:sz w:val="24"/>
                <w:szCs w:val="24"/>
                <w:lang w:val="zh-CN"/>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5620A2EB">
            <w:pPr>
              <w:autoSpaceDE w:val="0"/>
              <w:autoSpaceDN w:val="0"/>
              <w:spacing w:line="360" w:lineRule="auto"/>
              <w:ind w:firstLine="0" w:firstLineChars="0"/>
              <w:jc w:val="center"/>
              <w:rPr>
                <w:rFonts w:ascii="宋体" w:hAnsi="宋体" w:cs="宋体"/>
                <w:sz w:val="24"/>
                <w:szCs w:val="24"/>
                <w:lang w:val="zh-CN"/>
              </w:rPr>
            </w:pPr>
          </w:p>
        </w:tc>
      </w:tr>
      <w:tr w14:paraId="133A45DE">
        <w:tblPrEx>
          <w:tblCellMar>
            <w:top w:w="0" w:type="dxa"/>
            <w:left w:w="28" w:type="dxa"/>
            <w:bottom w:w="0" w:type="dxa"/>
            <w:right w:w="28" w:type="dxa"/>
          </w:tblCellMar>
        </w:tblPrEx>
        <w:trPr>
          <w:trHeight w:val="451"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181E8656">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2</w:t>
            </w:r>
          </w:p>
        </w:tc>
        <w:tc>
          <w:tcPr>
            <w:tcW w:w="637" w:type="dxa"/>
            <w:tcBorders>
              <w:top w:val="single" w:color="000000" w:sz="6" w:space="0"/>
              <w:left w:val="single" w:color="000000" w:sz="6" w:space="0"/>
              <w:bottom w:val="single" w:color="000000" w:sz="6" w:space="0"/>
              <w:right w:val="single" w:color="000000" w:sz="6" w:space="0"/>
            </w:tcBorders>
            <w:noWrap w:val="0"/>
            <w:vAlign w:val="center"/>
          </w:tcPr>
          <w:p w14:paraId="0AC4368E">
            <w:pPr>
              <w:autoSpaceDE w:val="0"/>
              <w:autoSpaceDN w:val="0"/>
              <w:spacing w:line="360" w:lineRule="auto"/>
              <w:ind w:firstLine="0" w:firstLineChars="0"/>
              <w:jc w:val="center"/>
              <w:rPr>
                <w:rFonts w:ascii="宋体" w:hAnsi="宋体" w:cs="宋体"/>
                <w:sz w:val="24"/>
                <w:szCs w:val="24"/>
                <w:lang w:val="zh-CN"/>
              </w:rPr>
            </w:pP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25E07246">
            <w:pPr>
              <w:autoSpaceDE w:val="0"/>
              <w:autoSpaceDN w:val="0"/>
              <w:spacing w:line="360" w:lineRule="auto"/>
              <w:ind w:firstLine="0" w:firstLineChars="0"/>
              <w:jc w:val="center"/>
              <w:rPr>
                <w:rFonts w:ascii="宋体" w:hAnsi="宋体" w:cs="宋体"/>
                <w:sz w:val="24"/>
                <w:szCs w:val="24"/>
                <w:lang w:val="zh-CN"/>
              </w:rPr>
            </w:pP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5A6125FB">
            <w:pPr>
              <w:autoSpaceDE w:val="0"/>
              <w:autoSpaceDN w:val="0"/>
              <w:spacing w:line="360" w:lineRule="auto"/>
              <w:ind w:firstLine="0" w:firstLineChars="0"/>
              <w:jc w:val="center"/>
              <w:rPr>
                <w:rFonts w:ascii="宋体" w:hAnsi="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5A9DB94F">
            <w:pPr>
              <w:autoSpaceDE w:val="0"/>
              <w:autoSpaceDN w:val="0"/>
              <w:spacing w:line="360" w:lineRule="auto"/>
              <w:ind w:firstLine="0" w:firstLineChars="0"/>
              <w:jc w:val="center"/>
              <w:rPr>
                <w:rFonts w:ascii="宋体" w:hAnsi="宋体" w:cs="宋体"/>
                <w:sz w:val="24"/>
                <w:szCs w:val="24"/>
                <w:lang w:val="zh-CN"/>
              </w:rPr>
            </w:pPr>
          </w:p>
        </w:tc>
        <w:tc>
          <w:tcPr>
            <w:tcW w:w="2083" w:type="dxa"/>
            <w:tcBorders>
              <w:top w:val="single" w:color="000000" w:sz="6" w:space="0"/>
              <w:left w:val="single" w:color="000000" w:sz="6" w:space="0"/>
              <w:bottom w:val="single" w:color="000000" w:sz="6" w:space="0"/>
              <w:right w:val="single" w:color="000000" w:sz="6" w:space="0"/>
            </w:tcBorders>
            <w:noWrap w:val="0"/>
            <w:vAlign w:val="center"/>
          </w:tcPr>
          <w:p w14:paraId="6269AFF4">
            <w:pPr>
              <w:autoSpaceDE w:val="0"/>
              <w:autoSpaceDN w:val="0"/>
              <w:spacing w:line="360" w:lineRule="auto"/>
              <w:ind w:firstLine="0" w:firstLineChars="0"/>
              <w:jc w:val="center"/>
              <w:rPr>
                <w:rFonts w:ascii="宋体" w:hAnsi="宋体" w:cs="宋体"/>
                <w:sz w:val="24"/>
                <w:szCs w:val="24"/>
                <w:lang w:val="zh-CN"/>
              </w:rPr>
            </w:pPr>
          </w:p>
        </w:tc>
        <w:tc>
          <w:tcPr>
            <w:tcW w:w="817" w:type="dxa"/>
            <w:tcBorders>
              <w:top w:val="single" w:color="000000" w:sz="6" w:space="0"/>
              <w:left w:val="single" w:color="000000" w:sz="6" w:space="0"/>
              <w:bottom w:val="single" w:color="000000" w:sz="6" w:space="0"/>
              <w:right w:val="single" w:color="000000" w:sz="6" w:space="0"/>
            </w:tcBorders>
            <w:noWrap w:val="0"/>
            <w:vAlign w:val="center"/>
          </w:tcPr>
          <w:p w14:paraId="4375EF2E">
            <w:pPr>
              <w:autoSpaceDE w:val="0"/>
              <w:autoSpaceDN w:val="0"/>
              <w:spacing w:line="360" w:lineRule="auto"/>
              <w:ind w:firstLine="0" w:firstLineChars="0"/>
              <w:jc w:val="center"/>
              <w:rPr>
                <w:rFonts w:ascii="宋体" w:hAnsi="宋体" w:cs="宋体"/>
                <w:sz w:val="24"/>
                <w:szCs w:val="24"/>
                <w:lang w:val="zh-CN"/>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154D1DE7">
            <w:pPr>
              <w:autoSpaceDE w:val="0"/>
              <w:autoSpaceDN w:val="0"/>
              <w:spacing w:line="360" w:lineRule="auto"/>
              <w:ind w:firstLine="0" w:firstLineChars="0"/>
              <w:jc w:val="center"/>
              <w:rPr>
                <w:rFonts w:ascii="宋体" w:hAnsi="宋体" w:cs="宋体"/>
                <w:sz w:val="24"/>
                <w:szCs w:val="24"/>
                <w:lang w:val="zh-CN"/>
              </w:rPr>
            </w:pPr>
          </w:p>
        </w:tc>
      </w:tr>
      <w:tr w14:paraId="21A3E11F">
        <w:tblPrEx>
          <w:tblCellMar>
            <w:top w:w="0" w:type="dxa"/>
            <w:left w:w="28" w:type="dxa"/>
            <w:bottom w:w="0" w:type="dxa"/>
            <w:right w:w="28" w:type="dxa"/>
          </w:tblCellMar>
        </w:tblPrEx>
        <w:trPr>
          <w:trHeight w:val="464"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57EC55A6">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w:t>
            </w:r>
          </w:p>
        </w:tc>
        <w:tc>
          <w:tcPr>
            <w:tcW w:w="637" w:type="dxa"/>
            <w:tcBorders>
              <w:top w:val="single" w:color="000000" w:sz="6" w:space="0"/>
              <w:left w:val="single" w:color="000000" w:sz="6" w:space="0"/>
              <w:bottom w:val="single" w:color="000000" w:sz="6" w:space="0"/>
              <w:right w:val="single" w:color="000000" w:sz="6" w:space="0"/>
            </w:tcBorders>
            <w:noWrap w:val="0"/>
            <w:vAlign w:val="center"/>
          </w:tcPr>
          <w:p w14:paraId="2B93DEA6">
            <w:pPr>
              <w:autoSpaceDE w:val="0"/>
              <w:autoSpaceDN w:val="0"/>
              <w:spacing w:line="360" w:lineRule="auto"/>
              <w:ind w:firstLine="0" w:firstLineChars="0"/>
              <w:jc w:val="center"/>
              <w:rPr>
                <w:rFonts w:ascii="宋体" w:hAnsi="宋体" w:cs="宋体"/>
                <w:sz w:val="24"/>
                <w:szCs w:val="24"/>
                <w:lang w:val="zh-CN"/>
              </w:rPr>
            </w:pP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759A5A69">
            <w:pPr>
              <w:autoSpaceDE w:val="0"/>
              <w:autoSpaceDN w:val="0"/>
              <w:spacing w:line="360" w:lineRule="auto"/>
              <w:ind w:firstLine="0" w:firstLineChars="0"/>
              <w:jc w:val="center"/>
              <w:rPr>
                <w:rFonts w:ascii="宋体" w:hAnsi="宋体" w:cs="宋体"/>
                <w:sz w:val="24"/>
                <w:szCs w:val="24"/>
                <w:lang w:val="zh-CN"/>
              </w:rPr>
            </w:pP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08CE7D2E">
            <w:pPr>
              <w:autoSpaceDE w:val="0"/>
              <w:autoSpaceDN w:val="0"/>
              <w:spacing w:line="360" w:lineRule="auto"/>
              <w:ind w:firstLine="0" w:firstLineChars="0"/>
              <w:jc w:val="center"/>
              <w:rPr>
                <w:rFonts w:ascii="宋体" w:hAnsi="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30FA0589">
            <w:pPr>
              <w:autoSpaceDE w:val="0"/>
              <w:autoSpaceDN w:val="0"/>
              <w:spacing w:line="360" w:lineRule="auto"/>
              <w:ind w:firstLine="0" w:firstLineChars="0"/>
              <w:jc w:val="center"/>
              <w:rPr>
                <w:rFonts w:ascii="宋体" w:hAnsi="宋体" w:cs="宋体"/>
                <w:sz w:val="24"/>
                <w:szCs w:val="24"/>
                <w:lang w:val="zh-CN"/>
              </w:rPr>
            </w:pPr>
          </w:p>
        </w:tc>
        <w:tc>
          <w:tcPr>
            <w:tcW w:w="2083" w:type="dxa"/>
            <w:tcBorders>
              <w:top w:val="single" w:color="000000" w:sz="6" w:space="0"/>
              <w:left w:val="single" w:color="000000" w:sz="6" w:space="0"/>
              <w:bottom w:val="single" w:color="000000" w:sz="6" w:space="0"/>
              <w:right w:val="single" w:color="000000" w:sz="6" w:space="0"/>
            </w:tcBorders>
            <w:noWrap w:val="0"/>
            <w:vAlign w:val="center"/>
          </w:tcPr>
          <w:p w14:paraId="025C9F38">
            <w:pPr>
              <w:autoSpaceDE w:val="0"/>
              <w:autoSpaceDN w:val="0"/>
              <w:spacing w:line="360" w:lineRule="auto"/>
              <w:ind w:firstLine="0" w:firstLineChars="0"/>
              <w:jc w:val="center"/>
              <w:rPr>
                <w:rFonts w:ascii="宋体" w:hAnsi="宋体" w:cs="宋体"/>
                <w:sz w:val="24"/>
                <w:szCs w:val="24"/>
                <w:lang w:val="zh-CN"/>
              </w:rPr>
            </w:pPr>
          </w:p>
        </w:tc>
        <w:tc>
          <w:tcPr>
            <w:tcW w:w="817" w:type="dxa"/>
            <w:tcBorders>
              <w:top w:val="single" w:color="000000" w:sz="6" w:space="0"/>
              <w:left w:val="single" w:color="000000" w:sz="6" w:space="0"/>
              <w:bottom w:val="single" w:color="000000" w:sz="6" w:space="0"/>
              <w:right w:val="single" w:color="000000" w:sz="6" w:space="0"/>
            </w:tcBorders>
            <w:noWrap w:val="0"/>
            <w:vAlign w:val="center"/>
          </w:tcPr>
          <w:p w14:paraId="4B79B405">
            <w:pPr>
              <w:autoSpaceDE w:val="0"/>
              <w:autoSpaceDN w:val="0"/>
              <w:spacing w:line="360" w:lineRule="auto"/>
              <w:ind w:firstLine="0" w:firstLineChars="0"/>
              <w:jc w:val="center"/>
              <w:rPr>
                <w:rFonts w:ascii="宋体" w:hAnsi="宋体" w:cs="宋体"/>
                <w:sz w:val="24"/>
                <w:szCs w:val="24"/>
                <w:lang w:val="zh-CN"/>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2EDE4D89">
            <w:pPr>
              <w:autoSpaceDE w:val="0"/>
              <w:autoSpaceDN w:val="0"/>
              <w:spacing w:line="360" w:lineRule="auto"/>
              <w:ind w:firstLine="0" w:firstLineChars="0"/>
              <w:jc w:val="center"/>
              <w:rPr>
                <w:rFonts w:ascii="宋体" w:hAnsi="宋体" w:cs="宋体"/>
                <w:sz w:val="24"/>
                <w:szCs w:val="24"/>
                <w:lang w:val="zh-CN"/>
              </w:rPr>
            </w:pPr>
          </w:p>
        </w:tc>
      </w:tr>
    </w:tbl>
    <w:p w14:paraId="041ABC1D">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注：1.本表应按照采购分项报价表中“产品名称”及采购一览表中产品序号的指标逐项填写，不得遗漏，否则，按无效</w:t>
      </w:r>
      <w:r>
        <w:rPr>
          <w:rFonts w:hint="eastAsia" w:ascii="宋体" w:hAnsi="宋体" w:cs="宋体"/>
          <w:sz w:val="24"/>
          <w:szCs w:val="24"/>
          <w:lang w:val="zh-CN"/>
        </w:rPr>
        <w:t>响应</w:t>
      </w:r>
      <w:r>
        <w:rPr>
          <w:rFonts w:hint="eastAsia" w:ascii="宋体" w:hAnsi="宋体" w:eastAsia="宋体" w:cs="宋体"/>
          <w:sz w:val="24"/>
          <w:szCs w:val="24"/>
          <w:lang w:val="zh-CN"/>
        </w:rPr>
        <w:t>处理。</w:t>
      </w:r>
    </w:p>
    <w:p w14:paraId="006B46F0">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zh-CN"/>
        </w:rPr>
        <w:t>响应</w:t>
      </w:r>
      <w:r>
        <w:rPr>
          <w:rFonts w:hint="eastAsia" w:ascii="宋体" w:hAnsi="宋体" w:eastAsia="宋体" w:cs="宋体"/>
          <w:sz w:val="24"/>
          <w:szCs w:val="24"/>
          <w:lang w:val="zh-CN"/>
        </w:rPr>
        <w:t>产品技术参数、指标”必须与</w:t>
      </w:r>
      <w:r>
        <w:rPr>
          <w:rFonts w:hint="eastAsia" w:ascii="宋体" w:hAnsi="宋体" w:cs="宋体"/>
          <w:sz w:val="24"/>
          <w:szCs w:val="24"/>
          <w:lang w:val="zh-CN"/>
        </w:rPr>
        <w:t>响应</w:t>
      </w:r>
      <w:r>
        <w:rPr>
          <w:rFonts w:hint="eastAsia" w:ascii="宋体" w:hAnsi="宋体" w:eastAsia="宋体" w:cs="宋体"/>
          <w:sz w:val="24"/>
          <w:szCs w:val="24"/>
          <w:lang w:val="zh-CN"/>
        </w:rPr>
        <w:t>文件中提供的产品检测报告（测试报告）、生产厂家出具的产品彩页等证明材料的实质性响应情况相一致。若在评标环节发现该项与</w:t>
      </w:r>
      <w:r>
        <w:rPr>
          <w:rFonts w:hint="eastAsia" w:ascii="宋体" w:hAnsi="宋体" w:cs="宋体"/>
          <w:sz w:val="24"/>
          <w:szCs w:val="24"/>
          <w:lang w:val="zh-CN"/>
        </w:rPr>
        <w:t>响应</w:t>
      </w:r>
      <w:r>
        <w:rPr>
          <w:rFonts w:hint="eastAsia" w:ascii="宋体" w:hAnsi="宋体" w:eastAsia="宋体" w:cs="宋体"/>
          <w:sz w:val="24"/>
          <w:szCs w:val="24"/>
          <w:lang w:val="zh-CN"/>
        </w:rPr>
        <w:t>文件中提供的产品检测报告（测试报告）、生产厂家出具的产品彩页（生产厂家公开发布的资料参数）等证明材料的实质性响应情况不一致或直接复制</w:t>
      </w:r>
      <w:r>
        <w:rPr>
          <w:rFonts w:hint="eastAsia" w:ascii="宋体" w:hAnsi="宋体" w:cs="宋体"/>
          <w:sz w:val="24"/>
          <w:szCs w:val="24"/>
          <w:lang w:val="zh-CN"/>
        </w:rPr>
        <w:t>采购</w:t>
      </w:r>
      <w:r>
        <w:rPr>
          <w:rFonts w:hint="eastAsia" w:ascii="宋体" w:hAnsi="宋体" w:eastAsia="宋体" w:cs="宋体"/>
          <w:sz w:val="24"/>
          <w:szCs w:val="24"/>
          <w:lang w:val="zh-CN"/>
        </w:rPr>
        <w:t>文件“采购需求技术参数、指标”内容的，按无效</w:t>
      </w:r>
      <w:r>
        <w:rPr>
          <w:rFonts w:hint="eastAsia" w:ascii="宋体" w:hAnsi="宋体" w:cs="宋体"/>
          <w:sz w:val="24"/>
          <w:szCs w:val="24"/>
          <w:lang w:val="zh-CN"/>
        </w:rPr>
        <w:t>响应</w:t>
      </w:r>
      <w:r>
        <w:rPr>
          <w:rFonts w:hint="eastAsia" w:ascii="宋体" w:hAnsi="宋体" w:eastAsia="宋体" w:cs="宋体"/>
          <w:sz w:val="24"/>
          <w:szCs w:val="24"/>
          <w:lang w:val="zh-CN"/>
        </w:rPr>
        <w:t>处理。</w:t>
      </w:r>
    </w:p>
    <w:p w14:paraId="0DA3D943">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3.填写此表时以</w:t>
      </w:r>
      <w:r>
        <w:rPr>
          <w:rFonts w:hint="eastAsia" w:ascii="宋体" w:hAnsi="宋体" w:cs="宋体"/>
          <w:sz w:val="24"/>
          <w:szCs w:val="24"/>
          <w:lang w:val="zh-CN"/>
        </w:rPr>
        <w:t>采购</w:t>
      </w:r>
      <w:r>
        <w:rPr>
          <w:rFonts w:hint="eastAsia" w:ascii="宋体" w:hAnsi="宋体" w:eastAsia="宋体" w:cs="宋体"/>
          <w:sz w:val="24"/>
          <w:szCs w:val="24"/>
          <w:lang w:val="zh-CN"/>
        </w:rPr>
        <w:t>项目参数要求为基本</w:t>
      </w:r>
      <w:r>
        <w:rPr>
          <w:rFonts w:hint="eastAsia" w:ascii="宋体" w:hAnsi="宋体" w:cs="宋体"/>
          <w:sz w:val="24"/>
          <w:szCs w:val="24"/>
          <w:lang w:val="zh-CN"/>
        </w:rPr>
        <w:t>响应</w:t>
      </w:r>
      <w:r>
        <w:rPr>
          <w:rFonts w:hint="eastAsia" w:ascii="宋体" w:hAnsi="宋体" w:eastAsia="宋体" w:cs="宋体"/>
          <w:sz w:val="24"/>
          <w:szCs w:val="24"/>
          <w:lang w:val="zh-CN"/>
        </w:rPr>
        <w:t>要求，满足</w:t>
      </w:r>
      <w:r>
        <w:rPr>
          <w:rFonts w:hint="eastAsia" w:ascii="宋体" w:hAnsi="宋体" w:cs="宋体"/>
          <w:sz w:val="24"/>
          <w:szCs w:val="24"/>
          <w:lang w:val="zh-CN"/>
        </w:rPr>
        <w:t>采购</w:t>
      </w:r>
      <w:r>
        <w:rPr>
          <w:rFonts w:hint="eastAsia" w:ascii="宋体" w:hAnsi="宋体" w:eastAsia="宋体" w:cs="宋体"/>
          <w:sz w:val="24"/>
          <w:szCs w:val="24"/>
          <w:lang w:val="zh-CN"/>
        </w:rPr>
        <w:t>项目参数要求的指标需在“偏离”中列出“0”；超出、不满足</w:t>
      </w:r>
      <w:r>
        <w:rPr>
          <w:rFonts w:hint="eastAsia" w:ascii="宋体" w:hAnsi="宋体" w:cs="宋体"/>
          <w:sz w:val="24"/>
          <w:szCs w:val="24"/>
          <w:lang w:val="zh-CN"/>
        </w:rPr>
        <w:t>采购</w:t>
      </w:r>
      <w:r>
        <w:rPr>
          <w:rFonts w:hint="eastAsia" w:ascii="宋体" w:hAnsi="宋体" w:eastAsia="宋体" w:cs="宋体"/>
          <w:sz w:val="24"/>
          <w:szCs w:val="24"/>
          <w:lang w:val="zh-CN"/>
        </w:rPr>
        <w:t>项目参数要求的指标需在“偏离”中列出“+”、“-”偏差，并做出详细说明；如果只注明“+”、“-”或未填写，将视为该项指标不响应。</w:t>
      </w:r>
    </w:p>
    <w:p w14:paraId="43823B1D">
      <w:pPr>
        <w:keepNext w:val="0"/>
        <w:keepLines w:val="0"/>
        <w:pageBreakBefore w:val="0"/>
        <w:widowControl w:val="0"/>
        <w:kinsoku/>
        <w:wordWrap/>
        <w:overflowPunct/>
        <w:topLinePunct w:val="0"/>
        <w:bidi w:val="0"/>
        <w:adjustRightInd w:val="0"/>
        <w:snapToGrid/>
        <w:spacing w:after="240" w:line="360" w:lineRule="auto"/>
        <w:ind w:firstLine="482" w:firstLineChars="200"/>
        <w:textAlignment w:val="auto"/>
        <w:rPr>
          <w:rStyle w:val="63"/>
          <w:rFonts w:hint="eastAsia" w:ascii="宋体" w:hAnsi="宋体" w:eastAsia="宋体" w:cs="宋体"/>
          <w:color w:val="000000"/>
          <w:sz w:val="24"/>
          <w:szCs w:val="24"/>
          <w:lang w:val="zh-CN"/>
        </w:rPr>
      </w:pPr>
    </w:p>
    <w:p w14:paraId="6CF56B91">
      <w:pPr>
        <w:rPr>
          <w:rStyle w:val="63"/>
          <w:rFonts w:hint="eastAsia" w:ascii="宋体" w:hAnsi="宋体" w:cs="宋体"/>
          <w:color w:val="000000"/>
          <w:sz w:val="30"/>
          <w:szCs w:val="30"/>
          <w:lang w:val="zh-CN"/>
        </w:rPr>
      </w:pPr>
    </w:p>
    <w:p w14:paraId="22785761">
      <w:pPr>
        <w:autoSpaceDE w:val="0"/>
        <w:autoSpaceDN w:val="0"/>
        <w:adjustRightInd w:val="0"/>
        <w:spacing w:line="400" w:lineRule="exact"/>
        <w:ind w:firstLine="4453" w:firstLineChars="1848"/>
        <w:jc w:val="right"/>
        <w:rPr>
          <w:rFonts w:ascii="宋体" w:hAnsi="Cambria" w:cs="宋体"/>
          <w:b/>
          <w:bCs/>
          <w:kern w:val="0"/>
          <w:sz w:val="24"/>
          <w:lang w:val="zh-CN"/>
        </w:rPr>
      </w:pPr>
      <w:r>
        <w:rPr>
          <w:rFonts w:hint="eastAsia" w:ascii="宋体" w:hAnsi="Cambria" w:cs="宋体"/>
          <w:b/>
          <w:bCs/>
          <w:kern w:val="0"/>
          <w:sz w:val="24"/>
          <w:lang w:val="en-US" w:eastAsia="zh-CN"/>
        </w:rPr>
        <w:t>单位名称</w:t>
      </w:r>
      <w:r>
        <w:rPr>
          <w:rFonts w:hint="eastAsia" w:ascii="宋体" w:hAnsi="Cambria" w:cs="宋体"/>
          <w:b/>
          <w:bCs/>
          <w:kern w:val="0"/>
          <w:sz w:val="24"/>
          <w:lang w:val="zh-CN"/>
        </w:rPr>
        <w:t>：</w:t>
      </w:r>
      <w:r>
        <w:rPr>
          <w:rFonts w:ascii="宋体" w:hAnsi="Cambria" w:cs="宋体"/>
          <w:b/>
          <w:bCs/>
          <w:kern w:val="0"/>
          <w:sz w:val="24"/>
          <w:u w:val="single"/>
          <w:lang w:val="zh-CN"/>
        </w:rPr>
        <w:t xml:space="preserve">             </w:t>
      </w:r>
      <w:r>
        <w:rPr>
          <w:rFonts w:hint="eastAsia" w:ascii="宋体" w:hAnsi="Cambria" w:cs="宋体"/>
          <w:b/>
          <w:bCs/>
          <w:kern w:val="0"/>
          <w:sz w:val="24"/>
          <w:lang w:val="zh-CN"/>
        </w:rPr>
        <w:t>（公章）</w:t>
      </w:r>
    </w:p>
    <w:p w14:paraId="65443D37">
      <w:pPr>
        <w:autoSpaceDE w:val="0"/>
        <w:autoSpaceDN w:val="0"/>
        <w:adjustRightInd w:val="0"/>
        <w:spacing w:line="400" w:lineRule="exact"/>
        <w:jc w:val="righ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u w:val="single"/>
          <w:lang w:val="zh-CN"/>
        </w:rPr>
        <w:t xml:space="preserve">       </w:t>
      </w:r>
      <w:r>
        <w:rPr>
          <w:rFonts w:hint="eastAsia" w:ascii="宋体" w:hAnsi="Cambria" w:cs="宋体"/>
          <w:b/>
          <w:bCs/>
          <w:kern w:val="0"/>
          <w:sz w:val="24"/>
          <w:u w:val="single"/>
          <w:lang w:val="zh-CN"/>
        </w:rPr>
        <w:t xml:space="preserve">      </w:t>
      </w:r>
      <w:r>
        <w:rPr>
          <w:rFonts w:hint="eastAsia" w:ascii="宋体" w:hAnsi="Cambria" w:cs="宋体"/>
          <w:b/>
          <w:bCs/>
          <w:kern w:val="0"/>
          <w:sz w:val="24"/>
          <w:lang w:val="zh-CN"/>
        </w:rPr>
        <w:t>（签字或盖章）</w:t>
      </w:r>
    </w:p>
    <w:p w14:paraId="03D0702A">
      <w:pPr>
        <w:keepNext w:val="0"/>
        <w:keepLines w:val="0"/>
        <w:pageBreakBefore w:val="0"/>
        <w:kinsoku/>
        <w:overflowPunct/>
        <w:topLinePunct w:val="0"/>
        <w:bidi w:val="0"/>
        <w:spacing w:after="240" w:line="360" w:lineRule="auto"/>
        <w:ind w:firstLine="482" w:firstLineChars="200"/>
        <w:rPr>
          <w:rStyle w:val="63"/>
          <w:rFonts w:hint="eastAsia" w:ascii="宋体" w:hAnsi="宋体" w:eastAsia="宋体" w:cs="宋体"/>
          <w:color w:val="000000"/>
          <w:sz w:val="24"/>
          <w:szCs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4723B7DF">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343095F1">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13</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zh-CN" w:eastAsia="zh-CN"/>
          <w14:textFill>
            <w14:solidFill>
              <w14:schemeClr w14:val="tx1"/>
            </w14:solidFill>
          </w14:textFill>
        </w:rPr>
        <w:t>产品相关资料（具备履行合同所必须的设备和专业技术能力证明）</w:t>
      </w:r>
    </w:p>
    <w:p w14:paraId="329AB395">
      <w:pPr>
        <w:snapToGrid w:val="0"/>
        <w:spacing w:line="400" w:lineRule="exact"/>
        <w:ind w:left="0" w:leftChars="0" w:firstLine="0" w:firstLineChars="0"/>
        <w:outlineLvl w:val="1"/>
        <w:rPr>
          <w:rFonts w:hint="eastAsia" w:ascii="宋体" w:hAnsi="宋体" w:eastAsia="宋体" w:cs="宋体"/>
          <w:b/>
          <w:bCs/>
          <w:kern w:val="0"/>
          <w:sz w:val="24"/>
          <w:szCs w:val="24"/>
          <w:lang w:val="zh-CN" w:eastAsia="zh-CN" w:bidi="ar-SA"/>
        </w:rPr>
      </w:pPr>
    </w:p>
    <w:p w14:paraId="65606EEA">
      <w:pPr>
        <w:spacing w:line="400" w:lineRule="exact"/>
        <w:jc w:val="center"/>
        <w:rPr>
          <w:b/>
          <w:sz w:val="36"/>
          <w:szCs w:val="36"/>
        </w:rPr>
      </w:pPr>
    </w:p>
    <w:p w14:paraId="2B7FBA41">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产品相关资料</w:t>
      </w:r>
    </w:p>
    <w:p w14:paraId="7495325D">
      <w:pPr>
        <w:ind w:left="0" w:leftChars="0" w:firstLine="480" w:firstLineChars="200"/>
        <w:rPr>
          <w:rFonts w:hint="eastAsia" w:ascii="宋体" w:hAnsi="宋体" w:eastAsia="宋体" w:cs="宋体"/>
          <w:sz w:val="24"/>
          <w:szCs w:val="24"/>
          <w:lang w:val="zh-CN"/>
        </w:rPr>
      </w:pPr>
    </w:p>
    <w:p w14:paraId="4F4C5215">
      <w:pPr>
        <w:ind w:left="0" w:leftChars="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为保证本项目合同的顺利履行，供应商必须具备履行合同的设备或专业技术能力，须提供必须具备履行合同的设备和专业技术能力的承诺函(格式自拟)，并提供</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rPr>
        <w:t>产品的相关资料。</w:t>
      </w:r>
    </w:p>
    <w:p w14:paraId="46A7A397">
      <w:pPr>
        <w:rPr>
          <w:rFonts w:hint="eastAsia" w:ascii="宋体" w:hAnsi="宋体" w:eastAsia="宋体" w:cs="宋体"/>
          <w:sz w:val="24"/>
          <w:szCs w:val="24"/>
          <w:lang w:val="zh-CN"/>
        </w:rPr>
      </w:pPr>
      <w:r>
        <w:rPr>
          <w:rFonts w:hint="eastAsia" w:ascii="宋体" w:hAnsi="宋体" w:eastAsia="宋体" w:cs="宋体"/>
          <w:sz w:val="24"/>
          <w:szCs w:val="24"/>
          <w:lang w:val="zh-CN"/>
        </w:rPr>
        <w:br w:type="page"/>
      </w:r>
    </w:p>
    <w:p w14:paraId="7B1C9D36">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103" w:name="_Toc3826"/>
      <w:bookmarkStart w:id="104" w:name="_Toc11535"/>
      <w:bookmarkStart w:id="105" w:name="_Toc428180593"/>
      <w:bookmarkStart w:id="106" w:name="_Toc27656"/>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14：</w:t>
      </w:r>
      <w:r>
        <w:rPr>
          <w:rFonts w:hint="eastAsia" w:ascii="宋体" w:hAnsi="宋体" w:eastAsia="宋体" w:cs="宋体"/>
          <w:b/>
          <w:color w:val="000000" w:themeColor="text1"/>
          <w:sz w:val="24"/>
          <w:szCs w:val="24"/>
          <w:lang w:val="zh-CN" w:eastAsia="zh-CN"/>
          <w14:textFill>
            <w14:solidFill>
              <w14:schemeClr w14:val="tx1"/>
            </w14:solidFill>
          </w14:textFill>
        </w:rPr>
        <w:t>供应商认为在其他方面有必要说明的事项</w:t>
      </w:r>
      <w:bookmarkEnd w:id="103"/>
      <w:bookmarkEnd w:id="104"/>
      <w:bookmarkEnd w:id="105"/>
      <w:bookmarkEnd w:id="106"/>
    </w:p>
    <w:p w14:paraId="2EDC0A1F">
      <w:pPr>
        <w:autoSpaceDE w:val="0"/>
        <w:autoSpaceDN w:val="0"/>
        <w:adjustRightInd w:val="0"/>
        <w:spacing w:line="400" w:lineRule="exact"/>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w:t>
      </w:r>
    </w:p>
    <w:p w14:paraId="08E02AAA">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107" w:name="_Toc23548"/>
      <w:bookmarkStart w:id="108" w:name="_Toc25848"/>
      <w:r>
        <w:rPr>
          <w:rFonts w:hint="eastAsia" w:ascii="宋体" w:hAnsi="宋体" w:eastAsia="宋体" w:cs="宋体"/>
          <w:b/>
          <w:color w:val="000000" w:themeColor="text1"/>
          <w:sz w:val="24"/>
          <w:szCs w:val="24"/>
          <w:lang w:val="zh-CN" w:eastAsia="zh-CN"/>
          <w14:textFill>
            <w14:solidFill>
              <w14:schemeClr w14:val="tx1"/>
            </w14:solidFill>
          </w14:textFill>
        </w:rPr>
        <w:t>供应商认为在其他方面有必要说明的事项</w:t>
      </w:r>
      <w:bookmarkEnd w:id="107"/>
      <w:bookmarkEnd w:id="108"/>
    </w:p>
    <w:p w14:paraId="0F26A00F">
      <w:pPr>
        <w:autoSpaceDE w:val="0"/>
        <w:autoSpaceDN w:val="0"/>
        <w:adjustRightInd w:val="0"/>
        <w:spacing w:line="400" w:lineRule="exact"/>
        <w:ind w:firstLine="600"/>
        <w:jc w:val="center"/>
        <w:rPr>
          <w:rFonts w:ascii="宋体" w:hAnsi="Cambria" w:cs="宋体"/>
          <w:kern w:val="0"/>
          <w:sz w:val="24"/>
          <w:lang w:val="zh-CN"/>
        </w:rPr>
      </w:pPr>
    </w:p>
    <w:p w14:paraId="0006F0B2">
      <w:pPr>
        <w:jc w:val="center"/>
        <w:rPr>
          <w:lang w:val="zh-CN"/>
        </w:rPr>
      </w:pPr>
      <w:r>
        <w:rPr>
          <w:rFonts w:hint="eastAsia" w:ascii="宋体" w:hAnsi="Cambria" w:cs="宋体"/>
          <w:kern w:val="0"/>
          <w:sz w:val="24"/>
          <w:lang w:val="zh-CN"/>
        </w:rPr>
        <w:t>（格式可自定）</w:t>
      </w:r>
    </w:p>
    <w:p w14:paraId="56DC375D">
      <w:pPr>
        <w:ind w:left="0" w:leftChars="0" w:firstLine="482" w:firstLineChars="200"/>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br w:type="page"/>
      </w:r>
    </w:p>
    <w:p w14:paraId="616F1553">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附件 15：享受政府采购政策优惠的证明资料</w:t>
      </w:r>
    </w:p>
    <w:p w14:paraId="23720260">
      <w:pPr>
        <w:spacing w:line="360" w:lineRule="auto"/>
        <w:ind w:firstLine="0" w:firstLineChars="0"/>
        <w:jc w:val="center"/>
        <w:rPr>
          <w:rFonts w:hint="eastAsia" w:ascii="宋体" w:hAnsi="宋体" w:eastAsia="宋体" w:cs="宋体"/>
          <w:b/>
          <w:color w:val="000000" w:themeColor="text1"/>
          <w:sz w:val="24"/>
          <w:szCs w:val="24"/>
          <w:lang w:val="en-US" w:eastAsia="zh-CN"/>
          <w14:textFill>
            <w14:solidFill>
              <w14:schemeClr w14:val="tx1"/>
            </w14:solidFill>
          </w14:textFill>
        </w:rPr>
      </w:pPr>
    </w:p>
    <w:p w14:paraId="07D878DC">
      <w:pPr>
        <w:spacing w:line="360" w:lineRule="auto"/>
        <w:ind w:firstLine="0" w:firstLineChars="0"/>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(不满足以下条件的无需填写)</w:t>
      </w:r>
    </w:p>
    <w:p w14:paraId="5C706625">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 节能产品、环境标志产品证明材料</w:t>
      </w:r>
    </w:p>
    <w:p w14:paraId="0D060610">
      <w:pPr>
        <w:ind w:left="0" w:leftChars="0" w:firstLine="480" w:firstLineChars="200"/>
        <w:rPr>
          <w:rFonts w:hint="eastAsia" w:ascii="宋体" w:hAnsi="宋体" w:eastAsia="宋体" w:cs="宋体"/>
          <w:sz w:val="24"/>
          <w:szCs w:val="24"/>
          <w:lang w:val="en-US" w:eastAsia="zh-CN"/>
        </w:rPr>
      </w:pPr>
    </w:p>
    <w:p w14:paraId="464F5F2C">
      <w:pPr>
        <w:ind w:left="0" w:leftChars="0" w:firstLine="480" w:firstLineChars="200"/>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产品属于品目清单范围的，实施政府优先采购和强制采购。供应商应提供国家确定的认证机构出具的、处于有效期之内的节能产品、环境标志产品认证证书，并加盖供应商单位公章。</w:t>
      </w:r>
      <w:r>
        <w:rPr>
          <w:rFonts w:hint="eastAsia" w:ascii="宋体" w:hAnsi="宋体" w:eastAsia="宋体" w:cs="宋体"/>
          <w:b/>
          <w:color w:val="000000" w:themeColor="text1"/>
          <w:sz w:val="24"/>
          <w:szCs w:val="24"/>
          <w:lang w:val="en-US" w:eastAsia="zh-CN"/>
          <w14:textFill>
            <w14:solidFill>
              <w14:schemeClr w14:val="tx1"/>
            </w14:solidFill>
          </w14:textFill>
        </w:rPr>
        <w:br w:type="page"/>
      </w:r>
    </w:p>
    <w:p w14:paraId="72D0A774">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lang w:val="zh-CN" w:eastAsia="zh-CN"/>
          <w14:textFill>
            <w14:solidFill>
              <w14:schemeClr w14:val="tx1"/>
            </w14:solidFill>
          </w14:textFill>
        </w:rPr>
        <w:t>中小企业声明函（</w:t>
      </w:r>
      <w:r>
        <w:rPr>
          <w:rFonts w:hint="eastAsia" w:ascii="宋体" w:hAnsi="宋体" w:eastAsia="宋体" w:cs="宋体"/>
          <w:b/>
          <w:color w:val="000000" w:themeColor="text1"/>
          <w:sz w:val="24"/>
          <w:szCs w:val="24"/>
          <w:lang w:val="en-US" w:eastAsia="zh-CN"/>
          <w14:textFill>
            <w14:solidFill>
              <w14:schemeClr w14:val="tx1"/>
            </w14:solidFill>
          </w14:textFill>
        </w:rPr>
        <w:t>货物</w:t>
      </w:r>
      <w:r>
        <w:rPr>
          <w:rFonts w:hint="eastAsia" w:ascii="宋体" w:hAnsi="宋体" w:eastAsia="宋体" w:cs="宋体"/>
          <w:b/>
          <w:color w:val="000000" w:themeColor="text1"/>
          <w:sz w:val="24"/>
          <w:szCs w:val="24"/>
          <w:lang w:val="zh-CN" w:eastAsia="zh-CN"/>
          <w14:textFill>
            <w14:solidFill>
              <w14:schemeClr w14:val="tx1"/>
            </w14:solidFill>
          </w14:textFill>
        </w:rPr>
        <w:t>）</w:t>
      </w:r>
    </w:p>
    <w:p w14:paraId="68C8962D">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中小企业声明函（</w:t>
      </w:r>
      <w:r>
        <w:rPr>
          <w:rFonts w:hint="eastAsia" w:ascii="宋体" w:hAnsi="宋体" w:eastAsia="宋体" w:cs="宋体"/>
          <w:b/>
          <w:color w:val="000000" w:themeColor="text1"/>
          <w:sz w:val="24"/>
          <w:szCs w:val="24"/>
          <w:lang w:val="en-US" w:eastAsia="zh-CN"/>
          <w14:textFill>
            <w14:solidFill>
              <w14:schemeClr w14:val="tx1"/>
            </w14:solidFill>
          </w14:textFill>
        </w:rPr>
        <w:t>货物</w:t>
      </w:r>
      <w:r>
        <w:rPr>
          <w:rFonts w:hint="eastAsia" w:ascii="宋体" w:hAnsi="宋体" w:eastAsia="宋体" w:cs="宋体"/>
          <w:b/>
          <w:color w:val="000000" w:themeColor="text1"/>
          <w:sz w:val="24"/>
          <w:szCs w:val="24"/>
          <w:lang w:val="zh-CN" w:eastAsia="zh-CN"/>
          <w14:textFill>
            <w14:solidFill>
              <w14:schemeClr w14:val="tx1"/>
            </w14:solidFill>
          </w14:textFill>
        </w:rPr>
        <w:t>）</w:t>
      </w:r>
    </w:p>
    <w:p w14:paraId="51CA114C">
      <w:pPr>
        <w:keepNext w:val="0"/>
        <w:keepLines w:val="0"/>
        <w:pageBreakBefore w:val="0"/>
        <w:kinsoku/>
        <w:wordWrap/>
        <w:overflowPunct/>
        <w:topLinePunct w:val="0"/>
        <w:bidi w:val="0"/>
        <w:snapToGrid/>
        <w:spacing w:after="24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致：</w:t>
      </w:r>
      <w:r>
        <w:rPr>
          <w:rFonts w:hint="eastAsia" w:ascii="宋体" w:hAnsi="宋体" w:cs="宋体"/>
          <w:b/>
          <w:bCs/>
          <w:sz w:val="24"/>
          <w:szCs w:val="24"/>
          <w:lang w:eastAsia="zh-CN"/>
        </w:rPr>
        <w:t>海东乐都区乐欣中堃项目管理有限公司</w:t>
      </w:r>
    </w:p>
    <w:p w14:paraId="1CD6C46C">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本公司（公司名称） 郑重声明， 根据《政府采购促进中小企业发展管理办法》（财库﹝2020﹞46 号）的规定， 本公司（公司名称）参加</w:t>
      </w:r>
      <w:r>
        <w:rPr>
          <w:rFonts w:hint="eastAsia" w:ascii="宋体" w:hAnsi="宋体" w:eastAsia="宋体" w:cs="宋体"/>
          <w:kern w:val="0"/>
          <w:sz w:val="24"/>
          <w:szCs w:val="24"/>
          <w:u w:val="single"/>
          <w:lang w:val="zh-CN"/>
        </w:rPr>
        <w:t>海东市乐都区“示范性儿童之家”项目（乐欣中堃竞谈（货物）2025-019</w:t>
      </w:r>
      <w:r>
        <w:rPr>
          <w:rFonts w:hint="eastAsia" w:ascii="宋体" w:hAnsi="宋体" w:cs="宋体"/>
          <w:bCs/>
          <w:color w:val="auto"/>
          <w:sz w:val="24"/>
          <w:szCs w:val="24"/>
          <w:u w:val="single"/>
        </w:rPr>
        <w:t>）</w:t>
      </w:r>
      <w:r>
        <w:rPr>
          <w:rFonts w:hint="eastAsia" w:ascii="宋体" w:hAnsi="宋体" w:eastAsia="宋体" w:cs="宋体"/>
          <w:sz w:val="24"/>
          <w:szCs w:val="24"/>
        </w:rPr>
        <w:t>采购活动，提供的货物全部由符合政策要求的中小企业制造。 相关企业（含联合体中的中小企业、 签订分包意向协议的中小企业）的具体情况如下：</w:t>
      </w:r>
    </w:p>
    <w:p w14:paraId="7ACE7304">
      <w:pPr>
        <w:keepNext w:val="0"/>
        <w:keepLines w:val="0"/>
        <w:pageBreakBefore w:val="0"/>
        <w:numPr>
          <w:ilvl w:val="0"/>
          <w:numId w:val="3"/>
        </w:numPr>
        <w:kinsoku/>
        <w:wordWrap/>
        <w:overflowPunct/>
        <w:topLinePunct w:val="0"/>
        <w:bidi w:val="0"/>
        <w:snapToGrid/>
        <w:spacing w:after="240"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u w:val="single"/>
          <w:lang w:val="en-US" w:eastAsia="zh-CN"/>
        </w:rPr>
        <w:t>（足球）</w:t>
      </w:r>
      <w:r>
        <w:rPr>
          <w:rFonts w:hint="eastAsia" w:ascii="宋体" w:hAnsi="宋体" w:eastAsia="宋体" w:cs="宋体"/>
          <w:color w:val="auto"/>
          <w:sz w:val="24"/>
          <w:szCs w:val="24"/>
        </w:rPr>
        <w:t xml:space="preserve"> ，属于</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 xml:space="preserve">行业； </w:t>
      </w:r>
      <w:r>
        <w:rPr>
          <w:rFonts w:hint="eastAsia" w:ascii="宋体" w:hAnsi="宋体" w:eastAsia="宋体" w:cs="宋体"/>
          <w:color w:val="auto"/>
          <w:sz w:val="24"/>
          <w:szCs w:val="24"/>
          <w:lang w:eastAsia="zh-CN"/>
        </w:rPr>
        <w:t>制造商</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 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 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 微型企业）</w:t>
      </w:r>
      <w:r>
        <w:rPr>
          <w:rFonts w:hint="eastAsia" w:ascii="宋体" w:hAnsi="宋体" w:eastAsia="宋体" w:cs="宋体"/>
          <w:color w:val="auto"/>
          <w:sz w:val="24"/>
          <w:szCs w:val="24"/>
        </w:rPr>
        <w:t>；</w:t>
      </w:r>
    </w:p>
    <w:p w14:paraId="751B41DC">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（足球）</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15A1EB6A">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（羽毛球）</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5561368D">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（乒乓球台）</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43D9875F">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（儿童桌上足球）</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128E6F5B">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（儿童室内篮球架）</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4AA54CBB">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（室内跷跷板）</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66DA8131">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（儿童桌椅）</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024BDDC2">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（图书、玩具柜）</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7F02BAED">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（图书）</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20706686">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（儿童阅读小沙发）</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6880A5E8">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（纸墨笔砚）</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3969A92A">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（长条书法桌）</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2497A6D8">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（白板）</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2F7CD793">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（小火车玩具）</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53D85831">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（儿童磁力拼接玩具）</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520E53F6">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象棋）</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4248D57C">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（围棋）</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42C216CD">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（麻将桌）</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7F1A9B20">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（喷水粘合珠）</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2926F14D">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（24色云朵粘土）</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101FA855">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儿童之家”标识标牌）</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34CAF170">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（京剧脸谱制手工）</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6146E894">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（二十四节气挂饰手工）</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06EB6CB0">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（手绘画手工）</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6A1E1939">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（科学小实验套装）</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1A96A214">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（积木摆件）</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633B2A2A">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（手工剪纸底稿手工）</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52C425CA">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（漆扇制作材料包）</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1D92E31D">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（手工毛线刺绣花）</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010E6BE4">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（织布手工挂钟材料包）</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eastAsia="宋体" w:cs="宋体"/>
          <w:color w:val="auto"/>
          <w:sz w:val="24"/>
          <w:szCs w:val="24"/>
          <w:u w:val="single"/>
          <w:lang w:val="en-US" w:eastAsia="zh-CN"/>
        </w:rPr>
        <w:t>其他未列明</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37C14BFF">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6641FE7C">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不存在控股股东为大企业的情形，也不存在与大企业的负责人为同一人的情形。</w:t>
      </w:r>
    </w:p>
    <w:p w14:paraId="7AD348CD">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 如有虚假， 将依法承担相应责任。</w:t>
      </w:r>
    </w:p>
    <w:p w14:paraId="30815780">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注：1、从业人员、营业收入、资产总额填报上一年度数据，无上一年度数据的新成立企业可不填报。</w:t>
      </w:r>
    </w:p>
    <w:p w14:paraId="546322B5">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2、若无此项内容，可不提供此函。</w:t>
      </w:r>
    </w:p>
    <w:p w14:paraId="490DCEC0">
      <w:pPr>
        <w:keepNext w:val="0"/>
        <w:keepLines w:val="0"/>
        <w:pageBreakBefore w:val="0"/>
        <w:kinsoku/>
        <w:wordWrap/>
        <w:overflowPunct/>
        <w:topLinePunct w:val="0"/>
        <w:bidi w:val="0"/>
        <w:snapToGrid/>
        <w:spacing w:after="240" w:line="360" w:lineRule="auto"/>
        <w:ind w:right="480" w:firstLine="482" w:firstLineChars="200"/>
        <w:jc w:val="right"/>
        <w:textAlignment w:val="auto"/>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60CD2BBC">
      <w:pPr>
        <w:keepNext w:val="0"/>
        <w:keepLines w:val="0"/>
        <w:pageBreakBefore w:val="0"/>
        <w:kinsoku/>
        <w:wordWrap/>
        <w:overflowPunct/>
        <w:topLinePunct w:val="0"/>
        <w:bidi w:val="0"/>
        <w:snapToGrid/>
        <w:spacing w:after="240" w:line="360" w:lineRule="auto"/>
        <w:ind w:firstLine="482" w:firstLineChars="200"/>
        <w:jc w:val="right"/>
        <w:textAlignment w:val="auto"/>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767062DF">
      <w:pPr>
        <w:keepNext w:val="0"/>
        <w:keepLines w:val="0"/>
        <w:pageBreakBefore w:val="0"/>
        <w:kinsoku/>
        <w:wordWrap/>
        <w:overflowPunct/>
        <w:topLinePunct w:val="0"/>
        <w:bidi w:val="0"/>
        <w:snapToGrid/>
        <w:spacing w:after="240" w:line="360" w:lineRule="auto"/>
        <w:ind w:right="480" w:firstLine="482" w:firstLineChars="200"/>
        <w:jc w:val="right"/>
        <w:textAlignment w:val="auto"/>
        <w:rPr>
          <w:rFonts w:hint="eastAsia" w:ascii="宋体" w:hAnsi="宋体" w:eastAsia="宋体" w:cs="宋体"/>
          <w:b/>
          <w:bCs/>
          <w:kern w:val="0"/>
          <w:sz w:val="24"/>
          <w:szCs w:val="24"/>
          <w:lang w:val="zh-CN"/>
        </w:rPr>
      </w:pPr>
      <w:r>
        <w:rPr>
          <w:rFonts w:hint="eastAsia" w:ascii="宋体" w:hAnsi="宋体" w:eastAsia="宋体" w:cs="宋体"/>
          <w:b/>
          <w:sz w:val="24"/>
          <w:szCs w:val="24"/>
        </w:rPr>
        <w:t>年  月  日</w:t>
      </w:r>
    </w:p>
    <w:p w14:paraId="3A597B25">
      <w:pPr>
        <w:pStyle w:val="22"/>
        <w:rPr>
          <w:rFonts w:hint="eastAsia"/>
        </w:rPr>
        <w:sectPr>
          <w:footerReference r:id="rId8" w:type="default"/>
          <w:pgSz w:w="11906" w:h="16838"/>
          <w:pgMar w:top="1440" w:right="1800" w:bottom="1440" w:left="1800" w:header="851" w:footer="992" w:gutter="0"/>
          <w:pgNumType w:fmt="decimal" w:start="3"/>
          <w:cols w:space="425" w:num="1"/>
          <w:docGrid w:type="lines" w:linePitch="312" w:charSpace="0"/>
        </w:sectPr>
      </w:pPr>
    </w:p>
    <w:p w14:paraId="0CA749C3">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残疾人福利性单位声明函</w:t>
      </w:r>
    </w:p>
    <w:p w14:paraId="40AECD3E">
      <w:pPr>
        <w:ind w:firstLine="0" w:firstLineChars="0"/>
        <w:jc w:val="center"/>
        <w:rPr>
          <w:rFonts w:hint="eastAsia" w:ascii="宋体" w:hAnsi="宋体" w:eastAsia="宋体" w:cs="宋体"/>
          <w:b/>
          <w:sz w:val="24"/>
          <w:szCs w:val="24"/>
        </w:rPr>
      </w:pPr>
    </w:p>
    <w:p w14:paraId="7DE11CC8">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109" w:name="_Toc27032"/>
      <w:r>
        <w:rPr>
          <w:rFonts w:hint="eastAsia" w:ascii="宋体" w:hAnsi="宋体" w:eastAsia="宋体" w:cs="宋体"/>
          <w:b/>
          <w:color w:val="000000" w:themeColor="text1"/>
          <w:sz w:val="24"/>
          <w:szCs w:val="24"/>
          <w:lang w:val="zh-CN" w:eastAsia="zh-CN"/>
          <w14:textFill>
            <w14:solidFill>
              <w14:schemeClr w14:val="tx1"/>
            </w14:solidFill>
          </w14:textFill>
        </w:rPr>
        <w:t>残疾人福利性单位声明函</w:t>
      </w:r>
      <w:bookmarkEnd w:id="109"/>
    </w:p>
    <w:p w14:paraId="41B35380">
      <w:pPr>
        <w:spacing w:after="156" w:afterLines="50"/>
        <w:ind w:firstLine="0" w:firstLineChars="0"/>
        <w:rPr>
          <w:rFonts w:hint="eastAsia" w:ascii="宋体" w:hAnsi="宋体" w:eastAsia="宋体" w:cs="宋体"/>
          <w:b/>
          <w:bCs/>
          <w:sz w:val="24"/>
          <w:szCs w:val="24"/>
          <w:lang w:val="zh-CN"/>
        </w:rPr>
      </w:pPr>
    </w:p>
    <w:p w14:paraId="515F184B">
      <w:pPr>
        <w:spacing w:after="156" w:afterLines="50"/>
        <w:ind w:firstLine="0" w:firstLineChars="0"/>
        <w:rPr>
          <w:rFonts w:hint="eastAsia" w:ascii="宋体" w:hAnsi="宋体" w:eastAsia="宋体" w:cs="宋体"/>
          <w:b/>
          <w:bCs/>
          <w:sz w:val="24"/>
          <w:szCs w:val="24"/>
          <w:lang w:val="zh-CN"/>
        </w:rPr>
      </w:pPr>
      <w:r>
        <w:rPr>
          <w:rFonts w:hint="eastAsia" w:ascii="宋体" w:hAnsi="宋体" w:eastAsia="宋体" w:cs="宋体"/>
          <w:b/>
          <w:bCs/>
          <w:sz w:val="24"/>
          <w:szCs w:val="24"/>
          <w:lang w:val="zh-CN"/>
        </w:rPr>
        <w:t>致：海东乐都区乐欣中堃项目管理有限公司</w:t>
      </w:r>
    </w:p>
    <w:p w14:paraId="0968CCE1">
      <w:pPr>
        <w:spacing w:line="360" w:lineRule="auto"/>
        <w:ind w:firstLine="480"/>
        <w:rPr>
          <w:rFonts w:hint="eastAsia" w:ascii="宋体" w:hAnsi="宋体" w:eastAsia="宋体" w:cs="宋体"/>
          <w:sz w:val="24"/>
          <w:szCs w:val="24"/>
        </w:rPr>
      </w:pPr>
    </w:p>
    <w:p w14:paraId="77F9908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人，安置的残疾人人数</w:t>
      </w:r>
      <w:r>
        <w:rPr>
          <w:rFonts w:hint="eastAsia" w:ascii="宋体" w:hAnsi="宋体" w:eastAsia="宋体" w:cs="宋体"/>
          <w:sz w:val="24"/>
          <w:szCs w:val="24"/>
          <w:u w:val="single"/>
        </w:rPr>
        <w:t xml:space="preserve">      </w:t>
      </w:r>
      <w:r>
        <w:rPr>
          <w:rFonts w:hint="eastAsia" w:ascii="宋体" w:hAnsi="宋体" w:eastAsia="宋体" w:cs="宋体"/>
          <w:sz w:val="24"/>
          <w:szCs w:val="24"/>
        </w:rPr>
        <w:t>人。且本单位参加</w:t>
      </w:r>
      <w:r>
        <w:rPr>
          <w:rFonts w:hint="eastAsia" w:ascii="宋体" w:hAnsi="宋体" w:eastAsia="宋体" w:cs="宋体"/>
          <w:kern w:val="0"/>
          <w:sz w:val="24"/>
          <w:szCs w:val="24"/>
          <w:u w:val="single"/>
          <w:lang w:val="zh-CN"/>
        </w:rPr>
        <w:t>海东市乐都区“示范性儿童之家”项目（乐欣中堃竞谈（货物）2025-019</w:t>
      </w:r>
      <w:r>
        <w:rPr>
          <w:rFonts w:hint="eastAsia" w:ascii="宋体" w:hAnsi="宋体" w:cs="宋体"/>
          <w:bCs/>
          <w:color w:val="auto"/>
          <w:sz w:val="24"/>
          <w:szCs w:val="24"/>
          <w:u w:val="single"/>
        </w:rPr>
        <w:t>）</w:t>
      </w:r>
      <w:r>
        <w:rPr>
          <w:rFonts w:hint="eastAsia" w:ascii="宋体" w:hAnsi="宋体" w:eastAsia="宋体" w:cs="宋体"/>
          <w:sz w:val="24"/>
          <w:szCs w:val="24"/>
        </w:rPr>
        <w:t>活动提供本单位制造的货物（由本单位承担工程/提供服务），或者提供其他残疾人福利性公司制造的货物（不包括使用非残疾人福利性公司注册商标的货物）。</w:t>
      </w:r>
    </w:p>
    <w:p w14:paraId="3EF4764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0281949D">
      <w:pPr>
        <w:spacing w:line="360" w:lineRule="auto"/>
        <w:ind w:firstLine="480"/>
        <w:rPr>
          <w:rFonts w:hint="eastAsia" w:ascii="宋体" w:hAnsi="宋体" w:eastAsia="宋体" w:cs="宋体"/>
          <w:sz w:val="24"/>
          <w:szCs w:val="24"/>
        </w:rPr>
      </w:pPr>
    </w:p>
    <w:p w14:paraId="39274803">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注：若无此项内容，可不提供此函。</w:t>
      </w:r>
    </w:p>
    <w:p w14:paraId="648050F7">
      <w:pPr>
        <w:spacing w:line="360" w:lineRule="auto"/>
        <w:ind w:firstLine="480"/>
        <w:rPr>
          <w:rFonts w:hint="eastAsia" w:ascii="宋体" w:hAnsi="宋体" w:eastAsia="宋体" w:cs="宋体"/>
          <w:sz w:val="24"/>
          <w:szCs w:val="24"/>
        </w:rPr>
      </w:pPr>
    </w:p>
    <w:p w14:paraId="7A16029B">
      <w:pPr>
        <w:spacing w:line="360" w:lineRule="auto"/>
        <w:ind w:firstLine="480"/>
        <w:rPr>
          <w:rFonts w:hint="eastAsia" w:ascii="宋体" w:hAnsi="宋体" w:eastAsia="宋体" w:cs="宋体"/>
          <w:sz w:val="24"/>
          <w:szCs w:val="24"/>
        </w:rPr>
      </w:pPr>
    </w:p>
    <w:p w14:paraId="471F1EC6">
      <w:pPr>
        <w:spacing w:line="360" w:lineRule="auto"/>
        <w:ind w:firstLine="480"/>
        <w:rPr>
          <w:rFonts w:hint="eastAsia" w:ascii="宋体" w:hAnsi="宋体" w:eastAsia="宋体" w:cs="宋体"/>
          <w:sz w:val="24"/>
          <w:szCs w:val="24"/>
        </w:rPr>
      </w:pPr>
    </w:p>
    <w:p w14:paraId="05F0BB37">
      <w:pPr>
        <w:spacing w:line="360" w:lineRule="auto"/>
        <w:ind w:firstLine="480"/>
        <w:rPr>
          <w:rFonts w:hint="eastAsia" w:ascii="宋体" w:hAnsi="宋体" w:eastAsia="宋体" w:cs="宋体"/>
          <w:sz w:val="24"/>
          <w:szCs w:val="24"/>
        </w:rPr>
      </w:pPr>
    </w:p>
    <w:p w14:paraId="7F58E9A8">
      <w:pPr>
        <w:spacing w:line="360" w:lineRule="auto"/>
        <w:ind w:firstLine="480"/>
        <w:rPr>
          <w:rFonts w:hint="eastAsia" w:ascii="宋体" w:hAnsi="宋体" w:eastAsia="宋体" w:cs="宋体"/>
          <w:sz w:val="24"/>
          <w:szCs w:val="24"/>
        </w:rPr>
      </w:pPr>
    </w:p>
    <w:p w14:paraId="5011C1B7">
      <w:pPr>
        <w:spacing w:line="360" w:lineRule="auto"/>
        <w:ind w:firstLine="0" w:firstLineChars="0"/>
        <w:rPr>
          <w:rFonts w:hint="eastAsia" w:ascii="宋体" w:hAnsi="宋体" w:eastAsia="宋体" w:cs="宋体"/>
          <w:sz w:val="24"/>
          <w:szCs w:val="24"/>
        </w:rPr>
      </w:pPr>
    </w:p>
    <w:p w14:paraId="6A82478D">
      <w:pPr>
        <w:spacing w:line="360" w:lineRule="auto"/>
        <w:ind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631077AC">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4CD3C6FF">
      <w:pPr>
        <w:ind w:right="1080" w:firstLine="482"/>
        <w:jc w:val="right"/>
        <w:rPr>
          <w:rFonts w:hint="eastAsia" w:ascii="宋体" w:hAnsi="宋体" w:eastAsia="宋体" w:cs="宋体"/>
          <w:b/>
          <w:sz w:val="24"/>
          <w:szCs w:val="24"/>
        </w:rPr>
      </w:pPr>
      <w:r>
        <w:rPr>
          <w:rFonts w:hint="eastAsia" w:ascii="宋体" w:hAnsi="宋体" w:eastAsia="宋体" w:cs="宋体"/>
          <w:b/>
          <w:sz w:val="24"/>
          <w:szCs w:val="24"/>
        </w:rPr>
        <w:t>年  月  日</w:t>
      </w:r>
    </w:p>
    <w:p w14:paraId="58484D91">
      <w:pPr>
        <w:snapToGrid w:val="0"/>
        <w:ind w:firstLine="0" w:firstLineChars="0"/>
        <w:outlineLvl w:val="9"/>
        <w:rPr>
          <w:rFonts w:hint="eastAsia" w:ascii="宋体" w:hAnsi="宋体" w:eastAsia="宋体" w:cs="宋体"/>
          <w:b/>
          <w:color w:val="000000"/>
          <w:sz w:val="24"/>
          <w:szCs w:val="24"/>
          <w:lang w:val="zh-CN"/>
        </w:rPr>
      </w:pPr>
    </w:p>
    <w:p w14:paraId="237EF5EE">
      <w:pPr>
        <w:snapToGrid w:val="0"/>
        <w:ind w:firstLine="0" w:firstLineChars="0"/>
        <w:outlineLvl w:val="9"/>
        <w:rPr>
          <w:rFonts w:hint="eastAsia" w:ascii="宋体" w:hAnsi="宋体" w:eastAsia="宋体" w:cs="宋体"/>
          <w:b/>
          <w:color w:val="000000"/>
          <w:sz w:val="24"/>
          <w:szCs w:val="24"/>
          <w:lang w:val="zh-CN"/>
        </w:rPr>
      </w:pPr>
    </w:p>
    <w:p w14:paraId="03C392A5">
      <w:pPr>
        <w:snapToGrid w:val="0"/>
        <w:ind w:firstLine="0" w:firstLineChars="0"/>
        <w:outlineLvl w:val="9"/>
        <w:rPr>
          <w:rFonts w:hint="eastAsia" w:ascii="宋体" w:hAnsi="宋体" w:eastAsia="宋体" w:cs="宋体"/>
          <w:b/>
          <w:color w:val="000000"/>
          <w:sz w:val="24"/>
          <w:szCs w:val="24"/>
          <w:lang w:val="zh-CN"/>
        </w:rPr>
      </w:pPr>
    </w:p>
    <w:p w14:paraId="57BF9FF9">
      <w:pPr>
        <w:pStyle w:val="25"/>
        <w:rPr>
          <w:rFonts w:hint="eastAsia" w:ascii="宋体" w:hAnsi="宋体" w:eastAsia="宋体" w:cs="宋体"/>
          <w:sz w:val="24"/>
          <w:szCs w:val="24"/>
          <w:lang w:val="zh-CN"/>
        </w:rPr>
      </w:pPr>
    </w:p>
    <w:p w14:paraId="669F979F">
      <w:pPr>
        <w:rPr>
          <w:rFonts w:hint="eastAsia" w:ascii="宋体" w:hAnsi="宋体" w:eastAsia="宋体" w:cs="宋体"/>
          <w:sz w:val="24"/>
          <w:szCs w:val="24"/>
          <w:lang w:val="zh-CN"/>
        </w:rPr>
      </w:pPr>
    </w:p>
    <w:p w14:paraId="42B4D059">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lang w:val="zh-CN"/>
          <w14:textFill>
            <w14:solidFill>
              <w14:schemeClr w14:val="tx1"/>
            </w14:solidFill>
          </w14:textFill>
        </w:rPr>
        <w:t>监狱企业证明资料（不属于监狱企业的无需提供）</w:t>
      </w:r>
    </w:p>
    <w:p w14:paraId="3DEE53C7">
      <w:pPr>
        <w:spacing w:line="480" w:lineRule="auto"/>
        <w:ind w:firstLine="480"/>
        <w:rPr>
          <w:rFonts w:hint="eastAsia" w:ascii="宋体" w:hAnsi="宋体" w:eastAsia="宋体" w:cs="宋体"/>
          <w:sz w:val="24"/>
          <w:szCs w:val="24"/>
        </w:rPr>
      </w:pPr>
    </w:p>
    <w:p w14:paraId="32C85BE2">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42D221B6">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 xml:space="preserve">                 </w:t>
      </w:r>
    </w:p>
    <w:p w14:paraId="5FE00BE1">
      <w:pPr>
        <w:spacing w:line="480" w:lineRule="auto"/>
        <w:ind w:firstLine="480"/>
        <w:rPr>
          <w:rFonts w:hint="eastAsia" w:ascii="宋体" w:hAnsi="宋体" w:eastAsia="宋体" w:cs="宋体"/>
          <w:sz w:val="24"/>
          <w:szCs w:val="24"/>
        </w:rPr>
      </w:pPr>
    </w:p>
    <w:p w14:paraId="4FB447FA">
      <w:pPr>
        <w:spacing w:line="48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单位名称：       （公章）</w:t>
      </w:r>
    </w:p>
    <w:p w14:paraId="42616DA7">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 xml:space="preserve">        法定代表人或委托代理人：       （签字或盖章）</w:t>
      </w:r>
    </w:p>
    <w:p w14:paraId="16FD1174">
      <w:pPr>
        <w:spacing w:before="156" w:beforeLines="50" w:line="480" w:lineRule="auto"/>
        <w:ind w:firstLine="480"/>
        <w:jc w:val="center"/>
        <w:rPr>
          <w:rFonts w:hint="eastAsia" w:ascii="宋体" w:hAnsi="宋体" w:eastAsia="宋体" w:cs="宋体"/>
          <w:spacing w:val="6"/>
          <w:sz w:val="24"/>
          <w:szCs w:val="24"/>
        </w:rPr>
      </w:pPr>
      <w:r>
        <w:rPr>
          <w:rFonts w:hint="eastAsia" w:ascii="宋体" w:hAnsi="宋体" w:eastAsia="宋体" w:cs="宋体"/>
          <w:bCs/>
          <w:color w:val="000000"/>
          <w:sz w:val="24"/>
          <w:szCs w:val="24"/>
        </w:rPr>
        <w:t xml:space="preserve">                                    </w:t>
      </w:r>
      <w:r>
        <w:rPr>
          <w:rFonts w:hint="eastAsia" w:ascii="宋体" w:hAnsi="宋体" w:eastAsia="宋体" w:cs="宋体"/>
          <w:sz w:val="24"/>
          <w:szCs w:val="24"/>
        </w:rPr>
        <w:t>年   月  日</w:t>
      </w:r>
    </w:p>
    <w:p w14:paraId="7C2A4A70">
      <w:pPr>
        <w:ind w:firstLine="480"/>
        <w:rPr>
          <w:rFonts w:hint="eastAsia" w:ascii="宋体" w:hAnsi="宋体" w:eastAsia="宋体" w:cs="宋体"/>
          <w:sz w:val="24"/>
          <w:szCs w:val="24"/>
        </w:rPr>
      </w:pPr>
    </w:p>
    <w:p w14:paraId="7C594FA5">
      <w:pPr>
        <w:ind w:firstLine="482"/>
        <w:rPr>
          <w:rFonts w:hint="eastAsia" w:ascii="宋体" w:hAnsi="宋体" w:eastAsia="宋体" w:cs="宋体"/>
          <w:b/>
          <w:bCs/>
          <w:sz w:val="24"/>
          <w:szCs w:val="24"/>
        </w:rPr>
      </w:pPr>
      <w:r>
        <w:rPr>
          <w:rFonts w:hint="eastAsia" w:ascii="宋体" w:hAnsi="宋体" w:eastAsia="宋体" w:cs="宋体"/>
          <w:b/>
          <w:bCs/>
          <w:sz w:val="24"/>
          <w:szCs w:val="24"/>
        </w:rPr>
        <w:t>说明：</w:t>
      </w:r>
      <w:r>
        <w:rPr>
          <w:rFonts w:hint="eastAsia" w:ascii="宋体" w:hAnsi="宋体" w:cs="宋体"/>
          <w:b/>
          <w:bCs/>
          <w:sz w:val="24"/>
          <w:szCs w:val="24"/>
          <w:lang w:eastAsia="zh-CN"/>
        </w:rPr>
        <w:t>供应商</w:t>
      </w:r>
      <w:r>
        <w:rPr>
          <w:rFonts w:hint="eastAsia" w:ascii="宋体" w:hAnsi="宋体" w:eastAsia="宋体" w:cs="宋体"/>
          <w:b/>
          <w:bCs/>
          <w:sz w:val="24"/>
          <w:szCs w:val="24"/>
        </w:rPr>
        <w:t>参加本次采购活动时，提供虚假监狱企业证明资料的，以提供虚假材料谋取成交处理。</w:t>
      </w:r>
    </w:p>
    <w:p w14:paraId="4B1B6074">
      <w:pPr>
        <w:rPr>
          <w:rFonts w:hint="eastAsia"/>
        </w:rPr>
        <w:sectPr>
          <w:pgSz w:w="11906" w:h="16838"/>
          <w:pgMar w:top="1440" w:right="1800" w:bottom="1440" w:left="1800" w:header="851" w:footer="992" w:gutter="0"/>
          <w:pgNumType w:fmt="decimal"/>
          <w:cols w:space="720" w:num="1"/>
          <w:docGrid w:type="lines" w:linePitch="312" w:charSpace="0"/>
        </w:sectPr>
      </w:pPr>
    </w:p>
    <w:p w14:paraId="7C173534">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eastAsia="zh-CN"/>
          <w14:textFill>
            <w14:solidFill>
              <w14:schemeClr w14:val="tx1"/>
            </w14:solidFill>
          </w14:textFill>
        </w:rPr>
      </w:pPr>
      <w:bookmarkStart w:id="110" w:name="_Toc14329"/>
      <w:bookmarkStart w:id="111" w:name="_Toc27644"/>
      <w:bookmarkStart w:id="112" w:name="_Toc12829"/>
      <w:bookmarkStart w:id="113" w:name="_Toc21496"/>
      <w:bookmarkStart w:id="114" w:name="_Toc5560"/>
      <w:bookmarkStart w:id="115" w:name="_Toc170"/>
      <w:bookmarkStart w:id="116" w:name="_Toc2698"/>
      <w:bookmarkStart w:id="117" w:name="_Toc26743"/>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16</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zh-CN" w:eastAsia="zh-CN"/>
          <w14:textFill>
            <w14:solidFill>
              <w14:schemeClr w14:val="tx1"/>
            </w14:solidFill>
          </w14:textFill>
        </w:rPr>
        <w:t>竞争性</w:t>
      </w:r>
      <w:r>
        <w:rPr>
          <w:rFonts w:hint="eastAsia" w:ascii="宋体" w:hAnsi="宋体" w:eastAsia="宋体" w:cs="宋体"/>
          <w:b/>
          <w:color w:val="000000" w:themeColor="text1"/>
          <w:sz w:val="24"/>
          <w:szCs w:val="24"/>
          <w:lang w:val="en-US" w:eastAsia="zh-CN"/>
          <w14:textFill>
            <w14:solidFill>
              <w14:schemeClr w14:val="tx1"/>
            </w14:solidFill>
          </w14:textFill>
        </w:rPr>
        <w:t>谈判</w:t>
      </w:r>
      <w:r>
        <w:rPr>
          <w:rFonts w:hint="eastAsia" w:ascii="宋体" w:hAnsi="宋体" w:eastAsia="宋体" w:cs="宋体"/>
          <w:b/>
          <w:color w:val="000000" w:themeColor="text1"/>
          <w:sz w:val="24"/>
          <w:szCs w:val="24"/>
          <w:lang w:val="zh-CN" w:eastAsia="zh-CN"/>
          <w14:textFill>
            <w14:solidFill>
              <w14:schemeClr w14:val="tx1"/>
            </w14:solidFill>
          </w14:textFill>
        </w:rPr>
        <w:t>最终报价表</w:t>
      </w:r>
      <w:bookmarkEnd w:id="110"/>
      <w:bookmarkEnd w:id="111"/>
      <w:bookmarkEnd w:id="112"/>
      <w:bookmarkEnd w:id="113"/>
      <w:bookmarkEnd w:id="114"/>
      <w:bookmarkEnd w:id="115"/>
      <w:bookmarkEnd w:id="116"/>
    </w:p>
    <w:p w14:paraId="1168FDB2">
      <w:pPr>
        <w:keepNext w:val="0"/>
        <w:keepLines w:val="0"/>
        <w:pageBreakBefore w:val="0"/>
        <w:kinsoku/>
        <w:overflowPunct/>
        <w:topLinePunct w:val="0"/>
        <w:autoSpaceDE w:val="0"/>
        <w:autoSpaceDN w:val="0"/>
        <w:bidi w:val="0"/>
        <w:adjustRightInd w:val="0"/>
        <w:spacing w:after="240" w:line="360" w:lineRule="auto"/>
        <w:ind w:firstLine="482" w:firstLineChars="200"/>
        <w:jc w:val="center"/>
        <w:rPr>
          <w:rFonts w:hint="eastAsia" w:ascii="宋体" w:hAnsi="宋体" w:eastAsia="宋体" w:cs="宋体"/>
          <w:sz w:val="24"/>
          <w:szCs w:val="24"/>
        </w:rPr>
      </w:pPr>
      <w:r>
        <w:rPr>
          <w:rFonts w:hint="eastAsia" w:ascii="宋体" w:hAnsi="宋体" w:eastAsia="宋体" w:cs="宋体"/>
          <w:b/>
          <w:color w:val="000000" w:themeColor="text1"/>
          <w:sz w:val="24"/>
          <w:szCs w:val="24"/>
          <w:lang w:val="zh-CN" w:eastAsia="zh-CN"/>
          <w14:textFill>
            <w14:solidFill>
              <w14:schemeClr w14:val="tx1"/>
            </w14:solidFill>
          </w14:textFill>
        </w:rPr>
        <w:t>竞争性</w:t>
      </w:r>
      <w:r>
        <w:rPr>
          <w:rFonts w:hint="eastAsia" w:ascii="宋体" w:hAnsi="宋体" w:eastAsia="宋体" w:cs="宋体"/>
          <w:b/>
          <w:color w:val="000000" w:themeColor="text1"/>
          <w:sz w:val="24"/>
          <w:szCs w:val="24"/>
          <w:lang w:val="en-US" w:eastAsia="zh-CN"/>
          <w14:textFill>
            <w14:solidFill>
              <w14:schemeClr w14:val="tx1"/>
            </w14:solidFill>
          </w14:textFill>
        </w:rPr>
        <w:t>谈判</w:t>
      </w:r>
      <w:r>
        <w:rPr>
          <w:rFonts w:hint="eastAsia" w:ascii="宋体" w:hAnsi="宋体" w:eastAsia="宋体" w:cs="宋体"/>
          <w:b/>
          <w:color w:val="000000" w:themeColor="text1"/>
          <w:sz w:val="24"/>
          <w:szCs w:val="24"/>
          <w:lang w:val="zh-CN" w:eastAsia="zh-CN"/>
          <w14:textFill>
            <w14:solidFill>
              <w14:schemeClr w14:val="tx1"/>
            </w14:solidFill>
          </w14:textFill>
        </w:rPr>
        <w:t xml:space="preserve">最终报价表 </w:t>
      </w:r>
      <w:r>
        <w:rPr>
          <w:rFonts w:hint="eastAsia" w:ascii="宋体" w:hAnsi="宋体" w:eastAsia="宋体" w:cs="宋体"/>
          <w:b/>
          <w:bCs/>
          <w:kern w:val="0"/>
          <w:sz w:val="24"/>
          <w:szCs w:val="24"/>
          <w:lang w:val="zh-CN"/>
        </w:rPr>
        <w:t xml:space="preserve"> </w:t>
      </w:r>
    </w:p>
    <w:p w14:paraId="1AD6FE5A">
      <w:pPr>
        <w:pStyle w:val="12"/>
        <w:keepNext w:val="0"/>
        <w:keepLines w:val="0"/>
        <w:pageBreakBefore w:val="0"/>
        <w:kinsoku/>
        <w:overflowPunct/>
        <w:topLinePunct w:val="0"/>
        <w:bidi w:val="0"/>
        <w:spacing w:after="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供应商名称：     </w:t>
      </w:r>
    </w:p>
    <w:p w14:paraId="490C1DFB">
      <w:pPr>
        <w:keepNext w:val="0"/>
        <w:keepLines w:val="0"/>
        <w:pageBreakBefore w:val="0"/>
        <w:kinsoku/>
        <w:overflowPunct/>
        <w:topLinePunct w:val="0"/>
        <w:bidi w:val="0"/>
        <w:spacing w:after="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单位：人民币（元）</w:t>
      </w:r>
    </w:p>
    <w:tbl>
      <w:tblPr>
        <w:tblStyle w:val="27"/>
        <w:tblW w:w="989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2446"/>
        <w:gridCol w:w="1381"/>
        <w:gridCol w:w="1597"/>
        <w:gridCol w:w="1597"/>
        <w:gridCol w:w="1597"/>
      </w:tblGrid>
      <w:tr w14:paraId="4628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272" w:type="dxa"/>
            <w:noWrap w:val="0"/>
            <w:vAlign w:val="center"/>
          </w:tcPr>
          <w:p w14:paraId="2D893A17">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项目名称</w:t>
            </w:r>
          </w:p>
        </w:tc>
        <w:tc>
          <w:tcPr>
            <w:tcW w:w="2446" w:type="dxa"/>
            <w:noWrap w:val="0"/>
            <w:vAlign w:val="center"/>
          </w:tcPr>
          <w:p w14:paraId="07FF7E37">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bCs/>
                <w:sz w:val="24"/>
                <w:szCs w:val="24"/>
              </w:rPr>
              <w:t>竞争性</w:t>
            </w:r>
            <w:r>
              <w:rPr>
                <w:rFonts w:hint="eastAsia" w:ascii="宋体" w:hAnsi="宋体" w:eastAsia="宋体" w:cs="宋体"/>
                <w:bCs/>
                <w:sz w:val="24"/>
                <w:szCs w:val="24"/>
                <w:lang w:val="en-US" w:eastAsia="zh-CN"/>
              </w:rPr>
              <w:t>谈判</w:t>
            </w:r>
            <w:r>
              <w:rPr>
                <w:rFonts w:hint="eastAsia" w:ascii="宋体" w:hAnsi="宋体" w:eastAsia="宋体" w:cs="宋体"/>
                <w:bCs/>
                <w:sz w:val="24"/>
                <w:szCs w:val="24"/>
              </w:rPr>
              <w:t>最终报价</w:t>
            </w:r>
          </w:p>
        </w:tc>
        <w:tc>
          <w:tcPr>
            <w:tcW w:w="1381" w:type="dxa"/>
            <w:noWrap w:val="0"/>
            <w:vAlign w:val="center"/>
          </w:tcPr>
          <w:p w14:paraId="02EF4E37">
            <w:pPr>
              <w:keepNext w:val="0"/>
              <w:keepLines w:val="0"/>
              <w:pageBreakBefore w:val="0"/>
              <w:kinsoku/>
              <w:overflowPunct/>
              <w:topLinePunct w:val="0"/>
              <w:bidi w:val="0"/>
              <w:spacing w:after="240" w:line="360" w:lineRule="auto"/>
              <w:ind w:left="0" w:leftChars="0" w:firstLine="240" w:firstLineChars="100"/>
              <w:jc w:val="both"/>
              <w:rPr>
                <w:rFonts w:hint="eastAsia" w:ascii="宋体" w:hAnsi="宋体" w:eastAsia="宋体" w:cs="宋体"/>
                <w:sz w:val="24"/>
                <w:szCs w:val="24"/>
              </w:rPr>
            </w:pPr>
            <w:r>
              <w:rPr>
                <w:rFonts w:hint="eastAsia" w:ascii="宋体" w:hAnsi="宋体" w:eastAsia="宋体" w:cs="宋体"/>
                <w:sz w:val="24"/>
                <w:szCs w:val="24"/>
              </w:rPr>
              <w:t>交货期</w:t>
            </w:r>
          </w:p>
        </w:tc>
        <w:tc>
          <w:tcPr>
            <w:tcW w:w="1597" w:type="dxa"/>
            <w:noWrap w:val="0"/>
            <w:vAlign w:val="center"/>
          </w:tcPr>
          <w:p w14:paraId="0169E28F">
            <w:pPr>
              <w:keepNext w:val="0"/>
              <w:keepLines w:val="0"/>
              <w:pageBreakBefore w:val="0"/>
              <w:kinsoku/>
              <w:overflowPunct/>
              <w:topLinePunct w:val="0"/>
              <w:bidi w:val="0"/>
              <w:spacing w:after="240" w:line="360" w:lineRule="auto"/>
              <w:ind w:left="0" w:leftChars="0" w:firstLine="240" w:firstLineChars="100"/>
              <w:jc w:val="both"/>
              <w:rPr>
                <w:rFonts w:hint="eastAsia" w:ascii="宋体" w:hAnsi="宋体" w:eastAsia="宋体" w:cs="宋体"/>
                <w:sz w:val="24"/>
                <w:szCs w:val="24"/>
              </w:rPr>
            </w:pPr>
            <w:r>
              <w:rPr>
                <w:rFonts w:hint="eastAsia" w:ascii="宋体" w:hAnsi="宋体" w:eastAsia="宋体" w:cs="宋体"/>
                <w:sz w:val="24"/>
                <w:szCs w:val="24"/>
              </w:rPr>
              <w:t>交货地点</w:t>
            </w:r>
          </w:p>
        </w:tc>
        <w:tc>
          <w:tcPr>
            <w:tcW w:w="1597" w:type="dxa"/>
            <w:noWrap w:val="0"/>
            <w:vAlign w:val="center"/>
          </w:tcPr>
          <w:p w14:paraId="069E9E91">
            <w:pPr>
              <w:keepNext w:val="0"/>
              <w:keepLines w:val="0"/>
              <w:pageBreakBefore w:val="0"/>
              <w:kinsoku/>
              <w:overflowPunct/>
              <w:topLinePunct w:val="0"/>
              <w:bidi w:val="0"/>
              <w:spacing w:after="240" w:line="360" w:lineRule="auto"/>
              <w:ind w:left="0" w:leftChars="0"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1597" w:type="dxa"/>
            <w:noWrap w:val="0"/>
            <w:vAlign w:val="center"/>
          </w:tcPr>
          <w:p w14:paraId="45A2379B">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备注</w:t>
            </w:r>
          </w:p>
        </w:tc>
      </w:tr>
      <w:tr w14:paraId="5C4D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72" w:type="dxa"/>
            <w:vMerge w:val="restart"/>
            <w:noWrap w:val="0"/>
            <w:vAlign w:val="center"/>
          </w:tcPr>
          <w:p w14:paraId="30FBC1BA">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2446" w:type="dxa"/>
            <w:noWrap w:val="0"/>
            <w:vAlign w:val="center"/>
          </w:tcPr>
          <w:p w14:paraId="3359604F">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小写：</w:t>
            </w:r>
          </w:p>
        </w:tc>
        <w:tc>
          <w:tcPr>
            <w:tcW w:w="1381" w:type="dxa"/>
            <w:vMerge w:val="restart"/>
            <w:noWrap w:val="0"/>
            <w:vAlign w:val="center"/>
          </w:tcPr>
          <w:p w14:paraId="0E7A44EB">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restart"/>
            <w:noWrap w:val="0"/>
            <w:vAlign w:val="center"/>
          </w:tcPr>
          <w:p w14:paraId="7320F4E8">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restart"/>
            <w:noWrap w:val="0"/>
            <w:vAlign w:val="center"/>
          </w:tcPr>
          <w:p w14:paraId="1CF0896F">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restart"/>
            <w:noWrap w:val="0"/>
            <w:vAlign w:val="center"/>
          </w:tcPr>
          <w:p w14:paraId="10B37288">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r w14:paraId="1F9A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72" w:type="dxa"/>
            <w:vMerge w:val="continue"/>
            <w:noWrap w:val="0"/>
            <w:vAlign w:val="center"/>
          </w:tcPr>
          <w:p w14:paraId="18CD4E97">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2446" w:type="dxa"/>
            <w:noWrap w:val="0"/>
            <w:vAlign w:val="center"/>
          </w:tcPr>
          <w:p w14:paraId="24E6FBB0">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大写：</w:t>
            </w:r>
          </w:p>
        </w:tc>
        <w:tc>
          <w:tcPr>
            <w:tcW w:w="1381" w:type="dxa"/>
            <w:vMerge w:val="continue"/>
            <w:noWrap w:val="0"/>
            <w:vAlign w:val="center"/>
          </w:tcPr>
          <w:p w14:paraId="4FE9C02A">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continue"/>
            <w:noWrap w:val="0"/>
            <w:vAlign w:val="center"/>
          </w:tcPr>
          <w:p w14:paraId="1449D466">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continue"/>
            <w:noWrap w:val="0"/>
            <w:vAlign w:val="center"/>
          </w:tcPr>
          <w:p w14:paraId="07689F73">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continue"/>
            <w:noWrap w:val="0"/>
            <w:vAlign w:val="center"/>
          </w:tcPr>
          <w:p w14:paraId="28FD133D">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r w14:paraId="3D11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718" w:type="dxa"/>
            <w:gridSpan w:val="2"/>
            <w:noWrap w:val="0"/>
            <w:vAlign w:val="center"/>
          </w:tcPr>
          <w:p w14:paraId="4A6403D1">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优惠承诺及其他：</w:t>
            </w:r>
          </w:p>
        </w:tc>
        <w:tc>
          <w:tcPr>
            <w:tcW w:w="6172" w:type="dxa"/>
            <w:gridSpan w:val="4"/>
            <w:noWrap w:val="0"/>
            <w:vAlign w:val="center"/>
          </w:tcPr>
          <w:p w14:paraId="420879E7">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bl>
    <w:p w14:paraId="12B550E6">
      <w:pPr>
        <w:keepNext w:val="0"/>
        <w:keepLines w:val="0"/>
        <w:pageBreakBefore w:val="0"/>
        <w:widowControl w:val="0"/>
        <w:kinsoku/>
        <w:wordWrap/>
        <w:overflowPunct/>
        <w:topLinePunct w:val="0"/>
        <w:autoSpaceDE/>
        <w:autoSpaceDN/>
        <w:bidi w:val="0"/>
        <w:adjustRightInd/>
        <w:snapToGrid/>
        <w:spacing w:after="240" w:line="360" w:lineRule="auto"/>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注：1.填写此表时不得改变表格形式。</w:t>
      </w:r>
    </w:p>
    <w:p w14:paraId="5A8F7B98">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cs="宋体"/>
          <w:bCs/>
          <w:sz w:val="24"/>
          <w:szCs w:val="24"/>
          <w:lang w:val="en-US" w:eastAsia="zh-CN"/>
        </w:rPr>
        <w:t>2.</w:t>
      </w: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谈判</w:t>
      </w:r>
      <w:r>
        <w:rPr>
          <w:rFonts w:hint="eastAsia" w:ascii="宋体" w:hAnsi="宋体" w:eastAsia="宋体" w:cs="宋体"/>
          <w:bCs/>
          <w:sz w:val="24"/>
          <w:szCs w:val="24"/>
          <w:lang w:val="zh-CN"/>
        </w:rPr>
        <w:t>总价”为</w:t>
      </w:r>
      <w:r>
        <w:rPr>
          <w:rFonts w:hint="eastAsia" w:ascii="宋体" w:hAnsi="宋体" w:eastAsia="宋体" w:cs="宋体"/>
          <w:bCs/>
          <w:sz w:val="24"/>
          <w:szCs w:val="24"/>
          <w:lang w:val="en-US" w:eastAsia="zh-CN"/>
        </w:rPr>
        <w:t>响应</w:t>
      </w:r>
      <w:r>
        <w:rPr>
          <w:rFonts w:hint="eastAsia" w:ascii="宋体" w:hAnsi="宋体" w:eastAsia="宋体" w:cs="宋体"/>
          <w:bCs/>
          <w:sz w:val="24"/>
          <w:szCs w:val="24"/>
          <w:lang w:val="zh-CN"/>
        </w:rPr>
        <w:t>总价。包括产品费、验收费、手续费、包装费、运输费、保险费、培训费、售前售中售后服务费、税金及不可预见费等全部费用。</w:t>
      </w:r>
    </w:p>
    <w:p w14:paraId="317C3338">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3.“交货期”是指完成服务所需的具体时间。</w:t>
      </w:r>
    </w:p>
    <w:p w14:paraId="61DA2532">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 xml:space="preserve">4. </w:t>
      </w:r>
      <w:r>
        <w:rPr>
          <w:rFonts w:hint="eastAsia" w:ascii="宋体" w:hAnsi="宋体" w:eastAsia="宋体" w:cs="宋体"/>
          <w:bCs/>
          <w:sz w:val="24"/>
          <w:szCs w:val="24"/>
          <w:lang w:val="en-US" w:eastAsia="zh-CN"/>
        </w:rPr>
        <w:t>响应</w:t>
      </w:r>
      <w:r>
        <w:rPr>
          <w:rFonts w:hint="eastAsia" w:ascii="宋体" w:hAnsi="宋体" w:eastAsia="宋体" w:cs="宋体"/>
          <w:bCs/>
          <w:sz w:val="24"/>
          <w:szCs w:val="24"/>
          <w:lang w:val="zh-CN"/>
        </w:rPr>
        <w:t>报价不能有两个或两个以上的报价方案。</w:t>
      </w:r>
    </w:p>
    <w:p w14:paraId="34B3D84B">
      <w:pPr>
        <w:keepNext w:val="0"/>
        <w:keepLines w:val="0"/>
        <w:widowControl/>
        <w:suppressLineNumbers w:val="0"/>
        <w:jc w:val="left"/>
        <w:rPr>
          <w:color w:val="FF0000"/>
        </w:rPr>
      </w:pPr>
      <w:r>
        <w:rPr>
          <w:rFonts w:hint="eastAsia" w:ascii="宋体" w:hAnsi="宋体" w:eastAsia="宋体" w:cs="宋体"/>
          <w:color w:val="FF0000"/>
          <w:kern w:val="0"/>
          <w:sz w:val="24"/>
          <w:szCs w:val="24"/>
          <w:lang w:val="en-US" w:eastAsia="zh-CN" w:bidi="ar"/>
        </w:rPr>
        <w:t>（ 本表在谈判结束后单独填写并提交）</w:t>
      </w:r>
    </w:p>
    <w:p w14:paraId="5AF410E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p>
    <w:p w14:paraId="05DFE7C2">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p>
    <w:p w14:paraId="4D45D2D2">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b/>
          <w:sz w:val="24"/>
          <w:szCs w:val="24"/>
          <w:u w:val="single"/>
        </w:rPr>
        <w:t xml:space="preserve">                         </w:t>
      </w:r>
      <w:r>
        <w:rPr>
          <w:rFonts w:hint="eastAsia" w:ascii="宋体" w:hAnsi="宋体" w:eastAsia="宋体" w:cs="宋体"/>
          <w:b/>
          <w:sz w:val="24"/>
          <w:szCs w:val="24"/>
        </w:rPr>
        <w:t>（公章）</w:t>
      </w:r>
    </w:p>
    <w:p w14:paraId="1F3EAD00">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b/>
          <w:sz w:val="24"/>
          <w:szCs w:val="24"/>
          <w:u w:val="single"/>
        </w:rPr>
        <w:t xml:space="preserve">    </w:t>
      </w:r>
      <w:r>
        <w:rPr>
          <w:rFonts w:hint="eastAsia" w:ascii="宋体" w:hAnsi="宋体" w:eastAsia="宋体" w:cs="宋体"/>
          <w:b/>
          <w:sz w:val="24"/>
          <w:szCs w:val="24"/>
        </w:rPr>
        <w:t>（签字或盖章)</w:t>
      </w:r>
    </w:p>
    <w:p w14:paraId="6E15C4F0">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r>
        <w:rPr>
          <w:rFonts w:hint="eastAsia" w:ascii="宋体" w:hAnsi="宋体" w:eastAsia="宋体" w:cs="宋体"/>
          <w:b/>
          <w:sz w:val="24"/>
          <w:szCs w:val="24"/>
        </w:rPr>
        <w:t>年  月  日</w:t>
      </w:r>
    </w:p>
    <w:p w14:paraId="7344CF7A">
      <w:pPr>
        <w:ind w:left="0" w:leftChars="0" w:firstLine="0" w:firstLineChars="0"/>
        <w:rPr>
          <w:rFonts w:hint="eastAsia"/>
        </w:rPr>
      </w:pPr>
      <w:r>
        <w:rPr>
          <w:rFonts w:hint="eastAsia"/>
        </w:rPr>
        <w:br w:type="page"/>
      </w:r>
    </w:p>
    <w:p w14:paraId="5D222F40">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17</w:t>
      </w:r>
      <w:r>
        <w:rPr>
          <w:rFonts w:hint="eastAsia" w:ascii="宋体" w:hAnsi="宋体" w:eastAsia="宋体" w:cs="宋体"/>
          <w:b/>
          <w:color w:val="000000" w:themeColor="text1"/>
          <w:sz w:val="24"/>
          <w:szCs w:val="24"/>
          <w:lang w:val="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最终</w:t>
      </w:r>
      <w:r>
        <w:rPr>
          <w:rFonts w:hint="eastAsia" w:ascii="宋体" w:hAnsi="宋体" w:eastAsia="宋体" w:cs="宋体"/>
          <w:b/>
          <w:color w:val="000000" w:themeColor="text1"/>
          <w:sz w:val="24"/>
          <w:szCs w:val="24"/>
          <w:lang w:val="zh-CN"/>
          <w14:textFill>
            <w14:solidFill>
              <w14:schemeClr w14:val="tx1"/>
            </w14:solidFill>
          </w14:textFill>
        </w:rPr>
        <w:t>分项报价表</w:t>
      </w:r>
    </w:p>
    <w:p w14:paraId="2B67AC79">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最终</w:t>
      </w:r>
      <w:r>
        <w:rPr>
          <w:rFonts w:hint="eastAsia" w:ascii="宋体" w:hAnsi="宋体" w:eastAsia="宋体" w:cs="宋体"/>
          <w:b/>
          <w:color w:val="000000" w:themeColor="text1"/>
          <w:sz w:val="24"/>
          <w:szCs w:val="24"/>
          <w:lang w:val="zh-CN" w:eastAsia="zh-CN"/>
          <w14:textFill>
            <w14:solidFill>
              <w14:schemeClr w14:val="tx1"/>
            </w14:solidFill>
          </w14:textFill>
        </w:rPr>
        <w:t>分项报价表</w:t>
      </w:r>
    </w:p>
    <w:p w14:paraId="4511BA94">
      <w:pPr>
        <w:keepNext w:val="0"/>
        <w:keepLines w:val="0"/>
        <w:pageBreakBefore w:val="0"/>
        <w:kinsoku/>
        <w:overflowPunct/>
        <w:topLinePunct w:val="0"/>
        <w:autoSpaceDE w:val="0"/>
        <w:autoSpaceDN w:val="0"/>
        <w:bidi w:val="0"/>
        <w:adjustRightInd w:val="0"/>
        <w:spacing w:line="240" w:lineRule="auto"/>
        <w:ind w:firstLine="0" w:firstLineChars="0"/>
        <w:jc w:val="both"/>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供应商名称:                                     单位：人民币（元）</w:t>
      </w:r>
    </w:p>
    <w:tbl>
      <w:tblPr>
        <w:tblStyle w:val="27"/>
        <w:tblW w:w="9943" w:type="dxa"/>
        <w:jc w:val="center"/>
        <w:tblLayout w:type="fixed"/>
        <w:tblCellMar>
          <w:top w:w="0" w:type="dxa"/>
          <w:left w:w="28" w:type="dxa"/>
          <w:bottom w:w="0" w:type="dxa"/>
          <w:right w:w="28" w:type="dxa"/>
        </w:tblCellMar>
      </w:tblPr>
      <w:tblGrid>
        <w:gridCol w:w="741"/>
        <w:gridCol w:w="1309"/>
        <w:gridCol w:w="2139"/>
        <w:gridCol w:w="1271"/>
        <w:gridCol w:w="901"/>
        <w:gridCol w:w="858"/>
        <w:gridCol w:w="813"/>
        <w:gridCol w:w="957"/>
        <w:gridCol w:w="954"/>
      </w:tblGrid>
      <w:tr w14:paraId="7CC72A7C">
        <w:tblPrEx>
          <w:tblCellMar>
            <w:top w:w="0" w:type="dxa"/>
            <w:left w:w="28" w:type="dxa"/>
            <w:bottom w:w="0" w:type="dxa"/>
            <w:right w:w="28" w:type="dxa"/>
          </w:tblCellMar>
        </w:tblPrEx>
        <w:trPr>
          <w:trHeight w:val="762" w:hRule="atLeast"/>
          <w:jc w:val="center"/>
        </w:trPr>
        <w:tc>
          <w:tcPr>
            <w:tcW w:w="741"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748D3461">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1309"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34C463B">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产品</w:t>
            </w:r>
            <w:r>
              <w:rPr>
                <w:rFonts w:hint="eastAsia" w:ascii="宋体" w:hAnsi="宋体" w:eastAsia="宋体" w:cs="宋体"/>
                <w:kern w:val="0"/>
                <w:sz w:val="24"/>
                <w:szCs w:val="24"/>
                <w:lang w:val="zh-CN"/>
              </w:rPr>
              <w:t>名称</w:t>
            </w:r>
          </w:p>
        </w:tc>
        <w:tc>
          <w:tcPr>
            <w:tcW w:w="2139"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FA1BF64">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品牌或生产厂家</w:t>
            </w:r>
          </w:p>
        </w:tc>
        <w:tc>
          <w:tcPr>
            <w:tcW w:w="12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84390D6">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规格型号</w:t>
            </w:r>
          </w:p>
        </w:tc>
        <w:tc>
          <w:tcPr>
            <w:tcW w:w="90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4A12387">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数量</w:t>
            </w:r>
          </w:p>
        </w:tc>
        <w:tc>
          <w:tcPr>
            <w:tcW w:w="858"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BA9EAC2">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单位</w:t>
            </w:r>
          </w:p>
        </w:tc>
        <w:tc>
          <w:tcPr>
            <w:tcW w:w="81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A9E835">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单价</w:t>
            </w:r>
          </w:p>
        </w:tc>
        <w:tc>
          <w:tcPr>
            <w:tcW w:w="95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F5F6ADB">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总价</w:t>
            </w:r>
          </w:p>
        </w:tc>
        <w:tc>
          <w:tcPr>
            <w:tcW w:w="95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1E6A1E87">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3314F615">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67FEB2D3">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CE218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B96EB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6695C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9D7A1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A0B8E2">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604A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9D864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0BE99AA">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6CE4DD68">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322F921">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6598DA">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218C5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52728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491E9E">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CFC83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7C511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718622">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C3281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39CCF9A6">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F87CB7D">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BF5C7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2ED46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26DD1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376C8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A1FDF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E58672">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E6133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0668AE">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58C91D8C">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FEA5196">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31F95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8AAB1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6A71D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6AA83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1AAFF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FECECE">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738C5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D74819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12D638FA">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6225705">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AAF2E7">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8C43F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4EEE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EE90B6">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5B2CD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02EBDD">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A3326A">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CBB024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3B4B36EE">
        <w:tblPrEx>
          <w:tblCellMar>
            <w:top w:w="0" w:type="dxa"/>
            <w:left w:w="28" w:type="dxa"/>
            <w:bottom w:w="0" w:type="dxa"/>
            <w:right w:w="28" w:type="dxa"/>
          </w:tblCellMar>
        </w:tblPrEx>
        <w:trPr>
          <w:trHeight w:val="757" w:hRule="atLeast"/>
          <w:jc w:val="center"/>
        </w:trPr>
        <w:tc>
          <w:tcPr>
            <w:tcW w:w="9943"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0558CDEA">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其他承诺及需要说明的事项：</w:t>
            </w:r>
          </w:p>
        </w:tc>
      </w:tr>
      <w:tr w14:paraId="2997BD02">
        <w:tblPrEx>
          <w:tblCellMar>
            <w:top w:w="0" w:type="dxa"/>
            <w:left w:w="28" w:type="dxa"/>
            <w:bottom w:w="0" w:type="dxa"/>
            <w:right w:w="28" w:type="dxa"/>
          </w:tblCellMar>
        </w:tblPrEx>
        <w:trPr>
          <w:trHeight w:val="1334" w:hRule="atLeast"/>
          <w:jc w:val="center"/>
        </w:trPr>
        <w:tc>
          <w:tcPr>
            <w:tcW w:w="2050"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0E56540E">
            <w:pPr>
              <w:keepNext w:val="0"/>
              <w:keepLines w:val="0"/>
              <w:pageBreakBefore w:val="0"/>
              <w:kinsoku/>
              <w:overflowPunct/>
              <w:topLinePunct w:val="0"/>
              <w:autoSpaceDE w:val="0"/>
              <w:autoSpaceDN w:val="0"/>
              <w:bidi w:val="0"/>
              <w:adjustRightInd w:val="0"/>
              <w:spacing w:before="100"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总价</w:t>
            </w:r>
          </w:p>
        </w:tc>
        <w:tc>
          <w:tcPr>
            <w:tcW w:w="7893"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2C90E5CD">
            <w:pPr>
              <w:keepNext w:val="0"/>
              <w:keepLines w:val="0"/>
              <w:pageBreakBefore w:val="0"/>
              <w:kinsoku/>
              <w:overflowPunct/>
              <w:topLinePunct w:val="0"/>
              <w:autoSpaceDE w:val="0"/>
              <w:autoSpaceDN w:val="0"/>
              <w:bidi w:val="0"/>
              <w:adjustRightInd w:val="0"/>
              <w:spacing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p w14:paraId="7E464B5A">
            <w:pPr>
              <w:keepNext w:val="0"/>
              <w:keepLines w:val="0"/>
              <w:pageBreakBefore w:val="0"/>
              <w:kinsoku/>
              <w:overflowPunct/>
              <w:topLinePunct w:val="0"/>
              <w:autoSpaceDE w:val="0"/>
              <w:autoSpaceDN w:val="0"/>
              <w:bidi w:val="0"/>
              <w:adjustRightInd w:val="0"/>
              <w:spacing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tc>
      </w:tr>
    </w:tbl>
    <w:p w14:paraId="1A627953">
      <w:pPr>
        <w:keepNext w:val="0"/>
        <w:keepLines w:val="0"/>
        <w:pageBreakBefore w:val="0"/>
        <w:widowControl w:val="0"/>
        <w:kinsoku/>
        <w:wordWrap/>
        <w:overflowPunct/>
        <w:topLinePunct w:val="0"/>
        <w:autoSpaceDE w:val="0"/>
        <w:autoSpaceDN w:val="0"/>
        <w:bidi w:val="0"/>
        <w:adjustRightInd/>
        <w:snapToGrid/>
        <w:spacing w:after="240"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kern w:val="0"/>
          <w:sz w:val="24"/>
          <w:szCs w:val="24"/>
          <w:lang w:val="zh-CN"/>
        </w:rPr>
        <w:t>本表应依照每包采购一览表中的产品序号按顺序逐项填写，不得遗漏</w:t>
      </w:r>
      <w:r>
        <w:rPr>
          <w:rFonts w:hint="eastAsia" w:ascii="宋体" w:hAnsi="宋体" w:eastAsia="宋体" w:cs="宋体"/>
          <w:sz w:val="24"/>
          <w:szCs w:val="24"/>
          <w:lang w:val="zh-CN"/>
        </w:rPr>
        <w:t>。</w:t>
      </w:r>
    </w:p>
    <w:p w14:paraId="33ACA965">
      <w:pPr>
        <w:keepNext w:val="0"/>
        <w:keepLines w:val="0"/>
        <w:pageBreakBefore w:val="0"/>
        <w:widowControl w:val="0"/>
        <w:numPr>
          <w:ilvl w:val="0"/>
          <w:numId w:val="4"/>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谈判报价不能有两个或两个以上的报价方案。</w:t>
      </w:r>
    </w:p>
    <w:p w14:paraId="3CEF4B66">
      <w:pPr>
        <w:keepNext w:val="0"/>
        <w:keepLines w:val="0"/>
        <w:widowControl/>
        <w:suppressLineNumbers w:val="0"/>
        <w:jc w:val="left"/>
        <w:rPr>
          <w:color w:val="FF0000"/>
        </w:rPr>
      </w:pPr>
      <w:r>
        <w:rPr>
          <w:rFonts w:hint="eastAsia" w:ascii="宋体" w:hAnsi="宋体" w:eastAsia="宋体" w:cs="宋体"/>
          <w:color w:val="FF0000"/>
          <w:kern w:val="0"/>
          <w:sz w:val="24"/>
          <w:szCs w:val="24"/>
          <w:lang w:val="en-US" w:eastAsia="zh-CN" w:bidi="ar"/>
        </w:rPr>
        <w:t>（ 本表在谈判结束后单独填写并提交）</w:t>
      </w:r>
    </w:p>
    <w:p w14:paraId="72BFE710">
      <w:pPr>
        <w:keepNext w:val="0"/>
        <w:keepLines w:val="0"/>
        <w:pageBreakBefore w:val="0"/>
        <w:widowControl w:val="0"/>
        <w:numPr>
          <w:ilvl w:val="0"/>
          <w:numId w:val="0"/>
        </w:numPr>
        <w:kinsoku/>
        <w:wordWrap/>
        <w:overflowPunct/>
        <w:topLinePunct w:val="0"/>
        <w:autoSpaceDE w:val="0"/>
        <w:autoSpaceDN w:val="0"/>
        <w:bidi w:val="0"/>
        <w:adjustRightInd/>
        <w:snapToGrid/>
        <w:spacing w:after="240" w:line="360" w:lineRule="auto"/>
        <w:textAlignment w:val="auto"/>
        <w:rPr>
          <w:rFonts w:hint="eastAsia" w:ascii="宋体" w:hAnsi="宋体" w:eastAsia="宋体" w:cs="宋体"/>
          <w:sz w:val="24"/>
          <w:szCs w:val="24"/>
          <w:lang w:val="zh-CN"/>
        </w:rPr>
      </w:pPr>
    </w:p>
    <w:p w14:paraId="2E1D1951">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086333C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37D95220">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4FB04A49">
      <w:pPr>
        <w:ind w:left="0" w:leftChars="0" w:firstLine="0" w:firstLineChars="0"/>
        <w:rPr>
          <w:rFonts w:hint="eastAsia"/>
        </w:rPr>
      </w:pPr>
      <w:r>
        <w:rPr>
          <w:rFonts w:hint="eastAsia"/>
        </w:rPr>
        <w:br w:type="page"/>
      </w:r>
    </w:p>
    <w:p w14:paraId="66107E23">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118" w:name="_Toc2143"/>
      <w:bookmarkStart w:id="119" w:name="_Toc11710"/>
      <w:bookmarkStart w:id="120" w:name="_Toc29993"/>
      <w:bookmarkStart w:id="121" w:name="_Toc23255"/>
      <w:bookmarkStart w:id="122" w:name="_Toc428180587"/>
      <w:bookmarkStart w:id="123" w:name="_Toc15321"/>
      <w:r>
        <w:rPr>
          <w:rFonts w:hint="eastAsia" w:ascii="宋体" w:hAnsi="宋体" w:eastAsia="宋体" w:cs="宋体"/>
          <w:b/>
          <w:color w:val="000000" w:themeColor="text1"/>
          <w:kern w:val="28"/>
          <w:sz w:val="36"/>
          <w:szCs w:val="36"/>
          <w:lang w:val="en-US" w:eastAsia="zh-CN"/>
          <w14:textFill>
            <w14:solidFill>
              <w14:schemeClr w14:val="tx1"/>
            </w14:solidFill>
          </w14:textFill>
        </w:rPr>
        <w:t>采购项目合同书</w:t>
      </w:r>
      <w:bookmarkEnd w:id="118"/>
      <w:bookmarkEnd w:id="119"/>
    </w:p>
    <w:p w14:paraId="72FF6133">
      <w:pPr>
        <w:numPr>
          <w:ilvl w:val="0"/>
          <w:numId w:val="0"/>
        </w:numPr>
        <w:autoSpaceDE w:val="0"/>
        <w:autoSpaceDN w:val="0"/>
        <w:spacing w:line="360" w:lineRule="auto"/>
        <w:ind w:firstLine="3614" w:firstLineChars="1000"/>
        <w:jc w:val="both"/>
        <w:rPr>
          <w:rFonts w:hint="eastAsia" w:ascii="宋体" w:hAnsi="宋体" w:eastAsia="宋体" w:cs="宋体"/>
          <w:b/>
          <w:color w:val="000000" w:themeColor="text1"/>
          <w:kern w:val="28"/>
          <w:sz w:val="36"/>
          <w:szCs w:val="36"/>
          <w:lang w:val="zh-CN"/>
          <w14:textFill>
            <w14:solidFill>
              <w14:schemeClr w14:val="tx1"/>
            </w14:solidFill>
          </w14:textFill>
        </w:rPr>
      </w:pPr>
      <w:r>
        <w:rPr>
          <w:rFonts w:hint="eastAsia" w:ascii="宋体" w:hAnsi="宋体" w:eastAsia="宋体" w:cs="宋体"/>
          <w:b/>
          <w:color w:val="000000" w:themeColor="text1"/>
          <w:kern w:val="28"/>
          <w:sz w:val="36"/>
          <w:szCs w:val="36"/>
          <w:lang w:val="zh-CN"/>
          <w14:textFill>
            <w14:solidFill>
              <w14:schemeClr w14:val="tx1"/>
            </w14:solidFill>
          </w14:textFill>
        </w:rPr>
        <w:t>（</w:t>
      </w:r>
      <w:r>
        <w:rPr>
          <w:rFonts w:hint="eastAsia" w:ascii="宋体" w:hAnsi="宋体" w:eastAsia="宋体" w:cs="宋体"/>
          <w:b/>
          <w:color w:val="000000" w:themeColor="text1"/>
          <w:kern w:val="28"/>
          <w:sz w:val="36"/>
          <w:szCs w:val="36"/>
          <w:lang w:val="en-US" w:eastAsia="zh-CN"/>
          <w14:textFill>
            <w14:solidFill>
              <w14:schemeClr w14:val="tx1"/>
            </w14:solidFill>
          </w14:textFill>
        </w:rPr>
        <w:t>货物类</w:t>
      </w:r>
      <w:r>
        <w:rPr>
          <w:rFonts w:hint="eastAsia" w:ascii="宋体" w:hAnsi="宋体" w:eastAsia="宋体" w:cs="宋体"/>
          <w:b/>
          <w:color w:val="000000" w:themeColor="text1"/>
          <w:kern w:val="28"/>
          <w:sz w:val="36"/>
          <w:szCs w:val="36"/>
          <w:lang w:val="zh-CN"/>
          <w14:textFill>
            <w14:solidFill>
              <w14:schemeClr w14:val="tx1"/>
            </w14:solidFill>
          </w14:textFill>
        </w:rPr>
        <w:t>）</w:t>
      </w:r>
    </w:p>
    <w:p w14:paraId="2CC36159">
      <w:pPr>
        <w:keepNext/>
        <w:keepLines/>
        <w:widowControl/>
        <w:numPr>
          <w:ilvl w:val="0"/>
          <w:numId w:val="0"/>
        </w:numPr>
        <w:snapToGrid w:val="0"/>
        <w:spacing w:line="360" w:lineRule="auto"/>
        <w:jc w:val="center"/>
        <w:outlineLvl w:val="0"/>
        <w:rPr>
          <w:rFonts w:hint="eastAsia" w:ascii="宋体" w:hAnsi="宋体" w:eastAsia="宋体" w:cs="宋体"/>
          <w:b/>
          <w:color w:val="000000" w:themeColor="text1"/>
          <w:kern w:val="28"/>
          <w:sz w:val="36"/>
          <w:szCs w:val="20"/>
          <w14:textFill>
            <w14:solidFill>
              <w14:schemeClr w14:val="tx1"/>
            </w14:solidFill>
          </w14:textFill>
        </w:rPr>
      </w:pPr>
    </w:p>
    <w:p w14:paraId="29207A9F">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22337E27">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25E23BD1">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6F45F89A">
      <w:pPr>
        <w:autoSpaceDE w:val="0"/>
        <w:autoSpaceDN w:val="0"/>
        <w:spacing w:line="360" w:lineRule="auto"/>
        <w:ind w:firstLine="0" w:firstLineChars="0"/>
        <w:jc w:val="center"/>
        <w:rPr>
          <w:rFonts w:hint="eastAsia" w:ascii="宋体" w:hAnsi="宋体" w:eastAsia="宋体" w:cs="宋体"/>
          <w:b/>
          <w:bCs/>
          <w:color w:val="000000" w:themeColor="text1"/>
          <w:sz w:val="48"/>
          <w:szCs w:val="48"/>
          <w:lang w:val="zh-CN"/>
          <w14:textFill>
            <w14:solidFill>
              <w14:schemeClr w14:val="tx1"/>
            </w14:solidFill>
          </w14:textFill>
        </w:rPr>
      </w:pPr>
      <w:r>
        <w:rPr>
          <w:rFonts w:hint="eastAsia" w:ascii="宋体" w:hAnsi="宋体" w:eastAsia="宋体" w:cs="宋体"/>
          <w:b/>
          <w:bCs/>
          <w:color w:val="000000" w:themeColor="text1"/>
          <w:sz w:val="48"/>
          <w:szCs w:val="48"/>
          <w:lang w:val="en-US" w:eastAsia="zh-CN"/>
          <w14:textFill>
            <w14:solidFill>
              <w14:schemeClr w14:val="tx1"/>
            </w14:solidFill>
          </w14:textFill>
        </w:rPr>
        <w:t xml:space="preserve">     </w:t>
      </w:r>
      <w:r>
        <w:rPr>
          <w:rFonts w:hint="eastAsia" w:ascii="宋体" w:hAnsi="宋体" w:eastAsia="宋体" w:cs="宋体"/>
          <w:b/>
          <w:bCs/>
          <w:color w:val="000000" w:themeColor="text1"/>
          <w:sz w:val="48"/>
          <w:szCs w:val="48"/>
          <w:lang w:val="zh-CN"/>
          <w14:textFill>
            <w14:solidFill>
              <w14:schemeClr w14:val="tx1"/>
            </w14:solidFill>
          </w14:textFill>
        </w:rPr>
        <w:t>青海省政府采购项目合同书</w:t>
      </w:r>
    </w:p>
    <w:p w14:paraId="18190CB5">
      <w:pPr>
        <w:pStyle w:val="26"/>
        <w:rPr>
          <w:rFonts w:hint="eastAsia" w:ascii="宋体" w:hAnsi="宋体"/>
          <w:b/>
          <w:bCs/>
          <w:color w:val="000000" w:themeColor="text1"/>
          <w:sz w:val="21"/>
          <w:szCs w:val="21"/>
          <w14:textFill>
            <w14:solidFill>
              <w14:schemeClr w14:val="tx1"/>
            </w14:solidFill>
          </w14:textFill>
        </w:rPr>
      </w:pPr>
    </w:p>
    <w:p w14:paraId="453C8CD0">
      <w:pPr>
        <w:pStyle w:val="19"/>
        <w:rPr>
          <w:rFonts w:hint="eastAsia" w:ascii="宋体" w:hAnsi="宋体"/>
          <w:b/>
          <w:bCs/>
          <w:color w:val="000000" w:themeColor="text1"/>
          <w:sz w:val="21"/>
          <w:szCs w:val="21"/>
          <w14:textFill>
            <w14:solidFill>
              <w14:schemeClr w14:val="tx1"/>
            </w14:solidFill>
          </w14:textFill>
        </w:rPr>
      </w:pPr>
    </w:p>
    <w:p w14:paraId="3018B647">
      <w:pPr>
        <w:rPr>
          <w:rFonts w:hint="eastAsia" w:ascii="宋体" w:hAnsi="宋体"/>
          <w:b/>
          <w:bCs/>
          <w:color w:val="000000" w:themeColor="text1"/>
          <w:sz w:val="21"/>
          <w:szCs w:val="21"/>
          <w14:textFill>
            <w14:solidFill>
              <w14:schemeClr w14:val="tx1"/>
            </w14:solidFill>
          </w14:textFill>
        </w:rPr>
      </w:pPr>
    </w:p>
    <w:p w14:paraId="45A5AEB2">
      <w:pPr>
        <w:pStyle w:val="26"/>
        <w:rPr>
          <w:color w:val="000000" w:themeColor="text1"/>
          <w14:textFill>
            <w14:solidFill>
              <w14:schemeClr w14:val="tx1"/>
            </w14:solidFill>
          </w14:textFill>
        </w:rPr>
      </w:pPr>
    </w:p>
    <w:p w14:paraId="670147E5">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4CC68D01">
      <w:pPr>
        <w:autoSpaceDE w:val="0"/>
        <w:autoSpaceDN w:val="0"/>
        <w:spacing w:line="360" w:lineRule="auto"/>
        <w:ind w:firstLine="0" w:firstLineChars="0"/>
        <w:rPr>
          <w:rFonts w:ascii="宋体" w:hAnsi="宋体" w:eastAsia="宋体" w:cs="宋体"/>
          <w:b/>
          <w:bCs/>
          <w:color w:val="000000" w:themeColor="text1"/>
          <w:sz w:val="30"/>
          <w:szCs w:val="30"/>
          <w:lang w:val="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采购项目编号：</w:t>
      </w:r>
      <w:r>
        <w:rPr>
          <w:rFonts w:hint="eastAsia" w:ascii="宋体" w:hAnsi="宋体" w:eastAsia="宋体" w:cs="宋体"/>
          <w:b/>
          <w:bCs/>
          <w:color w:val="000000" w:themeColor="text1"/>
          <w:sz w:val="30"/>
          <w:szCs w:val="30"/>
          <w:u w:val="single"/>
          <w:lang w:val="zh-CN"/>
          <w14:textFill>
            <w14:solidFill>
              <w14:schemeClr w14:val="tx1"/>
            </w14:solidFill>
          </w14:textFill>
        </w:rPr>
        <w:t>乐欣中堃竞谈（货物）2025-019</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760C4F15">
      <w:pPr>
        <w:autoSpaceDE w:val="0"/>
        <w:autoSpaceDN w:val="0"/>
        <w:spacing w:line="360" w:lineRule="auto"/>
        <w:ind w:left="2108" w:hanging="2108" w:hangingChars="70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采购项目名称：</w:t>
      </w:r>
      <w:r>
        <w:rPr>
          <w:rFonts w:hint="eastAsia" w:ascii="宋体" w:hAnsi="宋体" w:eastAsia="宋体" w:cs="宋体"/>
          <w:b/>
          <w:bCs/>
          <w:color w:val="000000" w:themeColor="text1"/>
          <w:sz w:val="30"/>
          <w:szCs w:val="30"/>
          <w:u w:val="single"/>
          <w:lang w:val="zh-CN"/>
          <w14:textFill>
            <w14:solidFill>
              <w14:schemeClr w14:val="tx1"/>
            </w14:solidFill>
          </w14:textFill>
        </w:rPr>
        <w:t>海东市乐都区“示范性儿童之家”项目</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0CE07C8F">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采购合同编号：</w:t>
      </w:r>
      <w:r>
        <w:rPr>
          <w:rFonts w:hint="eastAsia" w:ascii="宋体" w:hAnsi="宋体" w:eastAsia="宋体" w:cs="宋体"/>
          <w:b/>
          <w:bCs/>
          <w:color w:val="000000" w:themeColor="text1"/>
          <w:sz w:val="30"/>
          <w:szCs w:val="30"/>
          <w:u w:val="single"/>
          <w:lang w:val="zh-CN"/>
          <w14:textFill>
            <w14:solidFill>
              <w14:schemeClr w14:val="tx1"/>
            </w14:solidFill>
          </w14:textFill>
        </w:rPr>
        <w:t>LXZK-202</w:t>
      </w:r>
      <w:r>
        <w:rPr>
          <w:rFonts w:hint="eastAsia" w:ascii="宋体" w:hAnsi="宋体" w:eastAsia="宋体" w:cs="宋体"/>
          <w:b/>
          <w:bCs/>
          <w:color w:val="000000" w:themeColor="text1"/>
          <w:sz w:val="30"/>
          <w:szCs w:val="30"/>
          <w:u w:val="single"/>
          <w:lang w:val="en-US" w:eastAsia="zh-CN"/>
          <w14:textFill>
            <w14:solidFill>
              <w14:schemeClr w14:val="tx1"/>
            </w14:solidFill>
          </w14:textFill>
        </w:rPr>
        <w:t>5</w:t>
      </w:r>
      <w:r>
        <w:rPr>
          <w:rFonts w:hint="eastAsia" w:ascii="宋体" w:hAnsi="宋体" w:eastAsia="宋体" w:cs="宋体"/>
          <w:b/>
          <w:bCs/>
          <w:color w:val="000000" w:themeColor="text1"/>
          <w:sz w:val="30"/>
          <w:szCs w:val="30"/>
          <w:u w:val="single"/>
          <w:lang w:val="zh-CN"/>
          <w14:textFill>
            <w14:solidFill>
              <w14:schemeClr w14:val="tx1"/>
            </w14:solidFill>
          </w14:textFill>
        </w:rPr>
        <w:t>-0</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19     </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35D8DE2C">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合同金额（人民币）：</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64906538">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购</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人</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（甲方）：</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14:paraId="09545D00">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供 应 商</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（乙方）：</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14:paraId="3348FB57">
      <w:pPr>
        <w:spacing w:line="360" w:lineRule="auto"/>
        <w:ind w:firstLine="480"/>
        <w:rPr>
          <w:rFonts w:ascii="宋体" w:hAnsi="宋体" w:eastAsia="宋体" w:cs="宋体"/>
          <w:color w:val="000000" w:themeColor="text1"/>
          <w:sz w:val="24"/>
          <w:szCs w:val="24"/>
          <w14:textFill>
            <w14:solidFill>
              <w14:schemeClr w14:val="tx1"/>
            </w14:solidFill>
          </w14:textFill>
        </w:rPr>
      </w:pPr>
    </w:p>
    <w:p w14:paraId="46A2E1BC">
      <w:pPr>
        <w:spacing w:line="360" w:lineRule="auto"/>
        <w:ind w:firstLine="480"/>
        <w:rPr>
          <w:rFonts w:ascii="宋体" w:hAnsi="宋体" w:eastAsia="宋体" w:cs="宋体"/>
          <w:color w:val="000000" w:themeColor="text1"/>
          <w:sz w:val="24"/>
          <w:szCs w:val="24"/>
          <w14:textFill>
            <w14:solidFill>
              <w14:schemeClr w14:val="tx1"/>
            </w14:solidFill>
          </w14:textFill>
        </w:rPr>
      </w:pPr>
    </w:p>
    <w:p w14:paraId="06CEE68B">
      <w:pPr>
        <w:spacing w:line="360" w:lineRule="auto"/>
        <w:ind w:firstLine="480"/>
        <w:rPr>
          <w:rFonts w:ascii="宋体" w:hAnsi="宋体" w:eastAsia="宋体" w:cs="宋体"/>
          <w:color w:val="000000" w:themeColor="text1"/>
          <w:sz w:val="24"/>
          <w:szCs w:val="24"/>
          <w14:textFill>
            <w14:solidFill>
              <w14:schemeClr w14:val="tx1"/>
            </w14:solidFill>
          </w14:textFill>
        </w:rPr>
      </w:pPr>
    </w:p>
    <w:p w14:paraId="47A126B9">
      <w:pPr>
        <w:autoSpaceDE w:val="0"/>
        <w:autoSpaceDN w:val="0"/>
        <w:spacing w:line="360" w:lineRule="auto"/>
        <w:ind w:firstLine="0" w:firstLineChars="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1A029074">
      <w:pPr>
        <w:keepNext w:val="0"/>
        <w:keepLines w:val="0"/>
        <w:widowControl/>
        <w:suppressLineNumbers w:val="0"/>
        <w:jc w:val="left"/>
      </w:pPr>
      <w:r>
        <w:rPr>
          <w:rFonts w:hint="eastAsia" w:ascii="宋体" w:hAnsi="宋体" w:eastAsia="宋体" w:cs="宋体"/>
          <w:color w:val="000000" w:themeColor="text1"/>
          <w:sz w:val="24"/>
          <w:szCs w:val="24"/>
          <w:lang w:val="zh-CN"/>
          <w14:textFill>
            <w14:solidFill>
              <w14:schemeClr w14:val="tx1"/>
            </w14:solidFill>
          </w14:textFill>
        </w:rPr>
        <w:t>甲、乙双方根据</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u w:val="single"/>
          <w:lang w:val="zh-CN"/>
          <w14:textFill>
            <w14:solidFill>
              <w14:schemeClr w14:val="tx1"/>
            </w14:solidFill>
          </w14:textFill>
        </w:rPr>
        <w:t xml:space="preserve">海东市乐都区“示范性儿童之家”项目（乐欣中堃竞谈（货物）2025-019  </w:t>
      </w:r>
      <w:r>
        <w:rPr>
          <w:rFonts w:hint="eastAsia" w:ascii="宋体" w:hAnsi="宋体" w:eastAsia="宋体" w:cs="宋体"/>
          <w:color w:val="000000" w:themeColor="text1"/>
          <w:sz w:val="24"/>
          <w:szCs w:val="24"/>
          <w:lang w:val="zh-CN"/>
          <w14:textFill>
            <w14:solidFill>
              <w14:schemeClr w14:val="tx1"/>
            </w14:solidFill>
          </w14:textFill>
        </w:rPr>
        <w:t>）的谈判文件要求和</w:t>
      </w:r>
      <w:r>
        <w:rPr>
          <w:rFonts w:hint="eastAsia" w:ascii="宋体" w:hAnsi="宋体" w:eastAsia="宋体" w:cs="宋体"/>
          <w:color w:val="000000" w:themeColor="text1"/>
          <w:sz w:val="24"/>
          <w:lang w:val="zh-CN"/>
          <w14:textFill>
            <w14:solidFill>
              <w14:schemeClr w14:val="tx1"/>
            </w14:solidFill>
          </w14:textFill>
        </w:rPr>
        <w:t>海东乐都区乐欣中堃项目管理有限公司</w:t>
      </w:r>
      <w:r>
        <w:rPr>
          <w:rFonts w:hint="eastAsia" w:ascii="宋体" w:hAnsi="宋体" w:eastAsia="宋体" w:cs="宋体"/>
          <w:color w:val="000000" w:themeColor="text1"/>
          <w:sz w:val="24"/>
          <w:szCs w:val="24"/>
          <w:lang w:val="zh-CN"/>
          <w14:textFill>
            <w14:solidFill>
              <w14:schemeClr w14:val="tx1"/>
            </w14:solidFill>
          </w14:textFill>
        </w:rPr>
        <w:t>出具的《成交通知书》，并经双方协商一致，</w:t>
      </w:r>
      <w:r>
        <w:rPr>
          <w:rFonts w:hint="eastAsia" w:ascii="宋体" w:hAnsi="宋体" w:eastAsia="宋体" w:cs="宋体"/>
          <w:color w:val="000000"/>
          <w:kern w:val="0"/>
          <w:sz w:val="24"/>
          <w:szCs w:val="24"/>
          <w:lang w:val="en-US" w:eastAsia="zh-CN" w:bidi="ar"/>
        </w:rPr>
        <w:t>达成合同总价款为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项目采购合同：</w:t>
      </w:r>
    </w:p>
    <w:p w14:paraId="203CC397">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一、签订本政府采购合同的依据</w:t>
      </w:r>
    </w:p>
    <w:p w14:paraId="7028BD01">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本政府采购合同所附下列文件是构成本政府采购合同不可分割的部分：</w:t>
      </w:r>
    </w:p>
    <w:p w14:paraId="48F5921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1.谈判文件；</w:t>
      </w:r>
    </w:p>
    <w:p w14:paraId="0471BF88">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2.谈判文件的更正、变更公告；</w:t>
      </w:r>
    </w:p>
    <w:p w14:paraId="3BFAA9C3">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3.成交供应商提交的响应文件；</w:t>
      </w:r>
    </w:p>
    <w:p w14:paraId="643AC82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4.谈判文件中规定的政府采购合同通用条款；</w:t>
      </w:r>
    </w:p>
    <w:p w14:paraId="15B6D809">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5.成交通知书</w:t>
      </w:r>
      <w:r>
        <w:rPr>
          <w:rFonts w:hint="eastAsia" w:ascii="宋体" w:hAnsi="宋体" w:eastAsia="宋体" w:cs="宋体"/>
          <w:color w:val="000000" w:themeColor="text1"/>
          <w:sz w:val="24"/>
          <w:szCs w:val="24"/>
          <w14:textFill>
            <w14:solidFill>
              <w14:schemeClr w14:val="tx1"/>
            </w14:solidFill>
          </w14:textFill>
        </w:rPr>
        <w:t>；</w:t>
      </w:r>
    </w:p>
    <w:p w14:paraId="18FE57D9">
      <w:pPr>
        <w:autoSpaceDE w:val="0"/>
        <w:autoSpaceDN w:val="0"/>
        <w:spacing w:line="360" w:lineRule="auto"/>
        <w:ind w:firstLine="48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6.履约保证金凭证（如有）；</w:t>
      </w:r>
    </w:p>
    <w:p w14:paraId="0F11A238">
      <w:pPr>
        <w:autoSpaceDE w:val="0"/>
        <w:autoSpaceDN w:val="0"/>
        <w:spacing w:line="360" w:lineRule="auto"/>
        <w:ind w:firstLine="480"/>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7.预算单位政府采购计划备案表。</w:t>
      </w:r>
    </w:p>
    <w:p w14:paraId="32FEEF9E">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二、合同标的及金额                                       单位：元</w:t>
      </w:r>
    </w:p>
    <w:tbl>
      <w:tblPr>
        <w:tblStyle w:val="27"/>
        <w:tblW w:w="9607" w:type="dxa"/>
        <w:jc w:val="center"/>
        <w:tblLayout w:type="fixed"/>
        <w:tblCellMar>
          <w:top w:w="0" w:type="dxa"/>
          <w:left w:w="108" w:type="dxa"/>
          <w:bottom w:w="0" w:type="dxa"/>
          <w:right w:w="108" w:type="dxa"/>
        </w:tblCellMar>
      </w:tblPr>
      <w:tblGrid>
        <w:gridCol w:w="731"/>
        <w:gridCol w:w="1292"/>
        <w:gridCol w:w="1767"/>
        <w:gridCol w:w="2101"/>
        <w:gridCol w:w="990"/>
        <w:gridCol w:w="945"/>
        <w:gridCol w:w="1020"/>
        <w:gridCol w:w="761"/>
      </w:tblGrid>
      <w:tr w14:paraId="14DD1A3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B192697">
            <w:pPr>
              <w:autoSpaceDE w:val="0"/>
              <w:autoSpaceDN w:val="0"/>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292" w:type="dxa"/>
            <w:tcBorders>
              <w:top w:val="single" w:color="auto" w:sz="4" w:space="0"/>
              <w:left w:val="single" w:color="auto" w:sz="4" w:space="0"/>
              <w:bottom w:val="single" w:color="auto" w:sz="4" w:space="0"/>
              <w:right w:val="single" w:color="auto" w:sz="4" w:space="0"/>
            </w:tcBorders>
            <w:vAlign w:val="center"/>
          </w:tcPr>
          <w:p w14:paraId="4C5D76F0">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标的名称</w:t>
            </w:r>
          </w:p>
        </w:tc>
        <w:tc>
          <w:tcPr>
            <w:tcW w:w="1767" w:type="dxa"/>
            <w:tcBorders>
              <w:top w:val="single" w:color="auto" w:sz="4" w:space="0"/>
              <w:left w:val="single" w:color="auto" w:sz="4" w:space="0"/>
              <w:bottom w:val="single" w:color="auto" w:sz="4" w:space="0"/>
              <w:right w:val="single" w:color="auto" w:sz="4" w:space="0"/>
            </w:tcBorders>
            <w:vAlign w:val="center"/>
          </w:tcPr>
          <w:p w14:paraId="43F962CD">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规格型号</w:t>
            </w:r>
          </w:p>
        </w:tc>
        <w:tc>
          <w:tcPr>
            <w:tcW w:w="2101" w:type="dxa"/>
            <w:tcBorders>
              <w:top w:val="single" w:color="auto" w:sz="4" w:space="0"/>
              <w:left w:val="single" w:color="auto" w:sz="4" w:space="0"/>
              <w:bottom w:val="single" w:color="auto" w:sz="4" w:space="0"/>
              <w:right w:val="single" w:color="auto" w:sz="4" w:space="0"/>
            </w:tcBorders>
            <w:vAlign w:val="center"/>
          </w:tcPr>
          <w:p w14:paraId="7DD06AE1">
            <w:pPr>
              <w:autoSpaceDE w:val="0"/>
              <w:autoSpaceDN w:val="0"/>
              <w:spacing w:line="360" w:lineRule="auto"/>
              <w:ind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生产厂家或品牌</w:t>
            </w:r>
          </w:p>
        </w:tc>
        <w:tc>
          <w:tcPr>
            <w:tcW w:w="990" w:type="dxa"/>
            <w:tcBorders>
              <w:top w:val="single" w:color="auto" w:sz="4" w:space="0"/>
              <w:left w:val="single" w:color="auto" w:sz="4" w:space="0"/>
              <w:bottom w:val="single" w:color="auto" w:sz="4" w:space="0"/>
              <w:right w:val="single" w:color="auto" w:sz="4" w:space="0"/>
            </w:tcBorders>
            <w:vAlign w:val="center"/>
          </w:tcPr>
          <w:p w14:paraId="50346869">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4AD8EB9D">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5766D665">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1F6B5668">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备注</w:t>
            </w:r>
          </w:p>
        </w:tc>
      </w:tr>
      <w:tr w14:paraId="4138F03D">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2CC3B5D6">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292" w:type="dxa"/>
            <w:tcBorders>
              <w:top w:val="single" w:color="auto" w:sz="4" w:space="0"/>
              <w:left w:val="single" w:color="auto" w:sz="4" w:space="0"/>
              <w:bottom w:val="single" w:color="auto" w:sz="4" w:space="0"/>
              <w:right w:val="single" w:color="auto" w:sz="4" w:space="0"/>
            </w:tcBorders>
            <w:vAlign w:val="center"/>
          </w:tcPr>
          <w:p w14:paraId="63A0D6D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767" w:type="dxa"/>
            <w:tcBorders>
              <w:top w:val="single" w:color="auto" w:sz="4" w:space="0"/>
              <w:left w:val="single" w:color="auto" w:sz="4" w:space="0"/>
              <w:bottom w:val="single" w:color="auto" w:sz="4" w:space="0"/>
              <w:right w:val="single" w:color="auto" w:sz="4" w:space="0"/>
            </w:tcBorders>
            <w:vAlign w:val="center"/>
          </w:tcPr>
          <w:p w14:paraId="59683B52">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14:paraId="5E40F65A">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7E5A975F">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5B79140E">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0FB5FE75">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38025242">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r>
      <w:tr w14:paraId="66D449CC">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0A2F3195">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292" w:type="dxa"/>
            <w:tcBorders>
              <w:top w:val="single" w:color="auto" w:sz="4" w:space="0"/>
              <w:left w:val="single" w:color="auto" w:sz="4" w:space="0"/>
              <w:bottom w:val="single" w:color="auto" w:sz="4" w:space="0"/>
              <w:right w:val="single" w:color="auto" w:sz="4" w:space="0"/>
            </w:tcBorders>
            <w:vAlign w:val="center"/>
          </w:tcPr>
          <w:p w14:paraId="2EFC5233">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767" w:type="dxa"/>
            <w:tcBorders>
              <w:top w:val="single" w:color="auto" w:sz="4" w:space="0"/>
              <w:left w:val="single" w:color="auto" w:sz="4" w:space="0"/>
              <w:bottom w:val="single" w:color="auto" w:sz="4" w:space="0"/>
              <w:right w:val="single" w:color="auto" w:sz="4" w:space="0"/>
            </w:tcBorders>
            <w:vAlign w:val="center"/>
          </w:tcPr>
          <w:p w14:paraId="5ACEEA14">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14:paraId="721BD1E9">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47C9A7B5">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3318B91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54AE8FC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00D37BBE">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r>
    </w:tbl>
    <w:p w14:paraId="4300617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根据上述政府采购合同文件要求，本政府采购合同的总金额为人民币</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28B4903">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（大写）</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元。</w:t>
      </w:r>
    </w:p>
    <w:p w14:paraId="0F73446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本合同以人民币进行结算，合同总价包括产品费、验收费、手续费、包装费、运输费、保险费、培训费、售前售中售后服务费、税金及不可预见费等全部费用。三、供货时间、地点和要求</w:t>
      </w:r>
    </w:p>
    <w:p w14:paraId="2A72FA7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交货期</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交货</w:t>
      </w:r>
      <w:r>
        <w:rPr>
          <w:rFonts w:hint="eastAsia" w:ascii="宋体" w:hAnsi="宋体" w:eastAsia="宋体" w:cs="宋体"/>
          <w:color w:val="000000" w:themeColor="text1"/>
          <w:sz w:val="24"/>
          <w:szCs w:val="24"/>
          <w:lang w:val="zh-CN"/>
          <w14:textFill>
            <w14:solidFill>
              <w14:schemeClr w14:val="tx1"/>
            </w14:solidFill>
          </w14:textFill>
        </w:rPr>
        <w:t>地点：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w:t>
      </w:r>
    </w:p>
    <w:p w14:paraId="680B6E71">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2.乙方提供不符合谈判文件、谈判响应文件和本合同规定的产品，甲方有权</w:t>
      </w:r>
    </w:p>
    <w:p w14:paraId="42985ED8">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拒绝接受。</w:t>
      </w:r>
    </w:p>
    <w:p w14:paraId="7DD47D24">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3.乙方在签订合同时必须提供有效的产地检疫证，否则甲方拒绝接受。</w:t>
      </w:r>
    </w:p>
    <w:p w14:paraId="3327A52F">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甲方应当在到货（安装）后个工作日内进行验收。验收合格后，由甲乙</w:t>
      </w:r>
    </w:p>
    <w:p w14:paraId="4751F58E">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双方签署产品验收单并加盖采购人公章，甲乙双方各执一份。</w:t>
      </w:r>
    </w:p>
    <w:p w14:paraId="23B12093">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甲方应提供该项目验收报告交同级财政监管部门，由财政部门按规定程</w:t>
      </w:r>
    </w:p>
    <w:p w14:paraId="373FAA90">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序抽验后办理资金拨付。</w:t>
      </w:r>
    </w:p>
    <w:p w14:paraId="20FE2ECC">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甲方在履行合同过程中发现乙方有违约问题，可按谈判文件、谈判响应</w:t>
      </w:r>
    </w:p>
    <w:p w14:paraId="287582D2">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文件的规定要求乙方及时予以解决。</w:t>
      </w:r>
    </w:p>
    <w:p w14:paraId="7D7710A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7.乙方向甲方提供产品相关完税销售发票。</w:t>
      </w:r>
    </w:p>
    <w:p w14:paraId="7EEA57BE">
      <w:pPr>
        <w:autoSpaceDE w:val="0"/>
        <w:autoSpaceDN w:val="0"/>
        <w:spacing w:line="360" w:lineRule="auto"/>
        <w:ind w:firstLine="480"/>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四、付款方式：</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以合同签订为主。</w:t>
      </w:r>
    </w:p>
    <w:p w14:paraId="0AE63FA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五、合同的变更、终止与转让</w:t>
      </w:r>
    </w:p>
    <w:p w14:paraId="3D05F97E">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1.除《中华人民共和国政府采购法》第 50 条规定的情形外，本合同一经签</w:t>
      </w:r>
    </w:p>
    <w:p w14:paraId="7FE41994">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订，甲乙双方不得擅自变更、中止或终止。</w:t>
      </w:r>
    </w:p>
    <w:p w14:paraId="4ED7B2FE">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2.乙方不得擅自转让其应履行的合同义务。</w:t>
      </w:r>
    </w:p>
    <w:p w14:paraId="37A2A8F6">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六、违约责任</w:t>
      </w:r>
    </w:p>
    <w:p w14:paraId="640981E3">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1.乙方所提供的产品规格、技术标准、材料等质量不合格的，应及时更换；</w:t>
      </w:r>
    </w:p>
    <w:p w14:paraId="5A404AB1">
      <w:pPr>
        <w:autoSpaceDE w:val="0"/>
        <w:autoSpaceDN w:val="0"/>
        <w:spacing w:line="36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更换不及时的，按逾期交货承担违约责任；因质量问题甲方不同意接收的，甲方有权扣除质保金（或履约保证金），并由乙方赔偿由此引起的甲方的一切经济损失。</w:t>
      </w:r>
    </w:p>
    <w:p w14:paraId="7B1F0018">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2.乙方提供的货物如侵犯了第三方权益而引发纠纷或诉讼的，均由乙方负责</w:t>
      </w:r>
    </w:p>
    <w:p w14:paraId="22C0DBB4">
      <w:pPr>
        <w:autoSpaceDE w:val="0"/>
        <w:autoSpaceDN w:val="0"/>
        <w:spacing w:line="360" w:lineRule="auto"/>
        <w:ind w:left="0" w:leftChars="0"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交涉并承担全部责任。</w:t>
      </w:r>
    </w:p>
    <w:p w14:paraId="2DE64E91">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3.因包装、运输引起的货物损坏，甲方有权拒收。</w:t>
      </w:r>
    </w:p>
    <w:p w14:paraId="3A5C376C">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4.甲方无故延期接受货物和乙方逾期交货的，每天应向对方偿付未交货物的</w:t>
      </w:r>
    </w:p>
    <w:p w14:paraId="6A37DAD9">
      <w:pPr>
        <w:autoSpaceDE w:val="0"/>
        <w:autoSpaceDN w:val="0"/>
        <w:spacing w:line="360" w:lineRule="auto"/>
        <w:ind w:left="0" w:leftChars="0"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货款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的违约金，但违约金累计不得超过违约货款的 5%，超过</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天对方有权解除合同，违约方承担因此给对方造成的经济损失 。</w:t>
      </w:r>
    </w:p>
    <w:p w14:paraId="713A7340">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5.乙方未按本合同和响应文件中规定的服务承诺提供售后服务的，乙方应按</w:t>
      </w:r>
    </w:p>
    <w:p w14:paraId="29C5B15C">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本合同合计金额的 5%向甲方支付违约金。</w:t>
      </w:r>
    </w:p>
    <w:p w14:paraId="73AFCEEC">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6.乙方提供的货物在质量保证期内，因设计、工艺或材料的缺陷和其它质量</w:t>
      </w:r>
    </w:p>
    <w:p w14:paraId="681A3A11">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原因造成的问题，由乙方负责，费用从质量保证金中扣除，不足另补。</w:t>
      </w:r>
    </w:p>
    <w:p w14:paraId="77AD952F">
      <w:pPr>
        <w:numPr>
          <w:ilvl w:val="0"/>
          <w:numId w:val="3"/>
        </w:numPr>
        <w:autoSpaceDE w:val="0"/>
        <w:autoSpaceDN w:val="0"/>
        <w:spacing w:line="360" w:lineRule="auto"/>
        <w:ind w:left="0" w:leftChars="0"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其它违约行为按违约货款额 5%收取违约金并赔偿经济损失。</w:t>
      </w:r>
    </w:p>
    <w:p w14:paraId="7925EA1B">
      <w:pPr>
        <w:numPr>
          <w:ilvl w:val="0"/>
          <w:numId w:val="0"/>
        </w:numPr>
        <w:autoSpaceDE w:val="0"/>
        <w:autoSpaceDN w:val="0"/>
        <w:spacing w:line="360" w:lineRule="auto"/>
        <w:ind w:left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七、不可抗力</w:t>
      </w:r>
    </w:p>
    <w:p w14:paraId="6477EF3F">
      <w:pPr>
        <w:keepNext w:val="0"/>
        <w:keepLines w:val="0"/>
        <w:widowControl/>
        <w:suppressLineNumbers w:val="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1.不可抗力使合同的某些内容有变更必要的，双方应通过协商在</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天内达</w:t>
      </w:r>
    </w:p>
    <w:p w14:paraId="31282307">
      <w:pPr>
        <w:keepNext w:val="0"/>
        <w:keepLines w:val="0"/>
        <w:widowControl/>
        <w:suppressLineNumbers w:val="0"/>
        <w:ind w:left="0" w:leftChars="0"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成进一步履行合同的协议，因不可抗力致使合同不能履行的，合同终止。</w:t>
      </w:r>
    </w:p>
    <w:p w14:paraId="4EA9ABB7">
      <w:pPr>
        <w:keepNext w:val="0"/>
        <w:keepLines w:val="0"/>
        <w:widowControl/>
        <w:suppressLineNumbers w:val="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2.除法律、法规规定的不可抗力情形外，双方约定出现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情况亦视</w:t>
      </w:r>
    </w:p>
    <w:p w14:paraId="551540B1">
      <w:pPr>
        <w:keepNext w:val="0"/>
        <w:keepLines w:val="0"/>
        <w:widowControl/>
        <w:suppressLineNumbers w:val="0"/>
        <w:ind w:left="0" w:leftChars="0"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为不可抗力。</w:t>
      </w:r>
    </w:p>
    <w:p w14:paraId="0D9227E3">
      <w:pPr>
        <w:keepNext w:val="0"/>
        <w:keepLines w:val="0"/>
        <w:widowControl/>
        <w:suppressLineNumbers w:val="0"/>
        <w:jc w:val="left"/>
      </w:pPr>
      <w:r>
        <w:rPr>
          <w:rFonts w:hint="eastAsia" w:ascii="宋体" w:hAnsi="宋体" w:eastAsia="宋体" w:cs="宋体"/>
          <w:color w:val="000000" w:themeColor="text1"/>
          <w:sz w:val="24"/>
          <w:szCs w:val="24"/>
          <w:lang w:val="zh-CN"/>
          <w14:textFill>
            <w14:solidFill>
              <w14:schemeClr w14:val="tx1"/>
            </w14:solidFill>
          </w14:textFill>
        </w:rPr>
        <w:t>八、知识产权：</w:t>
      </w:r>
      <w:r>
        <w:rPr>
          <w:rFonts w:hint="eastAsia" w:ascii="宋体" w:hAnsi="宋体" w:eastAsia="宋体" w:cs="宋体"/>
          <w:color w:val="000000"/>
          <w:kern w:val="0"/>
          <w:sz w:val="24"/>
          <w:szCs w:val="24"/>
          <w:lang w:val="en-US" w:eastAsia="zh-CN" w:bidi="ar"/>
        </w:rPr>
        <w:t>乙方保证，所供产品免受第三方提出的侵犯其专利权、商标权或其它知识产权的起诉。如发生此类纠纷，由乙方承担一切责任；如因此给甲方造成损失的，乙方负责全额赔偿。</w:t>
      </w:r>
    </w:p>
    <w:p w14:paraId="1BB4A807">
      <w:pPr>
        <w:keepNext w:val="0"/>
        <w:keepLines w:val="0"/>
        <w:widowControl/>
        <w:suppressLineNumbers w:val="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九、其他约定：</w:t>
      </w:r>
    </w:p>
    <w:p w14:paraId="7A3DDB9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十、合同争议解决</w:t>
      </w:r>
    </w:p>
    <w:p w14:paraId="6FFE11D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13CD516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因履行本合同引起的或与本合同有关的争议，甲乙双方应首先通过友好协商解决，如果协商不能解决，可向甲方所在地仲裁委员会申请仲裁或向甲方所在地人民法院提起诉讼。</w:t>
      </w:r>
    </w:p>
    <w:p w14:paraId="382A26C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诉讼期间，本合同继续履行。</w:t>
      </w:r>
    </w:p>
    <w:p w14:paraId="666F367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十一、合同生效及其它</w:t>
      </w:r>
      <w:r>
        <w:rPr>
          <w:rFonts w:hint="eastAsia" w:ascii="宋体" w:hAnsi="宋体" w:eastAsia="宋体" w:cs="宋体"/>
          <w:color w:val="000000" w:themeColor="text1"/>
          <w:sz w:val="24"/>
          <w:szCs w:val="24"/>
          <w14:textFill>
            <w14:solidFill>
              <w14:schemeClr w14:val="tx1"/>
            </w14:solidFill>
          </w14:textFill>
        </w:rPr>
        <w:t>：</w:t>
      </w:r>
    </w:p>
    <w:p w14:paraId="33000CE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本合同一式</w:t>
      </w:r>
      <w:r>
        <w:rPr>
          <w:rFonts w:hint="eastAsia" w:ascii="宋体" w:hAnsi="宋体" w:eastAsia="宋体" w:cs="宋体"/>
          <w:color w:val="000000" w:themeColor="text1"/>
          <w:sz w:val="24"/>
          <w:szCs w:val="24"/>
          <w:lang w:eastAsia="zh-CN"/>
          <w14:textFill>
            <w14:solidFill>
              <w14:schemeClr w14:val="tx1"/>
            </w14:solidFill>
          </w14:textFill>
        </w:rPr>
        <w:t>捌</w:t>
      </w:r>
      <w:r>
        <w:rPr>
          <w:rFonts w:hint="eastAsia" w:ascii="宋体" w:hAnsi="宋体" w:eastAsia="宋体" w:cs="宋体"/>
          <w:color w:val="000000" w:themeColor="text1"/>
          <w:sz w:val="24"/>
          <w:szCs w:val="24"/>
          <w:lang w:val="zh-CN"/>
          <w14:textFill>
            <w14:solidFill>
              <w14:schemeClr w14:val="tx1"/>
            </w14:solidFill>
          </w14:textFill>
        </w:rPr>
        <w:t>份，经双方签字，并加盖公章即为生效。</w:t>
      </w:r>
    </w:p>
    <w:p w14:paraId="71228EB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本合同未尽事宜，按民</w:t>
      </w:r>
      <w:r>
        <w:rPr>
          <w:rFonts w:hint="eastAsia" w:ascii="宋体" w:hAnsi="宋体" w:eastAsia="宋体" w:cs="宋体"/>
          <w:color w:val="000000" w:themeColor="text1"/>
          <w:sz w:val="24"/>
          <w:szCs w:val="24"/>
          <w:lang w:val="en-US" w:eastAsia="zh-CN"/>
          <w14:textFill>
            <w14:solidFill>
              <w14:schemeClr w14:val="tx1"/>
            </w14:solidFill>
          </w14:textFill>
        </w:rPr>
        <w:t>法典</w:t>
      </w:r>
      <w:r>
        <w:rPr>
          <w:rFonts w:hint="eastAsia" w:ascii="宋体" w:hAnsi="宋体" w:eastAsia="宋体" w:cs="宋体"/>
          <w:color w:val="000000" w:themeColor="text1"/>
          <w:sz w:val="24"/>
          <w:szCs w:val="24"/>
          <w:lang w:val="zh-CN"/>
          <w14:textFill>
            <w14:solidFill>
              <w14:schemeClr w14:val="tx1"/>
            </w14:solidFill>
          </w14:textFill>
        </w:rPr>
        <w:t>有关规定处理。</w:t>
      </w:r>
    </w:p>
    <w:p w14:paraId="73152DE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本合同的组成包含《合同通用条款》。</w:t>
      </w:r>
    </w:p>
    <w:p w14:paraId="51FDBA67">
      <w:pPr>
        <w:ind w:firstLine="480"/>
        <w:rPr>
          <w:rFonts w:ascii="宋体" w:hAnsi="宋体" w:eastAsia="宋体" w:cs="宋体"/>
          <w:color w:val="000000" w:themeColor="text1"/>
          <w:sz w:val="24"/>
          <w:szCs w:val="24"/>
          <w:lang w:val="zh-CN"/>
          <w14:textFill>
            <w14:solidFill>
              <w14:schemeClr w14:val="tx1"/>
            </w14:solidFill>
          </w14:textFill>
        </w:rPr>
      </w:pPr>
    </w:p>
    <w:p w14:paraId="0D176E12">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甲方（盖章）：</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乙方（盖章）：</w:t>
      </w:r>
    </w:p>
    <w:p w14:paraId="4D248BC8">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法定代表人或委托代理人</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法定代表人或委托代理人</w:t>
      </w:r>
      <w:r>
        <w:rPr>
          <w:rFonts w:hint="eastAsia" w:ascii="宋体" w:hAnsi="宋体" w:eastAsia="宋体" w:cs="宋体"/>
          <w:color w:val="000000" w:themeColor="text1"/>
          <w:sz w:val="24"/>
          <w:szCs w:val="24"/>
          <w14:textFill>
            <w14:solidFill>
              <w14:schemeClr w14:val="tx1"/>
            </w14:solidFill>
          </w14:textFill>
        </w:rPr>
        <w:t>：</w:t>
      </w:r>
    </w:p>
    <w:p w14:paraId="32901F26">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开户银行：</w:t>
      </w:r>
    </w:p>
    <w:p w14:paraId="5DAA1529">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账号：</w:t>
      </w:r>
    </w:p>
    <w:p w14:paraId="043452AE">
      <w:pPr>
        <w:autoSpaceDE w:val="0"/>
        <w:autoSpaceDN w:val="0"/>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地址：</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地址：</w:t>
      </w:r>
    </w:p>
    <w:p w14:paraId="7D2C4219">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联系电话：</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联系电话：</w:t>
      </w:r>
    </w:p>
    <w:p w14:paraId="243C50D9">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签约时间：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p>
    <w:p w14:paraId="6477011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14:paraId="317898A0">
      <w:pPr>
        <w:autoSpaceDE w:val="0"/>
        <w:autoSpaceDN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采购代理机构：</w:t>
      </w:r>
      <w:r>
        <w:rPr>
          <w:rFonts w:hint="eastAsia" w:ascii="宋体" w:hAnsi="宋体" w:eastAsia="宋体" w:cs="宋体"/>
          <w:color w:val="000000" w:themeColor="text1"/>
          <w:sz w:val="24"/>
          <w:szCs w:val="24"/>
          <w:lang w:eastAsia="zh-CN"/>
          <w14:textFill>
            <w14:solidFill>
              <w14:schemeClr w14:val="tx1"/>
            </w14:solidFill>
          </w14:textFill>
        </w:rPr>
        <w:t>海东乐都区乐欣中堃项目管理有限公司</w:t>
      </w:r>
    </w:p>
    <w:p w14:paraId="69CA0412">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负责人或经办人：</w:t>
      </w:r>
    </w:p>
    <w:p w14:paraId="4C4FD608">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p>
    <w:p w14:paraId="1DEEDB96">
      <w:pPr>
        <w:keepNext/>
        <w:pageBreakBefore/>
        <w:autoSpaceDE w:val="0"/>
        <w:autoSpaceDN w:val="0"/>
        <w:adjustRightInd w:val="0"/>
        <w:spacing w:line="360" w:lineRule="auto"/>
        <w:ind w:firstLine="0" w:firstLine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zh-CN"/>
          <w14:textFill>
            <w14:solidFill>
              <w14:schemeClr w14:val="tx1"/>
            </w14:solidFill>
          </w14:textFill>
        </w:rPr>
        <w:t>合同通用条款</w:t>
      </w:r>
    </w:p>
    <w:p w14:paraId="186BA71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14:paraId="4F33EB33">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zh-CN"/>
          <w14:textFill>
            <w14:solidFill>
              <w14:schemeClr w14:val="tx1"/>
            </w14:solidFill>
          </w14:textFill>
        </w:rPr>
        <w:t>定义</w:t>
      </w:r>
    </w:p>
    <w:p w14:paraId="7314E88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本合同中的下列术语应解释为：</w:t>
      </w:r>
    </w:p>
    <w:p w14:paraId="1010077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 </w:t>
      </w:r>
      <w:r>
        <w:rPr>
          <w:rFonts w:hint="eastAsia" w:ascii="宋体" w:hAnsi="宋体" w:eastAsia="宋体" w:cs="宋体"/>
          <w:color w:val="000000" w:themeColor="text1"/>
          <w:sz w:val="24"/>
          <w:szCs w:val="24"/>
          <w:lang w:val="zh-CN"/>
          <w14:textFill>
            <w14:solidFill>
              <w14:schemeClr w14:val="tx1"/>
            </w14:solidFill>
          </w14:textFill>
        </w:rPr>
        <w:t>“合同”指甲乙双方签署的、载明的甲乙双方权利义务的协议，包括所有的附件、附录和上述文件所提到的构成合同的所有文件。</w:t>
      </w:r>
    </w:p>
    <w:p w14:paraId="3BC3957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 </w:t>
      </w:r>
      <w:r>
        <w:rPr>
          <w:rFonts w:hint="eastAsia" w:ascii="宋体" w:hAnsi="宋体" w:eastAsia="宋体" w:cs="宋体"/>
          <w:color w:val="000000" w:themeColor="text1"/>
          <w:sz w:val="24"/>
          <w:szCs w:val="24"/>
          <w:lang w:val="zh-CN"/>
          <w14:textFill>
            <w14:solidFill>
              <w14:schemeClr w14:val="tx1"/>
            </w14:solidFill>
          </w14:textFill>
        </w:rPr>
        <w:t>“合同金额”指根据合同规定，乙方在正确地完全履行合同义务后甲方应付给乙方的价款。</w:t>
      </w:r>
    </w:p>
    <w:p w14:paraId="524A9A1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 </w:t>
      </w:r>
      <w:r>
        <w:rPr>
          <w:rFonts w:hint="eastAsia" w:ascii="宋体" w:hAnsi="宋体" w:eastAsia="宋体" w:cs="宋体"/>
          <w:color w:val="000000" w:themeColor="text1"/>
          <w:sz w:val="24"/>
          <w:szCs w:val="24"/>
          <w:lang w:val="zh-CN"/>
          <w14:textFill>
            <w14:solidFill>
              <w14:schemeClr w14:val="tx1"/>
            </w14:solidFill>
          </w14:textFill>
        </w:rPr>
        <w:t>“合同条款”指本合同条款。</w:t>
      </w:r>
    </w:p>
    <w:p w14:paraId="2E7B91D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 </w:t>
      </w:r>
      <w:r>
        <w:rPr>
          <w:rFonts w:hint="eastAsia" w:ascii="宋体" w:hAnsi="宋体" w:eastAsia="宋体" w:cs="宋体"/>
          <w:color w:val="000000" w:themeColor="text1"/>
          <w:sz w:val="24"/>
          <w:szCs w:val="24"/>
          <w:lang w:val="zh-CN"/>
          <w14:textFill>
            <w14:solidFill>
              <w14:schemeClr w14:val="tx1"/>
            </w14:solidFill>
          </w14:textFill>
        </w:rPr>
        <w:t>“货物”指乙方根据合同约定须向甲方提供的一切产品、设备、机械、仪表、备件等，包括辅助工具、使用手册等相关资料。</w:t>
      </w:r>
    </w:p>
    <w:p w14:paraId="332B6FE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 </w:t>
      </w:r>
      <w:r>
        <w:rPr>
          <w:rFonts w:hint="eastAsia" w:ascii="宋体" w:hAnsi="宋体" w:eastAsia="宋体" w:cs="宋体"/>
          <w:color w:val="000000" w:themeColor="text1"/>
          <w:sz w:val="24"/>
          <w:szCs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14:paraId="30EFB50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1.6 </w:t>
      </w:r>
      <w:r>
        <w:rPr>
          <w:rFonts w:hint="eastAsia" w:ascii="宋体" w:hAnsi="宋体" w:eastAsia="宋体" w:cs="宋体"/>
          <w:color w:val="000000" w:themeColor="text1"/>
          <w:sz w:val="24"/>
          <w:szCs w:val="24"/>
          <w:lang w:val="zh-CN"/>
          <w14:textFill>
            <w14:solidFill>
              <w14:schemeClr w14:val="tx1"/>
            </w14:solidFill>
          </w14:textFill>
        </w:rPr>
        <w:t>“甲方”指购买货物和服务的单位。</w:t>
      </w:r>
    </w:p>
    <w:p w14:paraId="67F3463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1.7 </w:t>
      </w:r>
      <w:r>
        <w:rPr>
          <w:rFonts w:hint="eastAsia" w:ascii="宋体" w:hAnsi="宋体" w:eastAsia="宋体" w:cs="宋体"/>
          <w:color w:val="000000" w:themeColor="text1"/>
          <w:sz w:val="24"/>
          <w:szCs w:val="24"/>
          <w:lang w:val="zh-CN"/>
          <w14:textFill>
            <w14:solidFill>
              <w14:schemeClr w14:val="tx1"/>
            </w14:solidFill>
          </w14:textFill>
        </w:rPr>
        <w:t>“乙方”指提供本合同条款下货物和服务的公司或其他实体。</w:t>
      </w:r>
    </w:p>
    <w:p w14:paraId="1012DCF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1.8 </w:t>
      </w:r>
      <w:r>
        <w:rPr>
          <w:rFonts w:hint="eastAsia" w:ascii="宋体" w:hAnsi="宋体" w:eastAsia="宋体" w:cs="宋体"/>
          <w:color w:val="000000" w:themeColor="text1"/>
          <w:sz w:val="24"/>
          <w:szCs w:val="24"/>
          <w:lang w:val="zh-CN"/>
          <w14:textFill>
            <w14:solidFill>
              <w14:schemeClr w14:val="tx1"/>
            </w14:solidFill>
          </w14:textFill>
        </w:rPr>
        <w:t>“现场”指合同规定货物将要运至和安装的地点。</w:t>
      </w:r>
    </w:p>
    <w:p w14:paraId="74C1B0F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1.9 </w:t>
      </w:r>
      <w:r>
        <w:rPr>
          <w:rFonts w:hint="eastAsia" w:ascii="宋体" w:hAnsi="宋体" w:eastAsia="宋体" w:cs="宋体"/>
          <w:color w:val="000000" w:themeColor="text1"/>
          <w:sz w:val="24"/>
          <w:szCs w:val="24"/>
          <w:lang w:val="zh-CN"/>
          <w14:textFill>
            <w14:solidFill>
              <w14:schemeClr w14:val="tx1"/>
            </w14:solidFill>
          </w14:textFill>
        </w:rPr>
        <w:t>“验收”指合同双方依据强制性的国家技术质量规范和合同约定，确认合同条款下的货物符合合同规定的活动。</w:t>
      </w:r>
    </w:p>
    <w:p w14:paraId="2A058F7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w:t>
      </w:r>
      <w:r>
        <w:rPr>
          <w:rFonts w:hint="eastAsia" w:ascii="宋体" w:hAnsi="宋体" w:eastAsia="宋体" w:cs="宋体"/>
          <w:color w:val="000000" w:themeColor="text1"/>
          <w:sz w:val="24"/>
          <w:szCs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011A6EC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 </w:t>
      </w:r>
      <w:r>
        <w:rPr>
          <w:rFonts w:hint="eastAsia" w:ascii="宋体" w:hAnsi="宋体" w:eastAsia="宋体" w:cs="宋体"/>
          <w:color w:val="000000" w:themeColor="text1"/>
          <w:sz w:val="24"/>
          <w:szCs w:val="24"/>
          <w:lang w:val="zh-CN"/>
          <w14:textFill>
            <w14:solidFill>
              <w14:schemeClr w14:val="tx1"/>
            </w14:solidFill>
          </w14:textFill>
        </w:rPr>
        <w:t>原产地：指产品的生产地，或提供服务的来源地。</w:t>
      </w:r>
    </w:p>
    <w:p w14:paraId="7A91099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 </w:t>
      </w:r>
      <w:r>
        <w:rPr>
          <w:rFonts w:hint="eastAsia" w:ascii="宋体" w:hAnsi="宋体" w:eastAsia="宋体" w:cs="宋体"/>
          <w:color w:val="000000" w:themeColor="text1"/>
          <w:sz w:val="24"/>
          <w:szCs w:val="24"/>
          <w:lang w:val="zh-CN"/>
          <w14:textFill>
            <w14:solidFill>
              <w14:schemeClr w14:val="tx1"/>
            </w14:solidFill>
          </w14:textFill>
        </w:rPr>
        <w:t>“工作日”指国家法定工作日，“天”指日历天数。</w:t>
      </w:r>
    </w:p>
    <w:p w14:paraId="7FEEA5B2">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zh-CN"/>
          <w14:textFill>
            <w14:solidFill>
              <w14:schemeClr w14:val="tx1"/>
            </w14:solidFill>
          </w14:textFill>
        </w:rPr>
        <w:t>技术规格要求</w:t>
      </w:r>
    </w:p>
    <w:p w14:paraId="1A6EB5A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2.1 </w:t>
      </w:r>
      <w:r>
        <w:rPr>
          <w:rFonts w:hint="eastAsia" w:ascii="宋体" w:hAnsi="宋体" w:eastAsia="宋体" w:cs="宋体"/>
          <w:color w:val="000000" w:themeColor="text1"/>
          <w:sz w:val="24"/>
          <w:szCs w:val="24"/>
          <w:lang w:val="zh-CN"/>
          <w14:textFill>
            <w14:solidFill>
              <w14:schemeClr w14:val="tx1"/>
            </w14:solidFill>
          </w14:textFill>
        </w:rPr>
        <w:t>本合同条款下提交货物的技术规格要求应等于或优于谈判文件、响应文件技术规格要求。若技术规格要求中无相应规定，则应符合相应的国家有关部门最新颁布的相应正式标准。</w:t>
      </w:r>
    </w:p>
    <w:p w14:paraId="35B92CD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 </w:t>
      </w:r>
      <w:r>
        <w:rPr>
          <w:rFonts w:hint="eastAsia" w:ascii="宋体" w:hAnsi="宋体" w:eastAsia="宋体" w:cs="宋体"/>
          <w:color w:val="000000" w:themeColor="text1"/>
          <w:sz w:val="24"/>
          <w:szCs w:val="24"/>
          <w:lang w:val="zh-CN"/>
          <w14:textFill>
            <w14:solidFill>
              <w14:schemeClr w14:val="tx1"/>
            </w14:solidFill>
          </w14:textFill>
        </w:rPr>
        <w:t>乙方应向甲方提供货物及服务有关的标准的中文文本。</w:t>
      </w:r>
    </w:p>
    <w:p w14:paraId="0BE2E72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2.3 </w:t>
      </w:r>
      <w:r>
        <w:rPr>
          <w:rFonts w:hint="eastAsia" w:ascii="宋体" w:hAnsi="宋体" w:eastAsia="宋体" w:cs="宋体"/>
          <w:color w:val="000000" w:themeColor="text1"/>
          <w:sz w:val="24"/>
          <w:szCs w:val="24"/>
          <w:lang w:val="zh-CN"/>
          <w14:textFill>
            <w14:solidFill>
              <w14:schemeClr w14:val="tx1"/>
            </w14:solidFill>
          </w14:textFill>
        </w:rPr>
        <w:t>除非技术规范中另有规定，计量单位均采用中华人民共和国法定计量单位。</w:t>
      </w:r>
    </w:p>
    <w:p w14:paraId="4AD3C1D9">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zh-CN"/>
          <w14:textFill>
            <w14:solidFill>
              <w14:schemeClr w14:val="tx1"/>
            </w14:solidFill>
          </w14:textFill>
        </w:rPr>
        <w:t>合同范围</w:t>
      </w:r>
    </w:p>
    <w:p w14:paraId="176D392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 </w:t>
      </w:r>
      <w:r>
        <w:rPr>
          <w:rFonts w:hint="eastAsia" w:ascii="宋体" w:hAnsi="宋体" w:eastAsia="宋体" w:cs="宋体"/>
          <w:color w:val="000000" w:themeColor="text1"/>
          <w:sz w:val="24"/>
          <w:szCs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DD5AC8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3.2 </w:t>
      </w:r>
      <w:r>
        <w:rPr>
          <w:rFonts w:hint="eastAsia" w:ascii="宋体" w:hAnsi="宋体" w:eastAsia="宋体" w:cs="宋体"/>
          <w:color w:val="000000" w:themeColor="text1"/>
          <w:sz w:val="24"/>
          <w:szCs w:val="24"/>
          <w:lang w:val="zh-CN"/>
          <w14:textFill>
            <w14:solidFill>
              <w14:schemeClr w14:val="tx1"/>
            </w14:solidFill>
          </w14:textFill>
        </w:rPr>
        <w:t>乙方应负责培训甲方的技术人员。</w:t>
      </w:r>
    </w:p>
    <w:p w14:paraId="73E11DD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3.3 </w:t>
      </w:r>
      <w:r>
        <w:rPr>
          <w:rFonts w:hint="eastAsia" w:ascii="宋体" w:hAnsi="宋体" w:eastAsia="宋体" w:cs="宋体"/>
          <w:color w:val="000000" w:themeColor="text1"/>
          <w:sz w:val="24"/>
          <w:szCs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9BC47EB">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lang w:val="zh-CN"/>
          <w14:textFill>
            <w14:solidFill>
              <w14:schemeClr w14:val="tx1"/>
            </w14:solidFill>
          </w14:textFill>
        </w:rPr>
        <w:t>合同文件和资料</w:t>
      </w:r>
    </w:p>
    <w:p w14:paraId="360FEF5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w:t>
      </w:r>
      <w:r>
        <w:rPr>
          <w:rFonts w:hint="eastAsia" w:ascii="宋体" w:hAnsi="宋体" w:eastAsia="宋体" w:cs="宋体"/>
          <w:color w:val="000000" w:themeColor="text1"/>
          <w:sz w:val="24"/>
          <w:szCs w:val="24"/>
          <w:lang w:val="zh-CN"/>
          <w14:textFill>
            <w14:solidFill>
              <w14:schemeClr w14:val="tx1"/>
            </w14:solidFill>
          </w14:textFill>
        </w:rPr>
        <w:t>乙方在提供仪器设备时应同时提供中文版相关的技术资料，如目录索引、图纸、操作手册、使用指南、维修指南、服务手册等。</w:t>
      </w:r>
    </w:p>
    <w:p w14:paraId="2AB4019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BB99BC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lang w:val="zh-CN"/>
          <w14:textFill>
            <w14:solidFill>
              <w14:schemeClr w14:val="tx1"/>
            </w14:solidFill>
          </w14:textFill>
        </w:rPr>
        <w:t>知识产权</w:t>
      </w:r>
    </w:p>
    <w:p w14:paraId="57A6DFD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r>
        <w:rPr>
          <w:rFonts w:hint="eastAsia" w:ascii="宋体" w:hAnsi="宋体" w:eastAsia="宋体" w:cs="宋体"/>
          <w:color w:val="000000" w:themeColor="text1"/>
          <w:sz w:val="24"/>
          <w:szCs w:val="24"/>
          <w:lang w:val="zh-CN"/>
          <w14:textFill>
            <w14:solidFill>
              <w14:schemeClr w14:val="tx1"/>
            </w14:solidFill>
          </w14:textFill>
        </w:rPr>
        <w:t>乙方应保证甲方在使用该货物或其任何一部分时不受第三方提出的侵犯专利权、</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著作权、商标权和工业设计权等的起诉。</w:t>
      </w:r>
    </w:p>
    <w:p w14:paraId="7A00B6C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w:t>
      </w:r>
      <w:r>
        <w:rPr>
          <w:rFonts w:hint="eastAsia" w:ascii="宋体" w:hAnsi="宋体" w:eastAsia="宋体" w:cs="宋体"/>
          <w:color w:val="000000" w:themeColor="text1"/>
          <w:sz w:val="24"/>
          <w:szCs w:val="24"/>
          <w:lang w:val="zh-CN"/>
          <w14:textFill>
            <w14:solidFill>
              <w14:schemeClr w14:val="tx1"/>
            </w14:solidFill>
          </w14:textFill>
        </w:rPr>
        <w:t>任何第三方提出侵权指控，乙方须与第三方交涉并承担由此产生的一切责任、费用和经济赔偿。</w:t>
      </w:r>
    </w:p>
    <w:p w14:paraId="0D26728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w:t>
      </w:r>
      <w:r>
        <w:rPr>
          <w:rFonts w:hint="eastAsia" w:ascii="宋体" w:hAnsi="宋体" w:eastAsia="宋体" w:cs="宋体"/>
          <w:color w:val="000000" w:themeColor="text1"/>
          <w:sz w:val="24"/>
          <w:szCs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64EDEDC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w:t>
      </w:r>
      <w:r>
        <w:rPr>
          <w:rFonts w:hint="eastAsia" w:ascii="宋体" w:hAnsi="宋体" w:eastAsia="宋体" w:cs="宋体"/>
          <w:color w:val="000000" w:themeColor="text1"/>
          <w:sz w:val="24"/>
          <w:szCs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77F3217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w:t>
      </w:r>
      <w:r>
        <w:rPr>
          <w:rFonts w:hint="eastAsia" w:ascii="宋体" w:hAnsi="宋体" w:eastAsia="宋体" w:cs="宋体"/>
          <w:color w:val="000000" w:themeColor="text1"/>
          <w:sz w:val="24"/>
          <w:szCs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C0852F2">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w:t>
      </w:r>
      <w:r>
        <w:rPr>
          <w:rFonts w:hint="eastAsia" w:ascii="宋体" w:hAnsi="宋体" w:eastAsia="宋体" w:cs="宋体"/>
          <w:b/>
          <w:bCs/>
          <w:color w:val="000000" w:themeColor="text1"/>
          <w:sz w:val="24"/>
          <w:szCs w:val="24"/>
          <w:lang w:val="zh-CN"/>
          <w14:textFill>
            <w14:solidFill>
              <w14:schemeClr w14:val="tx1"/>
            </w14:solidFill>
          </w14:textFill>
        </w:rPr>
        <w:t>保密</w:t>
      </w:r>
    </w:p>
    <w:p w14:paraId="4BF7394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r>
        <w:rPr>
          <w:rFonts w:hint="eastAsia" w:ascii="宋体" w:hAnsi="宋体" w:eastAsia="宋体" w:cs="宋体"/>
          <w:color w:val="000000" w:themeColor="text1"/>
          <w:sz w:val="24"/>
          <w:szCs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6CA564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w:t>
      </w:r>
      <w:r>
        <w:rPr>
          <w:rFonts w:hint="eastAsia" w:ascii="宋体" w:hAnsi="宋体" w:eastAsia="宋体" w:cs="宋体"/>
          <w:color w:val="000000" w:themeColor="text1"/>
          <w:sz w:val="24"/>
          <w:szCs w:val="24"/>
          <w:lang w:val="zh-CN"/>
          <w14:textFill>
            <w14:solidFill>
              <w14:schemeClr w14:val="tx1"/>
            </w14:solidFill>
          </w14:textFill>
        </w:rPr>
        <w:t>保密信息指任何一方因履行本合同所知悉的任何以口头、书面、图表或电子形式存在的对方信息，具体包括：</w:t>
      </w:r>
    </w:p>
    <w:p w14:paraId="11F16BA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w:t>
      </w:r>
      <w:r>
        <w:rPr>
          <w:rFonts w:hint="eastAsia" w:ascii="宋体" w:hAnsi="宋体" w:eastAsia="宋体" w:cs="宋体"/>
          <w:color w:val="000000" w:themeColor="text1"/>
          <w:sz w:val="24"/>
          <w:szCs w:val="24"/>
          <w:lang w:val="zh-CN"/>
          <w14:textFill>
            <w14:solidFill>
              <w14:schemeClr w14:val="tx1"/>
            </w14:solidFill>
          </w14:textFill>
        </w:rPr>
        <w:t>任何涉及对方过去、现在或将来的商业计划、规章制度、操作规程、处理手段、财务信息；</w:t>
      </w:r>
    </w:p>
    <w:p w14:paraId="437C2C5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6.2.2</w:t>
      </w:r>
      <w:r>
        <w:rPr>
          <w:rFonts w:hint="eastAsia" w:ascii="宋体" w:hAnsi="宋体" w:eastAsia="宋体" w:cs="宋体"/>
          <w:color w:val="000000" w:themeColor="text1"/>
          <w:sz w:val="24"/>
          <w:szCs w:val="24"/>
          <w:lang w:val="zh-CN"/>
          <w14:textFill>
            <w14:solidFill>
              <w14:schemeClr w14:val="tx1"/>
            </w14:solidFill>
          </w14:textFill>
        </w:rPr>
        <w:t>任何对方的技术措施、技术方案、软件应用及开发，硬件设备的品种、质量、数量、品牌等；</w:t>
      </w:r>
    </w:p>
    <w:p w14:paraId="107C839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6.2.3</w:t>
      </w:r>
      <w:r>
        <w:rPr>
          <w:rFonts w:hint="eastAsia" w:ascii="宋体" w:hAnsi="宋体" w:eastAsia="宋体" w:cs="宋体"/>
          <w:color w:val="000000" w:themeColor="text1"/>
          <w:sz w:val="24"/>
          <w:szCs w:val="24"/>
          <w:lang w:val="zh-CN"/>
          <w14:textFill>
            <w14:solidFill>
              <w14:schemeClr w14:val="tx1"/>
            </w14:solidFill>
          </w14:textFill>
        </w:rPr>
        <w:t>任何对方的技术秘密或专有知识、文件</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、报告、数据、客户软件、流程图、数据库、发明、知识、贸易秘密。</w:t>
      </w:r>
    </w:p>
    <w:p w14:paraId="5CE2BD4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w:t>
      </w:r>
      <w:r>
        <w:rPr>
          <w:rFonts w:hint="eastAsia" w:ascii="宋体" w:hAnsi="宋体" w:eastAsia="宋体" w:cs="宋体"/>
          <w:color w:val="000000" w:themeColor="text1"/>
          <w:sz w:val="24"/>
          <w:szCs w:val="24"/>
          <w:lang w:val="zh-CN"/>
          <w14:textFill>
            <w14:solidFill>
              <w14:schemeClr w14:val="tx1"/>
            </w14:solidFill>
          </w14:textFill>
        </w:rPr>
        <w:t>乙方应根据甲方的要求签署相应的保密协议，保密协议与本条款存在不一致的，以保密协议为准。</w:t>
      </w:r>
    </w:p>
    <w:p w14:paraId="2B5B6FC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7. </w:t>
      </w:r>
      <w:r>
        <w:rPr>
          <w:rFonts w:hint="eastAsia" w:ascii="宋体" w:hAnsi="宋体" w:eastAsia="宋体" w:cs="宋体"/>
          <w:b/>
          <w:bCs/>
          <w:color w:val="000000" w:themeColor="text1"/>
          <w:sz w:val="24"/>
          <w:szCs w:val="24"/>
          <w:lang w:val="zh-CN"/>
          <w14:textFill>
            <w14:solidFill>
              <w14:schemeClr w14:val="tx1"/>
            </w14:solidFill>
          </w14:textFill>
        </w:rPr>
        <w:t>质量保证</w:t>
      </w:r>
    </w:p>
    <w:p w14:paraId="7BF4507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r>
        <w:rPr>
          <w:rFonts w:hint="eastAsia" w:ascii="宋体" w:hAnsi="宋体" w:eastAsia="宋体" w:cs="宋体"/>
          <w:color w:val="000000" w:themeColor="text1"/>
          <w:sz w:val="24"/>
          <w:szCs w:val="24"/>
          <w:lang w:val="zh-CN"/>
          <w14:textFill>
            <w14:solidFill>
              <w14:schemeClr w14:val="tx1"/>
            </w14:solidFill>
          </w14:textFill>
        </w:rPr>
        <w:t>货物质量保证</w:t>
      </w:r>
    </w:p>
    <w:p w14:paraId="0CBC9A3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w:t>
      </w:r>
      <w:r>
        <w:rPr>
          <w:rFonts w:hint="eastAsia" w:ascii="宋体" w:hAnsi="宋体" w:eastAsia="宋体" w:cs="宋体"/>
          <w:color w:val="000000" w:themeColor="text1"/>
          <w:sz w:val="24"/>
          <w:szCs w:val="24"/>
          <w:lang w:val="zh-CN"/>
          <w14:textFill>
            <w14:solidFill>
              <w14:schemeClr w14:val="tx1"/>
            </w14:solidFill>
          </w14:textFill>
        </w:rPr>
        <w:t>乙方必须保证货物是全新、未使用过的，并完全符合强制性的国家技术质量规范和合同规定的质量、规格、性能和技术规范等的要求。</w:t>
      </w:r>
    </w:p>
    <w:p w14:paraId="17A9BF7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7.1.2</w:t>
      </w:r>
      <w:r>
        <w:rPr>
          <w:rFonts w:hint="eastAsia" w:ascii="宋体" w:hAnsi="宋体" w:eastAsia="宋体" w:cs="宋体"/>
          <w:color w:val="000000" w:themeColor="text1"/>
          <w:sz w:val="24"/>
          <w:szCs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7C7A2A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7.1.3</w:t>
      </w:r>
      <w:r>
        <w:rPr>
          <w:rFonts w:hint="eastAsia" w:ascii="宋体" w:hAnsi="宋体" w:eastAsia="宋体" w:cs="宋体"/>
          <w:color w:val="000000" w:themeColor="text1"/>
          <w:sz w:val="24"/>
          <w:szCs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41D850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w:t>
      </w:r>
      <w:r>
        <w:rPr>
          <w:rFonts w:hint="eastAsia" w:ascii="宋体" w:hAnsi="宋体" w:eastAsia="宋体" w:cs="宋体"/>
          <w:color w:val="000000" w:themeColor="text1"/>
          <w:sz w:val="24"/>
          <w:szCs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3C73D6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7.1.5 </w:t>
      </w:r>
      <w:r>
        <w:rPr>
          <w:rFonts w:hint="eastAsia" w:ascii="宋体" w:hAnsi="宋体" w:eastAsia="宋体" w:cs="宋体"/>
          <w:color w:val="000000" w:themeColor="text1"/>
          <w:sz w:val="24"/>
          <w:szCs w:val="24"/>
          <w:lang w:val="zh-CN"/>
          <w14:textFill>
            <w14:solidFill>
              <w14:schemeClr w14:val="tx1"/>
            </w14:solidFill>
          </w14:textFill>
        </w:rPr>
        <w:t>合同条款下货物的质量保证期自货物通过最终验收起算，合同另行规定除外。</w:t>
      </w:r>
    </w:p>
    <w:p w14:paraId="15E28B2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w:t>
      </w:r>
      <w:r>
        <w:rPr>
          <w:rFonts w:hint="eastAsia" w:ascii="宋体" w:hAnsi="宋体" w:eastAsia="宋体" w:cs="宋体"/>
          <w:color w:val="000000" w:themeColor="text1"/>
          <w:sz w:val="24"/>
          <w:szCs w:val="24"/>
          <w:lang w:val="zh-CN"/>
          <w14:textFill>
            <w14:solidFill>
              <w14:schemeClr w14:val="tx1"/>
            </w14:solidFill>
          </w14:textFill>
        </w:rPr>
        <w:t>辅助服务质量保证</w:t>
      </w:r>
    </w:p>
    <w:p w14:paraId="0EEC77A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7.2.1</w:t>
      </w:r>
      <w:r>
        <w:rPr>
          <w:rFonts w:hint="eastAsia" w:ascii="宋体" w:hAnsi="宋体" w:eastAsia="宋体" w:cs="宋体"/>
          <w:color w:val="000000" w:themeColor="text1"/>
          <w:sz w:val="24"/>
          <w:szCs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D7AE8A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7.2.2</w:t>
      </w:r>
      <w:r>
        <w:rPr>
          <w:rFonts w:hint="eastAsia" w:ascii="宋体" w:hAnsi="宋体" w:eastAsia="宋体" w:cs="宋体"/>
          <w:color w:val="000000" w:themeColor="text1"/>
          <w:sz w:val="24"/>
          <w:szCs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1614098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w:t>
      </w:r>
      <w:r>
        <w:rPr>
          <w:rFonts w:hint="eastAsia" w:ascii="宋体" w:hAnsi="宋体" w:eastAsia="宋体" w:cs="宋体"/>
          <w:b/>
          <w:bCs/>
          <w:color w:val="000000" w:themeColor="text1"/>
          <w:sz w:val="24"/>
          <w:szCs w:val="24"/>
          <w:lang w:val="zh-CN"/>
          <w14:textFill>
            <w14:solidFill>
              <w14:schemeClr w14:val="tx1"/>
            </w14:solidFill>
          </w14:textFill>
        </w:rPr>
        <w:t>包装要求</w:t>
      </w:r>
    </w:p>
    <w:p w14:paraId="125E556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 </w:t>
      </w:r>
      <w:r>
        <w:rPr>
          <w:rFonts w:hint="eastAsia" w:ascii="宋体" w:hAnsi="宋体" w:eastAsia="宋体" w:cs="宋体"/>
          <w:color w:val="000000" w:themeColor="text1"/>
          <w:sz w:val="24"/>
          <w:szCs w:val="24"/>
          <w:lang w:val="zh-CN"/>
          <w14:textFill>
            <w14:solidFill>
              <w14:schemeClr w14:val="tx1"/>
            </w14:solidFill>
          </w14:textFill>
        </w:rPr>
        <w:t>除合同另有约定外</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乙方提供的全部货物</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均应采用本行业通用的方式进行包装，且该包装应符合国家有关包装的法律、法规的规定。</w:t>
      </w:r>
    </w:p>
    <w:p w14:paraId="72CB3FC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8.2 </w:t>
      </w:r>
      <w:r>
        <w:rPr>
          <w:rFonts w:hint="eastAsia" w:ascii="宋体" w:hAnsi="宋体" w:eastAsia="宋体" w:cs="宋体"/>
          <w:color w:val="000000" w:themeColor="text1"/>
          <w:sz w:val="24"/>
          <w:szCs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6174D48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乙方应提供货物运至合同规定的最终目的地所需要的包装，以防止货物在转运中损坏或变质。</w:t>
      </w:r>
    </w:p>
    <w:p w14:paraId="67DEAB3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8.3 </w:t>
      </w:r>
      <w:r>
        <w:rPr>
          <w:rFonts w:hint="eastAsia" w:ascii="宋体" w:hAnsi="宋体" w:eastAsia="宋体" w:cs="宋体"/>
          <w:color w:val="000000" w:themeColor="text1"/>
          <w:sz w:val="24"/>
          <w:szCs w:val="24"/>
          <w:lang w:val="zh-CN"/>
          <w14:textFill>
            <w14:solidFill>
              <w14:schemeClr w14:val="tx1"/>
            </w14:solidFill>
          </w14:textFill>
        </w:rPr>
        <w:t>乙方所提供的货物包装均为出厂时原包装。</w:t>
      </w:r>
    </w:p>
    <w:p w14:paraId="59926D1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 </w:t>
      </w:r>
      <w:r>
        <w:rPr>
          <w:rFonts w:hint="eastAsia" w:ascii="宋体" w:hAnsi="宋体" w:eastAsia="宋体" w:cs="宋体"/>
          <w:color w:val="000000" w:themeColor="text1"/>
          <w:sz w:val="24"/>
          <w:szCs w:val="24"/>
          <w:lang w:val="zh-CN"/>
          <w14:textFill>
            <w14:solidFill>
              <w14:schemeClr w14:val="tx1"/>
            </w14:solidFill>
          </w14:textFill>
        </w:rPr>
        <w:t>乙方所提供货物必须附有质量合格证，装箱清单，主机、附件、各种零部件和消耗品，有清楚的与装箱单相对应的名称和编号。</w:t>
      </w:r>
    </w:p>
    <w:p w14:paraId="435200B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 </w:t>
      </w:r>
      <w:r>
        <w:rPr>
          <w:rFonts w:hint="eastAsia" w:ascii="宋体" w:hAnsi="宋体" w:eastAsia="宋体" w:cs="宋体"/>
          <w:color w:val="000000" w:themeColor="text1"/>
          <w:sz w:val="24"/>
          <w:szCs w:val="24"/>
          <w:lang w:val="zh-CN"/>
          <w14:textFill>
            <w14:solidFill>
              <w14:schemeClr w14:val="tx1"/>
            </w14:solidFill>
          </w14:textFill>
        </w:rPr>
        <w:t>货物运输中的运输费用和保险费用均由乙方承担。运输过程中的一切损失、损坏均由乙方负责。</w:t>
      </w:r>
    </w:p>
    <w:p w14:paraId="504B94DC">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9. </w:t>
      </w:r>
      <w:r>
        <w:rPr>
          <w:rFonts w:hint="eastAsia" w:ascii="宋体" w:hAnsi="宋体" w:eastAsia="宋体" w:cs="宋体"/>
          <w:b/>
          <w:bCs/>
          <w:color w:val="000000" w:themeColor="text1"/>
          <w:sz w:val="24"/>
          <w:szCs w:val="24"/>
          <w:lang w:val="zh-CN"/>
          <w14:textFill>
            <w14:solidFill>
              <w14:schemeClr w14:val="tx1"/>
            </w14:solidFill>
          </w14:textFill>
        </w:rPr>
        <w:t>价格</w:t>
      </w:r>
    </w:p>
    <w:p w14:paraId="4B088E9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 </w:t>
      </w:r>
      <w:r>
        <w:rPr>
          <w:rFonts w:hint="eastAsia" w:ascii="宋体" w:hAnsi="宋体" w:eastAsia="宋体" w:cs="宋体"/>
          <w:color w:val="000000" w:themeColor="text1"/>
          <w:sz w:val="24"/>
          <w:szCs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008322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9.2 </w:t>
      </w:r>
      <w:r>
        <w:rPr>
          <w:rFonts w:hint="eastAsia" w:ascii="宋体" w:hAnsi="宋体" w:eastAsia="宋体" w:cs="宋体"/>
          <w:color w:val="000000" w:themeColor="text1"/>
          <w:sz w:val="24"/>
          <w:szCs w:val="24"/>
          <w:lang w:val="zh-CN"/>
          <w14:textFill>
            <w14:solidFill>
              <w14:schemeClr w14:val="tx1"/>
            </w14:solidFill>
          </w14:textFill>
        </w:rPr>
        <w:t>本合同价格为固定价格，包括了乙方履行合同全过程产生的所有成本和费用以及乙方应承担的一切税费。</w:t>
      </w:r>
    </w:p>
    <w:p w14:paraId="2DC396D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w:t>
      </w:r>
      <w:r>
        <w:rPr>
          <w:rFonts w:hint="eastAsia" w:ascii="宋体" w:hAnsi="宋体" w:eastAsia="宋体" w:cs="宋体"/>
          <w:color w:val="000000" w:themeColor="text1"/>
          <w:sz w:val="24"/>
          <w:szCs w:val="24"/>
          <w:lang w:val="zh-CN"/>
          <w14:textFill>
            <w14:solidFill>
              <w14:schemeClr w14:val="tx1"/>
            </w14:solidFill>
          </w14:textFill>
        </w:rPr>
        <w:t>检验费用</w:t>
      </w:r>
    </w:p>
    <w:p w14:paraId="665C9A4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9.3.1 </w:t>
      </w:r>
      <w:r>
        <w:rPr>
          <w:rFonts w:hint="eastAsia" w:ascii="宋体" w:hAnsi="宋体" w:eastAsia="宋体" w:cs="宋体"/>
          <w:color w:val="000000" w:themeColor="text1"/>
          <w:sz w:val="24"/>
          <w:szCs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0F6791F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9.3.2 </w:t>
      </w:r>
      <w:r>
        <w:rPr>
          <w:rFonts w:hint="eastAsia" w:ascii="宋体" w:hAnsi="宋体" w:eastAsia="宋体" w:cs="宋体"/>
          <w:color w:val="000000" w:themeColor="text1"/>
          <w:sz w:val="24"/>
          <w:szCs w:val="24"/>
          <w:lang w:val="zh-CN"/>
          <w14:textFill>
            <w14:solidFill>
              <w14:schemeClr w14:val="tx1"/>
            </w14:solidFill>
          </w14:textFill>
        </w:rPr>
        <w:t>甲方按合同计划参加在乙方工厂所在地检验、测试和验收的费用全部由乙方负责并已包含在合同总价中。</w:t>
      </w:r>
    </w:p>
    <w:p w14:paraId="6679E0F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9.3.3</w:t>
      </w:r>
      <w:r>
        <w:rPr>
          <w:rFonts w:hint="eastAsia" w:ascii="宋体" w:hAnsi="宋体" w:eastAsia="宋体" w:cs="宋体"/>
          <w:color w:val="000000" w:themeColor="text1"/>
          <w:sz w:val="24"/>
          <w:szCs w:val="24"/>
          <w:lang w:val="zh-CN"/>
          <w14:textFill>
            <w14:solidFill>
              <w14:schemeClr w14:val="tx1"/>
            </w14:solidFill>
          </w14:textFill>
        </w:rPr>
        <w:t>甲方检验人员已到卖方所在地，测试无法依照合同进行，</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而引起甲方人员延长逗留时间，所有由此产生的包括甲方人员在内的直接费用及成本由乙方承担。</w:t>
      </w:r>
    </w:p>
    <w:p w14:paraId="02F3AC9B">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w:t>
      </w:r>
      <w:r>
        <w:rPr>
          <w:rFonts w:hint="eastAsia" w:ascii="宋体" w:hAnsi="宋体" w:eastAsia="宋体" w:cs="宋体"/>
          <w:b/>
          <w:bCs/>
          <w:color w:val="000000" w:themeColor="text1"/>
          <w:sz w:val="24"/>
          <w:szCs w:val="24"/>
          <w:lang w:val="zh-CN"/>
          <w14:textFill>
            <w14:solidFill>
              <w14:schemeClr w14:val="tx1"/>
            </w14:solidFill>
          </w14:textFill>
        </w:rPr>
        <w:t>交货方式及交货日期</w:t>
      </w:r>
    </w:p>
    <w:p w14:paraId="7911649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交货方式：现场交货，乙方负责办理运输和保险，将货物运抵现场。</w:t>
      </w:r>
    </w:p>
    <w:p w14:paraId="5CB56276">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交货日期：所有货物运抵现场并经双方开箱验收合格之日。</w:t>
      </w:r>
    </w:p>
    <w:p w14:paraId="2395E919">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11.检验和验收</w:t>
      </w:r>
    </w:p>
    <w:p w14:paraId="5CEF088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w:t>
      </w:r>
      <w:r>
        <w:rPr>
          <w:rFonts w:hint="eastAsia" w:ascii="宋体" w:hAnsi="宋体" w:eastAsia="宋体" w:cs="宋体"/>
          <w:color w:val="000000" w:themeColor="text1"/>
          <w:sz w:val="24"/>
          <w:szCs w:val="24"/>
          <w:lang w:val="zh-CN"/>
          <w14:textFill>
            <w14:solidFill>
              <w14:schemeClr w14:val="tx1"/>
            </w14:solidFill>
          </w14:textFill>
        </w:rPr>
        <w:t>开箱验收</w:t>
      </w:r>
    </w:p>
    <w:p w14:paraId="29F84D2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11.1.1</w:t>
      </w:r>
      <w:r>
        <w:rPr>
          <w:rFonts w:hint="eastAsia" w:ascii="宋体" w:hAnsi="宋体" w:eastAsia="宋体" w:cs="宋体"/>
          <w:color w:val="000000" w:themeColor="text1"/>
          <w:sz w:val="24"/>
          <w:szCs w:val="24"/>
          <w:lang w:val="zh-CN"/>
          <w14:textFill>
            <w14:solidFill>
              <w14:schemeClr w14:val="tx1"/>
            </w14:solidFill>
          </w14:textFill>
        </w:rPr>
        <w:t>货物运抵现场后，双方应及时开箱验收，并制作验收记录，以确认与本合同约定的数量、型号等是否一致。</w:t>
      </w:r>
    </w:p>
    <w:p w14:paraId="0B7D432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11.1.2 </w:t>
      </w:r>
      <w:r>
        <w:rPr>
          <w:rFonts w:hint="eastAsia" w:ascii="宋体" w:hAnsi="宋体" w:eastAsia="宋体" w:cs="宋体"/>
          <w:color w:val="000000" w:themeColor="text1"/>
          <w:sz w:val="24"/>
          <w:szCs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2CDE874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11.1.3 </w:t>
      </w:r>
      <w:r>
        <w:rPr>
          <w:rFonts w:hint="eastAsia" w:ascii="宋体" w:hAnsi="宋体" w:eastAsia="宋体" w:cs="宋体"/>
          <w:color w:val="000000" w:themeColor="text1"/>
          <w:sz w:val="24"/>
          <w:szCs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0F2D800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  </w:t>
      </w:r>
      <w:r>
        <w:rPr>
          <w:rFonts w:hint="eastAsia" w:ascii="宋体" w:hAnsi="宋体" w:eastAsia="宋体" w:cs="宋体"/>
          <w:color w:val="000000" w:themeColor="text1"/>
          <w:sz w:val="24"/>
          <w:szCs w:val="24"/>
          <w:lang w:val="zh-CN"/>
          <w14:textFill>
            <w14:solidFill>
              <w14:schemeClr w14:val="tx1"/>
            </w14:solidFill>
          </w14:textFill>
        </w:rPr>
        <w:t>检验验收</w:t>
      </w:r>
    </w:p>
    <w:p w14:paraId="67E3FE6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11.2.1 </w:t>
      </w:r>
      <w:r>
        <w:rPr>
          <w:rFonts w:hint="eastAsia" w:ascii="宋体" w:hAnsi="宋体" w:eastAsia="宋体" w:cs="宋体"/>
          <w:color w:val="000000" w:themeColor="text1"/>
          <w:sz w:val="24"/>
          <w:szCs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1F3E58E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11.2.2 </w:t>
      </w:r>
      <w:r>
        <w:rPr>
          <w:rFonts w:hint="eastAsia" w:ascii="宋体" w:hAnsi="宋体" w:eastAsia="宋体" w:cs="宋体"/>
          <w:color w:val="000000" w:themeColor="text1"/>
          <w:sz w:val="24"/>
          <w:szCs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0B252AB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11.2.3  </w:t>
      </w:r>
      <w:r>
        <w:rPr>
          <w:rFonts w:hint="eastAsia" w:ascii="宋体" w:hAnsi="宋体" w:eastAsia="宋体" w:cs="宋体"/>
          <w:color w:val="000000" w:themeColor="text1"/>
          <w:sz w:val="24"/>
          <w:szCs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7F0FD36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11.2.4  </w:t>
      </w:r>
      <w:r>
        <w:rPr>
          <w:rFonts w:hint="eastAsia" w:ascii="宋体" w:hAnsi="宋体" w:eastAsia="宋体" w:cs="宋体"/>
          <w:color w:val="000000" w:themeColor="text1"/>
          <w:sz w:val="24"/>
          <w:szCs w:val="24"/>
          <w:lang w:val="zh-CN"/>
          <w14:textFill>
            <w14:solidFill>
              <w14:schemeClr w14:val="tx1"/>
            </w14:solidFill>
          </w14:textFill>
        </w:rPr>
        <w:t>检验测试出现全部或部分未达到本合同所约定的技术指标，甲方有权选择下列任一处理方式：</w:t>
      </w:r>
    </w:p>
    <w:p w14:paraId="350F499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val="zh-CN"/>
          <w14:textFill>
            <w14:solidFill>
              <w14:schemeClr w14:val="tx1"/>
            </w14:solidFill>
          </w14:textFill>
        </w:rPr>
        <w:t>重新测试直至合格为止；</w:t>
      </w:r>
    </w:p>
    <w:p w14:paraId="754FAD5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val="zh-CN"/>
          <w14:textFill>
            <w14:solidFill>
              <w14:schemeClr w14:val="tx1"/>
            </w14:solidFill>
          </w14:textFill>
        </w:rPr>
        <w:t>要求乙方对货物进行免费更换，然后重新测试直至合格为止；</w:t>
      </w:r>
    </w:p>
    <w:p w14:paraId="3A6939B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无论选择何种方式，甲方因此而发生的因卖方原因引起的所有费用均由乙方负担。</w:t>
      </w:r>
    </w:p>
    <w:p w14:paraId="7CE410E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11.3  </w:t>
      </w:r>
      <w:r>
        <w:rPr>
          <w:rFonts w:hint="eastAsia" w:ascii="宋体" w:hAnsi="宋体" w:eastAsia="宋体" w:cs="宋体"/>
          <w:color w:val="000000" w:themeColor="text1"/>
          <w:sz w:val="24"/>
          <w:szCs w:val="24"/>
          <w:lang w:val="zh-CN"/>
          <w14:textFill>
            <w14:solidFill>
              <w14:schemeClr w14:val="tx1"/>
            </w14:solidFill>
          </w14:textFill>
        </w:rPr>
        <w:t>使用过程检验</w:t>
      </w:r>
    </w:p>
    <w:p w14:paraId="08855FA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11.3.1</w:t>
      </w:r>
      <w:r>
        <w:rPr>
          <w:rFonts w:hint="eastAsia" w:ascii="宋体" w:hAnsi="宋体" w:eastAsia="宋体" w:cs="宋体"/>
          <w:color w:val="000000" w:themeColor="text1"/>
          <w:sz w:val="24"/>
          <w:szCs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0D624B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11.3.2</w:t>
      </w:r>
      <w:r>
        <w:rPr>
          <w:rFonts w:hint="eastAsia" w:ascii="宋体" w:hAnsi="宋体" w:eastAsia="宋体" w:cs="宋体"/>
          <w:color w:val="000000" w:themeColor="text1"/>
          <w:sz w:val="24"/>
          <w:szCs w:val="24"/>
          <w:lang w:val="zh-CN"/>
          <w14:textFill>
            <w14:solidFill>
              <w14:schemeClr w14:val="tx1"/>
            </w14:solidFill>
          </w14:textFill>
        </w:rPr>
        <w:t>如果合同双方对乙方提供的上述试验结果报告的解释有分歧，双方须于出现分歧后</w:t>
      </w: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天内给对方声明，以陈述己方的观点。声明须附有关证据。分歧应通过协商解决。</w:t>
      </w:r>
    </w:p>
    <w:p w14:paraId="7EB02FA1">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w:t>
      </w:r>
      <w:r>
        <w:rPr>
          <w:rFonts w:hint="eastAsia" w:ascii="宋体" w:hAnsi="宋体" w:eastAsia="宋体" w:cs="宋体"/>
          <w:b/>
          <w:bCs/>
          <w:color w:val="000000" w:themeColor="text1"/>
          <w:sz w:val="24"/>
          <w:szCs w:val="24"/>
          <w:lang w:val="zh-CN"/>
          <w14:textFill>
            <w14:solidFill>
              <w14:schemeClr w14:val="tx1"/>
            </w14:solidFill>
          </w14:textFill>
        </w:rPr>
        <w:t>付款条件</w:t>
      </w:r>
    </w:p>
    <w:p w14:paraId="2742502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本合同条款下的付款方法和条件在“青海省政府采购合同书”中具体规定。</w:t>
      </w:r>
    </w:p>
    <w:p w14:paraId="6679DEA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w:t>
      </w:r>
      <w:r>
        <w:rPr>
          <w:rFonts w:hint="eastAsia" w:ascii="宋体" w:hAnsi="宋体" w:eastAsia="宋体" w:cs="宋体"/>
          <w:b/>
          <w:bCs/>
          <w:color w:val="000000" w:themeColor="text1"/>
          <w:sz w:val="24"/>
          <w:szCs w:val="24"/>
          <w:lang w:val="zh-CN"/>
          <w14:textFill>
            <w14:solidFill>
              <w14:schemeClr w14:val="tx1"/>
            </w14:solidFill>
          </w14:textFill>
        </w:rPr>
        <w:t>履约保证金</w:t>
      </w:r>
    </w:p>
    <w:p w14:paraId="0483C44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zh-CN"/>
          <w14:textFill>
            <w14:solidFill>
              <w14:schemeClr w14:val="tx1"/>
            </w14:solidFill>
          </w14:textFill>
        </w:rPr>
        <w:t>乙方应在合同签订前，按谈判文件的约定提交履约保证金。</w:t>
      </w:r>
    </w:p>
    <w:p w14:paraId="16F842E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w:t>
      </w:r>
      <w:r>
        <w:rPr>
          <w:rFonts w:hint="eastAsia" w:ascii="宋体" w:hAnsi="宋体" w:eastAsia="宋体" w:cs="宋体"/>
          <w:color w:val="000000" w:themeColor="text1"/>
          <w:sz w:val="24"/>
          <w:szCs w:val="24"/>
          <w:lang w:val="zh-CN"/>
          <w14:textFill>
            <w14:solidFill>
              <w14:schemeClr w14:val="tx1"/>
            </w14:solidFill>
          </w14:textFill>
        </w:rPr>
        <w:t>履约保证金用于补偿甲方因乙方不能履行其合同义务而蒙受的损失。</w:t>
      </w:r>
    </w:p>
    <w:p w14:paraId="4017836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w:t>
      </w:r>
      <w:r>
        <w:rPr>
          <w:rFonts w:hint="eastAsia" w:ascii="宋体" w:hAnsi="宋体" w:eastAsia="宋体" w:cs="宋体"/>
          <w:color w:val="000000" w:themeColor="text1"/>
          <w:sz w:val="24"/>
          <w:szCs w:val="24"/>
          <w:lang w:val="zh-CN"/>
          <w14:textFill>
            <w14:solidFill>
              <w14:schemeClr w14:val="tx1"/>
            </w14:solidFill>
          </w14:textFill>
        </w:rPr>
        <w:t>履约保证金应使用本合同货币，按下述方式之一提交（谈判文件中另有约定的除外）：</w:t>
      </w:r>
    </w:p>
    <w:p w14:paraId="77FC187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13.3.1</w:t>
      </w:r>
      <w:r>
        <w:rPr>
          <w:rFonts w:hint="eastAsia" w:ascii="宋体" w:hAnsi="宋体" w:eastAsia="宋体" w:cs="宋体"/>
          <w:color w:val="000000" w:themeColor="text1"/>
          <w:sz w:val="24"/>
          <w:szCs w:val="24"/>
          <w:lang w:val="zh-CN"/>
          <w14:textFill>
            <w14:solidFill>
              <w14:schemeClr w14:val="tx1"/>
            </w14:solidFill>
          </w14:textFill>
        </w:rPr>
        <w:t>甲方可接受的在中华人民共和国注册和营业的银行出具的履约保函；</w:t>
      </w:r>
    </w:p>
    <w:p w14:paraId="501EFB9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13.3.2 </w:t>
      </w:r>
      <w:r>
        <w:rPr>
          <w:rFonts w:hint="eastAsia" w:ascii="宋体" w:hAnsi="宋体" w:eastAsia="宋体" w:cs="宋体"/>
          <w:color w:val="000000" w:themeColor="text1"/>
          <w:sz w:val="24"/>
          <w:szCs w:val="24"/>
          <w:lang w:val="zh-CN"/>
          <w14:textFill>
            <w14:solidFill>
              <w14:schemeClr w14:val="tx1"/>
            </w14:solidFill>
          </w14:textFill>
        </w:rPr>
        <w:t>支票或汇票。</w:t>
      </w:r>
    </w:p>
    <w:p w14:paraId="5A20D67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13.4</w:t>
      </w:r>
      <w:r>
        <w:rPr>
          <w:rFonts w:hint="eastAsia" w:ascii="宋体" w:hAnsi="宋体" w:eastAsia="宋体" w:cs="宋体"/>
          <w:color w:val="000000" w:themeColor="text1"/>
          <w:sz w:val="24"/>
          <w:szCs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77268AB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14.</w:t>
      </w:r>
      <w:r>
        <w:rPr>
          <w:rFonts w:hint="eastAsia" w:ascii="宋体" w:hAnsi="宋体" w:eastAsia="宋体" w:cs="宋体"/>
          <w:b/>
          <w:bCs/>
          <w:color w:val="000000" w:themeColor="text1"/>
          <w:sz w:val="24"/>
          <w:szCs w:val="24"/>
          <w:lang w:val="zh-CN"/>
          <w14:textFill>
            <w14:solidFill>
              <w14:schemeClr w14:val="tx1"/>
            </w14:solidFill>
          </w14:textFill>
        </w:rPr>
        <w:t>索赔</w:t>
      </w:r>
    </w:p>
    <w:p w14:paraId="4A1036F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r>
        <w:rPr>
          <w:rFonts w:hint="eastAsia" w:ascii="宋体" w:hAnsi="宋体" w:eastAsia="宋体" w:cs="宋体"/>
          <w:color w:val="000000" w:themeColor="text1"/>
          <w:sz w:val="24"/>
          <w:szCs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CE7560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r>
        <w:rPr>
          <w:rFonts w:hint="eastAsia" w:ascii="宋体" w:hAnsi="宋体" w:eastAsia="宋体" w:cs="宋体"/>
          <w:color w:val="000000" w:themeColor="text1"/>
          <w:sz w:val="24"/>
          <w:szCs w:val="24"/>
          <w:lang w:val="zh-CN"/>
          <w14:textFill>
            <w14:solidFill>
              <w14:schemeClr w14:val="tx1"/>
            </w14:solidFill>
          </w14:textFill>
        </w:rPr>
        <w:t>在履约保证期和检验期内，乙方对甲方提出的索赔负有责任，乙方应按照甲方同意的下列一种或多种方式解决索赔事宜：</w:t>
      </w:r>
    </w:p>
    <w:p w14:paraId="16AB321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14.2.1</w:t>
      </w:r>
      <w:r>
        <w:rPr>
          <w:rFonts w:hint="eastAsia" w:ascii="宋体" w:hAnsi="宋体" w:eastAsia="宋体" w:cs="宋体"/>
          <w:color w:val="000000" w:themeColor="text1"/>
          <w:sz w:val="24"/>
          <w:szCs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2B11A8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14.2.2</w:t>
      </w:r>
      <w:r>
        <w:rPr>
          <w:rFonts w:hint="eastAsia" w:ascii="宋体" w:hAnsi="宋体" w:eastAsia="宋体" w:cs="宋体"/>
          <w:color w:val="000000" w:themeColor="text1"/>
          <w:sz w:val="24"/>
          <w:szCs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07AD28E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14.2.3</w:t>
      </w:r>
      <w:r>
        <w:rPr>
          <w:rFonts w:hint="eastAsia" w:ascii="宋体" w:hAnsi="宋体" w:eastAsia="宋体" w:cs="宋体"/>
          <w:color w:val="000000" w:themeColor="text1"/>
          <w:sz w:val="24"/>
          <w:szCs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09A727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w:t>
      </w:r>
      <w:r>
        <w:rPr>
          <w:rFonts w:hint="eastAsia" w:ascii="宋体" w:hAnsi="宋体" w:eastAsia="宋体" w:cs="宋体"/>
          <w:color w:val="000000" w:themeColor="text1"/>
          <w:sz w:val="24"/>
          <w:szCs w:val="24"/>
          <w:lang w:val="zh-CN"/>
          <w14:textFill>
            <w14:solidFill>
              <w14:schemeClr w14:val="tx1"/>
            </w14:solidFill>
          </w14:textFill>
        </w:rPr>
        <w:t>乙方收到甲方发出的索赔通知之日起</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个工作日内未作答复的，甲方可从合同款或履约保证金中扣回索赔金额，如金额不足以补偿索赔金额，乙方应补足差额部分。</w:t>
      </w:r>
    </w:p>
    <w:p w14:paraId="0D8683E9">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w:t>
      </w:r>
      <w:r>
        <w:rPr>
          <w:rFonts w:hint="eastAsia" w:ascii="宋体" w:hAnsi="宋体" w:eastAsia="宋体" w:cs="宋体"/>
          <w:b/>
          <w:bCs/>
          <w:color w:val="000000" w:themeColor="text1"/>
          <w:sz w:val="24"/>
          <w:szCs w:val="24"/>
          <w:lang w:val="zh-CN"/>
          <w14:textFill>
            <w14:solidFill>
              <w14:schemeClr w14:val="tx1"/>
            </w14:solidFill>
          </w14:textFill>
        </w:rPr>
        <w:t>迟延交货</w:t>
      </w:r>
    </w:p>
    <w:p w14:paraId="4AF0761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15.1 </w:t>
      </w:r>
      <w:r>
        <w:rPr>
          <w:rFonts w:hint="eastAsia" w:ascii="宋体" w:hAnsi="宋体" w:eastAsia="宋体" w:cs="宋体"/>
          <w:color w:val="000000" w:themeColor="text1"/>
          <w:sz w:val="24"/>
          <w:szCs w:val="24"/>
          <w:lang w:val="zh-CN"/>
          <w14:textFill>
            <w14:solidFill>
              <w14:schemeClr w14:val="tx1"/>
            </w14:solidFill>
          </w14:textFill>
        </w:rPr>
        <w:t>乙方应按照合同约定的时间交货和提供服务。</w:t>
      </w:r>
    </w:p>
    <w:p w14:paraId="4529683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15.2 </w:t>
      </w:r>
      <w:r>
        <w:rPr>
          <w:rFonts w:hint="eastAsia" w:ascii="宋体" w:hAnsi="宋体" w:eastAsia="宋体" w:cs="宋体"/>
          <w:color w:val="000000" w:themeColor="text1"/>
          <w:sz w:val="24"/>
          <w:szCs w:val="24"/>
          <w:lang w:val="zh-CN"/>
          <w14:textFill>
            <w14:solidFill>
              <w14:schemeClr w14:val="tx1"/>
            </w14:solidFill>
          </w14:textFill>
        </w:rPr>
        <w:t>除不可抗力因素外，乙方迟延交货，甲方有权提出违约损失赔偿或解除合同。</w:t>
      </w:r>
    </w:p>
    <w:p w14:paraId="20AD2D5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w:t>
      </w:r>
      <w:r>
        <w:rPr>
          <w:rFonts w:hint="eastAsia" w:ascii="宋体" w:hAnsi="宋体" w:eastAsia="宋体" w:cs="宋体"/>
          <w:color w:val="000000" w:themeColor="text1"/>
          <w:sz w:val="24"/>
          <w:szCs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在履行合同过程中，乙方遇到不能按时交货和提供服务的情况，应及时以书面形式将不能按时交货的理由、预期延误时间通知甲方。甲方收到乙方通知后，认为其理由正当的，可酌情延长交货及完工时间。</w:t>
      </w:r>
    </w:p>
    <w:p w14:paraId="430F9922">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违约赔偿</w:t>
      </w:r>
    </w:p>
    <w:p w14:paraId="3E4F747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44DB8F6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w:t>
      </w:r>
      <w:r>
        <w:rPr>
          <w:rFonts w:hint="eastAsia" w:ascii="宋体" w:hAnsi="宋体" w:eastAsia="宋体" w:cs="宋体"/>
          <w:b/>
          <w:bCs/>
          <w:color w:val="000000" w:themeColor="text1"/>
          <w:sz w:val="24"/>
          <w:szCs w:val="24"/>
          <w:lang w:val="zh-CN"/>
          <w14:textFill>
            <w14:solidFill>
              <w14:schemeClr w14:val="tx1"/>
            </w14:solidFill>
          </w14:textFill>
        </w:rPr>
        <w:t>不可抗力</w:t>
      </w:r>
    </w:p>
    <w:p w14:paraId="1673BF2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w:t>
      </w:r>
      <w:r>
        <w:rPr>
          <w:rFonts w:hint="eastAsia" w:ascii="宋体" w:hAnsi="宋体" w:eastAsia="宋体" w:cs="宋体"/>
          <w:color w:val="000000" w:themeColor="text1"/>
          <w:sz w:val="24"/>
          <w:szCs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46406FE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w:t>
      </w:r>
      <w:r>
        <w:rPr>
          <w:rFonts w:hint="eastAsia" w:ascii="宋体" w:hAnsi="宋体" w:eastAsia="宋体" w:cs="宋体"/>
          <w:color w:val="000000" w:themeColor="text1"/>
          <w:sz w:val="24"/>
          <w:szCs w:val="24"/>
          <w:lang w:val="zh-CN"/>
          <w14:textFill>
            <w14:solidFill>
              <w14:schemeClr w14:val="tx1"/>
            </w14:solidFill>
          </w14:textFill>
        </w:rPr>
        <w:t>受事故影响的一方应在不可抗力的事故发生后以书面形式通知另一方。</w:t>
      </w:r>
    </w:p>
    <w:p w14:paraId="3592558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w:t>
      </w:r>
      <w:r>
        <w:rPr>
          <w:rFonts w:hint="eastAsia" w:ascii="宋体" w:hAnsi="宋体" w:eastAsia="宋体" w:cs="宋体"/>
          <w:color w:val="000000" w:themeColor="text1"/>
          <w:sz w:val="24"/>
          <w:szCs w:val="24"/>
          <w:lang w:val="zh-CN"/>
          <w14:textFill>
            <w14:solidFill>
              <w14:schemeClr w14:val="tx1"/>
            </w14:solidFill>
          </w14:textFill>
        </w:rPr>
        <w:t>不可抗力使合同的某些内容有变更必要的，</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双方应通过协商达成进一步履行合同的协议，因不可抗力致使合同不能履行的，合同终止。</w:t>
      </w:r>
    </w:p>
    <w:p w14:paraId="14C162F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w:t>
      </w:r>
      <w:r>
        <w:rPr>
          <w:rFonts w:hint="eastAsia" w:ascii="宋体" w:hAnsi="宋体" w:eastAsia="宋体" w:cs="宋体"/>
          <w:b/>
          <w:bCs/>
          <w:color w:val="000000" w:themeColor="text1"/>
          <w:sz w:val="24"/>
          <w:szCs w:val="24"/>
          <w:lang w:val="zh-CN"/>
          <w14:textFill>
            <w14:solidFill>
              <w14:schemeClr w14:val="tx1"/>
            </w14:solidFill>
          </w14:textFill>
        </w:rPr>
        <w:t>税费</w:t>
      </w:r>
    </w:p>
    <w:p w14:paraId="0D41609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与本合同有关的一切税费均由乙方承担。</w:t>
      </w:r>
    </w:p>
    <w:p w14:paraId="452D838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w:t>
      </w:r>
      <w:r>
        <w:rPr>
          <w:rFonts w:hint="eastAsia" w:ascii="宋体" w:hAnsi="宋体" w:eastAsia="宋体" w:cs="宋体"/>
          <w:b/>
          <w:bCs/>
          <w:color w:val="000000" w:themeColor="text1"/>
          <w:sz w:val="24"/>
          <w:szCs w:val="24"/>
          <w:lang w:val="zh-CN"/>
          <w14:textFill>
            <w14:solidFill>
              <w14:schemeClr w14:val="tx1"/>
            </w14:solidFill>
          </w14:textFill>
        </w:rPr>
        <w:t>合同争议的解决</w:t>
      </w:r>
    </w:p>
    <w:p w14:paraId="3C12EEA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r>
        <w:rPr>
          <w:rFonts w:hint="eastAsia" w:ascii="宋体" w:hAnsi="宋体" w:eastAsia="宋体" w:cs="宋体"/>
          <w:color w:val="000000" w:themeColor="text1"/>
          <w:sz w:val="24"/>
          <w:szCs w:val="24"/>
          <w:lang w:val="zh-CN"/>
          <w14:textFill>
            <w14:solidFill>
              <w14:schemeClr w14:val="tx1"/>
            </w14:solidFill>
          </w14:textFill>
        </w:rPr>
        <w:t>甲方和乙方由于本合同的履行而发生任何争议时，双方可先通过协商解决。</w:t>
      </w:r>
    </w:p>
    <w:p w14:paraId="76BD5AD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r>
        <w:rPr>
          <w:rFonts w:hint="eastAsia" w:ascii="宋体" w:hAnsi="宋体" w:eastAsia="宋体" w:cs="宋体"/>
          <w:color w:val="000000" w:themeColor="text1"/>
          <w:sz w:val="24"/>
          <w:szCs w:val="24"/>
          <w:lang w:val="zh-CN"/>
          <w14:textFill>
            <w14:solidFill>
              <w14:schemeClr w14:val="tx1"/>
            </w14:solidFill>
          </w14:textFill>
        </w:rPr>
        <w:t>任何一方不愿通过协商或通过协商仍不能解决争议，则双方中任何一方均应向甲方所在地人民法院起诉。</w:t>
      </w:r>
    </w:p>
    <w:p w14:paraId="1B00FC87">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w:t>
      </w:r>
      <w:r>
        <w:rPr>
          <w:rFonts w:hint="eastAsia" w:ascii="宋体" w:hAnsi="宋体" w:eastAsia="宋体" w:cs="宋体"/>
          <w:b/>
          <w:bCs/>
          <w:color w:val="000000" w:themeColor="text1"/>
          <w:sz w:val="24"/>
          <w:szCs w:val="24"/>
          <w:lang w:val="zh-CN"/>
          <w14:textFill>
            <w14:solidFill>
              <w14:schemeClr w14:val="tx1"/>
            </w14:solidFill>
          </w14:textFill>
        </w:rPr>
        <w:t>违约解除合同</w:t>
      </w:r>
    </w:p>
    <w:p w14:paraId="692D47B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w:t>
      </w:r>
      <w:r>
        <w:rPr>
          <w:rFonts w:hint="eastAsia" w:ascii="宋体" w:hAnsi="宋体" w:eastAsia="宋体" w:cs="宋体"/>
          <w:color w:val="000000" w:themeColor="text1"/>
          <w:sz w:val="24"/>
          <w:szCs w:val="24"/>
          <w:lang w:val="zh-CN"/>
          <w14:textFill>
            <w14:solidFill>
              <w14:schemeClr w14:val="tx1"/>
            </w14:solidFill>
          </w14:textFill>
        </w:rPr>
        <w:t>出现下列情形之一的，视为乙方违约。甲方可向乙方发出书面通知，部分或全部终止合同，同时保留向乙方索赔的权利。</w:t>
      </w:r>
    </w:p>
    <w:p w14:paraId="06A2A6B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20.1.1</w:t>
      </w:r>
      <w:r>
        <w:rPr>
          <w:rFonts w:hint="eastAsia" w:ascii="宋体" w:hAnsi="宋体" w:eastAsia="宋体" w:cs="宋体"/>
          <w:color w:val="000000" w:themeColor="text1"/>
          <w:sz w:val="24"/>
          <w:szCs w:val="24"/>
          <w:lang w:val="zh-CN"/>
          <w14:textFill>
            <w14:solidFill>
              <w14:schemeClr w14:val="tx1"/>
            </w14:solidFill>
          </w14:textFill>
        </w:rPr>
        <w:t>乙方未能在合同规定的限期或甲方同意延长的限期内，提供全部或部分货物的；</w:t>
      </w:r>
    </w:p>
    <w:p w14:paraId="7FF217E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20.1.2</w:t>
      </w:r>
      <w:r>
        <w:rPr>
          <w:rFonts w:hint="eastAsia" w:ascii="宋体" w:hAnsi="宋体" w:eastAsia="宋体" w:cs="宋体"/>
          <w:color w:val="000000" w:themeColor="text1"/>
          <w:sz w:val="24"/>
          <w:szCs w:val="24"/>
          <w:lang w:val="zh-CN"/>
          <w14:textFill>
            <w14:solidFill>
              <w14:schemeClr w14:val="tx1"/>
            </w14:solidFill>
          </w14:textFill>
        </w:rPr>
        <w:t>乙方未能履行合同规定的其它主要义务的；</w:t>
      </w:r>
    </w:p>
    <w:p w14:paraId="0020DF9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20.1.3</w:t>
      </w:r>
      <w:r>
        <w:rPr>
          <w:rFonts w:hint="eastAsia" w:ascii="宋体" w:hAnsi="宋体" w:eastAsia="宋体" w:cs="宋体"/>
          <w:color w:val="000000" w:themeColor="text1"/>
          <w:sz w:val="24"/>
          <w:szCs w:val="24"/>
          <w:lang w:val="zh-CN"/>
          <w14:textFill>
            <w14:solidFill>
              <w14:schemeClr w14:val="tx1"/>
            </w14:solidFill>
          </w14:textFill>
        </w:rPr>
        <w:t>乙方在本合同履行过程中有欺诈行为的。</w:t>
      </w:r>
    </w:p>
    <w:p w14:paraId="042C756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87104B1">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w:t>
      </w:r>
      <w:r>
        <w:rPr>
          <w:rFonts w:hint="eastAsia" w:ascii="宋体" w:hAnsi="宋体" w:eastAsia="宋体" w:cs="宋体"/>
          <w:b/>
          <w:bCs/>
          <w:color w:val="000000" w:themeColor="text1"/>
          <w:sz w:val="24"/>
          <w:szCs w:val="24"/>
          <w:lang w:val="zh-CN"/>
          <w14:textFill>
            <w14:solidFill>
              <w14:schemeClr w14:val="tx1"/>
            </w14:solidFill>
          </w14:textFill>
        </w:rPr>
        <w:t>破产终止合同</w:t>
      </w:r>
    </w:p>
    <w:p w14:paraId="4CB457F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2F961F6C">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w:t>
      </w:r>
      <w:r>
        <w:rPr>
          <w:rFonts w:hint="eastAsia" w:ascii="宋体" w:hAnsi="宋体" w:eastAsia="宋体" w:cs="宋体"/>
          <w:b/>
          <w:bCs/>
          <w:color w:val="000000" w:themeColor="text1"/>
          <w:sz w:val="24"/>
          <w:szCs w:val="24"/>
          <w:lang w:val="zh-CN"/>
          <w14:textFill>
            <w14:solidFill>
              <w14:schemeClr w14:val="tx1"/>
            </w14:solidFill>
          </w14:textFill>
        </w:rPr>
        <w:t>转让和分包</w:t>
      </w:r>
    </w:p>
    <w:p w14:paraId="1CA32E8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r>
        <w:rPr>
          <w:rFonts w:hint="eastAsia" w:ascii="宋体" w:hAnsi="宋体" w:eastAsia="宋体" w:cs="宋体"/>
          <w:color w:val="000000" w:themeColor="text1"/>
          <w:sz w:val="24"/>
          <w:szCs w:val="24"/>
          <w:lang w:val="zh-CN"/>
          <w14:textFill>
            <w14:solidFill>
              <w14:schemeClr w14:val="tx1"/>
            </w14:solidFill>
          </w14:textFill>
        </w:rPr>
        <w:t>政府采购合同不能转让。</w:t>
      </w:r>
    </w:p>
    <w:p w14:paraId="6A60E58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r>
        <w:rPr>
          <w:rFonts w:hint="eastAsia" w:ascii="宋体" w:hAnsi="宋体" w:eastAsia="宋体" w:cs="宋体"/>
          <w:color w:val="000000" w:themeColor="text1"/>
          <w:sz w:val="24"/>
          <w:szCs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6D8F927">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23.</w:t>
      </w:r>
      <w:r>
        <w:rPr>
          <w:rFonts w:hint="eastAsia" w:ascii="宋体" w:hAnsi="宋体" w:eastAsia="宋体" w:cs="宋体"/>
          <w:b/>
          <w:bCs/>
          <w:color w:val="000000" w:themeColor="text1"/>
          <w:sz w:val="24"/>
          <w:szCs w:val="24"/>
          <w:lang w:val="zh-CN"/>
          <w14:textFill>
            <w14:solidFill>
              <w14:schemeClr w14:val="tx1"/>
            </w14:solidFill>
          </w14:textFill>
        </w:rPr>
        <w:t>合同修改</w:t>
      </w:r>
    </w:p>
    <w:p w14:paraId="148D015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54721BDB">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24.</w:t>
      </w:r>
      <w:r>
        <w:rPr>
          <w:rFonts w:hint="eastAsia" w:ascii="宋体" w:hAnsi="宋体" w:eastAsia="宋体" w:cs="宋体"/>
          <w:b/>
          <w:bCs/>
          <w:color w:val="000000" w:themeColor="text1"/>
          <w:sz w:val="24"/>
          <w:szCs w:val="24"/>
          <w:lang w:val="zh-CN"/>
          <w14:textFill>
            <w14:solidFill>
              <w14:schemeClr w14:val="tx1"/>
            </w14:solidFill>
          </w14:textFill>
        </w:rPr>
        <w:t>通知</w:t>
      </w:r>
    </w:p>
    <w:p w14:paraId="78025DC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本合同任何一方给另一方的通知，都应以书面形式发送，而另一方也应以书面形式确认并发送到对方明确的地址。</w:t>
      </w:r>
    </w:p>
    <w:p w14:paraId="3A22A47D">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25.</w:t>
      </w:r>
      <w:r>
        <w:rPr>
          <w:rFonts w:hint="eastAsia" w:ascii="宋体" w:hAnsi="宋体" w:eastAsia="宋体" w:cs="宋体"/>
          <w:b/>
          <w:bCs/>
          <w:color w:val="000000" w:themeColor="text1"/>
          <w:sz w:val="24"/>
          <w:szCs w:val="24"/>
          <w:lang w:val="zh-CN"/>
          <w14:textFill>
            <w14:solidFill>
              <w14:schemeClr w14:val="tx1"/>
            </w14:solidFill>
          </w14:textFill>
        </w:rPr>
        <w:t>计量单位</w:t>
      </w:r>
    </w:p>
    <w:p w14:paraId="46F5B52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除技术规范中另有规定外</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计量单位均使用国家法定计量单位。</w:t>
      </w:r>
    </w:p>
    <w:p w14:paraId="43C056B7">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26.</w:t>
      </w:r>
      <w:r>
        <w:rPr>
          <w:rFonts w:hint="eastAsia" w:ascii="宋体" w:hAnsi="宋体" w:eastAsia="宋体" w:cs="宋体"/>
          <w:b/>
          <w:bCs/>
          <w:color w:val="000000" w:themeColor="text1"/>
          <w:sz w:val="24"/>
          <w:szCs w:val="24"/>
          <w:lang w:val="zh-CN"/>
          <w14:textFill>
            <w14:solidFill>
              <w14:schemeClr w14:val="tx1"/>
            </w14:solidFill>
          </w14:textFill>
        </w:rPr>
        <w:t>适用法律</w:t>
      </w:r>
    </w:p>
    <w:p w14:paraId="3A22FCA1">
      <w:pPr>
        <w:wordWrap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本合同按照中华人民共和国的相关法律进行解释。</w:t>
      </w:r>
    </w:p>
    <w:bookmarkEnd w:id="117"/>
    <w:bookmarkEnd w:id="120"/>
    <w:bookmarkEnd w:id="121"/>
    <w:bookmarkEnd w:id="122"/>
    <w:bookmarkEnd w:id="123"/>
    <w:p w14:paraId="47B6726C">
      <w:pPr>
        <w:ind w:left="0" w:leftChars="0" w:firstLine="0" w:firstLineChars="0"/>
        <w:rPr>
          <w:rFonts w:hint="default" w:ascii="宋体" w:hAnsi="宋体" w:eastAsia="宋体" w:cs="宋体"/>
          <w:b/>
          <w:color w:val="000000" w:themeColor="text1"/>
          <w:kern w:val="28"/>
          <w:sz w:val="36"/>
          <w:szCs w:val="36"/>
          <w:lang w:val="en-US" w:eastAsia="zh-CN"/>
          <w14:textFill>
            <w14:solidFill>
              <w14:schemeClr w14:val="tx1"/>
            </w14:solidFill>
          </w14:textFill>
        </w:rPr>
      </w:pPr>
    </w:p>
    <w:sectPr>
      <w:headerReference r:id="rId9" w:type="default"/>
      <w:footerReference r:id="rId10" w:type="default"/>
      <w:pgSz w:w="11906" w:h="16838"/>
      <w:pgMar w:top="1440" w:right="1803" w:bottom="1440" w:left="1803"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71B6">
    <w:pPr>
      <w:pStyle w:val="1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E3A61">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EFE3A61">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BE1BD">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1BE1BD">
                    <w:pPr>
                      <w:pStyle w:val="15"/>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5223D">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D5223D">
                    <w:pPr>
                      <w:pStyle w:val="15"/>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6ADD3">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8B6ADD3">
                    <w:pPr>
                      <w:pStyle w:val="15"/>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0F667">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20F667">
                    <w:pPr>
                      <w:pStyle w:val="1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76AF6">
    <w:pPr>
      <w:pStyle w:val="1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EAEB3">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B3EAEB3">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514985"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149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7AC97">
                          <w:pPr>
                            <w:pStyle w:val="15"/>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0.55pt;mso-position-horizontal:center;mso-position-horizontal-relative:margin;z-index:251669504;mso-width-relative:page;mso-height-relative:page;" filled="f" stroked="f" coordsize="21600,21600" o:gfxdata="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M4Ua/TAAAABAEAAA8AAAAAAAAAAQAgAAAAIgAAAGRycy9kb3ducmV2Lnht&#10;bFBLAQIUABQAAAAIAIdO4kCi1f4uNwIAAGQEAAAOAAAAAAAAAAEAIAAAACIBAABkcnMvZTJvRG9j&#10;LnhtbFBLBQYAAAAABgAGAFkBAADLBQAAAAA=&#10;">
              <v:fill on="f" focussize="0,0"/>
              <v:stroke on="f" weight="0.5pt"/>
              <v:imagedata o:title=""/>
              <o:lock v:ext="edit" aspectratio="f"/>
              <v:textbox inset="0mm,0mm,0mm,0mm" style="mso-fit-shape-to-text:t;">
                <w:txbxContent>
                  <w:p w14:paraId="6C77AC97">
                    <w:pPr>
                      <w:pStyle w:val="15"/>
                    </w:pP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36F70">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8736F70">
                    <w:pPr>
                      <w:pStyle w:val="15"/>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8FD8F">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308FD8F">
                    <w:pPr>
                      <w:pStyle w:val="15"/>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64ACC">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1B64ACC">
                    <w:pPr>
                      <w:pStyle w:val="15"/>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517BE">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1D517BE">
                    <w:pPr>
                      <w:pStyle w:val="15"/>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915FC">
    <w:pPr>
      <w:pStyle w:val="15"/>
      <w:ind w:firstLine="0" w:firstLineChars="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B33E9">
                          <w:pPr>
                            <w:pStyle w:val="1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12B33E9">
                    <w:pPr>
                      <w:pStyle w:val="15"/>
                    </w:pPr>
                    <w:r>
                      <w:fldChar w:fldCharType="begin"/>
                    </w:r>
                    <w:r>
                      <w:instrText xml:space="preserve"> PAGE  \* MERGEFORMAT </w:instrText>
                    </w:r>
                    <w:r>
                      <w:fldChar w:fldCharType="separate"/>
                    </w:r>
                    <w:r>
                      <w:t>73</w:t>
                    </w:r>
                    <w: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FA2EE">
                          <w:pPr>
                            <w:pStyle w:val="15"/>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52FA2EE">
                    <w:pPr>
                      <w:pStyle w:val="15"/>
                      <w:ind w:left="0" w:leftChars="0" w:firstLine="0" w:firstLineChars="0"/>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82B6F">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B82B6F">
                    <w:pPr>
                      <w:pStyle w:val="15"/>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23B46">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623B46">
                    <w:pPr>
                      <w:pStyle w:val="1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24AF5">
    <w:pPr>
      <w:pStyle w:val="16"/>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052B">
    <w:pPr>
      <w:pStyle w:val="16"/>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C3C9C">
    <w:pPr>
      <w:pStyle w:val="16"/>
      <w:pBdr>
        <w:bottom w:val="none" w:color="auto" w:sz="0" w:space="1"/>
      </w:pBdr>
      <w:ind w:firstLine="0" w:firstLineChars="0"/>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73907"/>
    <w:multiLevelType w:val="singleLevel"/>
    <w:tmpl w:val="97273907"/>
    <w:lvl w:ilvl="0" w:tentative="0">
      <w:start w:val="1"/>
      <w:numFmt w:val="decimal"/>
      <w:suff w:val="space"/>
      <w:lvlText w:val="%1."/>
      <w:lvlJc w:val="left"/>
    </w:lvl>
  </w:abstractNum>
  <w:abstractNum w:abstractNumId="1">
    <w:nsid w:val="A87CCA87"/>
    <w:multiLevelType w:val="singleLevel"/>
    <w:tmpl w:val="A87CCA87"/>
    <w:lvl w:ilvl="0" w:tentative="0">
      <w:start w:val="1"/>
      <w:numFmt w:val="chineseCounting"/>
      <w:suff w:val="space"/>
      <w:lvlText w:val="第%1部分"/>
      <w:lvlJc w:val="left"/>
      <w:rPr>
        <w:rFonts w:hint="eastAsia"/>
      </w:rPr>
    </w:lvl>
  </w:abstractNum>
  <w:abstractNum w:abstractNumId="2">
    <w:nsid w:val="E587FB00"/>
    <w:multiLevelType w:val="singleLevel"/>
    <w:tmpl w:val="E587FB00"/>
    <w:lvl w:ilvl="0" w:tentative="0">
      <w:start w:val="4"/>
      <w:numFmt w:val="decimal"/>
      <w:suff w:val="nothing"/>
      <w:lvlText w:val="%1、"/>
      <w:lvlJc w:val="left"/>
    </w:lvl>
  </w:abstractNum>
  <w:abstractNum w:abstractNumId="3">
    <w:nsid w:val="311125DD"/>
    <w:multiLevelType w:val="singleLevel"/>
    <w:tmpl w:val="311125DD"/>
    <w:lvl w:ilvl="0" w:tentative="0">
      <w:start w:val="2"/>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ZDgzOGU4Y2U2ZmNkMDkyYmFhYjhlZGVjMDkxMDUifQ=="/>
  </w:docVars>
  <w:rsids>
    <w:rsidRoot w:val="6F3A01D0"/>
    <w:rsid w:val="00103897"/>
    <w:rsid w:val="0011729F"/>
    <w:rsid w:val="00175EA5"/>
    <w:rsid w:val="00196FFB"/>
    <w:rsid w:val="001D31EC"/>
    <w:rsid w:val="00207852"/>
    <w:rsid w:val="0021322F"/>
    <w:rsid w:val="00213F24"/>
    <w:rsid w:val="002C5D0F"/>
    <w:rsid w:val="00416146"/>
    <w:rsid w:val="00417413"/>
    <w:rsid w:val="00476E38"/>
    <w:rsid w:val="00563274"/>
    <w:rsid w:val="00576C87"/>
    <w:rsid w:val="006C3879"/>
    <w:rsid w:val="006D0CE9"/>
    <w:rsid w:val="00861DAB"/>
    <w:rsid w:val="009A149D"/>
    <w:rsid w:val="00A22D1A"/>
    <w:rsid w:val="00AE5A2B"/>
    <w:rsid w:val="00BB15F6"/>
    <w:rsid w:val="00D44E68"/>
    <w:rsid w:val="00D53305"/>
    <w:rsid w:val="00E22C49"/>
    <w:rsid w:val="00E24720"/>
    <w:rsid w:val="00E47A49"/>
    <w:rsid w:val="00EB0426"/>
    <w:rsid w:val="00F72CA9"/>
    <w:rsid w:val="014C6B51"/>
    <w:rsid w:val="015E0632"/>
    <w:rsid w:val="0194674A"/>
    <w:rsid w:val="01BA3151"/>
    <w:rsid w:val="01DB7ED5"/>
    <w:rsid w:val="01E054EB"/>
    <w:rsid w:val="02492A53"/>
    <w:rsid w:val="027666A8"/>
    <w:rsid w:val="028A6D7C"/>
    <w:rsid w:val="02C52BCA"/>
    <w:rsid w:val="02C941D1"/>
    <w:rsid w:val="02E848E3"/>
    <w:rsid w:val="030B47EA"/>
    <w:rsid w:val="03217B69"/>
    <w:rsid w:val="037641DC"/>
    <w:rsid w:val="0388299B"/>
    <w:rsid w:val="038E1794"/>
    <w:rsid w:val="03993BA4"/>
    <w:rsid w:val="03AF1619"/>
    <w:rsid w:val="03D746CC"/>
    <w:rsid w:val="03DA48E8"/>
    <w:rsid w:val="03F54F40"/>
    <w:rsid w:val="04001ACF"/>
    <w:rsid w:val="040911B4"/>
    <w:rsid w:val="041C322D"/>
    <w:rsid w:val="041D2837"/>
    <w:rsid w:val="042A1978"/>
    <w:rsid w:val="04694072"/>
    <w:rsid w:val="04794825"/>
    <w:rsid w:val="047A085A"/>
    <w:rsid w:val="047D7B33"/>
    <w:rsid w:val="04821FE4"/>
    <w:rsid w:val="04BE6E7B"/>
    <w:rsid w:val="04C2712A"/>
    <w:rsid w:val="04DD3F64"/>
    <w:rsid w:val="04FA4B16"/>
    <w:rsid w:val="050B287F"/>
    <w:rsid w:val="051604A8"/>
    <w:rsid w:val="052B2F21"/>
    <w:rsid w:val="053F79EE"/>
    <w:rsid w:val="055E50A5"/>
    <w:rsid w:val="05B178CA"/>
    <w:rsid w:val="05B72A07"/>
    <w:rsid w:val="05C41944"/>
    <w:rsid w:val="05C50554"/>
    <w:rsid w:val="05D62E8D"/>
    <w:rsid w:val="05E126AE"/>
    <w:rsid w:val="05F44D89"/>
    <w:rsid w:val="05F9122C"/>
    <w:rsid w:val="063B7194"/>
    <w:rsid w:val="0671751B"/>
    <w:rsid w:val="06786DC4"/>
    <w:rsid w:val="067E27BC"/>
    <w:rsid w:val="069F1C8C"/>
    <w:rsid w:val="06BB4415"/>
    <w:rsid w:val="06C0104C"/>
    <w:rsid w:val="06ED2F57"/>
    <w:rsid w:val="06FA0514"/>
    <w:rsid w:val="06FA2BAB"/>
    <w:rsid w:val="06FA3E18"/>
    <w:rsid w:val="070361EF"/>
    <w:rsid w:val="07302A71"/>
    <w:rsid w:val="07363477"/>
    <w:rsid w:val="07B81A5F"/>
    <w:rsid w:val="07BC60B3"/>
    <w:rsid w:val="07E7495A"/>
    <w:rsid w:val="07EA3008"/>
    <w:rsid w:val="080C0E4D"/>
    <w:rsid w:val="08192FB1"/>
    <w:rsid w:val="08332819"/>
    <w:rsid w:val="08400A92"/>
    <w:rsid w:val="084A5DB4"/>
    <w:rsid w:val="08735BB9"/>
    <w:rsid w:val="08744BDF"/>
    <w:rsid w:val="08841842"/>
    <w:rsid w:val="08C47915"/>
    <w:rsid w:val="08C635A7"/>
    <w:rsid w:val="08D60010"/>
    <w:rsid w:val="08E019CC"/>
    <w:rsid w:val="08E91129"/>
    <w:rsid w:val="090221EB"/>
    <w:rsid w:val="09954AFB"/>
    <w:rsid w:val="099866AB"/>
    <w:rsid w:val="09DB4F16"/>
    <w:rsid w:val="09F9539C"/>
    <w:rsid w:val="0A2F0DBE"/>
    <w:rsid w:val="0A3D0354"/>
    <w:rsid w:val="0A7809B7"/>
    <w:rsid w:val="0AA479FE"/>
    <w:rsid w:val="0AB310D5"/>
    <w:rsid w:val="0AB37C41"/>
    <w:rsid w:val="0AB50A1F"/>
    <w:rsid w:val="0AD4632C"/>
    <w:rsid w:val="0AEC6CAF"/>
    <w:rsid w:val="0AF357C2"/>
    <w:rsid w:val="0B033A47"/>
    <w:rsid w:val="0B4727BB"/>
    <w:rsid w:val="0B7D1993"/>
    <w:rsid w:val="0B8F10CC"/>
    <w:rsid w:val="0B9C7EAF"/>
    <w:rsid w:val="0BB60295"/>
    <w:rsid w:val="0BE03F52"/>
    <w:rsid w:val="0C0221EA"/>
    <w:rsid w:val="0C2B426F"/>
    <w:rsid w:val="0C320B89"/>
    <w:rsid w:val="0C462335"/>
    <w:rsid w:val="0C4B5C57"/>
    <w:rsid w:val="0C5E0863"/>
    <w:rsid w:val="0C8278CB"/>
    <w:rsid w:val="0C8C1609"/>
    <w:rsid w:val="0D086750"/>
    <w:rsid w:val="0D243DD3"/>
    <w:rsid w:val="0D244E26"/>
    <w:rsid w:val="0D2C3CDA"/>
    <w:rsid w:val="0D3F3A0E"/>
    <w:rsid w:val="0D5450A8"/>
    <w:rsid w:val="0D58687D"/>
    <w:rsid w:val="0D596022"/>
    <w:rsid w:val="0D5A6110"/>
    <w:rsid w:val="0D821B4C"/>
    <w:rsid w:val="0DA43871"/>
    <w:rsid w:val="0DB37F58"/>
    <w:rsid w:val="0DBE2B84"/>
    <w:rsid w:val="0DCB49FB"/>
    <w:rsid w:val="0DF75C5B"/>
    <w:rsid w:val="0E032C8D"/>
    <w:rsid w:val="0E19425F"/>
    <w:rsid w:val="0E3B4B14"/>
    <w:rsid w:val="0E476E19"/>
    <w:rsid w:val="0E794E1F"/>
    <w:rsid w:val="0E837BAD"/>
    <w:rsid w:val="0E901D0F"/>
    <w:rsid w:val="0ED63EFE"/>
    <w:rsid w:val="0EEB493F"/>
    <w:rsid w:val="0F040A6B"/>
    <w:rsid w:val="0F2B7F1E"/>
    <w:rsid w:val="0F3330FE"/>
    <w:rsid w:val="0F563291"/>
    <w:rsid w:val="0F871748"/>
    <w:rsid w:val="0FB200DF"/>
    <w:rsid w:val="0FB238DA"/>
    <w:rsid w:val="0FC05474"/>
    <w:rsid w:val="0FCD4D03"/>
    <w:rsid w:val="0FE7431B"/>
    <w:rsid w:val="0FEE74CA"/>
    <w:rsid w:val="0FF8234C"/>
    <w:rsid w:val="104B27D1"/>
    <w:rsid w:val="1060113D"/>
    <w:rsid w:val="1081061C"/>
    <w:rsid w:val="10A71125"/>
    <w:rsid w:val="10C34956"/>
    <w:rsid w:val="10E102A4"/>
    <w:rsid w:val="110A68BF"/>
    <w:rsid w:val="110E5BD1"/>
    <w:rsid w:val="11103C66"/>
    <w:rsid w:val="111F3E95"/>
    <w:rsid w:val="1129001A"/>
    <w:rsid w:val="11627CCB"/>
    <w:rsid w:val="11F7309C"/>
    <w:rsid w:val="12011130"/>
    <w:rsid w:val="120C7C36"/>
    <w:rsid w:val="12303F43"/>
    <w:rsid w:val="123957F8"/>
    <w:rsid w:val="123E0181"/>
    <w:rsid w:val="12535865"/>
    <w:rsid w:val="125735A8"/>
    <w:rsid w:val="12872CD1"/>
    <w:rsid w:val="12966EA2"/>
    <w:rsid w:val="12D9220E"/>
    <w:rsid w:val="12DE4E6F"/>
    <w:rsid w:val="130F0854"/>
    <w:rsid w:val="13241D90"/>
    <w:rsid w:val="1328219C"/>
    <w:rsid w:val="13313DF9"/>
    <w:rsid w:val="133C0EBA"/>
    <w:rsid w:val="137D7853"/>
    <w:rsid w:val="139525D9"/>
    <w:rsid w:val="13A26AA4"/>
    <w:rsid w:val="13A5587F"/>
    <w:rsid w:val="13D16A27"/>
    <w:rsid w:val="13EA0474"/>
    <w:rsid w:val="14294AD0"/>
    <w:rsid w:val="145C6C53"/>
    <w:rsid w:val="147E4E1C"/>
    <w:rsid w:val="14816D8E"/>
    <w:rsid w:val="14891A12"/>
    <w:rsid w:val="14A31369"/>
    <w:rsid w:val="14AD5701"/>
    <w:rsid w:val="14B3267E"/>
    <w:rsid w:val="14C93268"/>
    <w:rsid w:val="154E76FE"/>
    <w:rsid w:val="15A14738"/>
    <w:rsid w:val="15B4486D"/>
    <w:rsid w:val="15B47C05"/>
    <w:rsid w:val="160A7B9A"/>
    <w:rsid w:val="162B0FD3"/>
    <w:rsid w:val="16385091"/>
    <w:rsid w:val="163C358F"/>
    <w:rsid w:val="16427E9E"/>
    <w:rsid w:val="166E2811"/>
    <w:rsid w:val="16737E53"/>
    <w:rsid w:val="167C35DD"/>
    <w:rsid w:val="16842EAE"/>
    <w:rsid w:val="16874191"/>
    <w:rsid w:val="168E50BE"/>
    <w:rsid w:val="1696609B"/>
    <w:rsid w:val="16A94305"/>
    <w:rsid w:val="16AE750E"/>
    <w:rsid w:val="16E87161"/>
    <w:rsid w:val="1715758D"/>
    <w:rsid w:val="17236BA8"/>
    <w:rsid w:val="17237EFC"/>
    <w:rsid w:val="174D31CB"/>
    <w:rsid w:val="174D6D27"/>
    <w:rsid w:val="177069AF"/>
    <w:rsid w:val="17802452"/>
    <w:rsid w:val="17D45DEF"/>
    <w:rsid w:val="17D905BB"/>
    <w:rsid w:val="17DD454F"/>
    <w:rsid w:val="17E47BA2"/>
    <w:rsid w:val="17F732B1"/>
    <w:rsid w:val="18001FEB"/>
    <w:rsid w:val="181D2B9D"/>
    <w:rsid w:val="182E0907"/>
    <w:rsid w:val="187D6A28"/>
    <w:rsid w:val="189C10AD"/>
    <w:rsid w:val="189F2FA6"/>
    <w:rsid w:val="18A76ACB"/>
    <w:rsid w:val="18E67433"/>
    <w:rsid w:val="191B0B35"/>
    <w:rsid w:val="193001A1"/>
    <w:rsid w:val="1956079D"/>
    <w:rsid w:val="19612E6F"/>
    <w:rsid w:val="19614D0C"/>
    <w:rsid w:val="197D7D98"/>
    <w:rsid w:val="19A60971"/>
    <w:rsid w:val="19AE61A3"/>
    <w:rsid w:val="19AE6575"/>
    <w:rsid w:val="19B05143"/>
    <w:rsid w:val="19E27BFB"/>
    <w:rsid w:val="1A132F57"/>
    <w:rsid w:val="1A246BD7"/>
    <w:rsid w:val="1A25767C"/>
    <w:rsid w:val="1A4E5DC8"/>
    <w:rsid w:val="1A50441E"/>
    <w:rsid w:val="1A534654"/>
    <w:rsid w:val="1A565109"/>
    <w:rsid w:val="1A903438"/>
    <w:rsid w:val="1A9A2283"/>
    <w:rsid w:val="1AA060A4"/>
    <w:rsid w:val="1AA62C1B"/>
    <w:rsid w:val="1AE14356"/>
    <w:rsid w:val="1AEB0D31"/>
    <w:rsid w:val="1AF23E6D"/>
    <w:rsid w:val="1AF75928"/>
    <w:rsid w:val="1B6B19CE"/>
    <w:rsid w:val="1BAB226E"/>
    <w:rsid w:val="1BAF484F"/>
    <w:rsid w:val="1BCB40AD"/>
    <w:rsid w:val="1BDA3FC9"/>
    <w:rsid w:val="1BF63E31"/>
    <w:rsid w:val="1BF90126"/>
    <w:rsid w:val="1C1425F4"/>
    <w:rsid w:val="1C275893"/>
    <w:rsid w:val="1C333E58"/>
    <w:rsid w:val="1C4B1AC5"/>
    <w:rsid w:val="1C7A05BE"/>
    <w:rsid w:val="1CC2505D"/>
    <w:rsid w:val="1CC7132A"/>
    <w:rsid w:val="1CEB6DC6"/>
    <w:rsid w:val="1CFA21B6"/>
    <w:rsid w:val="1D1207F7"/>
    <w:rsid w:val="1D371061"/>
    <w:rsid w:val="1D3C0E85"/>
    <w:rsid w:val="1D5F5A06"/>
    <w:rsid w:val="1D6F6271"/>
    <w:rsid w:val="1D7F3119"/>
    <w:rsid w:val="1D8772DF"/>
    <w:rsid w:val="1DE64446"/>
    <w:rsid w:val="1DF83F3A"/>
    <w:rsid w:val="1E075E82"/>
    <w:rsid w:val="1E1E141D"/>
    <w:rsid w:val="1E214A6A"/>
    <w:rsid w:val="1E522E75"/>
    <w:rsid w:val="1E594203"/>
    <w:rsid w:val="1E5B441F"/>
    <w:rsid w:val="1E5D3CF4"/>
    <w:rsid w:val="1E6E6726"/>
    <w:rsid w:val="1E990AA4"/>
    <w:rsid w:val="1ECA4852"/>
    <w:rsid w:val="1EDC4228"/>
    <w:rsid w:val="1EE11192"/>
    <w:rsid w:val="1EF04B68"/>
    <w:rsid w:val="1EFA59E6"/>
    <w:rsid w:val="1EFB350D"/>
    <w:rsid w:val="1F08172F"/>
    <w:rsid w:val="1F216C62"/>
    <w:rsid w:val="1F2B3DF2"/>
    <w:rsid w:val="1F4153C3"/>
    <w:rsid w:val="1F4C78D0"/>
    <w:rsid w:val="1F5313B6"/>
    <w:rsid w:val="1F8359DC"/>
    <w:rsid w:val="1FFB7C68"/>
    <w:rsid w:val="1FFC578E"/>
    <w:rsid w:val="202F6980"/>
    <w:rsid w:val="20340668"/>
    <w:rsid w:val="2090754A"/>
    <w:rsid w:val="2096136A"/>
    <w:rsid w:val="20AA0709"/>
    <w:rsid w:val="20BC1612"/>
    <w:rsid w:val="20EC3CD7"/>
    <w:rsid w:val="20F70553"/>
    <w:rsid w:val="20FA2C20"/>
    <w:rsid w:val="212E23EC"/>
    <w:rsid w:val="21515666"/>
    <w:rsid w:val="218B0F6E"/>
    <w:rsid w:val="21BD67D8"/>
    <w:rsid w:val="21E711DD"/>
    <w:rsid w:val="21E9685F"/>
    <w:rsid w:val="221118F0"/>
    <w:rsid w:val="22296669"/>
    <w:rsid w:val="22325497"/>
    <w:rsid w:val="22372AAE"/>
    <w:rsid w:val="223D1BAC"/>
    <w:rsid w:val="22456F79"/>
    <w:rsid w:val="22470866"/>
    <w:rsid w:val="225B2C40"/>
    <w:rsid w:val="225D4B32"/>
    <w:rsid w:val="229300C1"/>
    <w:rsid w:val="22B20386"/>
    <w:rsid w:val="22D93B65"/>
    <w:rsid w:val="22DA5998"/>
    <w:rsid w:val="231A506E"/>
    <w:rsid w:val="234C07DB"/>
    <w:rsid w:val="23580F2E"/>
    <w:rsid w:val="236D2C2B"/>
    <w:rsid w:val="23AB5501"/>
    <w:rsid w:val="23B54071"/>
    <w:rsid w:val="23C55705"/>
    <w:rsid w:val="23C71C0F"/>
    <w:rsid w:val="23D15319"/>
    <w:rsid w:val="241A61E3"/>
    <w:rsid w:val="241B632B"/>
    <w:rsid w:val="24334A21"/>
    <w:rsid w:val="24407777"/>
    <w:rsid w:val="244F40DF"/>
    <w:rsid w:val="247459BA"/>
    <w:rsid w:val="247E0D96"/>
    <w:rsid w:val="249043C8"/>
    <w:rsid w:val="2500187D"/>
    <w:rsid w:val="2506013B"/>
    <w:rsid w:val="251D5D93"/>
    <w:rsid w:val="25563C94"/>
    <w:rsid w:val="25675001"/>
    <w:rsid w:val="257D511F"/>
    <w:rsid w:val="25826736"/>
    <w:rsid w:val="25C6189B"/>
    <w:rsid w:val="25F74A2E"/>
    <w:rsid w:val="26812549"/>
    <w:rsid w:val="26A16E16"/>
    <w:rsid w:val="26A61FB0"/>
    <w:rsid w:val="26C80178"/>
    <w:rsid w:val="26E50D2A"/>
    <w:rsid w:val="26E56F7C"/>
    <w:rsid w:val="26E73079"/>
    <w:rsid w:val="270F023A"/>
    <w:rsid w:val="271C1B22"/>
    <w:rsid w:val="271C60D7"/>
    <w:rsid w:val="27532138"/>
    <w:rsid w:val="275C4CD4"/>
    <w:rsid w:val="276811FF"/>
    <w:rsid w:val="27B22F31"/>
    <w:rsid w:val="27FF372E"/>
    <w:rsid w:val="2806560C"/>
    <w:rsid w:val="28292E99"/>
    <w:rsid w:val="28691D33"/>
    <w:rsid w:val="28812CD5"/>
    <w:rsid w:val="28C21FC5"/>
    <w:rsid w:val="28CD7CC8"/>
    <w:rsid w:val="291D2347"/>
    <w:rsid w:val="29891842"/>
    <w:rsid w:val="29974979"/>
    <w:rsid w:val="29BF1D06"/>
    <w:rsid w:val="29D3071B"/>
    <w:rsid w:val="29DC28E5"/>
    <w:rsid w:val="29F22E9A"/>
    <w:rsid w:val="29FD4568"/>
    <w:rsid w:val="2A0F1DE7"/>
    <w:rsid w:val="2A336250"/>
    <w:rsid w:val="2A5E32AB"/>
    <w:rsid w:val="2A60705E"/>
    <w:rsid w:val="2A8E759C"/>
    <w:rsid w:val="2A905451"/>
    <w:rsid w:val="2A9622A4"/>
    <w:rsid w:val="2ABF45E3"/>
    <w:rsid w:val="2AEA0C1E"/>
    <w:rsid w:val="2AED1FC6"/>
    <w:rsid w:val="2AF05EF0"/>
    <w:rsid w:val="2B0B470A"/>
    <w:rsid w:val="2B48517B"/>
    <w:rsid w:val="2B5B78BC"/>
    <w:rsid w:val="2B8925CC"/>
    <w:rsid w:val="2BAA2542"/>
    <w:rsid w:val="2BD21033"/>
    <w:rsid w:val="2C071743"/>
    <w:rsid w:val="2C0B2FE1"/>
    <w:rsid w:val="2C0C6D59"/>
    <w:rsid w:val="2C0D3E59"/>
    <w:rsid w:val="2C66290D"/>
    <w:rsid w:val="2C851DA0"/>
    <w:rsid w:val="2C972AC7"/>
    <w:rsid w:val="2CA0770D"/>
    <w:rsid w:val="2D0D7EF9"/>
    <w:rsid w:val="2D4443FA"/>
    <w:rsid w:val="2D546C0A"/>
    <w:rsid w:val="2D712DC0"/>
    <w:rsid w:val="2D7E6361"/>
    <w:rsid w:val="2DB6365C"/>
    <w:rsid w:val="2DB93FD6"/>
    <w:rsid w:val="2DBD3547"/>
    <w:rsid w:val="2DCF003E"/>
    <w:rsid w:val="2DE27D71"/>
    <w:rsid w:val="2E207D74"/>
    <w:rsid w:val="2E3E4E47"/>
    <w:rsid w:val="2E782484"/>
    <w:rsid w:val="2E921751"/>
    <w:rsid w:val="2EA45660"/>
    <w:rsid w:val="2EA95537"/>
    <w:rsid w:val="2EAB4607"/>
    <w:rsid w:val="2EC606D3"/>
    <w:rsid w:val="2F416D1A"/>
    <w:rsid w:val="2F425D48"/>
    <w:rsid w:val="2F7231EE"/>
    <w:rsid w:val="2F790251"/>
    <w:rsid w:val="2FB4573E"/>
    <w:rsid w:val="2FBB051F"/>
    <w:rsid w:val="2FCC6F2B"/>
    <w:rsid w:val="2FDE6C5E"/>
    <w:rsid w:val="2FF921DC"/>
    <w:rsid w:val="30186E45"/>
    <w:rsid w:val="30534F57"/>
    <w:rsid w:val="308B45D3"/>
    <w:rsid w:val="30942F58"/>
    <w:rsid w:val="309D5958"/>
    <w:rsid w:val="30A130CA"/>
    <w:rsid w:val="30B92373"/>
    <w:rsid w:val="30C419B0"/>
    <w:rsid w:val="30C93B1B"/>
    <w:rsid w:val="30CB1722"/>
    <w:rsid w:val="30D342E9"/>
    <w:rsid w:val="30D83216"/>
    <w:rsid w:val="30F71D86"/>
    <w:rsid w:val="30F77FD8"/>
    <w:rsid w:val="30FC4AF3"/>
    <w:rsid w:val="312B3A11"/>
    <w:rsid w:val="31301E9D"/>
    <w:rsid w:val="31321010"/>
    <w:rsid w:val="313D275C"/>
    <w:rsid w:val="31562501"/>
    <w:rsid w:val="3157664C"/>
    <w:rsid w:val="315F16D9"/>
    <w:rsid w:val="31962E24"/>
    <w:rsid w:val="31D56B28"/>
    <w:rsid w:val="31E247E4"/>
    <w:rsid w:val="31EA45E2"/>
    <w:rsid w:val="31EA5447"/>
    <w:rsid w:val="31F03E97"/>
    <w:rsid w:val="31F713E0"/>
    <w:rsid w:val="31FC48FE"/>
    <w:rsid w:val="321D3A6E"/>
    <w:rsid w:val="32312E2D"/>
    <w:rsid w:val="32425283"/>
    <w:rsid w:val="32472899"/>
    <w:rsid w:val="324E0D5F"/>
    <w:rsid w:val="32562ADC"/>
    <w:rsid w:val="32AF2240"/>
    <w:rsid w:val="32C32302"/>
    <w:rsid w:val="32EA1B05"/>
    <w:rsid w:val="32F75C8B"/>
    <w:rsid w:val="33567510"/>
    <w:rsid w:val="33605519"/>
    <w:rsid w:val="33613E2E"/>
    <w:rsid w:val="33633703"/>
    <w:rsid w:val="339C712F"/>
    <w:rsid w:val="33B83934"/>
    <w:rsid w:val="33CB26A9"/>
    <w:rsid w:val="33E76902"/>
    <w:rsid w:val="33F5549E"/>
    <w:rsid w:val="34011445"/>
    <w:rsid w:val="34110883"/>
    <w:rsid w:val="341113B0"/>
    <w:rsid w:val="3434509F"/>
    <w:rsid w:val="34711E4F"/>
    <w:rsid w:val="348D660A"/>
    <w:rsid w:val="34B1077B"/>
    <w:rsid w:val="34DE0735"/>
    <w:rsid w:val="34F5482E"/>
    <w:rsid w:val="35044A71"/>
    <w:rsid w:val="3538446C"/>
    <w:rsid w:val="3541245E"/>
    <w:rsid w:val="357D4824"/>
    <w:rsid w:val="35980BD9"/>
    <w:rsid w:val="35CD36FC"/>
    <w:rsid w:val="360B121F"/>
    <w:rsid w:val="3639699D"/>
    <w:rsid w:val="36494F72"/>
    <w:rsid w:val="36792E4B"/>
    <w:rsid w:val="36941E25"/>
    <w:rsid w:val="36C214DE"/>
    <w:rsid w:val="37135859"/>
    <w:rsid w:val="371B42F4"/>
    <w:rsid w:val="37381C2F"/>
    <w:rsid w:val="373F6F74"/>
    <w:rsid w:val="377834F5"/>
    <w:rsid w:val="37C239D4"/>
    <w:rsid w:val="37C519CA"/>
    <w:rsid w:val="37E01129"/>
    <w:rsid w:val="383512DF"/>
    <w:rsid w:val="3838582F"/>
    <w:rsid w:val="385E7878"/>
    <w:rsid w:val="3875364E"/>
    <w:rsid w:val="38824DC9"/>
    <w:rsid w:val="38885686"/>
    <w:rsid w:val="38936002"/>
    <w:rsid w:val="38CC4134"/>
    <w:rsid w:val="38EC097B"/>
    <w:rsid w:val="38F80D91"/>
    <w:rsid w:val="39216F2E"/>
    <w:rsid w:val="39523B05"/>
    <w:rsid w:val="395C71E5"/>
    <w:rsid w:val="398F7BA5"/>
    <w:rsid w:val="39D2513E"/>
    <w:rsid w:val="39DD3AE3"/>
    <w:rsid w:val="3A0F6392"/>
    <w:rsid w:val="3A1A7FD9"/>
    <w:rsid w:val="3A4D6EBA"/>
    <w:rsid w:val="3A5A3E69"/>
    <w:rsid w:val="3A7B6527"/>
    <w:rsid w:val="3A814D7D"/>
    <w:rsid w:val="3A9643BE"/>
    <w:rsid w:val="3AB42FBD"/>
    <w:rsid w:val="3ABF3EC3"/>
    <w:rsid w:val="3AF464B3"/>
    <w:rsid w:val="3B4565E2"/>
    <w:rsid w:val="3B592DBE"/>
    <w:rsid w:val="3BA405B2"/>
    <w:rsid w:val="3BB6283D"/>
    <w:rsid w:val="3BBC4ABE"/>
    <w:rsid w:val="3BD038FF"/>
    <w:rsid w:val="3BD43F8D"/>
    <w:rsid w:val="3BE137EE"/>
    <w:rsid w:val="3BE70C49"/>
    <w:rsid w:val="3BF97C17"/>
    <w:rsid w:val="3C002870"/>
    <w:rsid w:val="3C092E30"/>
    <w:rsid w:val="3C0D4BED"/>
    <w:rsid w:val="3C582A05"/>
    <w:rsid w:val="3C9012E0"/>
    <w:rsid w:val="3C99411D"/>
    <w:rsid w:val="3CD13DD3"/>
    <w:rsid w:val="3CE066FE"/>
    <w:rsid w:val="3CF4186F"/>
    <w:rsid w:val="3CFB2BFE"/>
    <w:rsid w:val="3D0A55A9"/>
    <w:rsid w:val="3D2A34E3"/>
    <w:rsid w:val="3D556267"/>
    <w:rsid w:val="3D575531"/>
    <w:rsid w:val="3D606F05"/>
    <w:rsid w:val="3D78424E"/>
    <w:rsid w:val="3D8F45A2"/>
    <w:rsid w:val="3D9D3CB5"/>
    <w:rsid w:val="3DAB301A"/>
    <w:rsid w:val="3DF00289"/>
    <w:rsid w:val="3E0229AE"/>
    <w:rsid w:val="3E295549"/>
    <w:rsid w:val="3E351995"/>
    <w:rsid w:val="3E4156B4"/>
    <w:rsid w:val="3E442382"/>
    <w:rsid w:val="3E5E3444"/>
    <w:rsid w:val="3EC4393F"/>
    <w:rsid w:val="3ED96F6F"/>
    <w:rsid w:val="3EE35614"/>
    <w:rsid w:val="3EEF6A87"/>
    <w:rsid w:val="3F082449"/>
    <w:rsid w:val="3F34515D"/>
    <w:rsid w:val="3F43088C"/>
    <w:rsid w:val="3F4871AE"/>
    <w:rsid w:val="3F5136FA"/>
    <w:rsid w:val="3F537998"/>
    <w:rsid w:val="3F5F530F"/>
    <w:rsid w:val="3F710E0E"/>
    <w:rsid w:val="3F9B6B83"/>
    <w:rsid w:val="3FA22C37"/>
    <w:rsid w:val="3FA61D11"/>
    <w:rsid w:val="3FC90B56"/>
    <w:rsid w:val="3FD622A8"/>
    <w:rsid w:val="3FF4275D"/>
    <w:rsid w:val="40063D93"/>
    <w:rsid w:val="40154969"/>
    <w:rsid w:val="407F3B46"/>
    <w:rsid w:val="408126C2"/>
    <w:rsid w:val="408D38FB"/>
    <w:rsid w:val="409F5F96"/>
    <w:rsid w:val="40CB28E7"/>
    <w:rsid w:val="40DF747E"/>
    <w:rsid w:val="40EA7211"/>
    <w:rsid w:val="40EC6DDC"/>
    <w:rsid w:val="410F6C78"/>
    <w:rsid w:val="41354204"/>
    <w:rsid w:val="41474664"/>
    <w:rsid w:val="414B26F7"/>
    <w:rsid w:val="418E3B1D"/>
    <w:rsid w:val="4191369F"/>
    <w:rsid w:val="420F2CA7"/>
    <w:rsid w:val="42114C71"/>
    <w:rsid w:val="421151B4"/>
    <w:rsid w:val="42354231"/>
    <w:rsid w:val="4242307D"/>
    <w:rsid w:val="427F7E2D"/>
    <w:rsid w:val="4285692D"/>
    <w:rsid w:val="428611BC"/>
    <w:rsid w:val="42C6780A"/>
    <w:rsid w:val="42EA4F30"/>
    <w:rsid w:val="42FE51F6"/>
    <w:rsid w:val="431C6294"/>
    <w:rsid w:val="432F1853"/>
    <w:rsid w:val="433E55F2"/>
    <w:rsid w:val="43406F53"/>
    <w:rsid w:val="436D4129"/>
    <w:rsid w:val="43C57AC2"/>
    <w:rsid w:val="442270F5"/>
    <w:rsid w:val="44242A3A"/>
    <w:rsid w:val="4433174A"/>
    <w:rsid w:val="443F17B1"/>
    <w:rsid w:val="446012BE"/>
    <w:rsid w:val="44641089"/>
    <w:rsid w:val="4465398D"/>
    <w:rsid w:val="44AC74A9"/>
    <w:rsid w:val="44B27F70"/>
    <w:rsid w:val="44EB6603"/>
    <w:rsid w:val="450F1291"/>
    <w:rsid w:val="45321187"/>
    <w:rsid w:val="45912734"/>
    <w:rsid w:val="45984FD7"/>
    <w:rsid w:val="45C36283"/>
    <w:rsid w:val="45FC3543"/>
    <w:rsid w:val="45FF375F"/>
    <w:rsid w:val="461214CC"/>
    <w:rsid w:val="4618037D"/>
    <w:rsid w:val="462C6948"/>
    <w:rsid w:val="463F1DAD"/>
    <w:rsid w:val="464613F0"/>
    <w:rsid w:val="46696E2A"/>
    <w:rsid w:val="46BF2EEE"/>
    <w:rsid w:val="46E71F5E"/>
    <w:rsid w:val="46EB449C"/>
    <w:rsid w:val="46EC679C"/>
    <w:rsid w:val="46EE10DD"/>
    <w:rsid w:val="47500410"/>
    <w:rsid w:val="476870E2"/>
    <w:rsid w:val="47B02837"/>
    <w:rsid w:val="47C3256A"/>
    <w:rsid w:val="48765A18"/>
    <w:rsid w:val="48A91760"/>
    <w:rsid w:val="48AA09AB"/>
    <w:rsid w:val="48CC544E"/>
    <w:rsid w:val="48D16F09"/>
    <w:rsid w:val="48D52555"/>
    <w:rsid w:val="48F1403F"/>
    <w:rsid w:val="48FC3F85"/>
    <w:rsid w:val="492D3331"/>
    <w:rsid w:val="49634005"/>
    <w:rsid w:val="4972249A"/>
    <w:rsid w:val="49747FC0"/>
    <w:rsid w:val="498B355B"/>
    <w:rsid w:val="499C12C5"/>
    <w:rsid w:val="49A168DB"/>
    <w:rsid w:val="49F25BD7"/>
    <w:rsid w:val="4A611B25"/>
    <w:rsid w:val="4A6F69D9"/>
    <w:rsid w:val="4AA24BF4"/>
    <w:rsid w:val="4AC040D9"/>
    <w:rsid w:val="4B2C6678"/>
    <w:rsid w:val="4B2F68B4"/>
    <w:rsid w:val="4B3A2B43"/>
    <w:rsid w:val="4B4A280B"/>
    <w:rsid w:val="4B58615A"/>
    <w:rsid w:val="4B58746D"/>
    <w:rsid w:val="4B5F07FC"/>
    <w:rsid w:val="4B661B8A"/>
    <w:rsid w:val="4B7A1206"/>
    <w:rsid w:val="4B867A88"/>
    <w:rsid w:val="4BAC5123"/>
    <w:rsid w:val="4BC114B6"/>
    <w:rsid w:val="4BF168BF"/>
    <w:rsid w:val="4C1B2975"/>
    <w:rsid w:val="4C1E2465"/>
    <w:rsid w:val="4C6F0BB7"/>
    <w:rsid w:val="4C72455F"/>
    <w:rsid w:val="4C741392"/>
    <w:rsid w:val="4CA3296A"/>
    <w:rsid w:val="4CFB69E7"/>
    <w:rsid w:val="4D286E88"/>
    <w:rsid w:val="4D2F3ED8"/>
    <w:rsid w:val="4D3D691B"/>
    <w:rsid w:val="4D8602C2"/>
    <w:rsid w:val="4D9120CD"/>
    <w:rsid w:val="4DA846DC"/>
    <w:rsid w:val="4DB766CD"/>
    <w:rsid w:val="4DF752CE"/>
    <w:rsid w:val="4E04568A"/>
    <w:rsid w:val="4E2D2E33"/>
    <w:rsid w:val="4E376E73"/>
    <w:rsid w:val="4E4D6006"/>
    <w:rsid w:val="4E534981"/>
    <w:rsid w:val="4E6D1482"/>
    <w:rsid w:val="4E704ACE"/>
    <w:rsid w:val="4E8F13F8"/>
    <w:rsid w:val="4E993C45"/>
    <w:rsid w:val="4EA053B3"/>
    <w:rsid w:val="4EA50C1B"/>
    <w:rsid w:val="4EA73161"/>
    <w:rsid w:val="4EAD38E3"/>
    <w:rsid w:val="4EB946C7"/>
    <w:rsid w:val="4EC5306C"/>
    <w:rsid w:val="4ED5293D"/>
    <w:rsid w:val="4EE6727B"/>
    <w:rsid w:val="4F166781"/>
    <w:rsid w:val="4F2F6737"/>
    <w:rsid w:val="4FA610FA"/>
    <w:rsid w:val="4FBE01E7"/>
    <w:rsid w:val="4FE535DF"/>
    <w:rsid w:val="4FFB5A67"/>
    <w:rsid w:val="500F1C29"/>
    <w:rsid w:val="50137E07"/>
    <w:rsid w:val="5023629C"/>
    <w:rsid w:val="5024289C"/>
    <w:rsid w:val="50424B42"/>
    <w:rsid w:val="504B341D"/>
    <w:rsid w:val="504F3433"/>
    <w:rsid w:val="50637FBD"/>
    <w:rsid w:val="5076286F"/>
    <w:rsid w:val="50870F93"/>
    <w:rsid w:val="50DE0415"/>
    <w:rsid w:val="51281E2E"/>
    <w:rsid w:val="513E0EB3"/>
    <w:rsid w:val="51475FBA"/>
    <w:rsid w:val="515801C7"/>
    <w:rsid w:val="516A0579"/>
    <w:rsid w:val="517174DB"/>
    <w:rsid w:val="51824063"/>
    <w:rsid w:val="51A336E6"/>
    <w:rsid w:val="51B03B5F"/>
    <w:rsid w:val="51B7313F"/>
    <w:rsid w:val="51C37D5E"/>
    <w:rsid w:val="51EE600B"/>
    <w:rsid w:val="52A47CA2"/>
    <w:rsid w:val="52B90D15"/>
    <w:rsid w:val="52B971AF"/>
    <w:rsid w:val="52BA27BB"/>
    <w:rsid w:val="52E02222"/>
    <w:rsid w:val="52E912B7"/>
    <w:rsid w:val="53230361"/>
    <w:rsid w:val="53316F22"/>
    <w:rsid w:val="533B7DA0"/>
    <w:rsid w:val="534F1042"/>
    <w:rsid w:val="53604987"/>
    <w:rsid w:val="5382152B"/>
    <w:rsid w:val="538C23AA"/>
    <w:rsid w:val="53A95FD1"/>
    <w:rsid w:val="53D14261"/>
    <w:rsid w:val="53E43F94"/>
    <w:rsid w:val="53E55918"/>
    <w:rsid w:val="53ED1502"/>
    <w:rsid w:val="54446A09"/>
    <w:rsid w:val="545F7ABE"/>
    <w:rsid w:val="54AC3A23"/>
    <w:rsid w:val="54AE6895"/>
    <w:rsid w:val="54AF5B64"/>
    <w:rsid w:val="54AF6350"/>
    <w:rsid w:val="54C3004D"/>
    <w:rsid w:val="54C40C1A"/>
    <w:rsid w:val="55313209"/>
    <w:rsid w:val="55541C08"/>
    <w:rsid w:val="5596342B"/>
    <w:rsid w:val="55EE4C56"/>
    <w:rsid w:val="560E52F8"/>
    <w:rsid w:val="561C690D"/>
    <w:rsid w:val="5640122A"/>
    <w:rsid w:val="565457F8"/>
    <w:rsid w:val="56847FB7"/>
    <w:rsid w:val="56BE4742"/>
    <w:rsid w:val="57174680"/>
    <w:rsid w:val="574F5793"/>
    <w:rsid w:val="57643900"/>
    <w:rsid w:val="57681CB0"/>
    <w:rsid w:val="576C0528"/>
    <w:rsid w:val="57A203EE"/>
    <w:rsid w:val="57AF5B1C"/>
    <w:rsid w:val="57B059C1"/>
    <w:rsid w:val="57B50973"/>
    <w:rsid w:val="57C03F71"/>
    <w:rsid w:val="57DA3C45"/>
    <w:rsid w:val="57F16C7F"/>
    <w:rsid w:val="582A2734"/>
    <w:rsid w:val="5832130F"/>
    <w:rsid w:val="585316E8"/>
    <w:rsid w:val="5875165E"/>
    <w:rsid w:val="58773629"/>
    <w:rsid w:val="58BA52C3"/>
    <w:rsid w:val="58D610F8"/>
    <w:rsid w:val="58ED322C"/>
    <w:rsid w:val="58F7526E"/>
    <w:rsid w:val="591B394B"/>
    <w:rsid w:val="59657925"/>
    <w:rsid w:val="5967076A"/>
    <w:rsid w:val="59741916"/>
    <w:rsid w:val="598F0202"/>
    <w:rsid w:val="59AC5554"/>
    <w:rsid w:val="59B61F2F"/>
    <w:rsid w:val="59D800F7"/>
    <w:rsid w:val="5A2C7195"/>
    <w:rsid w:val="5A8779A0"/>
    <w:rsid w:val="5A8C7845"/>
    <w:rsid w:val="5A8F6729"/>
    <w:rsid w:val="5A9A1A1D"/>
    <w:rsid w:val="5AAC50E0"/>
    <w:rsid w:val="5B04316E"/>
    <w:rsid w:val="5B1972D1"/>
    <w:rsid w:val="5BDB5AEC"/>
    <w:rsid w:val="5BE331E1"/>
    <w:rsid w:val="5C196313"/>
    <w:rsid w:val="5C2869E8"/>
    <w:rsid w:val="5C2E04A2"/>
    <w:rsid w:val="5C2F421A"/>
    <w:rsid w:val="5C5F130E"/>
    <w:rsid w:val="5CB138CA"/>
    <w:rsid w:val="5CB87D6C"/>
    <w:rsid w:val="5CC04E72"/>
    <w:rsid w:val="5CCE57E1"/>
    <w:rsid w:val="5CD821BC"/>
    <w:rsid w:val="5CDC7EFE"/>
    <w:rsid w:val="5CE2303B"/>
    <w:rsid w:val="5D03002A"/>
    <w:rsid w:val="5D072AA1"/>
    <w:rsid w:val="5D0F1600"/>
    <w:rsid w:val="5D153410"/>
    <w:rsid w:val="5D17675D"/>
    <w:rsid w:val="5D3F223B"/>
    <w:rsid w:val="5D9556E0"/>
    <w:rsid w:val="5DB20C5F"/>
    <w:rsid w:val="5DB46785"/>
    <w:rsid w:val="5DE07A34"/>
    <w:rsid w:val="5E5D6367"/>
    <w:rsid w:val="5E7423B8"/>
    <w:rsid w:val="5E7A07A0"/>
    <w:rsid w:val="5E7C62B1"/>
    <w:rsid w:val="5EA236E3"/>
    <w:rsid w:val="5EA47AE8"/>
    <w:rsid w:val="5EC450EE"/>
    <w:rsid w:val="5ED44499"/>
    <w:rsid w:val="5F253C3E"/>
    <w:rsid w:val="5F8328B3"/>
    <w:rsid w:val="5F8B73D7"/>
    <w:rsid w:val="5FD255E8"/>
    <w:rsid w:val="5FE815BA"/>
    <w:rsid w:val="5FEB66AA"/>
    <w:rsid w:val="5FEF015F"/>
    <w:rsid w:val="5FFC6D6C"/>
    <w:rsid w:val="5FFD4299"/>
    <w:rsid w:val="60337DC3"/>
    <w:rsid w:val="609E2C02"/>
    <w:rsid w:val="60AC408B"/>
    <w:rsid w:val="60B8658C"/>
    <w:rsid w:val="60BE15CE"/>
    <w:rsid w:val="610768FB"/>
    <w:rsid w:val="610B1E7D"/>
    <w:rsid w:val="610C68D8"/>
    <w:rsid w:val="611759A9"/>
    <w:rsid w:val="6125574B"/>
    <w:rsid w:val="613F577F"/>
    <w:rsid w:val="6155074D"/>
    <w:rsid w:val="61C10ECF"/>
    <w:rsid w:val="61CC3C88"/>
    <w:rsid w:val="61E909C7"/>
    <w:rsid w:val="61F91231"/>
    <w:rsid w:val="620670ED"/>
    <w:rsid w:val="62353C0D"/>
    <w:rsid w:val="625776FB"/>
    <w:rsid w:val="626172F3"/>
    <w:rsid w:val="627E5377"/>
    <w:rsid w:val="62854B94"/>
    <w:rsid w:val="62970423"/>
    <w:rsid w:val="62B15EBA"/>
    <w:rsid w:val="62B64D4D"/>
    <w:rsid w:val="62C46031"/>
    <w:rsid w:val="62D35C02"/>
    <w:rsid w:val="62F23FCE"/>
    <w:rsid w:val="62FF4221"/>
    <w:rsid w:val="63450C95"/>
    <w:rsid w:val="638C3D00"/>
    <w:rsid w:val="639A01CB"/>
    <w:rsid w:val="63A728E8"/>
    <w:rsid w:val="64145502"/>
    <w:rsid w:val="6415555D"/>
    <w:rsid w:val="645E0813"/>
    <w:rsid w:val="64617543"/>
    <w:rsid w:val="646D3B32"/>
    <w:rsid w:val="648275DD"/>
    <w:rsid w:val="64916895"/>
    <w:rsid w:val="6496032F"/>
    <w:rsid w:val="64970BAF"/>
    <w:rsid w:val="64B0685D"/>
    <w:rsid w:val="64E5191A"/>
    <w:rsid w:val="64F733FB"/>
    <w:rsid w:val="65004B79"/>
    <w:rsid w:val="651573A9"/>
    <w:rsid w:val="65212235"/>
    <w:rsid w:val="652356B5"/>
    <w:rsid w:val="652A2923"/>
    <w:rsid w:val="653020ED"/>
    <w:rsid w:val="65476131"/>
    <w:rsid w:val="658E3D60"/>
    <w:rsid w:val="659B634C"/>
    <w:rsid w:val="65AF7A8C"/>
    <w:rsid w:val="65C5731B"/>
    <w:rsid w:val="65CD57CC"/>
    <w:rsid w:val="65D00903"/>
    <w:rsid w:val="65DA51F7"/>
    <w:rsid w:val="65E11FBA"/>
    <w:rsid w:val="65F242EE"/>
    <w:rsid w:val="65FE0EE5"/>
    <w:rsid w:val="66065FEC"/>
    <w:rsid w:val="66067608"/>
    <w:rsid w:val="663976C6"/>
    <w:rsid w:val="66DC6D4D"/>
    <w:rsid w:val="66E30AB4"/>
    <w:rsid w:val="66ED0F5A"/>
    <w:rsid w:val="67012C95"/>
    <w:rsid w:val="6703077D"/>
    <w:rsid w:val="670F5438"/>
    <w:rsid w:val="67472418"/>
    <w:rsid w:val="67486190"/>
    <w:rsid w:val="676236F6"/>
    <w:rsid w:val="67717495"/>
    <w:rsid w:val="67720C0D"/>
    <w:rsid w:val="677218B6"/>
    <w:rsid w:val="67853BBB"/>
    <w:rsid w:val="67BB4BB4"/>
    <w:rsid w:val="67CC0B6F"/>
    <w:rsid w:val="67F5172F"/>
    <w:rsid w:val="681C5653"/>
    <w:rsid w:val="681F30F4"/>
    <w:rsid w:val="68557AEF"/>
    <w:rsid w:val="685C14A0"/>
    <w:rsid w:val="685F19E3"/>
    <w:rsid w:val="6875787F"/>
    <w:rsid w:val="687734C6"/>
    <w:rsid w:val="68CD48F6"/>
    <w:rsid w:val="68DF7DD7"/>
    <w:rsid w:val="695218D5"/>
    <w:rsid w:val="695A48D3"/>
    <w:rsid w:val="696D4097"/>
    <w:rsid w:val="69714D9A"/>
    <w:rsid w:val="699655B9"/>
    <w:rsid w:val="69D308B3"/>
    <w:rsid w:val="69DB153D"/>
    <w:rsid w:val="69FF5932"/>
    <w:rsid w:val="6A033EE8"/>
    <w:rsid w:val="6A1C1AC4"/>
    <w:rsid w:val="6A4B791D"/>
    <w:rsid w:val="6A764C3A"/>
    <w:rsid w:val="6A857EDE"/>
    <w:rsid w:val="6A8C2B4E"/>
    <w:rsid w:val="6AB01A30"/>
    <w:rsid w:val="6AC344AB"/>
    <w:rsid w:val="6AFB1815"/>
    <w:rsid w:val="6B166CD1"/>
    <w:rsid w:val="6B2667E8"/>
    <w:rsid w:val="6B295089"/>
    <w:rsid w:val="6BB11CDF"/>
    <w:rsid w:val="6BBB17D9"/>
    <w:rsid w:val="6BD85E01"/>
    <w:rsid w:val="6BF733B0"/>
    <w:rsid w:val="6C2076DB"/>
    <w:rsid w:val="6C377CBF"/>
    <w:rsid w:val="6C4038DA"/>
    <w:rsid w:val="6C6C0F3A"/>
    <w:rsid w:val="6C737315"/>
    <w:rsid w:val="6C7C7008"/>
    <w:rsid w:val="6CF773EE"/>
    <w:rsid w:val="6D0169A7"/>
    <w:rsid w:val="6D480C98"/>
    <w:rsid w:val="6D633D24"/>
    <w:rsid w:val="6DD81E53"/>
    <w:rsid w:val="6DEA5BBB"/>
    <w:rsid w:val="6DF63EC1"/>
    <w:rsid w:val="6E172460"/>
    <w:rsid w:val="6E1D3ED3"/>
    <w:rsid w:val="6E29164E"/>
    <w:rsid w:val="6E8F0DAB"/>
    <w:rsid w:val="6EA91C0A"/>
    <w:rsid w:val="6F1F3C7A"/>
    <w:rsid w:val="6F3A01D0"/>
    <w:rsid w:val="6F3F3235"/>
    <w:rsid w:val="6F5C0A2B"/>
    <w:rsid w:val="6F9F5BDA"/>
    <w:rsid w:val="6FBB0B5F"/>
    <w:rsid w:val="7004359C"/>
    <w:rsid w:val="705D2CAC"/>
    <w:rsid w:val="7064403B"/>
    <w:rsid w:val="70B601E7"/>
    <w:rsid w:val="70E7752B"/>
    <w:rsid w:val="711E068D"/>
    <w:rsid w:val="713559D7"/>
    <w:rsid w:val="716B13F9"/>
    <w:rsid w:val="71771B4C"/>
    <w:rsid w:val="718844D0"/>
    <w:rsid w:val="71CD4358"/>
    <w:rsid w:val="71DC5E53"/>
    <w:rsid w:val="71FD0B5E"/>
    <w:rsid w:val="721E46BD"/>
    <w:rsid w:val="72A07F28"/>
    <w:rsid w:val="7347500C"/>
    <w:rsid w:val="73594776"/>
    <w:rsid w:val="735F0AE9"/>
    <w:rsid w:val="73685BF0"/>
    <w:rsid w:val="736D1458"/>
    <w:rsid w:val="737919F5"/>
    <w:rsid w:val="73836355"/>
    <w:rsid w:val="73BE64CC"/>
    <w:rsid w:val="73CC4C4A"/>
    <w:rsid w:val="73DD428C"/>
    <w:rsid w:val="7400051E"/>
    <w:rsid w:val="7439758C"/>
    <w:rsid w:val="743E4BA3"/>
    <w:rsid w:val="743F7F27"/>
    <w:rsid w:val="744A3A77"/>
    <w:rsid w:val="745D1A0C"/>
    <w:rsid w:val="74757DA3"/>
    <w:rsid w:val="7487538F"/>
    <w:rsid w:val="7505136E"/>
    <w:rsid w:val="75154017"/>
    <w:rsid w:val="75267B11"/>
    <w:rsid w:val="75357D54"/>
    <w:rsid w:val="754E00E9"/>
    <w:rsid w:val="75566EB5"/>
    <w:rsid w:val="75BA3E91"/>
    <w:rsid w:val="75E53145"/>
    <w:rsid w:val="75FC1474"/>
    <w:rsid w:val="763149BF"/>
    <w:rsid w:val="76335669"/>
    <w:rsid w:val="76404C02"/>
    <w:rsid w:val="765A5887"/>
    <w:rsid w:val="766250B5"/>
    <w:rsid w:val="76636B42"/>
    <w:rsid w:val="76B50EBE"/>
    <w:rsid w:val="76E41A31"/>
    <w:rsid w:val="76EE28B0"/>
    <w:rsid w:val="77132317"/>
    <w:rsid w:val="772C33D8"/>
    <w:rsid w:val="775070C7"/>
    <w:rsid w:val="777F175A"/>
    <w:rsid w:val="77844FC2"/>
    <w:rsid w:val="77C47AB5"/>
    <w:rsid w:val="77F81369"/>
    <w:rsid w:val="781225CE"/>
    <w:rsid w:val="78133782"/>
    <w:rsid w:val="7826607A"/>
    <w:rsid w:val="785C1A9B"/>
    <w:rsid w:val="78786B31"/>
    <w:rsid w:val="78970D25"/>
    <w:rsid w:val="78AE0517"/>
    <w:rsid w:val="78B83176"/>
    <w:rsid w:val="78CD5227"/>
    <w:rsid w:val="78F359D2"/>
    <w:rsid w:val="78FD6DDA"/>
    <w:rsid w:val="79136231"/>
    <w:rsid w:val="7940316B"/>
    <w:rsid w:val="79AC25AE"/>
    <w:rsid w:val="79B24069"/>
    <w:rsid w:val="79FE105C"/>
    <w:rsid w:val="7A57199D"/>
    <w:rsid w:val="7A662E7E"/>
    <w:rsid w:val="7AA02113"/>
    <w:rsid w:val="7AA95E13"/>
    <w:rsid w:val="7AB23425"/>
    <w:rsid w:val="7ACC5CEF"/>
    <w:rsid w:val="7B160627"/>
    <w:rsid w:val="7B545882"/>
    <w:rsid w:val="7B75534E"/>
    <w:rsid w:val="7B7F5769"/>
    <w:rsid w:val="7B85531C"/>
    <w:rsid w:val="7B9A3006"/>
    <w:rsid w:val="7B9B7DEE"/>
    <w:rsid w:val="7BA10BAD"/>
    <w:rsid w:val="7C0641F8"/>
    <w:rsid w:val="7C0D0E10"/>
    <w:rsid w:val="7C3945CD"/>
    <w:rsid w:val="7C4752CA"/>
    <w:rsid w:val="7C494E9D"/>
    <w:rsid w:val="7C992BBA"/>
    <w:rsid w:val="7CCA3477"/>
    <w:rsid w:val="7CD9190C"/>
    <w:rsid w:val="7D050D3E"/>
    <w:rsid w:val="7D060E59"/>
    <w:rsid w:val="7D1E37C3"/>
    <w:rsid w:val="7D20329B"/>
    <w:rsid w:val="7D2A660C"/>
    <w:rsid w:val="7D890306"/>
    <w:rsid w:val="7D971158"/>
    <w:rsid w:val="7DAB14FB"/>
    <w:rsid w:val="7DCA74A7"/>
    <w:rsid w:val="7E040762"/>
    <w:rsid w:val="7E1631C7"/>
    <w:rsid w:val="7E532992"/>
    <w:rsid w:val="7E5F4093"/>
    <w:rsid w:val="7E683A96"/>
    <w:rsid w:val="7E7D77AD"/>
    <w:rsid w:val="7E933D3D"/>
    <w:rsid w:val="7E9A7382"/>
    <w:rsid w:val="7E9F58CF"/>
    <w:rsid w:val="7EC15CA3"/>
    <w:rsid w:val="7EC564AB"/>
    <w:rsid w:val="7ED41833"/>
    <w:rsid w:val="7EE34CC4"/>
    <w:rsid w:val="7F0251AA"/>
    <w:rsid w:val="7F2C12D8"/>
    <w:rsid w:val="7F701C31"/>
    <w:rsid w:val="7F842003"/>
    <w:rsid w:val="7FB1091F"/>
    <w:rsid w:val="7FC03CAB"/>
    <w:rsid w:val="7FE42AA2"/>
    <w:rsid w:val="7FE90DD4"/>
    <w:rsid w:val="7FF07699"/>
    <w:rsid w:val="7FF6758B"/>
    <w:rsid w:val="7FFF0537"/>
    <w:rsid w:val="FFE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autoRedefine/>
    <w:unhideWhenUsed/>
    <w:qFormat/>
    <w:uiPriority w:val="0"/>
    <w:pPr>
      <w:spacing w:before="100" w:beforeAutospacing="1" w:after="100" w:afterAutospacing="1"/>
      <w:jc w:val="left"/>
      <w:outlineLvl w:val="2"/>
    </w:pPr>
    <w:rPr>
      <w:rFonts w:ascii="宋体" w:hAnsi="宋体" w:cs="宋体"/>
      <w:b/>
      <w:sz w:val="27"/>
      <w:szCs w:val="27"/>
    </w:rPr>
  </w:style>
  <w:style w:type="paragraph" w:styleId="5">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toa heading"/>
    <w:basedOn w:val="1"/>
    <w:next w:val="1"/>
    <w:autoRedefine/>
    <w:unhideWhenUsed/>
    <w:qFormat/>
    <w:uiPriority w:val="99"/>
    <w:pPr>
      <w:spacing w:before="120"/>
    </w:pPr>
    <w:rPr>
      <w:rFonts w:ascii="Cambria" w:hAnsi="Cambria" w:eastAsia="宋体" w:cs="Times New Roman"/>
      <w:sz w:val="24"/>
      <w:szCs w:val="24"/>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line="360" w:lineRule="exact"/>
    </w:pPr>
    <w:rPr>
      <w:sz w:val="24"/>
    </w:rPr>
  </w:style>
  <w:style w:type="paragraph" w:styleId="10">
    <w:name w:val="Body Text Indent"/>
    <w:basedOn w:val="1"/>
    <w:next w:val="5"/>
    <w:autoRedefine/>
    <w:qFormat/>
    <w:uiPriority w:val="0"/>
    <w:pPr>
      <w:spacing w:after="120"/>
      <w:ind w:left="420" w:leftChars="200"/>
    </w:pPr>
  </w:style>
  <w:style w:type="paragraph" w:styleId="11">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next w:val="1"/>
    <w:autoRedefine/>
    <w:qFormat/>
    <w:uiPriority w:val="0"/>
    <w:rPr>
      <w:rFonts w:ascii="宋体" w:hAnsi="Courier New"/>
      <w:szCs w:val="20"/>
    </w:rPr>
  </w:style>
  <w:style w:type="paragraph" w:styleId="13">
    <w:name w:val="Body Text Indent 2"/>
    <w:basedOn w:val="1"/>
    <w:qFormat/>
    <w:uiPriority w:val="0"/>
    <w:pPr>
      <w:widowControl w:val="0"/>
      <w:spacing w:after="120" w:afterLines="0" w:afterAutospacing="0" w:line="480" w:lineRule="auto"/>
      <w:ind w:left="420" w:leftChars="200" w:firstLine="200" w:firstLineChars="200"/>
      <w:jc w:val="both"/>
    </w:pPr>
    <w:rPr>
      <w:szCs w:val="20"/>
    </w:rPr>
  </w:style>
  <w:style w:type="paragraph" w:styleId="14">
    <w:name w:val="Balloon Text"/>
    <w:basedOn w:val="1"/>
    <w:link w:val="39"/>
    <w:autoRedefine/>
    <w:qFormat/>
    <w:uiPriority w:val="0"/>
    <w:pPr>
      <w:spacing w:line="240" w:lineRule="auto"/>
    </w:pPr>
    <w:rPr>
      <w:sz w:val="18"/>
      <w:szCs w:val="18"/>
    </w:rPr>
  </w:style>
  <w:style w:type="paragraph" w:styleId="15">
    <w:name w:val="footer"/>
    <w:basedOn w:val="1"/>
    <w:autoRedefine/>
    <w:qFormat/>
    <w:uiPriority w:val="0"/>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spacing w:before="120" w:after="120"/>
      <w:jc w:val="left"/>
    </w:pPr>
    <w:rPr>
      <w:rFonts w:ascii="Calibri" w:hAnsi="Calibri"/>
      <w:b/>
      <w:bCs/>
      <w:caps/>
      <w:sz w:val="20"/>
      <w:szCs w:val="20"/>
    </w:rPr>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toc 2"/>
    <w:basedOn w:val="1"/>
    <w:next w:val="1"/>
    <w:autoRedefine/>
    <w:qFormat/>
    <w:uiPriority w:val="0"/>
    <w:pPr>
      <w:ind w:left="210"/>
      <w:jc w:val="left"/>
    </w:pPr>
    <w:rPr>
      <w:rFonts w:ascii="Calibri" w:hAnsi="Calibri" w:cs="Calibri"/>
      <w:smallCaps/>
      <w:sz w:val="24"/>
      <w:szCs w:val="20"/>
    </w:rPr>
  </w:style>
  <w:style w:type="paragraph" w:styleId="20">
    <w:name w:val="Body Text 2"/>
    <w:basedOn w:val="1"/>
    <w:qFormat/>
    <w:uiPriority w:val="0"/>
    <w:pPr>
      <w:spacing w:after="120" w:line="480" w:lineRule="auto"/>
    </w:pPr>
  </w:style>
  <w:style w:type="paragraph" w:styleId="2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pPr>
    <w:rPr>
      <w:rFonts w:ascii="Courier New" w:hAnsi="Courier New" w:cs="Courier New"/>
      <w:sz w:val="24"/>
      <w:szCs w:val="24"/>
    </w:rPr>
  </w:style>
  <w:style w:type="paragraph" w:styleId="23">
    <w:name w:val="Normal (Web)"/>
    <w:basedOn w:val="1"/>
    <w:autoRedefine/>
    <w:qFormat/>
    <w:uiPriority w:val="0"/>
    <w:pPr>
      <w:widowControl/>
      <w:spacing w:before="100" w:beforeAutospacing="1" w:after="119"/>
      <w:jc w:val="left"/>
    </w:pPr>
    <w:rPr>
      <w:rFonts w:ascii="宋体" w:hAnsi="宋体" w:cs="宋体"/>
      <w:sz w:val="24"/>
    </w:rPr>
  </w:style>
  <w:style w:type="paragraph" w:styleId="24">
    <w:name w:val="Title"/>
    <w:basedOn w:val="1"/>
    <w:next w:val="1"/>
    <w:autoRedefine/>
    <w:qFormat/>
    <w:uiPriority w:val="0"/>
    <w:pPr>
      <w:spacing w:before="240" w:after="60"/>
      <w:jc w:val="center"/>
      <w:outlineLvl w:val="0"/>
    </w:pPr>
    <w:rPr>
      <w:rFonts w:ascii="Cambria" w:hAnsi="Cambria"/>
      <w:b/>
      <w:bCs/>
      <w:sz w:val="36"/>
      <w:szCs w:val="32"/>
    </w:rPr>
  </w:style>
  <w:style w:type="paragraph" w:styleId="25">
    <w:name w:val="Body Text First Indent"/>
    <w:basedOn w:val="9"/>
    <w:next w:val="1"/>
    <w:autoRedefine/>
    <w:unhideWhenUsed/>
    <w:qFormat/>
    <w:uiPriority w:val="99"/>
    <w:pPr>
      <w:ind w:firstLine="420" w:firstLineChars="100"/>
    </w:pPr>
  </w:style>
  <w:style w:type="paragraph" w:styleId="26">
    <w:name w:val="Body Text First Indent 2"/>
    <w:basedOn w:val="10"/>
    <w:autoRedefine/>
    <w:qFormat/>
    <w:uiPriority w:val="0"/>
    <w:pPr>
      <w:ind w:firstLine="42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basedOn w:val="29"/>
    <w:autoRedefine/>
    <w:qFormat/>
    <w:uiPriority w:val="0"/>
  </w:style>
  <w:style w:type="character" w:styleId="32">
    <w:name w:val="Hyperlink"/>
    <w:autoRedefine/>
    <w:qFormat/>
    <w:uiPriority w:val="0"/>
    <w:rPr>
      <w:color w:val="000099"/>
      <w:u w:val="none"/>
    </w:rPr>
  </w:style>
  <w:style w:type="character" w:styleId="33">
    <w:name w:val="annotation reference"/>
    <w:basedOn w:val="29"/>
    <w:autoRedefine/>
    <w:qFormat/>
    <w:uiPriority w:val="0"/>
    <w:rPr>
      <w:sz w:val="21"/>
      <w:szCs w:val="21"/>
    </w:rPr>
  </w:style>
  <w:style w:type="paragraph" w:customStyle="1" w:styleId="34">
    <w:name w:val="一级条标题"/>
    <w:basedOn w:val="35"/>
    <w:next w:val="36"/>
    <w:autoRedefine/>
    <w:qFormat/>
    <w:uiPriority w:val="0"/>
    <w:pPr>
      <w:spacing w:line="240" w:lineRule="auto"/>
      <w:ind w:left="420"/>
      <w:outlineLvl w:val="2"/>
    </w:pPr>
  </w:style>
  <w:style w:type="paragraph" w:customStyle="1" w:styleId="35">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6">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7">
    <w:name w:val="样式 标题 3 + 首行缩进:  2 字符"/>
    <w:basedOn w:val="4"/>
    <w:autoRedefine/>
    <w:qFormat/>
    <w:uiPriority w:val="0"/>
    <w:pPr>
      <w:spacing w:before="0" w:after="0" w:line="480" w:lineRule="exact"/>
    </w:pPr>
    <w:rPr>
      <w:rFonts w:eastAsia="宋体"/>
      <w:sz w:val="28"/>
      <w:szCs w:val="28"/>
      <w:lang w:bidi="ar-DZ"/>
    </w:rPr>
  </w:style>
  <w:style w:type="paragraph" w:customStyle="1" w:styleId="38">
    <w:name w:val="列出段落1"/>
    <w:basedOn w:val="1"/>
    <w:autoRedefine/>
    <w:qFormat/>
    <w:uiPriority w:val="34"/>
    <w:pPr>
      <w:ind w:firstLine="420"/>
    </w:pPr>
    <w:rPr>
      <w:rFonts w:ascii="Calibri" w:hAnsi="Calibri"/>
    </w:rPr>
  </w:style>
  <w:style w:type="character" w:customStyle="1" w:styleId="39">
    <w:name w:val="批注框文本 字符"/>
    <w:basedOn w:val="29"/>
    <w:link w:val="14"/>
    <w:autoRedefine/>
    <w:qFormat/>
    <w:uiPriority w:val="0"/>
    <w:rPr>
      <w:sz w:val="18"/>
      <w:szCs w:val="18"/>
    </w:rPr>
  </w:style>
  <w:style w:type="character" w:customStyle="1" w:styleId="40">
    <w:name w:val="font41"/>
    <w:basedOn w:val="29"/>
    <w:autoRedefine/>
    <w:qFormat/>
    <w:uiPriority w:val="0"/>
    <w:rPr>
      <w:rFonts w:hint="default" w:ascii="Tahoma" w:hAnsi="Tahoma" w:eastAsia="Tahoma" w:cs="Tahoma"/>
      <w:color w:val="000000"/>
      <w:sz w:val="18"/>
      <w:szCs w:val="18"/>
      <w:u w:val="none"/>
    </w:rPr>
  </w:style>
  <w:style w:type="character" w:customStyle="1" w:styleId="41">
    <w:name w:val="font11"/>
    <w:basedOn w:val="29"/>
    <w:autoRedefine/>
    <w:qFormat/>
    <w:uiPriority w:val="0"/>
    <w:rPr>
      <w:rFonts w:hint="eastAsia" w:ascii="宋体" w:hAnsi="宋体" w:eastAsia="宋体" w:cs="宋体"/>
      <w:color w:val="000000"/>
      <w:sz w:val="24"/>
      <w:szCs w:val="24"/>
      <w:u w:val="none"/>
      <w:vertAlign w:val="subscript"/>
    </w:rPr>
  </w:style>
  <w:style w:type="character" w:customStyle="1" w:styleId="42">
    <w:name w:val="int_huang_12_b1"/>
    <w:autoRedefine/>
    <w:qFormat/>
    <w:uiPriority w:val="0"/>
    <w:rPr>
      <w:rFonts w:hint="default" w:ascii="Verdana" w:hAnsi="Verdana"/>
      <w:b/>
      <w:bCs/>
      <w:color w:val="EECC77"/>
      <w:sz w:val="18"/>
      <w:szCs w:val="18"/>
    </w:rPr>
  </w:style>
  <w:style w:type="paragraph" w:customStyle="1" w:styleId="43">
    <w:name w:val="p0"/>
    <w:basedOn w:val="1"/>
    <w:autoRedefine/>
    <w:unhideWhenUsed/>
    <w:qFormat/>
    <w:uiPriority w:val="99"/>
    <w:pPr>
      <w:widowControl/>
    </w:pPr>
    <w:rPr>
      <w:rFonts w:hint="eastAsia" w:ascii="宋体" w:hAnsi="宋体"/>
    </w:rPr>
  </w:style>
  <w:style w:type="paragraph" w:styleId="44">
    <w:name w:val="List Paragraph"/>
    <w:basedOn w:val="1"/>
    <w:autoRedefine/>
    <w:qFormat/>
    <w:uiPriority w:val="34"/>
    <w:pPr>
      <w:ind w:firstLine="420"/>
    </w:pPr>
  </w:style>
  <w:style w:type="character" w:customStyle="1" w:styleId="45">
    <w:name w:val="font51"/>
    <w:basedOn w:val="29"/>
    <w:autoRedefine/>
    <w:qFormat/>
    <w:uiPriority w:val="0"/>
    <w:rPr>
      <w:rFonts w:hint="eastAsia" w:ascii="宋体" w:hAnsi="宋体" w:eastAsia="宋体" w:cs="宋体"/>
      <w:color w:val="000000"/>
      <w:sz w:val="24"/>
      <w:szCs w:val="24"/>
      <w:u w:val="none"/>
    </w:rPr>
  </w:style>
  <w:style w:type="paragraph" w:customStyle="1" w:styleId="46">
    <w:name w:val="页脚1"/>
    <w:basedOn w:val="1"/>
    <w:autoRedefine/>
    <w:qFormat/>
    <w:uiPriority w:val="0"/>
    <w:pPr>
      <w:tabs>
        <w:tab w:val="center" w:pos="4153"/>
        <w:tab w:val="right" w:pos="8306"/>
      </w:tabs>
      <w:snapToGrid w:val="0"/>
      <w:jc w:val="left"/>
    </w:pPr>
    <w:rPr>
      <w:sz w:val="18"/>
      <w:szCs w:val="18"/>
    </w:rPr>
  </w:style>
  <w:style w:type="paragraph" w:customStyle="1" w:styleId="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9">
    <w:name w:val="_正文"/>
    <w:basedOn w:val="1"/>
    <w:autoRedefine/>
    <w:qFormat/>
    <w:uiPriority w:val="99"/>
    <w:rPr>
      <w:szCs w:val="20"/>
    </w:rPr>
  </w:style>
  <w:style w:type="table" w:customStyle="1" w:styleId="50">
    <w:name w:val="Table Normal"/>
    <w:autoRedefine/>
    <w:unhideWhenUsed/>
    <w:qFormat/>
    <w:uiPriority w:val="0"/>
    <w:tblPr>
      <w:tblCellMar>
        <w:top w:w="0" w:type="dxa"/>
        <w:left w:w="0" w:type="dxa"/>
        <w:bottom w:w="0" w:type="dxa"/>
        <w:right w:w="0" w:type="dxa"/>
      </w:tblCellMar>
    </w:tblPr>
  </w:style>
  <w:style w:type="character" w:customStyle="1" w:styleId="51">
    <w:name w:val="font61"/>
    <w:basedOn w:val="29"/>
    <w:autoRedefine/>
    <w:qFormat/>
    <w:uiPriority w:val="0"/>
    <w:rPr>
      <w:rFonts w:hint="eastAsia" w:ascii="宋体" w:hAnsi="宋体" w:eastAsia="宋体" w:cs="宋体"/>
      <w:color w:val="000000"/>
      <w:sz w:val="24"/>
      <w:szCs w:val="24"/>
      <w:u w:val="none"/>
    </w:rPr>
  </w:style>
  <w:style w:type="character" w:customStyle="1" w:styleId="52">
    <w:name w:val="font81"/>
    <w:basedOn w:val="29"/>
    <w:autoRedefine/>
    <w:qFormat/>
    <w:uiPriority w:val="0"/>
    <w:rPr>
      <w:rFonts w:hint="eastAsia" w:ascii="宋体" w:hAnsi="宋体" w:eastAsia="宋体" w:cs="宋体"/>
      <w:b/>
      <w:bCs/>
      <w:color w:val="000000"/>
      <w:sz w:val="24"/>
      <w:szCs w:val="24"/>
      <w:u w:val="none"/>
    </w:rPr>
  </w:style>
  <w:style w:type="character" w:customStyle="1" w:styleId="53">
    <w:name w:val="font71"/>
    <w:basedOn w:val="29"/>
    <w:autoRedefine/>
    <w:qFormat/>
    <w:uiPriority w:val="0"/>
    <w:rPr>
      <w:rFonts w:hint="eastAsia" w:ascii="宋体" w:hAnsi="宋体" w:eastAsia="宋体" w:cs="宋体"/>
      <w:color w:val="000000"/>
      <w:sz w:val="24"/>
      <w:szCs w:val="24"/>
      <w:u w:val="none"/>
    </w:rPr>
  </w:style>
  <w:style w:type="character" w:customStyle="1" w:styleId="54">
    <w:name w:val="font91"/>
    <w:basedOn w:val="29"/>
    <w:autoRedefine/>
    <w:qFormat/>
    <w:uiPriority w:val="0"/>
    <w:rPr>
      <w:rFonts w:hint="eastAsia" w:ascii="宋体" w:hAnsi="宋体" w:eastAsia="宋体" w:cs="宋体"/>
      <w:b/>
      <w:bCs/>
      <w:color w:val="000000"/>
      <w:sz w:val="24"/>
      <w:szCs w:val="24"/>
      <w:u w:val="none"/>
    </w:rPr>
  </w:style>
  <w:style w:type="character" w:customStyle="1" w:styleId="55">
    <w:name w:val="font31"/>
    <w:basedOn w:val="29"/>
    <w:autoRedefine/>
    <w:qFormat/>
    <w:uiPriority w:val="0"/>
    <w:rPr>
      <w:rFonts w:ascii="Tahoma" w:hAnsi="Tahoma" w:eastAsia="Tahoma" w:cs="Tahoma"/>
      <w:b/>
      <w:bCs/>
      <w:color w:val="000000"/>
      <w:sz w:val="22"/>
      <w:szCs w:val="22"/>
      <w:u w:val="none"/>
    </w:rPr>
  </w:style>
  <w:style w:type="paragraph" w:customStyle="1" w:styleId="56">
    <w:name w:val="Table Text"/>
    <w:basedOn w:val="1"/>
    <w:semiHidden/>
    <w:qFormat/>
    <w:uiPriority w:val="0"/>
    <w:rPr>
      <w:rFonts w:ascii="宋体" w:hAnsi="宋体" w:eastAsia="宋体" w:cs="宋体"/>
      <w:sz w:val="24"/>
      <w:szCs w:val="24"/>
      <w:lang w:val="en-US" w:eastAsia="en-US" w:bidi="ar-SA"/>
    </w:rPr>
  </w:style>
  <w:style w:type="paragraph" w:customStyle="1" w:styleId="57">
    <w:name w:val="WPSOffice手动目录 1"/>
    <w:qFormat/>
    <w:uiPriority w:val="0"/>
    <w:pPr>
      <w:ind w:leftChars="0"/>
    </w:pPr>
    <w:rPr>
      <w:rFonts w:ascii="Times New Roman" w:hAnsi="Times New Roman" w:eastAsia="宋体" w:cs="Times New Roman"/>
      <w:sz w:val="20"/>
      <w:szCs w:val="20"/>
    </w:rPr>
  </w:style>
  <w:style w:type="paragraph" w:styleId="5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font01"/>
    <w:basedOn w:val="29"/>
    <w:qFormat/>
    <w:uiPriority w:val="0"/>
    <w:rPr>
      <w:rFonts w:hint="eastAsia" w:ascii="宋体" w:hAnsi="宋体" w:eastAsia="宋体" w:cs="宋体"/>
      <w:color w:val="000000"/>
      <w:sz w:val="22"/>
      <w:szCs w:val="22"/>
      <w:u w:val="none"/>
    </w:rPr>
  </w:style>
  <w:style w:type="paragraph" w:customStyle="1" w:styleId="60">
    <w:name w:val="BodyText1I2"/>
    <w:basedOn w:val="61"/>
    <w:qFormat/>
    <w:uiPriority w:val="0"/>
    <w:pPr>
      <w:tabs>
        <w:tab w:val="left" w:pos="0"/>
      </w:tabs>
      <w:ind w:firstLine="420"/>
    </w:pPr>
  </w:style>
  <w:style w:type="paragraph" w:customStyle="1" w:styleId="61">
    <w:name w:val="BodyTextIndent"/>
    <w:basedOn w:val="1"/>
    <w:next w:val="62"/>
    <w:qFormat/>
    <w:uiPriority w:val="0"/>
    <w:pPr>
      <w:tabs>
        <w:tab w:val="left" w:pos="0"/>
      </w:tabs>
      <w:ind w:firstLine="630"/>
    </w:pPr>
    <w:rPr>
      <w:sz w:val="32"/>
      <w:szCs w:val="20"/>
    </w:rPr>
  </w:style>
  <w:style w:type="paragraph" w:customStyle="1" w:styleId="62">
    <w:name w:val="NormalIndent"/>
    <w:basedOn w:val="1"/>
    <w:qFormat/>
    <w:uiPriority w:val="0"/>
    <w:pPr>
      <w:ind w:firstLine="420" w:firstLineChars="200"/>
      <w:textAlignment w:val="baseline"/>
    </w:pPr>
    <w:rPr>
      <w:rFonts w:ascii="Calibri" w:hAnsi="Calibri" w:eastAsia="仿宋"/>
      <w:sz w:val="32"/>
    </w:rPr>
  </w:style>
  <w:style w:type="character" w:customStyle="1" w:styleId="63">
    <w:name w:val="标题 2 Char"/>
    <w:link w:val="3"/>
    <w:qFormat/>
    <w:uiPriority w:val="0"/>
    <w:rPr>
      <w:rFonts w:ascii="Cambria" w:hAnsi="Cambria"/>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17892</Words>
  <Characters>19141</Characters>
  <Lines>1</Lines>
  <Paragraphs>1</Paragraphs>
  <TotalTime>1</TotalTime>
  <ScaleCrop>false</ScaleCrop>
  <LinksUpToDate>false</LinksUpToDate>
  <CharactersWithSpaces>20346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聪哥</cp:lastModifiedBy>
  <cp:lastPrinted>2025-05-26T08:04:00Z</cp:lastPrinted>
  <dcterms:modified xsi:type="dcterms:W3CDTF">2025-06-27T02:23:05Z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4B7D93F529294634BA924B5D250FF89F_13</vt:lpwstr>
  </property>
  <property fmtid="{D5CDD505-2E9C-101B-9397-08002B2CF9AE}" pid="4" name="KSOTemplateDocerSaveRecord">
    <vt:lpwstr>eyJoZGlkIjoiMDY5ZDgzOGU4Y2U2ZmNkMDkyYmFhYjhlZGVjMDkxMDUiLCJ1c2VySWQiOiIxMTQ2NjIyNTcxIn0=</vt:lpwstr>
  </property>
</Properties>
</file>