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5"/>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0635CD67">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采购项目编号：</w:t>
      </w:r>
      <w:r>
        <w:rPr>
          <w:rFonts w:hint="eastAsia"/>
          <w:b/>
          <w:sz w:val="32"/>
          <w:szCs w:val="32"/>
          <w:lang w:eastAsia="zh-CN"/>
        </w:rPr>
        <w:t>宁政采磋商（货物）2025-038号</w:t>
      </w:r>
    </w:p>
    <w:p w14:paraId="1793F2C5">
      <w:pPr>
        <w:keepNext w:val="0"/>
        <w:keepLines w:val="0"/>
        <w:pageBreakBefore w:val="0"/>
        <w:kinsoku/>
        <w:wordWrap/>
        <w:overflowPunct/>
        <w:topLinePunct w:val="0"/>
        <w:autoSpaceDE/>
        <w:autoSpaceDN/>
        <w:bidi w:val="0"/>
        <w:adjustRightInd/>
        <w:snapToGrid/>
        <w:spacing w:line="360" w:lineRule="auto"/>
        <w:ind w:left="3207" w:leftChars="456" w:hanging="2249" w:hangingChars="700"/>
        <w:jc w:val="left"/>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新建西宁市第八中学标准化考场项目</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西宁市教育考试院</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2C3E51C0">
      <w:pPr>
        <w:rPr>
          <w:rFonts w:ascii="宋体" w:hAnsi="宋体"/>
          <w:b/>
          <w:sz w:val="32"/>
          <w:szCs w:val="32"/>
        </w:rPr>
      </w:pPr>
    </w:p>
    <w:p w14:paraId="557B6B47">
      <w:pPr>
        <w:pStyle w:val="5"/>
        <w:jc w:val="center"/>
        <w:rPr>
          <w:rFonts w:hint="eastAsia"/>
          <w:lang w:val="en-US" w:eastAsia="zh-CN"/>
        </w:rPr>
      </w:pPr>
    </w:p>
    <w:p w14:paraId="22A628FE">
      <w:pPr>
        <w:rPr>
          <w:rFonts w:hint="eastAsia"/>
          <w:lang w:val="en-US" w:eastAsia="zh-CN"/>
        </w:rPr>
      </w:pPr>
    </w:p>
    <w:p w14:paraId="33E085C7">
      <w:pPr>
        <w:pStyle w:val="17"/>
        <w:rPr>
          <w:rFonts w:hint="eastAsia"/>
          <w:lang w:val="en-US" w:eastAsia="zh-CN"/>
        </w:rPr>
      </w:pPr>
    </w:p>
    <w:p w14:paraId="117383AF">
      <w:pPr>
        <w:pStyle w:val="17"/>
        <w:rPr>
          <w:rFonts w:hint="eastAsia"/>
          <w:lang w:val="en-US" w:eastAsia="zh-CN"/>
        </w:rPr>
      </w:pPr>
    </w:p>
    <w:p w14:paraId="593370E0">
      <w:pPr>
        <w:pStyle w:val="17"/>
        <w:rPr>
          <w:rFonts w:hint="eastAsia"/>
          <w:lang w:val="en-US" w:eastAsia="zh-CN"/>
        </w:rPr>
      </w:pPr>
    </w:p>
    <w:p w14:paraId="5A34B277">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2"/>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2"/>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2"/>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2"/>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2"/>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2"/>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2"/>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2"/>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2"/>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2"/>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2"/>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2"/>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2"/>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2"/>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2"/>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2"/>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2"/>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2"/>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2"/>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2"/>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2"/>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2"/>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2"/>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2"/>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2"/>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2"/>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7982131A">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0230"/>
      <w:bookmarkStart w:id="1" w:name="_Toc440276621"/>
      <w:bookmarkStart w:id="2" w:name="_Toc18531"/>
      <w:bookmarkStart w:id="3" w:name="_Toc2935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宁政采磋商（货物）2025-038号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新建西宁市第八中学标准化考场项目</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75</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keepNext w:val="0"/>
              <w:keepLines w:val="0"/>
              <w:widowControl/>
              <w:suppressLineNumbers w:val="0"/>
              <w:jc w:val="both"/>
              <w:textAlignment w:val="center"/>
              <w:rPr>
                <w:rFonts w:hint="eastAsia"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10</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16</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西宁市教育考试院</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张先生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4393025</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cs="Times New Roman"/>
                <w:lang w:eastAsia="zh-CN"/>
              </w:rPr>
              <w:t>；</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0C8E849A">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4、供货期：20天；</w:t>
            </w:r>
          </w:p>
          <w:p w14:paraId="37B03ADC">
            <w:pPr>
              <w:widowControl/>
              <w:spacing w:line="320" w:lineRule="exact"/>
              <w:jc w:val="left"/>
              <w:rPr>
                <w:rFonts w:hint="default" w:cs="Times New Roman"/>
                <w:color w:val="0000FF"/>
                <w:lang w:val="en-US" w:eastAsia="zh-CN"/>
              </w:rPr>
            </w:pPr>
            <w:r>
              <w:rPr>
                <w:rFonts w:hint="eastAsia" w:cs="Times New Roman"/>
                <w:color w:val="0000FF"/>
                <w:lang w:val="en-US" w:eastAsia="zh-CN"/>
              </w:rPr>
              <w:t>5、履约保证金：合同金额的3%；</w:t>
            </w:r>
          </w:p>
          <w:p w14:paraId="2088F835">
            <w:pPr>
              <w:widowControl/>
              <w:spacing w:line="320" w:lineRule="exact"/>
              <w:jc w:val="left"/>
              <w:rPr>
                <w:rFonts w:hint="default" w:cs="Times New Roman"/>
                <w:color w:val="0000FF"/>
                <w:lang w:val="en-US" w:eastAsia="zh-CN"/>
              </w:rPr>
            </w:pPr>
            <w:r>
              <w:rPr>
                <w:rFonts w:hint="eastAsia" w:cs="Times New Roman"/>
                <w:color w:val="0000FF"/>
                <w:lang w:val="en-US" w:eastAsia="zh-CN"/>
              </w:rPr>
              <w:t>6、合同预付款：合同金额的35%；</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7、采购标的物所属行业:制造业。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5"/>
        <w:rPr>
          <w:rFonts w:hint="eastAsia"/>
          <w:lang w:val="zh-CN" w:eastAsia="zh-CN"/>
        </w:rPr>
      </w:pPr>
    </w:p>
    <w:p w14:paraId="19854F77">
      <w:pPr>
        <w:rPr>
          <w:rFonts w:hint="eastAsia"/>
          <w:lang w:val="zh-CN"/>
        </w:rPr>
      </w:pPr>
    </w:p>
    <w:p w14:paraId="46A20B87">
      <w:pPr>
        <w:pStyle w:val="14"/>
        <w:rPr>
          <w:rFonts w:hint="eastAsia"/>
          <w:lang w:val="zh-CN" w:eastAsia="zh-CN"/>
        </w:rPr>
      </w:pPr>
    </w:p>
    <w:p w14:paraId="6C6D4557">
      <w:pPr>
        <w:rPr>
          <w:rFonts w:hint="eastAsia"/>
          <w:lang w:val="zh-CN" w:eastAsia="zh-CN"/>
        </w:rPr>
      </w:pPr>
    </w:p>
    <w:p w14:paraId="70F8687D">
      <w:pPr>
        <w:rPr>
          <w:rFonts w:hint="eastAsia"/>
          <w:lang w:val="zh-CN" w:eastAsia="zh-CN"/>
        </w:rPr>
      </w:pPr>
    </w:p>
    <w:p w14:paraId="5C69CC3A">
      <w:pPr>
        <w:rPr>
          <w:rFonts w:hint="eastAsia"/>
          <w:lang w:val="zh-CN" w:eastAsia="zh-CN"/>
        </w:rPr>
      </w:pPr>
    </w:p>
    <w:p w14:paraId="508A2B95">
      <w:pPr>
        <w:rPr>
          <w:rFonts w:hint="eastAsia"/>
          <w:lang w:val="zh-CN" w:eastAsia="zh-CN"/>
        </w:rPr>
      </w:pPr>
    </w:p>
    <w:p w14:paraId="66A0A8A5">
      <w:pPr>
        <w:rPr>
          <w:rFonts w:hint="eastAsia"/>
          <w:lang w:val="zh-CN" w:eastAsia="zh-CN"/>
        </w:rPr>
      </w:pPr>
    </w:p>
    <w:p w14:paraId="13EA7972">
      <w:pPr>
        <w:rPr>
          <w:rFonts w:hint="eastAsia"/>
          <w:lang w:val="zh-CN" w:eastAsia="zh-CN"/>
        </w:rPr>
      </w:pPr>
    </w:p>
    <w:p w14:paraId="2BAC6498">
      <w:pPr>
        <w:rPr>
          <w:rFonts w:hint="eastAsia"/>
          <w:lang w:val="zh-CN" w:eastAsia="zh-CN"/>
        </w:rPr>
      </w:pPr>
    </w:p>
    <w:p w14:paraId="06916608">
      <w:pPr>
        <w:rPr>
          <w:rFonts w:hint="eastAsia"/>
          <w:lang w:val="zh-CN" w:eastAsia="zh-CN"/>
        </w:rPr>
      </w:pPr>
    </w:p>
    <w:p w14:paraId="3BDEDBF1">
      <w:pPr>
        <w:rPr>
          <w:rFonts w:hint="eastAsia"/>
          <w:lang w:val="zh-CN" w:eastAsia="zh-CN"/>
        </w:rPr>
      </w:pPr>
    </w:p>
    <w:p w14:paraId="1199B7FC">
      <w:pPr>
        <w:rPr>
          <w:rFonts w:hint="eastAsia"/>
          <w:lang w:val="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w:t>
      </w:r>
      <w:r>
        <w:rPr>
          <w:rFonts w:hint="eastAsia" w:ascii="宋体" w:hAnsi="Cambria" w:cs="宋体"/>
          <w:kern w:val="0"/>
          <w:sz w:val="24"/>
          <w:lang w:val="en-US" w:eastAsia="zh-CN"/>
        </w:rPr>
        <w:t>通过政采云平台提出质疑</w:t>
      </w:r>
      <w:r>
        <w:rPr>
          <w:rFonts w:hint="eastAsia" w:ascii="宋体" w:hAnsi="Cambria" w:cs="宋体"/>
          <w:kern w:val="0"/>
          <w:sz w:val="24"/>
          <w:lang w:val="zh-CN"/>
        </w:rPr>
        <w:t>，集中采购机构在收到投标人的质疑后3日内予以答复，并将变更事宜在青海政府采购网上发布公告，告知本项目的所有潜在投标人。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376936754"/>
      <w:bookmarkStart w:id="33" w:name="_Toc325726023"/>
      <w:bookmarkStart w:id="34" w:name="_Toc500493781"/>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500493783"/>
      <w:bookmarkStart w:id="38" w:name="_Toc325726024"/>
      <w:bookmarkStart w:id="39" w:name="_Toc376936755"/>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3F076D62">
      <w:pPr>
        <w:autoSpaceDE w:val="0"/>
        <w:autoSpaceDN w:val="0"/>
        <w:adjustRightInd w:val="0"/>
        <w:spacing w:line="360" w:lineRule="auto"/>
        <w:jc w:val="left"/>
        <w:rPr>
          <w:rFonts w:hint="eastAsia" w:ascii="宋体" w:hAnsi="Cambria" w:cs="宋体"/>
          <w:b/>
          <w:bCs/>
          <w:kern w:val="0"/>
          <w:sz w:val="24"/>
          <w:szCs w:val="24"/>
          <w:lang w:val="zh-CN"/>
        </w:rPr>
      </w:pPr>
      <w:r>
        <w:rPr>
          <w:rFonts w:hint="eastAsia" w:ascii="宋体" w:cs="宋体"/>
          <w:b/>
          <w:bCs/>
          <w:sz w:val="24"/>
          <w:szCs w:val="24"/>
          <w:lang w:val="zh-CN"/>
        </w:rPr>
        <w:t>评标标准和分值分配：</w:t>
      </w:r>
    </w:p>
    <w:bookmarkEnd w:id="35"/>
    <w:tbl>
      <w:tblPr>
        <w:tblStyle w:val="15"/>
        <w:tblpPr w:leftFromText="180" w:rightFromText="180" w:vertAnchor="page" w:horzAnchor="page" w:tblpX="1230" w:tblpY="3341"/>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14:paraId="5D7EB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86" w:type="dxa"/>
            <w:tcBorders>
              <w:top w:val="single" w:color="auto" w:sz="4" w:space="0"/>
              <w:left w:val="single" w:color="auto" w:sz="4" w:space="0"/>
              <w:bottom w:val="single" w:color="auto" w:sz="4" w:space="0"/>
              <w:right w:val="single" w:color="auto" w:sz="4" w:space="0"/>
            </w:tcBorders>
            <w:vAlign w:val="center"/>
          </w:tcPr>
          <w:p w14:paraId="793D94E9">
            <w:pPr>
              <w:rPr>
                <w:rFonts w:hint="eastAsia" w:ascii="宋体" w:hAnsi="宋体" w:eastAsia="宋体" w:cs="Times New Roman"/>
                <w:sz w:val="21"/>
                <w:szCs w:val="21"/>
              </w:rPr>
            </w:pPr>
            <w:bookmarkStart w:id="40" w:name="_Toc376936756"/>
            <w:bookmarkStart w:id="41" w:name="_Toc325726025"/>
            <w:bookmarkStart w:id="42" w:name="_Toc500493784"/>
            <w:bookmarkStart w:id="43" w:name="_Toc428180562"/>
            <w:r>
              <w:rPr>
                <w:rFonts w:hint="eastAsia" w:ascii="宋体" w:hAnsi="宋体" w:eastAsia="宋体" w:cs="Times New Roman"/>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14:paraId="3E21A53E">
            <w:pPr>
              <w:rPr>
                <w:rFonts w:hint="eastAsia" w:ascii="宋体" w:hAnsi="宋体" w:eastAsia="宋体" w:cs="Times New Roman"/>
                <w:sz w:val="21"/>
                <w:szCs w:val="21"/>
              </w:rPr>
            </w:pPr>
            <w:r>
              <w:rPr>
                <w:rFonts w:hint="eastAsia" w:ascii="宋体" w:hAnsi="宋体" w:eastAsia="宋体" w:cs="Times New Roman"/>
                <w:sz w:val="21"/>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14:paraId="35C336C5">
            <w:pPr>
              <w:jc w:val="center"/>
              <w:rPr>
                <w:rFonts w:hint="eastAsia" w:ascii="宋体" w:hAnsi="宋体" w:eastAsia="宋体" w:cs="Times New Roman"/>
                <w:sz w:val="21"/>
                <w:szCs w:val="21"/>
              </w:rPr>
            </w:pPr>
            <w:r>
              <w:rPr>
                <w:rFonts w:hint="eastAsia" w:ascii="宋体" w:hAnsi="宋体" w:eastAsia="宋体" w:cs="Times New Roman"/>
                <w:sz w:val="21"/>
                <w:szCs w:val="21"/>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14:paraId="328EC659">
            <w:pPr>
              <w:ind w:firstLine="420"/>
              <w:jc w:val="center"/>
              <w:rPr>
                <w:rFonts w:hint="eastAsia" w:ascii="宋体" w:hAnsi="宋体" w:eastAsia="宋体" w:cs="Times New Roman"/>
                <w:sz w:val="21"/>
                <w:szCs w:val="21"/>
              </w:rPr>
            </w:pPr>
            <w:r>
              <w:rPr>
                <w:rFonts w:hint="eastAsia" w:ascii="宋体" w:hAnsi="宋体" w:eastAsia="宋体" w:cs="Times New Roman"/>
                <w:sz w:val="21"/>
                <w:szCs w:val="21"/>
              </w:rPr>
              <w:t>评审标准</w:t>
            </w:r>
          </w:p>
        </w:tc>
      </w:tr>
      <w:tr w14:paraId="138AD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986" w:type="dxa"/>
            <w:tcBorders>
              <w:top w:val="single" w:color="auto" w:sz="4" w:space="0"/>
              <w:left w:val="single" w:color="auto" w:sz="4" w:space="0"/>
              <w:bottom w:val="single" w:color="auto" w:sz="4" w:space="0"/>
              <w:right w:val="single" w:color="auto" w:sz="4" w:space="0"/>
            </w:tcBorders>
            <w:vAlign w:val="center"/>
          </w:tcPr>
          <w:p w14:paraId="3C88D17F">
            <w:pPr>
              <w:rPr>
                <w:rFonts w:hint="eastAsia" w:ascii="宋体" w:hAnsi="宋体" w:eastAsia="宋体" w:cs="Times New Roman"/>
                <w:sz w:val="21"/>
                <w:szCs w:val="21"/>
              </w:rPr>
            </w:pPr>
            <w:r>
              <w:rPr>
                <w:rFonts w:hint="eastAsia" w:ascii="宋体" w:hAnsi="宋体" w:eastAsia="宋体" w:cs="Times New Roman"/>
                <w:sz w:val="21"/>
                <w:szCs w:val="21"/>
              </w:rPr>
              <w:t>投标</w:t>
            </w:r>
          </w:p>
          <w:p w14:paraId="22C02A76">
            <w:pPr>
              <w:rPr>
                <w:rFonts w:hint="eastAsia" w:ascii="宋体" w:hAnsi="宋体" w:eastAsia="宋体" w:cs="Times New Roman"/>
                <w:sz w:val="21"/>
                <w:szCs w:val="21"/>
              </w:rPr>
            </w:pPr>
            <w:r>
              <w:rPr>
                <w:rFonts w:hint="eastAsia" w:ascii="宋体" w:hAnsi="宋体" w:eastAsia="宋体" w:cs="Times New Roman"/>
                <w:sz w:val="21"/>
                <w:szCs w:val="21"/>
              </w:rPr>
              <w:t>报价</w:t>
            </w:r>
          </w:p>
          <w:p w14:paraId="7EFFFD99">
            <w:pPr>
              <w:rPr>
                <w:rFonts w:hint="eastAsia"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7596F97A">
            <w:pPr>
              <w:rPr>
                <w:rFonts w:hint="eastAsia" w:ascii="宋体" w:hAnsi="宋体" w:eastAsia="宋体" w:cs="Times New Roman"/>
                <w:sz w:val="21"/>
                <w:szCs w:val="21"/>
              </w:rPr>
            </w:pPr>
            <w:r>
              <w:rPr>
                <w:rFonts w:hint="eastAsia" w:ascii="宋体" w:hAnsi="宋体" w:eastAsia="宋体" w:cs="Times New Roman"/>
                <w:sz w:val="21"/>
                <w:szCs w:val="21"/>
              </w:rPr>
              <w:t>报价分</w:t>
            </w:r>
          </w:p>
        </w:tc>
        <w:tc>
          <w:tcPr>
            <w:tcW w:w="736" w:type="dxa"/>
            <w:tcBorders>
              <w:top w:val="single" w:color="auto" w:sz="4" w:space="0"/>
              <w:left w:val="single" w:color="auto" w:sz="4" w:space="0"/>
              <w:bottom w:val="single" w:color="auto" w:sz="4" w:space="0"/>
              <w:right w:val="single" w:color="auto" w:sz="4" w:space="0"/>
            </w:tcBorders>
            <w:vAlign w:val="center"/>
          </w:tcPr>
          <w:p w14:paraId="34EA6EF7">
            <w:pPr>
              <w:jc w:val="center"/>
              <w:rPr>
                <w:rFonts w:hint="eastAsia" w:ascii="宋体" w:hAnsi="宋体" w:eastAsia="宋体" w:cs="Times New Roman"/>
                <w:sz w:val="21"/>
                <w:szCs w:val="21"/>
              </w:rPr>
            </w:pPr>
            <w:r>
              <w:rPr>
                <w:rFonts w:hint="eastAsia" w:ascii="宋体" w:hAnsi="宋体" w:eastAsia="宋体" w:cs="Times New Roman"/>
                <w:sz w:val="21"/>
                <w:szCs w:val="21"/>
              </w:rPr>
              <w:t>30</w:t>
            </w:r>
          </w:p>
        </w:tc>
        <w:tc>
          <w:tcPr>
            <w:tcW w:w="5985" w:type="dxa"/>
            <w:tcBorders>
              <w:top w:val="single" w:color="auto" w:sz="4" w:space="0"/>
              <w:left w:val="single" w:color="auto" w:sz="4" w:space="0"/>
              <w:bottom w:val="single" w:color="auto" w:sz="4" w:space="0"/>
              <w:right w:val="single" w:color="auto" w:sz="4" w:space="0"/>
            </w:tcBorders>
            <w:vAlign w:val="center"/>
          </w:tcPr>
          <w:p w14:paraId="4FA27CBB">
            <w:pPr>
              <w:rPr>
                <w:rFonts w:hint="eastAsia" w:ascii="宋体" w:hAnsi="宋体" w:eastAsia="宋体" w:cs="Times New Roman"/>
                <w:sz w:val="21"/>
                <w:szCs w:val="21"/>
              </w:rPr>
            </w:pPr>
            <w:r>
              <w:rPr>
                <w:rFonts w:hint="eastAsia" w:ascii="宋体" w:hAnsi="宋体" w:eastAsia="宋体" w:cs="Times New Roman"/>
                <w:sz w:val="21"/>
                <w:szCs w:val="21"/>
              </w:rPr>
              <w:t>在所有的有效投标报价中，以最低投标报价为基准价，其价格分为满分。其他投标人的报价分统一按下列公式计算：投标报价得分=(评标基准价／投标报价)×价格权值（30%）×100（四舍五入后保留小数点后两位）。</w:t>
            </w:r>
          </w:p>
          <w:p w14:paraId="7CB0B307">
            <w:pPr>
              <w:rPr>
                <w:rFonts w:hint="eastAsia" w:ascii="宋体" w:hAnsi="宋体" w:eastAsia="宋体" w:cs="Times New Roman"/>
                <w:sz w:val="21"/>
                <w:szCs w:val="21"/>
              </w:rPr>
            </w:pPr>
            <w:r>
              <w:rPr>
                <w:rFonts w:hint="eastAsia" w:ascii="宋体" w:hAnsi="宋体" w:eastAsia="宋体" w:cs="Times New Roman"/>
                <w:sz w:val="21"/>
                <w:szCs w:val="21"/>
              </w:rPr>
              <w:t>注：1、根据《政府采购促进中小企业发展管理办法》（财库{2020}46号）的规定，对于经主管预算单位统筹后未预留份额专门面向中心企业采购的采购项目，以及预留份额项目中的非预留部分采购包，采购人、采购代理机构应当对符合本办法规定的小微企业报价给予10%的扣除，用扣除后的价格参加评审。</w:t>
            </w:r>
          </w:p>
          <w:p w14:paraId="0E1199AC">
            <w:pPr>
              <w:rPr>
                <w:rFonts w:hint="eastAsia" w:ascii="宋体" w:hAnsi="宋体" w:eastAsia="宋体" w:cs="Times New Roman"/>
                <w:color w:val="000000"/>
                <w:sz w:val="21"/>
                <w:szCs w:val="21"/>
              </w:rPr>
            </w:pPr>
            <w:r>
              <w:rPr>
                <w:rFonts w:hint="eastAsia" w:ascii="宋体" w:hAnsi="宋体" w:eastAsia="宋体" w:cs="Times New Roman"/>
                <w:sz w:val="21"/>
                <w:szCs w:val="21"/>
              </w:rPr>
              <w:t xml:space="preserve">2、监狱企业、残疾人福利性单位属于小型、微型企业的，不重复享受政策。 </w:t>
            </w:r>
          </w:p>
        </w:tc>
      </w:tr>
      <w:tr w14:paraId="46D31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86" w:type="dxa"/>
            <w:vMerge w:val="restart"/>
            <w:tcBorders>
              <w:top w:val="single" w:color="auto" w:sz="4" w:space="0"/>
              <w:left w:val="single" w:color="auto" w:sz="4" w:space="0"/>
              <w:right w:val="single" w:color="auto" w:sz="4" w:space="0"/>
            </w:tcBorders>
            <w:vAlign w:val="center"/>
          </w:tcPr>
          <w:p w14:paraId="45E41CBD">
            <w:pPr>
              <w:rPr>
                <w:rFonts w:hint="eastAsia" w:ascii="宋体" w:hAnsi="宋体" w:eastAsia="宋体" w:cs="Times New Roman"/>
                <w:sz w:val="21"/>
                <w:szCs w:val="21"/>
              </w:rPr>
            </w:pPr>
            <w:r>
              <w:rPr>
                <w:rFonts w:hint="eastAsia" w:ascii="宋体" w:hAnsi="宋体" w:eastAsia="宋体" w:cs="Times New Roman"/>
                <w:sz w:val="21"/>
                <w:szCs w:val="21"/>
              </w:rPr>
              <w:t>技术</w:t>
            </w:r>
          </w:p>
          <w:p w14:paraId="2E19C397">
            <w:pPr>
              <w:rPr>
                <w:rFonts w:hint="eastAsia" w:ascii="宋体" w:hAnsi="宋体" w:eastAsia="宋体" w:cs="Times New Roman"/>
                <w:color w:val="FF0000"/>
                <w:sz w:val="21"/>
                <w:szCs w:val="21"/>
                <w:u w:val="single"/>
              </w:rPr>
            </w:pPr>
            <w:r>
              <w:rPr>
                <w:rFonts w:hint="eastAsia" w:ascii="宋体" w:hAnsi="宋体" w:eastAsia="宋体" w:cs="Times New Roman"/>
                <w:sz w:val="21"/>
                <w:szCs w:val="21"/>
              </w:rPr>
              <w:t>方面</w:t>
            </w:r>
          </w:p>
        </w:tc>
        <w:tc>
          <w:tcPr>
            <w:tcW w:w="1485" w:type="dxa"/>
            <w:tcBorders>
              <w:top w:val="single" w:color="auto" w:sz="4" w:space="0"/>
              <w:left w:val="single" w:color="auto" w:sz="4" w:space="0"/>
              <w:bottom w:val="single" w:color="auto" w:sz="4" w:space="0"/>
              <w:right w:val="single" w:color="auto" w:sz="4" w:space="0"/>
            </w:tcBorders>
            <w:vAlign w:val="center"/>
          </w:tcPr>
          <w:p w14:paraId="4F8805E9">
            <w:pPr>
              <w:rPr>
                <w:rFonts w:hint="eastAsia" w:ascii="宋体" w:hAnsi="宋体" w:eastAsia="宋体" w:cs="Times New Roman"/>
                <w:sz w:val="21"/>
                <w:szCs w:val="21"/>
              </w:rPr>
            </w:pPr>
            <w:r>
              <w:rPr>
                <w:rFonts w:hint="eastAsia" w:ascii="宋体" w:hAnsi="宋体" w:eastAsia="宋体" w:cs="Times New Roman"/>
                <w:sz w:val="21"/>
                <w:szCs w:val="21"/>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14:paraId="303CE596">
            <w:pPr>
              <w:jc w:val="center"/>
              <w:rPr>
                <w:rFonts w:hint="eastAsia" w:ascii="宋体" w:hAnsi="宋体" w:eastAsia="宋体" w:cs="Times New Roman"/>
                <w:sz w:val="21"/>
                <w:szCs w:val="21"/>
              </w:rPr>
            </w:pPr>
            <w:r>
              <w:rPr>
                <w:rFonts w:hint="eastAsia" w:ascii="宋体" w:hAnsi="宋体" w:eastAsia="宋体" w:cs="Times New Roman"/>
                <w:sz w:val="21"/>
                <w:szCs w:val="21"/>
              </w:rPr>
              <w:t>30</w:t>
            </w:r>
          </w:p>
        </w:tc>
        <w:tc>
          <w:tcPr>
            <w:tcW w:w="5985" w:type="dxa"/>
            <w:tcBorders>
              <w:top w:val="single" w:color="auto" w:sz="4" w:space="0"/>
              <w:left w:val="single" w:color="auto" w:sz="4" w:space="0"/>
              <w:bottom w:val="single" w:color="auto" w:sz="4" w:space="0"/>
              <w:right w:val="single" w:color="auto" w:sz="4" w:space="0"/>
            </w:tcBorders>
            <w:vAlign w:val="center"/>
          </w:tcPr>
          <w:p w14:paraId="4C070298">
            <w:pPr>
              <w:rPr>
                <w:rFonts w:hint="eastAsia" w:ascii="Times New Roman" w:hAnsi="宋体" w:eastAsia="宋体" w:cs="Times New Roman"/>
                <w:color w:val="FF0000"/>
                <w:sz w:val="21"/>
                <w:szCs w:val="21"/>
                <w:u w:val="single"/>
              </w:rPr>
            </w:pPr>
            <w:r>
              <w:rPr>
                <w:rFonts w:hint="eastAsia" w:ascii="宋体" w:hAnsi="宋体" w:eastAsia="宋体" w:cs="Times New Roman"/>
                <w:sz w:val="21"/>
                <w:szCs w:val="21"/>
              </w:rPr>
              <w:t>投标产品技术参数和配置完全满足或高于招标文件要求的，得30</w:t>
            </w:r>
            <w:r>
              <w:rPr>
                <w:rFonts w:hint="eastAsia" w:ascii="宋体" w:hAnsi="宋体" w:eastAsia="宋体" w:cs="Times New Roman"/>
                <w:sz w:val="21"/>
                <w:szCs w:val="21"/>
                <w:lang w:val="zh-CN"/>
              </w:rPr>
              <w:t>分</w:t>
            </w:r>
            <w:r>
              <w:rPr>
                <w:rFonts w:hint="eastAsia" w:ascii="宋体" w:hAnsi="宋体" w:eastAsia="宋体" w:cs="Times New Roman"/>
                <w:sz w:val="21"/>
                <w:szCs w:val="21"/>
              </w:rPr>
              <w:t>；每有一项负偏离扣1分，</w:t>
            </w:r>
            <w:r>
              <w:rPr>
                <w:rFonts w:hint="eastAsia" w:ascii="宋体" w:hAnsi="宋体" w:eastAsia="宋体" w:cs="宋体"/>
                <w:color w:val="000000"/>
                <w:kern w:val="0"/>
                <w:sz w:val="21"/>
                <w:szCs w:val="21"/>
              </w:rPr>
              <w:t>扣完为止。</w:t>
            </w:r>
          </w:p>
        </w:tc>
      </w:tr>
      <w:tr w14:paraId="3329D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986" w:type="dxa"/>
            <w:vMerge w:val="continue"/>
            <w:tcBorders>
              <w:left w:val="single" w:color="auto" w:sz="4" w:space="0"/>
              <w:right w:val="single" w:color="auto" w:sz="4" w:space="0"/>
            </w:tcBorders>
            <w:vAlign w:val="center"/>
          </w:tcPr>
          <w:p w14:paraId="5204EBCA">
            <w:pPr>
              <w:ind w:firstLine="420"/>
              <w:jc w:val="center"/>
              <w:rPr>
                <w:rFonts w:hint="eastAsia"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0CAE9E1">
            <w:pPr>
              <w:rPr>
                <w:rFonts w:hint="eastAsia" w:ascii="宋体" w:hAnsi="宋体" w:eastAsia="宋体" w:cs="Times New Roman"/>
                <w:sz w:val="21"/>
                <w:szCs w:val="21"/>
              </w:rPr>
            </w:pPr>
            <w:r>
              <w:rPr>
                <w:rFonts w:hint="eastAsia" w:ascii="宋体" w:hAnsi="宋体" w:eastAsia="宋体" w:cs="Times New Roman"/>
                <w:sz w:val="21"/>
                <w:szCs w:val="21"/>
              </w:rPr>
              <w:t>环保和节能</w:t>
            </w:r>
          </w:p>
        </w:tc>
        <w:tc>
          <w:tcPr>
            <w:tcW w:w="736" w:type="dxa"/>
            <w:tcBorders>
              <w:top w:val="single" w:color="auto" w:sz="4" w:space="0"/>
              <w:left w:val="single" w:color="auto" w:sz="4" w:space="0"/>
              <w:bottom w:val="single" w:color="auto" w:sz="4" w:space="0"/>
              <w:right w:val="single" w:color="auto" w:sz="4" w:space="0"/>
            </w:tcBorders>
            <w:vAlign w:val="center"/>
          </w:tcPr>
          <w:p w14:paraId="1ABA8DDC">
            <w:pPr>
              <w:jc w:val="center"/>
              <w:rPr>
                <w:rFonts w:hint="eastAsia" w:ascii="宋体" w:hAnsi="宋体" w:eastAsia="宋体" w:cs="Times New Roman"/>
                <w:sz w:val="21"/>
                <w:szCs w:val="21"/>
              </w:rPr>
            </w:pPr>
            <w:r>
              <w:rPr>
                <w:rFonts w:hint="eastAsia" w:ascii="宋体" w:hAnsi="宋体" w:eastAsia="宋体" w:cs="Times New Roman"/>
                <w:sz w:val="21"/>
                <w:szCs w:val="21"/>
              </w:rPr>
              <w:t>2</w:t>
            </w:r>
          </w:p>
        </w:tc>
        <w:tc>
          <w:tcPr>
            <w:tcW w:w="5985" w:type="dxa"/>
            <w:tcBorders>
              <w:top w:val="single" w:color="auto" w:sz="4" w:space="0"/>
              <w:left w:val="single" w:color="auto" w:sz="4" w:space="0"/>
              <w:bottom w:val="single" w:color="auto" w:sz="4" w:space="0"/>
              <w:right w:val="single" w:color="auto" w:sz="4" w:space="0"/>
            </w:tcBorders>
            <w:vAlign w:val="center"/>
          </w:tcPr>
          <w:p w14:paraId="27241894">
            <w:pPr>
              <w:rPr>
                <w:rFonts w:hint="eastAsia" w:ascii="宋体" w:hAnsi="宋体" w:cs="宋体"/>
                <w:color w:val="000000"/>
                <w:kern w:val="0"/>
                <w:sz w:val="21"/>
                <w:szCs w:val="21"/>
              </w:rPr>
            </w:pPr>
            <w:r>
              <w:rPr>
                <w:rFonts w:hint="eastAsia" w:ascii="宋体" w:hAnsi="宋体"/>
                <w:sz w:val="21"/>
                <w:szCs w:val="21"/>
              </w:rPr>
              <w:t>投标产品为环保产品</w:t>
            </w:r>
            <w:r>
              <w:rPr>
                <w:rFonts w:hint="eastAsia" w:ascii="宋体" w:hAnsi="宋体" w:cs="宋体"/>
                <w:color w:val="000000"/>
                <w:kern w:val="0"/>
                <w:sz w:val="21"/>
                <w:szCs w:val="21"/>
              </w:rPr>
              <w:t>或</w:t>
            </w:r>
            <w:r>
              <w:rPr>
                <w:rFonts w:hint="eastAsia" w:ascii="宋体" w:hAnsi="宋体"/>
                <w:sz w:val="21"/>
                <w:szCs w:val="21"/>
              </w:rPr>
              <w:t>节能产品，每提供一项</w:t>
            </w:r>
            <w:r>
              <w:rPr>
                <w:rFonts w:hint="eastAsia" w:ascii="宋体" w:hAnsi="宋体" w:cs="宋体"/>
                <w:color w:val="000000"/>
                <w:kern w:val="0"/>
                <w:sz w:val="21"/>
                <w:szCs w:val="21"/>
              </w:rPr>
              <w:t>得1分，满分2分，未提供不得分。</w:t>
            </w:r>
          </w:p>
          <w:p w14:paraId="1EF7D8F4">
            <w:pPr>
              <w:rPr>
                <w:rFonts w:hint="default" w:ascii="Times New Roman" w:hAnsi="Times New Roman" w:eastAsia="宋体" w:cs="Times New Roman"/>
                <w:sz w:val="24"/>
                <w:szCs w:val="24"/>
                <w:lang w:val="en-US" w:eastAsia="zh-CN"/>
              </w:rPr>
            </w:pPr>
            <w:r>
              <w:rPr>
                <w:rFonts w:hint="eastAsia" w:ascii="宋体" w:hAnsi="宋体"/>
                <w:sz w:val="21"/>
                <w:szCs w:val="21"/>
              </w:rPr>
              <w:t>该项得分的认定</w:t>
            </w:r>
            <w:r>
              <w:rPr>
                <w:rFonts w:hint="eastAsia" w:ascii="宋体" w:hAnsi="宋体"/>
                <w:sz w:val="21"/>
                <w:szCs w:val="21"/>
                <w:lang w:val="en-US" w:eastAsia="zh-CN"/>
              </w:rPr>
              <w:t>提供节能或环保方面证书复印件。</w:t>
            </w:r>
          </w:p>
        </w:tc>
      </w:tr>
      <w:tr w14:paraId="71C7B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986" w:type="dxa"/>
            <w:vMerge w:val="restart"/>
            <w:tcBorders>
              <w:top w:val="single" w:color="auto" w:sz="4" w:space="0"/>
              <w:left w:val="single" w:color="auto" w:sz="4" w:space="0"/>
              <w:right w:val="single" w:color="auto" w:sz="4" w:space="0"/>
            </w:tcBorders>
            <w:vAlign w:val="center"/>
          </w:tcPr>
          <w:p w14:paraId="29CD19B8">
            <w:pPr>
              <w:rPr>
                <w:rFonts w:hint="eastAsia" w:ascii="宋体" w:hAnsi="宋体" w:eastAsia="宋体" w:cs="Times New Roman"/>
                <w:sz w:val="21"/>
                <w:szCs w:val="21"/>
              </w:rPr>
            </w:pPr>
            <w:r>
              <w:rPr>
                <w:rFonts w:hint="eastAsia" w:ascii="宋体" w:hAnsi="宋体" w:eastAsia="宋体" w:cs="Times New Roman"/>
                <w:sz w:val="21"/>
                <w:szCs w:val="21"/>
              </w:rPr>
              <w:t>履约及售后服务能力</w:t>
            </w:r>
          </w:p>
        </w:tc>
        <w:tc>
          <w:tcPr>
            <w:tcW w:w="1485" w:type="dxa"/>
            <w:tcBorders>
              <w:top w:val="single" w:color="auto" w:sz="4" w:space="0"/>
              <w:left w:val="single" w:color="auto" w:sz="4" w:space="0"/>
              <w:bottom w:val="single" w:color="auto" w:sz="4" w:space="0"/>
              <w:right w:val="single" w:color="auto" w:sz="4" w:space="0"/>
            </w:tcBorders>
            <w:vAlign w:val="center"/>
          </w:tcPr>
          <w:p w14:paraId="1D0DA72C">
            <w:pPr>
              <w:rPr>
                <w:rFonts w:hint="eastAsia" w:ascii="宋体" w:hAnsi="宋体" w:eastAsia="宋体" w:cs="Times New Roman"/>
                <w:sz w:val="21"/>
                <w:szCs w:val="21"/>
              </w:rPr>
            </w:pPr>
            <w:r>
              <w:rPr>
                <w:rFonts w:hint="eastAsia" w:ascii="宋体" w:hAnsi="宋体" w:eastAsia="宋体" w:cs="Times New Roman"/>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14:paraId="6E551EA2">
            <w:pPr>
              <w:widowControl/>
              <w:jc w:val="center"/>
              <w:rPr>
                <w:rFonts w:hint="eastAsia" w:ascii="宋体" w:hAnsi="宋体" w:eastAsia="宋体" w:cs="Times New Roman"/>
                <w:sz w:val="21"/>
                <w:szCs w:val="21"/>
              </w:rPr>
            </w:pPr>
            <w:r>
              <w:rPr>
                <w:rFonts w:hint="eastAsia" w:ascii="宋体" w:hAnsi="宋体" w:eastAsia="宋体" w:cs="Times New Roman"/>
                <w:sz w:val="21"/>
                <w:szCs w:val="21"/>
              </w:rPr>
              <w:t>20</w:t>
            </w:r>
          </w:p>
        </w:tc>
        <w:tc>
          <w:tcPr>
            <w:tcW w:w="5985" w:type="dxa"/>
            <w:tcBorders>
              <w:top w:val="single" w:color="auto" w:sz="4" w:space="0"/>
              <w:left w:val="single" w:color="auto" w:sz="4" w:space="0"/>
              <w:bottom w:val="single" w:color="auto" w:sz="4" w:space="0"/>
              <w:right w:val="single" w:color="auto" w:sz="4" w:space="0"/>
            </w:tcBorders>
            <w:vAlign w:val="center"/>
          </w:tcPr>
          <w:p w14:paraId="7B2095DE">
            <w:pPr>
              <w:rPr>
                <w:rFonts w:hint="eastAsia" w:ascii="宋体" w:hAnsi="宋体" w:eastAsia="宋体" w:cs="Times New Roman"/>
                <w:sz w:val="21"/>
                <w:szCs w:val="21"/>
              </w:rPr>
            </w:pPr>
            <w:r>
              <w:rPr>
                <w:rFonts w:hint="eastAsia" w:ascii="宋体" w:hAnsi="宋体" w:eastAsia="宋体" w:cs="Times New Roman"/>
                <w:sz w:val="21"/>
                <w:szCs w:val="21"/>
              </w:rPr>
              <w:t>设置了项目管理机构，并且有科学、具体的项目管理措施，包含但不限于：①实施计划②实施团队③实施进度④质量控制措施⑤安全保障措施，能够结合项目特点制定实施方案。以上因素实质性响应并详尽合理的每一项得4分；每有一项存在缺陷或不足的扣1分，扣完为止；未提供的不得分。</w:t>
            </w:r>
          </w:p>
        </w:tc>
      </w:tr>
      <w:tr w14:paraId="191D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86" w:type="dxa"/>
            <w:vMerge w:val="continue"/>
            <w:tcBorders>
              <w:left w:val="single" w:color="auto" w:sz="4" w:space="0"/>
              <w:right w:val="single" w:color="auto" w:sz="4" w:space="0"/>
            </w:tcBorders>
            <w:vAlign w:val="center"/>
          </w:tcPr>
          <w:p w14:paraId="1BA5639F">
            <w:pPr>
              <w:ind w:firstLine="420"/>
              <w:jc w:val="center"/>
              <w:rPr>
                <w:rFonts w:hint="eastAsia"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463F7E2">
            <w:pPr>
              <w:rPr>
                <w:rFonts w:hint="eastAsia" w:ascii="宋体" w:hAnsi="宋体" w:eastAsia="宋体" w:cs="Times New Roman"/>
                <w:sz w:val="21"/>
                <w:szCs w:val="21"/>
              </w:rPr>
            </w:pPr>
            <w:r>
              <w:rPr>
                <w:rFonts w:hint="eastAsia" w:ascii="宋体" w:hAnsi="宋体" w:eastAsia="宋体" w:cs="Times New Roman"/>
                <w:sz w:val="21"/>
                <w:szCs w:val="21"/>
              </w:rPr>
              <w:t>售后服务方案及本地化服务相关承诺</w:t>
            </w:r>
          </w:p>
        </w:tc>
        <w:tc>
          <w:tcPr>
            <w:tcW w:w="736" w:type="dxa"/>
            <w:tcBorders>
              <w:top w:val="single" w:color="auto" w:sz="4" w:space="0"/>
              <w:left w:val="single" w:color="auto" w:sz="4" w:space="0"/>
              <w:bottom w:val="single" w:color="auto" w:sz="4" w:space="0"/>
              <w:right w:val="single" w:color="auto" w:sz="4" w:space="0"/>
            </w:tcBorders>
            <w:vAlign w:val="center"/>
          </w:tcPr>
          <w:p w14:paraId="74D072CB">
            <w:pPr>
              <w:widowControl/>
              <w:jc w:val="center"/>
              <w:rPr>
                <w:rFonts w:hint="eastAsia" w:ascii="宋体" w:hAnsi="宋体" w:eastAsia="宋体" w:cs="Times New Roman"/>
                <w:sz w:val="21"/>
                <w:szCs w:val="21"/>
              </w:rPr>
            </w:pPr>
            <w:r>
              <w:rPr>
                <w:rFonts w:hint="eastAsia" w:ascii="宋体" w:hAnsi="宋体" w:eastAsia="宋体" w:cs="Times New Roman"/>
                <w:sz w:val="21"/>
                <w:szCs w:val="21"/>
              </w:rPr>
              <w:t>10</w:t>
            </w:r>
          </w:p>
        </w:tc>
        <w:tc>
          <w:tcPr>
            <w:tcW w:w="5985" w:type="dxa"/>
            <w:tcBorders>
              <w:top w:val="single" w:color="auto" w:sz="4" w:space="0"/>
              <w:left w:val="single" w:color="auto" w:sz="4" w:space="0"/>
              <w:bottom w:val="single" w:color="auto" w:sz="4" w:space="0"/>
              <w:right w:val="single" w:color="auto" w:sz="4" w:space="0"/>
            </w:tcBorders>
            <w:vAlign w:val="center"/>
          </w:tcPr>
          <w:p w14:paraId="5740F21D">
            <w:pPr>
              <w:rPr>
                <w:rFonts w:hint="eastAsia" w:ascii="宋体" w:hAnsi="宋体" w:eastAsia="宋体" w:cs="Times New Roman"/>
                <w:sz w:val="21"/>
                <w:szCs w:val="21"/>
              </w:rPr>
            </w:pPr>
            <w:r>
              <w:rPr>
                <w:rFonts w:hint="eastAsia" w:ascii="宋体" w:hAnsi="宋体" w:eastAsia="宋体" w:cs="Times New Roman"/>
                <w:sz w:val="21"/>
                <w:szCs w:val="21"/>
              </w:rPr>
              <w:t>针对该项目的售后服务：①内容和流程②售后服务响应时间③质量、售后服务方式和特色④售后服务机构和人员等方面进行综合评价⑤提供本地化服务相关承诺。以上因素实质性响应并详尽合理的每一项得2分；每有一项存在缺陷或不足的扣1分，扣完为止；未提供的不得分。</w:t>
            </w:r>
          </w:p>
        </w:tc>
      </w:tr>
      <w:tr w14:paraId="26867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86" w:type="dxa"/>
            <w:vMerge w:val="continue"/>
            <w:tcBorders>
              <w:left w:val="single" w:color="auto" w:sz="4" w:space="0"/>
              <w:right w:val="single" w:color="auto" w:sz="4" w:space="0"/>
            </w:tcBorders>
            <w:vAlign w:val="center"/>
          </w:tcPr>
          <w:p w14:paraId="312A9E27">
            <w:pPr>
              <w:ind w:firstLine="420"/>
              <w:jc w:val="center"/>
              <w:rPr>
                <w:rFonts w:hint="eastAsia"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05E1FE6">
            <w:pPr>
              <w:rPr>
                <w:rFonts w:hint="eastAsia" w:ascii="宋体" w:hAnsi="宋体" w:eastAsia="宋体" w:cs="Times New Roman"/>
                <w:sz w:val="21"/>
                <w:szCs w:val="21"/>
              </w:rPr>
            </w:pPr>
            <w:r>
              <w:rPr>
                <w:rFonts w:hint="eastAsia" w:ascii="宋体" w:hAnsi="宋体" w:eastAsia="宋体" w:cs="Times New Roman"/>
                <w:sz w:val="21"/>
                <w:szCs w:val="21"/>
              </w:rPr>
              <w:t>对磋商文件规范性要求</w:t>
            </w:r>
          </w:p>
        </w:tc>
        <w:tc>
          <w:tcPr>
            <w:tcW w:w="736" w:type="dxa"/>
            <w:tcBorders>
              <w:top w:val="single" w:color="auto" w:sz="4" w:space="0"/>
              <w:left w:val="single" w:color="auto" w:sz="4" w:space="0"/>
              <w:bottom w:val="single" w:color="auto" w:sz="4" w:space="0"/>
              <w:right w:val="single" w:color="auto" w:sz="4" w:space="0"/>
            </w:tcBorders>
            <w:vAlign w:val="center"/>
          </w:tcPr>
          <w:p w14:paraId="1BA959DB">
            <w:pPr>
              <w:widowControl/>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5985" w:type="dxa"/>
            <w:tcBorders>
              <w:top w:val="single" w:color="auto" w:sz="4" w:space="0"/>
              <w:left w:val="single" w:color="auto" w:sz="4" w:space="0"/>
              <w:bottom w:val="single" w:color="auto" w:sz="4" w:space="0"/>
              <w:right w:val="single" w:color="auto" w:sz="4" w:space="0"/>
            </w:tcBorders>
            <w:vAlign w:val="center"/>
          </w:tcPr>
          <w:p w14:paraId="2C2FC4DF">
            <w:pPr>
              <w:widowControl w:val="0"/>
              <w:spacing w:after="1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完全响应磋商文件格式要求编排者得3分；有一项细微偏差扣1分，直至该项分值扣完为止。</w:t>
            </w:r>
          </w:p>
        </w:tc>
      </w:tr>
      <w:tr w14:paraId="12D31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86" w:type="dxa"/>
            <w:vMerge w:val="continue"/>
            <w:tcBorders>
              <w:left w:val="single" w:color="auto" w:sz="4" w:space="0"/>
              <w:right w:val="single" w:color="auto" w:sz="4" w:space="0"/>
            </w:tcBorders>
            <w:vAlign w:val="center"/>
          </w:tcPr>
          <w:p w14:paraId="698614DA">
            <w:pPr>
              <w:rPr>
                <w:rFonts w:hint="eastAsia"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07570EFA">
            <w:pPr>
              <w:jc w:val="center"/>
              <w:rPr>
                <w:rFonts w:hint="eastAsia" w:ascii="宋体" w:hAnsi="宋体" w:eastAsia="宋体" w:cs="Times New Roman"/>
                <w:sz w:val="21"/>
                <w:szCs w:val="21"/>
              </w:rPr>
            </w:pPr>
            <w:r>
              <w:rPr>
                <w:rFonts w:hint="eastAsia" w:ascii="宋体" w:hAnsi="宋体" w:eastAsia="宋体" w:cs="Times New Roman"/>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14:paraId="63A43538">
            <w:pPr>
              <w:widowControl/>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6</w:t>
            </w:r>
          </w:p>
        </w:tc>
        <w:tc>
          <w:tcPr>
            <w:tcW w:w="5985" w:type="dxa"/>
            <w:tcBorders>
              <w:top w:val="single" w:color="auto" w:sz="4" w:space="0"/>
              <w:left w:val="single" w:color="auto" w:sz="4" w:space="0"/>
              <w:bottom w:val="single" w:color="auto" w:sz="4" w:space="0"/>
              <w:right w:val="single" w:color="auto" w:sz="4" w:space="0"/>
            </w:tcBorders>
            <w:vAlign w:val="center"/>
          </w:tcPr>
          <w:p w14:paraId="18573062">
            <w:pPr>
              <w:rPr>
                <w:rFonts w:hint="eastAsia" w:ascii="宋体" w:hAnsi="宋体" w:eastAsia="宋体" w:cs="Times New Roman"/>
                <w:sz w:val="21"/>
                <w:szCs w:val="21"/>
              </w:rPr>
            </w:pPr>
            <w:r>
              <w:rPr>
                <w:rFonts w:hint="eastAsia" w:ascii="宋体" w:hAnsi="宋体" w:eastAsia="宋体" w:cs="Times New Roman"/>
                <w:sz w:val="21"/>
                <w:szCs w:val="21"/>
              </w:rPr>
              <w:t>提供自202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年以来的类似业绩证明材料。每提供1项得</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分；不提供不得分。满分</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分。</w:t>
            </w:r>
          </w:p>
          <w:p w14:paraId="6F317D90">
            <w:pPr>
              <w:rPr>
                <w:rFonts w:hint="eastAsia" w:ascii="宋体" w:hAnsi="宋体" w:eastAsia="宋体" w:cs="Times New Roman"/>
                <w:sz w:val="21"/>
                <w:szCs w:val="21"/>
              </w:rPr>
            </w:pPr>
            <w:r>
              <w:rPr>
                <w:rFonts w:hint="eastAsia" w:ascii="宋体" w:hAnsi="宋体" w:eastAsia="宋体" w:cs="Times New Roman"/>
                <w:sz w:val="21"/>
                <w:szCs w:val="21"/>
              </w:rPr>
              <w:t>（需提供中标通知书及合同首页、标的及金额所在页、签字盖章页的扫描件（或复印）并加盖投标人公章）</w:t>
            </w:r>
          </w:p>
        </w:tc>
      </w:tr>
    </w:tbl>
    <w:p w14:paraId="5634E275">
      <w:pPr>
        <w:autoSpaceDE w:val="0"/>
        <w:autoSpaceDN w:val="0"/>
        <w:adjustRightInd w:val="0"/>
        <w:spacing w:line="360" w:lineRule="auto"/>
        <w:jc w:val="left"/>
        <w:rPr>
          <w:rFonts w:hint="eastAsia" w:ascii="宋体" w:cs="宋体"/>
          <w:sz w:val="24"/>
          <w:szCs w:val="24"/>
          <w:lang w:val="zh-CN"/>
        </w:rPr>
      </w:pPr>
    </w:p>
    <w:p w14:paraId="28062DC6">
      <w:pPr>
        <w:autoSpaceDE w:val="0"/>
        <w:autoSpaceDN w:val="0"/>
        <w:adjustRightInd w:val="0"/>
        <w:spacing w:line="360" w:lineRule="auto"/>
        <w:jc w:val="left"/>
        <w:rPr>
          <w:rFonts w:hint="eastAsia" w:ascii="宋体" w:cs="宋体"/>
          <w:sz w:val="24"/>
          <w:szCs w:val="24"/>
          <w:lang w:val="zh-CN"/>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1C67B1E9">
      <w:pPr>
        <w:autoSpaceDE w:val="0"/>
        <w:autoSpaceDN w:val="0"/>
        <w:adjustRightInd w:val="0"/>
        <w:spacing w:line="360" w:lineRule="auto"/>
        <w:jc w:val="left"/>
        <w:rPr>
          <w:rFonts w:ascii="Arial" w:hAnsi="Arial" w:cs="Arial"/>
          <w:sz w:val="24"/>
        </w:rPr>
      </w:pPr>
    </w:p>
    <w:p w14:paraId="5D4103C6">
      <w:pPr>
        <w:pStyle w:val="19"/>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500493785"/>
      <w:bookmarkStart w:id="45" w:name="_Toc376936757"/>
      <w:bookmarkStart w:id="46" w:name="_Toc325726026"/>
    </w:p>
    <w:p w14:paraId="28656D4A">
      <w:pPr>
        <w:pStyle w:val="19"/>
        <w:ind w:firstLine="424" w:firstLineChars="176"/>
        <w:rPr>
          <w:rFonts w:hint="eastAsia"/>
          <w:b/>
          <w:kern w:val="0"/>
          <w:sz w:val="24"/>
        </w:rPr>
      </w:pPr>
    </w:p>
    <w:p w14:paraId="125F4F8B">
      <w:pPr>
        <w:pStyle w:val="19"/>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325726028"/>
      <w:bookmarkStart w:id="49" w:name="_Toc500493786"/>
      <w:bookmarkStart w:id="50" w:name="_Toc376936759"/>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9"/>
        <w:ind w:firstLine="282" w:firstLineChars="117"/>
        <w:rPr>
          <w:rFonts w:hint="eastAsia"/>
          <w:b/>
          <w:kern w:val="0"/>
          <w:sz w:val="24"/>
        </w:rPr>
      </w:pPr>
      <w:bookmarkStart w:id="51" w:name="_Toc500493787"/>
      <w:bookmarkStart w:id="52" w:name="_Toc376936758"/>
    </w:p>
    <w:p w14:paraId="546C62DA">
      <w:pPr>
        <w:pStyle w:val="19"/>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9"/>
        <w:ind w:firstLine="282" w:firstLineChars="117"/>
        <w:rPr>
          <w:rFonts w:hint="eastAsia"/>
          <w:b/>
          <w:kern w:val="0"/>
          <w:sz w:val="24"/>
        </w:rPr>
      </w:pPr>
      <w:bookmarkStart w:id="53" w:name="_Toc325726029"/>
      <w:bookmarkStart w:id="54" w:name="_Toc376936760"/>
      <w:bookmarkStart w:id="55" w:name="_Toc500493788"/>
    </w:p>
    <w:p w14:paraId="3BC65597">
      <w:pPr>
        <w:pStyle w:val="19"/>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9"/>
        <w:ind w:firstLine="424" w:firstLineChars="176"/>
        <w:rPr>
          <w:rFonts w:hint="eastAsia"/>
          <w:b/>
          <w:kern w:val="0"/>
          <w:sz w:val="24"/>
        </w:rPr>
      </w:pPr>
      <w:bookmarkStart w:id="58" w:name="_Toc500493789"/>
    </w:p>
    <w:p w14:paraId="0B6D3D5E">
      <w:pPr>
        <w:pStyle w:val="19"/>
        <w:ind w:firstLine="424" w:firstLineChars="176"/>
        <w:rPr>
          <w:rFonts w:hint="eastAsia"/>
          <w:b/>
          <w:kern w:val="0"/>
          <w:sz w:val="24"/>
        </w:rPr>
      </w:pPr>
      <w:r>
        <w:rPr>
          <w:rFonts w:hint="eastAsia"/>
          <w:b/>
          <w:kern w:val="0"/>
          <w:sz w:val="24"/>
        </w:rPr>
        <w:t>十、串通投标的认定及处理办法</w:t>
      </w:r>
      <w:bookmarkEnd w:id="58"/>
    </w:p>
    <w:p w14:paraId="2F6F5620">
      <w:pPr>
        <w:pStyle w:val="19"/>
        <w:ind w:firstLine="424" w:firstLineChars="176"/>
        <w:rPr>
          <w:rFonts w:hint="eastAsia"/>
          <w:b/>
          <w:kern w:val="0"/>
          <w:sz w:val="24"/>
        </w:rPr>
      </w:pPr>
      <w:bookmarkStart w:id="59" w:name="_Toc500493790"/>
    </w:p>
    <w:p w14:paraId="7FBE9CB7">
      <w:pPr>
        <w:pStyle w:val="19"/>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9"/>
        <w:ind w:firstLine="424" w:firstLineChars="176"/>
        <w:rPr>
          <w:rFonts w:hint="eastAsia"/>
          <w:b/>
          <w:kern w:val="0"/>
          <w:sz w:val="24"/>
        </w:rPr>
      </w:pPr>
      <w:bookmarkStart w:id="60" w:name="_Toc500493791"/>
    </w:p>
    <w:p w14:paraId="3A0DBE37">
      <w:pPr>
        <w:pStyle w:val="19"/>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9"/>
        <w:ind w:firstLine="424" w:firstLineChars="176"/>
        <w:rPr>
          <w:rFonts w:hint="eastAsia"/>
          <w:b/>
          <w:kern w:val="0"/>
          <w:sz w:val="24"/>
        </w:rPr>
      </w:pPr>
      <w:bookmarkStart w:id="61" w:name="_Toc500493792"/>
      <w:bookmarkStart w:id="62" w:name="_Toc376936762"/>
      <w:bookmarkStart w:id="63" w:name="_Toc325726031"/>
    </w:p>
    <w:p w14:paraId="032CE5DA">
      <w:pPr>
        <w:pStyle w:val="19"/>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9"/>
        <w:ind w:firstLine="424" w:firstLineChars="176"/>
        <w:rPr>
          <w:rFonts w:hint="eastAsia"/>
          <w:b/>
          <w:kern w:val="0"/>
          <w:sz w:val="24"/>
        </w:rPr>
      </w:pPr>
      <w:bookmarkStart w:id="65" w:name="_Toc376936763"/>
      <w:bookmarkStart w:id="66" w:name="_Toc500493793"/>
    </w:p>
    <w:p w14:paraId="016B0672">
      <w:pPr>
        <w:pStyle w:val="19"/>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9"/>
        <w:ind w:firstLine="424" w:firstLineChars="176"/>
        <w:rPr>
          <w:rFonts w:hint="eastAsia"/>
          <w:b/>
          <w:kern w:val="0"/>
          <w:sz w:val="24"/>
        </w:rPr>
      </w:pPr>
      <w:bookmarkStart w:id="67" w:name="_Toc376936764"/>
      <w:bookmarkStart w:id="68" w:name="_Toc500493794"/>
      <w:bookmarkStart w:id="69" w:name="_Toc325726033"/>
    </w:p>
    <w:p w14:paraId="4F14F5FE">
      <w:pPr>
        <w:pStyle w:val="19"/>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76936765"/>
      <w:bookmarkStart w:id="71" w:name="_Toc325726034"/>
      <w:bookmarkStart w:id="72" w:name="_Toc50049379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4"/>
        <w:jc w:val="center"/>
        <w:rPr>
          <w:rFonts w:hint="eastAsia"/>
          <w:sz w:val="28"/>
          <w:lang w:val="zh-CN"/>
        </w:rPr>
      </w:pPr>
      <w:bookmarkStart w:id="73" w:name="_Toc428180573"/>
      <w:bookmarkStart w:id="74" w:name="_Toc21328"/>
    </w:p>
    <w:p w14:paraId="0319C9B1">
      <w:pPr>
        <w:rPr>
          <w:rFonts w:hint="eastAsia"/>
          <w:sz w:val="28"/>
          <w:lang w:val="zh-CN"/>
        </w:rPr>
      </w:pPr>
    </w:p>
    <w:p w14:paraId="0FE64D2D">
      <w:pPr>
        <w:rPr>
          <w:rFonts w:hint="eastAsia"/>
          <w:sz w:val="28"/>
          <w:lang w:val="zh-CN"/>
        </w:rPr>
      </w:pPr>
    </w:p>
    <w:p w14:paraId="329E884D">
      <w:pPr>
        <w:rPr>
          <w:rFonts w:hint="eastAsia"/>
          <w:sz w:val="28"/>
          <w:lang w:val="zh-CN"/>
        </w:rPr>
      </w:pPr>
    </w:p>
    <w:p w14:paraId="2EB9ACC2">
      <w:pPr>
        <w:rPr>
          <w:rFonts w:hint="eastAsia"/>
          <w:sz w:val="28"/>
          <w:lang w:val="zh-CN"/>
        </w:rPr>
      </w:pPr>
    </w:p>
    <w:p w14:paraId="014BE269">
      <w:pPr>
        <w:rPr>
          <w:rFonts w:hint="eastAsia"/>
          <w:sz w:val="28"/>
          <w:lang w:val="zh-CN"/>
        </w:rPr>
      </w:pPr>
    </w:p>
    <w:p w14:paraId="77F41CB2">
      <w:pPr>
        <w:rPr>
          <w:rFonts w:hint="eastAsia"/>
          <w:sz w:val="28"/>
          <w:lang w:val="zh-CN"/>
        </w:rPr>
      </w:pPr>
    </w:p>
    <w:p w14:paraId="2927D6D0">
      <w:pPr>
        <w:rPr>
          <w:rFonts w:hint="eastAsia"/>
          <w:sz w:val="28"/>
          <w:lang w:val="zh-CN"/>
        </w:rPr>
      </w:pPr>
    </w:p>
    <w:p w14:paraId="1B69DF1F">
      <w:pPr>
        <w:rPr>
          <w:rFonts w:hint="eastAsia"/>
          <w:sz w:val="28"/>
          <w:lang w:val="zh-CN"/>
        </w:rPr>
      </w:pPr>
    </w:p>
    <w:p w14:paraId="1A9AFA9C">
      <w:pPr>
        <w:rPr>
          <w:rFonts w:hint="eastAsia"/>
          <w:sz w:val="28"/>
          <w:lang w:val="zh-CN"/>
        </w:rPr>
      </w:pPr>
    </w:p>
    <w:p w14:paraId="4828174A">
      <w:pPr>
        <w:rPr>
          <w:rFonts w:hint="eastAsia"/>
          <w:sz w:val="28"/>
          <w:lang w:val="zh-CN"/>
        </w:rPr>
      </w:pPr>
    </w:p>
    <w:p w14:paraId="0F778D18">
      <w:pPr>
        <w:rPr>
          <w:rFonts w:hint="eastAsia"/>
          <w:sz w:val="28"/>
          <w:lang w:val="zh-CN"/>
        </w:rPr>
      </w:pPr>
    </w:p>
    <w:p w14:paraId="31C5C633">
      <w:pPr>
        <w:rPr>
          <w:rFonts w:hint="eastAsia"/>
          <w:sz w:val="28"/>
          <w:lang w:val="zh-CN"/>
        </w:rPr>
      </w:pPr>
    </w:p>
    <w:p w14:paraId="57536CFF">
      <w:pPr>
        <w:rPr>
          <w:rFonts w:hint="eastAsia"/>
          <w:sz w:val="28"/>
          <w:lang w:val="zh-CN"/>
        </w:rPr>
      </w:pPr>
    </w:p>
    <w:p w14:paraId="59C4C6CE">
      <w:pPr>
        <w:rPr>
          <w:rFonts w:hint="eastAsia"/>
          <w:sz w:val="28"/>
          <w:lang w:val="zh-CN"/>
        </w:rPr>
      </w:pPr>
    </w:p>
    <w:p w14:paraId="68C52C2E">
      <w:pPr>
        <w:rPr>
          <w:rFonts w:hint="eastAsia"/>
          <w:sz w:val="28"/>
          <w:lang w:val="zh-CN"/>
        </w:rPr>
      </w:pPr>
    </w:p>
    <w:p w14:paraId="3F861255">
      <w:pPr>
        <w:rPr>
          <w:rFonts w:hint="eastAsia"/>
          <w:sz w:val="28"/>
          <w:lang w:val="zh-CN"/>
        </w:rPr>
      </w:pPr>
    </w:p>
    <w:p w14:paraId="697F910B">
      <w:pPr>
        <w:rPr>
          <w:rFonts w:hint="eastAsia"/>
          <w:sz w:val="28"/>
          <w:lang w:val="zh-CN"/>
        </w:rPr>
      </w:pPr>
    </w:p>
    <w:p w14:paraId="62B64E14">
      <w:pPr>
        <w:rPr>
          <w:rFonts w:hint="eastAsia"/>
          <w:sz w:val="28"/>
          <w:lang w:val="zh-CN"/>
        </w:rPr>
      </w:pPr>
    </w:p>
    <w:p w14:paraId="65A3A3BD">
      <w:pPr>
        <w:rPr>
          <w:rFonts w:hint="eastAsia"/>
          <w:sz w:val="28"/>
          <w:lang w:val="zh-CN"/>
        </w:rPr>
      </w:pPr>
    </w:p>
    <w:p w14:paraId="7E46C787">
      <w:pPr>
        <w:rPr>
          <w:rFonts w:hint="eastAsia"/>
          <w:sz w:val="28"/>
          <w:lang w:val="zh-CN"/>
        </w:rPr>
      </w:pPr>
    </w:p>
    <w:p w14:paraId="187E8663">
      <w:pPr>
        <w:rPr>
          <w:rFonts w:hint="eastAsia"/>
          <w:sz w:val="28"/>
          <w:lang w:val="zh-CN"/>
        </w:rPr>
      </w:pPr>
    </w:p>
    <w:p w14:paraId="17F7233B">
      <w:pPr>
        <w:rPr>
          <w:rFonts w:hint="eastAsia"/>
          <w:sz w:val="28"/>
          <w:lang w:val="zh-CN"/>
        </w:rPr>
      </w:pPr>
    </w:p>
    <w:p w14:paraId="04AB0965">
      <w:pPr>
        <w:rPr>
          <w:rFonts w:hint="eastAsia"/>
          <w:sz w:val="28"/>
          <w:lang w:val="zh-CN"/>
        </w:rPr>
      </w:pPr>
    </w:p>
    <w:p w14:paraId="5E25BBED">
      <w:pPr>
        <w:rPr>
          <w:rFonts w:hint="eastAsia"/>
          <w:sz w:val="28"/>
          <w:lang w:val="zh-CN"/>
        </w:rPr>
      </w:pPr>
    </w:p>
    <w:p w14:paraId="11155C59">
      <w:pPr>
        <w:rPr>
          <w:rFonts w:hint="eastAsia"/>
          <w:sz w:val="28"/>
          <w:lang w:val="zh-CN"/>
        </w:rPr>
      </w:pPr>
    </w:p>
    <w:p w14:paraId="0ADCF5E5">
      <w:pPr>
        <w:rPr>
          <w:rFonts w:hint="eastAsia"/>
          <w:sz w:val="28"/>
          <w:lang w:val="zh-CN"/>
        </w:rPr>
      </w:pPr>
    </w:p>
    <w:p w14:paraId="3E29C85F">
      <w:pPr>
        <w:rPr>
          <w:rFonts w:hint="eastAsia"/>
          <w:sz w:val="28"/>
          <w:lang w:val="zh-CN"/>
        </w:rPr>
      </w:pPr>
    </w:p>
    <w:p w14:paraId="31F97C60">
      <w:pPr>
        <w:rPr>
          <w:rFonts w:hint="eastAsia"/>
          <w:sz w:val="28"/>
          <w:lang w:val="zh-CN"/>
        </w:rPr>
      </w:pPr>
    </w:p>
    <w:p w14:paraId="2ABBE85D">
      <w:pPr>
        <w:rPr>
          <w:rFonts w:hint="eastAsia"/>
          <w:sz w:val="28"/>
          <w:lang w:val="zh-CN"/>
        </w:rPr>
      </w:pPr>
    </w:p>
    <w:p w14:paraId="360B1118">
      <w:pPr>
        <w:rPr>
          <w:rFonts w:hint="eastAsia"/>
          <w:sz w:val="28"/>
          <w:lang w:val="zh-CN"/>
        </w:rPr>
      </w:pPr>
    </w:p>
    <w:p w14:paraId="23DC19FC">
      <w:pPr>
        <w:rPr>
          <w:rFonts w:hint="eastAsia"/>
          <w:sz w:val="28"/>
          <w:lang w:val="zh-CN"/>
        </w:rPr>
      </w:pPr>
    </w:p>
    <w:p w14:paraId="75C5D7DB">
      <w:pPr>
        <w:rPr>
          <w:rFonts w:hint="eastAsia"/>
          <w:sz w:val="28"/>
          <w:lang w:val="zh-CN"/>
        </w:rPr>
      </w:pPr>
    </w:p>
    <w:p w14:paraId="4562C38B">
      <w:pPr>
        <w:rPr>
          <w:rFonts w:hint="eastAsia"/>
          <w:sz w:val="28"/>
          <w:lang w:val="zh-CN"/>
        </w:rPr>
      </w:pPr>
    </w:p>
    <w:p w14:paraId="7D45C826">
      <w:pPr>
        <w:rPr>
          <w:rFonts w:hint="eastAsia"/>
          <w:sz w:val="28"/>
          <w:lang w:val="zh-CN"/>
        </w:rPr>
      </w:pPr>
    </w:p>
    <w:p w14:paraId="74A80DC7">
      <w:pPr>
        <w:rPr>
          <w:rFonts w:hint="eastAsia"/>
          <w:sz w:val="28"/>
          <w:lang w:val="zh-CN"/>
        </w:rPr>
      </w:pPr>
    </w:p>
    <w:p w14:paraId="0CDF021B">
      <w:pPr>
        <w:rPr>
          <w:rFonts w:hint="eastAsia"/>
          <w:sz w:val="28"/>
          <w:lang w:val="zh-CN"/>
        </w:rPr>
      </w:pPr>
    </w:p>
    <w:p w14:paraId="25178DB8">
      <w:pPr>
        <w:rPr>
          <w:rFonts w:hint="eastAsia"/>
          <w:sz w:val="28"/>
          <w:lang w:val="zh-CN"/>
        </w:rPr>
      </w:pPr>
    </w:p>
    <w:bookmarkEnd w:id="73"/>
    <w:bookmarkEnd w:id="74"/>
    <w:p w14:paraId="5A8DE2D8">
      <w:pPr>
        <w:pStyle w:val="14"/>
        <w:jc w:val="center"/>
        <w:rPr>
          <w:rFonts w:ascii="Calibri" w:cs="Calibri"/>
          <w:sz w:val="21"/>
        </w:rPr>
      </w:pPr>
      <w:bookmarkStart w:id="75" w:name="_Toc31588"/>
      <w:bookmarkStart w:id="76" w:name="_Toc24579"/>
      <w:bookmarkStart w:id="77" w:name="_Toc6724"/>
      <w:bookmarkStart w:id="78" w:name="_Toc428180574"/>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5"/>
    </w:p>
    <w:p w14:paraId="6891B7D4">
      <w:pPr>
        <w:spacing w:line="400" w:lineRule="exact"/>
        <w:ind w:firstLine="564" w:firstLineChars="235"/>
        <w:rPr>
          <w:rFonts w:cs="Calibri"/>
          <w:kern w:val="0"/>
          <w:sz w:val="24"/>
          <w:szCs w:val="24"/>
        </w:rPr>
      </w:pPr>
    </w:p>
    <w:p w14:paraId="5839CB60">
      <w:pPr>
        <w:jc w:val="center"/>
        <w:rPr>
          <w:b/>
          <w:kern w:val="28"/>
          <w:sz w:val="72"/>
        </w:rPr>
      </w:pPr>
    </w:p>
    <w:p w14:paraId="67C36B5B">
      <w:pPr>
        <w:pStyle w:val="14"/>
        <w:spacing w:before="0" w:after="0" w:line="360" w:lineRule="auto"/>
        <w:jc w:val="center"/>
        <w:rPr>
          <w:color w:val="000000"/>
          <w:sz w:val="32"/>
        </w:rPr>
      </w:pPr>
      <w:bookmarkStart w:id="79" w:name="_Toc102745854"/>
      <w:bookmarkStart w:id="80" w:name="_Toc25655"/>
      <w:r>
        <w:rPr>
          <w:rFonts w:hint="eastAsia" w:ascii="宋体" w:hAnsi="宋体" w:cs="宋体"/>
          <w:color w:val="000000"/>
          <w:szCs w:val="36"/>
          <w:lang w:val="zh-CN"/>
        </w:rPr>
        <w:t>西宁市政府采购项目合同书范本</w:t>
      </w:r>
      <w:bookmarkEnd w:id="79"/>
      <w:r>
        <w:rPr>
          <w:rFonts w:hint="eastAsia" w:ascii="宋体" w:hAnsi="宋体" w:cs="宋体"/>
          <w:color w:val="000000"/>
          <w:szCs w:val="36"/>
          <w:lang w:val="zh-CN"/>
        </w:rPr>
        <w:t>（货物）</w:t>
      </w:r>
      <w:bookmarkEnd w:id="80"/>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4"/>
        <w:ind w:firstLine="1928" w:firstLineChars="400"/>
        <w:jc w:val="both"/>
        <w:rPr>
          <w:sz w:val="48"/>
          <w:szCs w:val="48"/>
        </w:rPr>
      </w:pPr>
      <w:bookmarkStart w:id="81" w:name="_Toc3367909"/>
      <w:bookmarkStart w:id="82" w:name="_Toc102745855"/>
      <w:bookmarkStart w:id="83" w:name="_Toc29232"/>
      <w:bookmarkStart w:id="84" w:name="_Toc5032"/>
      <w:r>
        <w:rPr>
          <w:rFonts w:hint="eastAsia"/>
          <w:sz w:val="48"/>
          <w:szCs w:val="48"/>
        </w:rPr>
        <w:t>西宁市政府采购项目合同书</w:t>
      </w:r>
      <w:bookmarkEnd w:id="81"/>
      <w:bookmarkEnd w:id="82"/>
      <w:bookmarkEnd w:id="83"/>
      <w:bookmarkEnd w:id="84"/>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21"/>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8"/>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4FE0AE37">
      <w:pPr>
        <w:autoSpaceDE w:val="0"/>
        <w:autoSpaceDN w:val="0"/>
        <w:spacing w:after="156" w:afterLines="50" w:line="360" w:lineRule="auto"/>
        <w:jc w:val="center"/>
        <w:rPr>
          <w:rFonts w:hint="eastAsia" w:ascii="宋体" w:hAnsi="宋体" w:cs="Arial"/>
          <w:bCs/>
          <w:color w:val="000000"/>
          <w:lang w:val="zh-CN"/>
        </w:rPr>
      </w:pPr>
    </w:p>
    <w:p w14:paraId="0B534FC6">
      <w:pPr>
        <w:autoSpaceDE w:val="0"/>
        <w:autoSpaceDN w:val="0"/>
        <w:spacing w:after="156" w:afterLines="50" w:line="360" w:lineRule="auto"/>
        <w:jc w:val="center"/>
        <w:rPr>
          <w:rFonts w:hint="eastAsia" w:ascii="宋体" w:hAnsi="宋体" w:cs="Arial"/>
          <w:bCs/>
          <w:color w:val="000000"/>
          <w:lang w:val="zh-CN"/>
        </w:rPr>
      </w:pPr>
    </w:p>
    <w:p w14:paraId="60A45746">
      <w:pPr>
        <w:autoSpaceDE w:val="0"/>
        <w:autoSpaceDN w:val="0"/>
        <w:spacing w:after="156" w:afterLines="50" w:line="360" w:lineRule="auto"/>
        <w:jc w:val="center"/>
        <w:rPr>
          <w:rFonts w:hint="eastAsia" w:ascii="宋体" w:hAnsi="宋体" w:cs="Arial"/>
          <w:bCs/>
          <w:color w:val="000000"/>
          <w:lang w:val="zh-CN"/>
        </w:rPr>
      </w:pPr>
    </w:p>
    <w:p w14:paraId="21B65EC6">
      <w:pPr>
        <w:autoSpaceDE w:val="0"/>
        <w:autoSpaceDN w:val="0"/>
        <w:spacing w:after="156" w:afterLines="50" w:line="360" w:lineRule="auto"/>
        <w:jc w:val="center"/>
        <w:rPr>
          <w:rFonts w:hint="eastAsia" w:ascii="宋体" w:hAnsi="宋体" w:cs="Arial"/>
          <w:bCs/>
          <w:color w:val="000000"/>
          <w:lang w:val="zh-CN"/>
        </w:rPr>
      </w:pPr>
    </w:p>
    <w:p w14:paraId="63E8473F">
      <w:pPr>
        <w:autoSpaceDE w:val="0"/>
        <w:autoSpaceDN w:val="0"/>
        <w:spacing w:after="156" w:afterLines="50" w:line="360" w:lineRule="auto"/>
        <w:jc w:val="center"/>
        <w:rPr>
          <w:rFonts w:hint="eastAsia" w:ascii="宋体" w:hAnsi="宋体" w:cs="Arial"/>
          <w:bCs/>
          <w:color w:val="000000"/>
          <w:lang w:val="zh-CN"/>
        </w:rPr>
      </w:pPr>
    </w:p>
    <w:p w14:paraId="3B09C9E2">
      <w:pPr>
        <w:autoSpaceDE w:val="0"/>
        <w:autoSpaceDN w:val="0"/>
        <w:spacing w:after="156" w:afterLines="50" w:line="360" w:lineRule="auto"/>
        <w:jc w:val="center"/>
        <w:rPr>
          <w:rFonts w:hint="eastAsia" w:ascii="宋体" w:hAnsi="宋体" w:cs="Arial"/>
          <w:bCs/>
          <w:color w:val="000000"/>
          <w:lang w:val="zh-CN"/>
        </w:rPr>
      </w:pPr>
    </w:p>
    <w:p w14:paraId="1F7929DC">
      <w:pPr>
        <w:autoSpaceDE w:val="0"/>
        <w:autoSpaceDN w:val="0"/>
        <w:spacing w:after="156" w:afterLines="50" w:line="360" w:lineRule="auto"/>
        <w:jc w:val="center"/>
        <w:rPr>
          <w:rFonts w:hint="eastAsia" w:ascii="宋体" w:hAnsi="宋体" w:cs="Arial"/>
          <w:bCs/>
          <w:color w:val="000000"/>
          <w:lang w:val="zh-CN"/>
        </w:rPr>
      </w:pPr>
    </w:p>
    <w:p w14:paraId="54232920">
      <w:pPr>
        <w:autoSpaceDE w:val="0"/>
        <w:autoSpaceDN w:val="0"/>
        <w:spacing w:after="156" w:afterLines="50" w:line="360" w:lineRule="auto"/>
        <w:jc w:val="center"/>
        <w:rPr>
          <w:rFonts w:hint="eastAsia" w:ascii="宋体" w:hAnsi="宋体" w:cs="Arial"/>
          <w:bCs/>
          <w:color w:val="000000"/>
          <w:lang w:val="zh-CN"/>
        </w:rPr>
      </w:pPr>
    </w:p>
    <w:p w14:paraId="5E15C2F4">
      <w:pPr>
        <w:autoSpaceDE w:val="0"/>
        <w:autoSpaceDN w:val="0"/>
        <w:spacing w:after="156" w:afterLines="50" w:line="360" w:lineRule="auto"/>
        <w:jc w:val="center"/>
        <w:rPr>
          <w:rFonts w:hint="eastAsia" w:ascii="宋体" w:hAnsi="宋体" w:cs="Arial"/>
          <w:bCs/>
          <w:color w:val="000000"/>
          <w:lang w:val="zh-CN"/>
        </w:rPr>
      </w:pPr>
    </w:p>
    <w:p w14:paraId="34A25F5E">
      <w:pPr>
        <w:autoSpaceDE w:val="0"/>
        <w:autoSpaceDN w:val="0"/>
        <w:spacing w:after="156" w:afterLines="50" w:line="360" w:lineRule="auto"/>
        <w:jc w:val="center"/>
        <w:rPr>
          <w:rFonts w:hint="eastAsia" w:ascii="宋体" w:hAnsi="宋体" w:cs="Arial"/>
          <w:bCs/>
          <w:color w:val="000000"/>
          <w:lang w:val="zh-CN"/>
        </w:rPr>
      </w:pPr>
    </w:p>
    <w:p w14:paraId="6E81A0F9">
      <w:pPr>
        <w:autoSpaceDE w:val="0"/>
        <w:autoSpaceDN w:val="0"/>
        <w:spacing w:after="156" w:afterLines="50" w:line="360" w:lineRule="auto"/>
        <w:jc w:val="center"/>
        <w:rPr>
          <w:rFonts w:hint="eastAsia" w:ascii="宋体" w:hAnsi="宋体" w:cs="Arial"/>
          <w:bCs/>
          <w:color w:val="000000"/>
          <w:lang w:val="zh-CN"/>
        </w:rPr>
      </w:pPr>
    </w:p>
    <w:p w14:paraId="0418A632">
      <w:pPr>
        <w:autoSpaceDE w:val="0"/>
        <w:autoSpaceDN w:val="0"/>
        <w:spacing w:after="156" w:afterLines="50" w:line="360" w:lineRule="auto"/>
        <w:jc w:val="center"/>
        <w:rPr>
          <w:rFonts w:hint="eastAsia" w:ascii="宋体" w:hAnsi="宋体" w:cs="Arial"/>
          <w:bCs/>
          <w:color w:val="000000"/>
          <w:lang w:val="zh-CN"/>
        </w:rPr>
      </w:pPr>
    </w:p>
    <w:p w14:paraId="64336D45">
      <w:pPr>
        <w:autoSpaceDE w:val="0"/>
        <w:autoSpaceDN w:val="0"/>
        <w:spacing w:after="156" w:afterLines="50" w:line="360" w:lineRule="auto"/>
        <w:jc w:val="center"/>
        <w:rPr>
          <w:rFonts w:ascii="宋体" w:hAnsi="宋体" w:cs="Arial"/>
          <w:bCs/>
          <w:color w:val="000000"/>
        </w:rPr>
      </w:pPr>
      <w:r>
        <w:rPr>
          <w:rFonts w:hint="eastAsia" w:ascii="宋体" w:hAnsi="宋体" w:cs="Arial"/>
          <w:bCs/>
          <w:color w:val="000000"/>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4"/>
        <w:jc w:val="center"/>
        <w:rPr>
          <w:rFonts w:hint="eastAsia"/>
          <w:lang w:val="zh-CN"/>
        </w:rPr>
      </w:pPr>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093AAD3F">
      <w:pPr>
        <w:autoSpaceDE w:val="0"/>
        <w:autoSpaceDN w:val="0"/>
        <w:adjustRightInd w:val="0"/>
        <w:spacing w:line="400" w:lineRule="exact"/>
        <w:jc w:val="left"/>
        <w:rPr>
          <w:rFonts w:hint="eastAsia" w:cs="Calibri"/>
          <w:kern w:val="0"/>
          <w:sz w:val="28"/>
          <w:szCs w:val="28"/>
        </w:rPr>
      </w:pPr>
    </w:p>
    <w:p w14:paraId="69075FE6">
      <w:pPr>
        <w:autoSpaceDE w:val="0"/>
        <w:autoSpaceDN w:val="0"/>
        <w:adjustRightInd w:val="0"/>
        <w:spacing w:line="400" w:lineRule="exact"/>
        <w:jc w:val="left"/>
        <w:rPr>
          <w:rFonts w:hint="eastAsia" w:cs="Calibri"/>
          <w:kern w:val="0"/>
          <w:sz w:val="28"/>
          <w:szCs w:val="28"/>
        </w:rPr>
      </w:pPr>
    </w:p>
    <w:p w14:paraId="446419BF">
      <w:pPr>
        <w:pStyle w:val="14"/>
        <w:jc w:val="center"/>
        <w:rPr>
          <w:rFonts w:hint="eastAsia"/>
          <w:lang w:val="zh-CN"/>
        </w:rPr>
      </w:pPr>
    </w:p>
    <w:p w14:paraId="68AFF286">
      <w:pPr>
        <w:pStyle w:val="2"/>
        <w:rPr>
          <w:rFonts w:hint="eastAsia"/>
          <w:lang w:val="zh-CN"/>
        </w:rPr>
      </w:pPr>
    </w:p>
    <w:p w14:paraId="788C79D4">
      <w:pPr>
        <w:pStyle w:val="9"/>
        <w:rPr>
          <w:rFonts w:hint="eastAsia"/>
          <w:lang w:val="zh-CN"/>
        </w:rPr>
      </w:pPr>
    </w:p>
    <w:p w14:paraId="7D66541D">
      <w:pPr>
        <w:pStyle w:val="9"/>
        <w:rPr>
          <w:rFonts w:hint="eastAsia"/>
          <w:lang w:val="zh-CN"/>
        </w:rPr>
      </w:pPr>
    </w:p>
    <w:p w14:paraId="2217F825">
      <w:pPr>
        <w:pStyle w:val="9"/>
        <w:rPr>
          <w:rFonts w:hint="eastAsia"/>
          <w:lang w:val="zh-CN"/>
        </w:rPr>
      </w:pPr>
    </w:p>
    <w:p w14:paraId="392B74E5">
      <w:pPr>
        <w:pStyle w:val="9"/>
        <w:rPr>
          <w:rFonts w:hint="eastAsia"/>
          <w:lang w:val="zh-CN"/>
        </w:rPr>
      </w:pPr>
    </w:p>
    <w:p w14:paraId="3A565CD9">
      <w:pPr>
        <w:pStyle w:val="9"/>
        <w:rPr>
          <w:rFonts w:hint="eastAsia"/>
          <w:lang w:val="zh-CN"/>
        </w:rPr>
      </w:pPr>
    </w:p>
    <w:p w14:paraId="62EE7488">
      <w:pPr>
        <w:pStyle w:val="9"/>
        <w:rPr>
          <w:rFonts w:hint="eastAsia"/>
          <w:lang w:val="zh-CN"/>
        </w:rPr>
      </w:pPr>
    </w:p>
    <w:p w14:paraId="4843264A">
      <w:pPr>
        <w:pStyle w:val="9"/>
        <w:rPr>
          <w:rFonts w:hint="eastAsia"/>
          <w:lang w:val="zh-CN"/>
        </w:rPr>
      </w:pPr>
    </w:p>
    <w:p w14:paraId="0C850048">
      <w:pPr>
        <w:pStyle w:val="9"/>
        <w:rPr>
          <w:rFonts w:hint="eastAsia"/>
          <w:lang w:val="zh-CN"/>
        </w:rPr>
      </w:pPr>
    </w:p>
    <w:p w14:paraId="34F621A4">
      <w:pPr>
        <w:pStyle w:val="9"/>
        <w:rPr>
          <w:rFonts w:hint="eastAsia"/>
          <w:lang w:val="zh-CN"/>
        </w:rPr>
      </w:pPr>
    </w:p>
    <w:p w14:paraId="1BF61B4D">
      <w:pPr>
        <w:rPr>
          <w:rFonts w:hint="eastAsia"/>
          <w:lang w:val="zh-CN"/>
        </w:rPr>
      </w:pPr>
    </w:p>
    <w:p w14:paraId="387CD5D7">
      <w:pPr>
        <w:pStyle w:val="9"/>
        <w:rPr>
          <w:rFonts w:hint="eastAsia"/>
          <w:lang w:val="zh-CN"/>
        </w:rPr>
      </w:pPr>
    </w:p>
    <w:p w14:paraId="041E9168">
      <w:pPr>
        <w:rPr>
          <w:rFonts w:hint="eastAsia"/>
          <w:lang w:val="zh-CN"/>
        </w:rPr>
      </w:pPr>
    </w:p>
    <w:p w14:paraId="7D7ADA0E">
      <w:pPr>
        <w:pStyle w:val="9"/>
        <w:rPr>
          <w:rFonts w:hint="eastAsia"/>
          <w:lang w:val="zh-CN"/>
        </w:rPr>
      </w:pPr>
    </w:p>
    <w:p w14:paraId="18259285">
      <w:pPr>
        <w:rPr>
          <w:rFonts w:hint="eastAsia"/>
          <w:lang w:val="zh-CN"/>
        </w:rPr>
      </w:pPr>
    </w:p>
    <w:p w14:paraId="588BD6E5">
      <w:pPr>
        <w:pStyle w:val="9"/>
        <w:rPr>
          <w:rFonts w:hint="eastAsia"/>
          <w:lang w:val="zh-CN"/>
        </w:rPr>
      </w:pPr>
    </w:p>
    <w:p w14:paraId="27C920CB">
      <w:pPr>
        <w:rPr>
          <w:rFonts w:hint="eastAsia"/>
          <w:lang w:val="zh-CN"/>
        </w:rPr>
      </w:pPr>
    </w:p>
    <w:p w14:paraId="7A118A80">
      <w:pPr>
        <w:pStyle w:val="9"/>
        <w:rPr>
          <w:rFonts w:hint="eastAsia"/>
          <w:lang w:val="zh-CN"/>
        </w:rPr>
      </w:pPr>
    </w:p>
    <w:p w14:paraId="060C85AE">
      <w:pPr>
        <w:rPr>
          <w:rFonts w:hint="eastAsia"/>
          <w:lang w:val="zh-CN"/>
        </w:rPr>
      </w:pPr>
    </w:p>
    <w:p w14:paraId="218E0201">
      <w:pPr>
        <w:pStyle w:val="9"/>
        <w:rPr>
          <w:rFonts w:hint="eastAsia"/>
          <w:lang w:val="zh-CN"/>
        </w:rPr>
      </w:pPr>
    </w:p>
    <w:p w14:paraId="7776A8A5">
      <w:pPr>
        <w:pStyle w:val="14"/>
        <w:jc w:val="center"/>
        <w:rPr>
          <w:rFonts w:hint="eastAsia"/>
          <w:lang w:val="zh-CN"/>
        </w:rPr>
      </w:pPr>
    </w:p>
    <w:p w14:paraId="31565988">
      <w:pPr>
        <w:rPr>
          <w:rFonts w:hint="eastAsia"/>
          <w:lang w:val="zh-CN"/>
        </w:rPr>
      </w:pPr>
    </w:p>
    <w:p w14:paraId="376FA781">
      <w:pPr>
        <w:rPr>
          <w:rFonts w:hint="eastAsia"/>
          <w:lang w:val="zh-CN"/>
        </w:rPr>
      </w:pPr>
    </w:p>
    <w:p w14:paraId="637E15B0">
      <w:pPr>
        <w:rPr>
          <w:rFonts w:hint="eastAsia"/>
          <w:lang w:val="zh-CN"/>
        </w:rPr>
      </w:pPr>
    </w:p>
    <w:p w14:paraId="677FD821">
      <w:pPr>
        <w:rPr>
          <w:rFonts w:hint="eastAsia"/>
          <w:lang w:val="zh-CN"/>
        </w:rPr>
      </w:pPr>
    </w:p>
    <w:p w14:paraId="7EE20B3C">
      <w:pPr>
        <w:pStyle w:val="14"/>
        <w:jc w:val="center"/>
        <w:rPr>
          <w:lang w:val="zh-CN"/>
        </w:rPr>
      </w:pPr>
      <w:r>
        <w:rPr>
          <w:rFonts w:hint="eastAsia"/>
          <w:lang w:val="zh-CN"/>
        </w:rPr>
        <w:br w:type="textWrapping"/>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6"/>
      <w:bookmarkEnd w:id="77"/>
      <w:bookmarkEnd w:id="78"/>
    </w:p>
    <w:p w14:paraId="5F5E595C">
      <w:pPr>
        <w:pStyle w:val="19"/>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10"/>
        <w:rPr>
          <w:rFonts w:hint="eastAsia"/>
          <w:lang w:val="zh-CN" w:eastAsia="zh-CN"/>
        </w:rPr>
      </w:pPr>
    </w:p>
    <w:p w14:paraId="12C10C6F">
      <w:pPr>
        <w:pStyle w:val="14"/>
        <w:jc w:val="left"/>
        <w:rPr>
          <w:rFonts w:hint="eastAsia" w:ascii="宋体" w:hAnsi="宋体"/>
          <w:sz w:val="28"/>
          <w:lang w:val="zh-CN"/>
        </w:rPr>
      </w:pPr>
      <w:bookmarkStart w:id="86" w:name="_Toc428180575"/>
      <w:bookmarkStart w:id="87" w:name="_Toc9251"/>
      <w:bookmarkStart w:id="88" w:name="_Toc18734"/>
    </w:p>
    <w:p w14:paraId="30301E49">
      <w:pPr>
        <w:pStyle w:val="14"/>
        <w:jc w:val="left"/>
        <w:rPr>
          <w:rFonts w:hint="eastAsia" w:ascii="宋体" w:hAnsi="宋体"/>
          <w:sz w:val="28"/>
          <w:lang w:val="zh-CN"/>
        </w:rPr>
      </w:pPr>
    </w:p>
    <w:p w14:paraId="6215C28D">
      <w:pPr>
        <w:pStyle w:val="14"/>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4"/>
        <w:jc w:val="left"/>
        <w:rPr>
          <w:rFonts w:hint="eastAsia" w:ascii="宋体" w:hAnsi="宋体"/>
          <w:sz w:val="28"/>
          <w:lang w:val="zh-CN"/>
        </w:rPr>
      </w:pPr>
      <w:bookmarkStart w:id="90" w:name="_Toc428180576"/>
      <w:bookmarkStart w:id="91" w:name="_Toc1298"/>
    </w:p>
    <w:p w14:paraId="2A8EDE02">
      <w:pPr>
        <w:pStyle w:val="14"/>
        <w:jc w:val="left"/>
        <w:rPr>
          <w:rFonts w:hint="eastAsia" w:ascii="宋体" w:hAnsi="宋体"/>
          <w:sz w:val="28"/>
          <w:lang w:val="zh-CN"/>
        </w:rPr>
      </w:pPr>
    </w:p>
    <w:p w14:paraId="2E8CAF97">
      <w:pPr>
        <w:rPr>
          <w:rFonts w:hint="eastAsia" w:ascii="宋体" w:hAnsi="宋体"/>
          <w:sz w:val="28"/>
          <w:lang w:val="zh-CN"/>
        </w:rPr>
      </w:pPr>
    </w:p>
    <w:p w14:paraId="5F2B5894">
      <w:pPr>
        <w:pStyle w:val="14"/>
        <w:rPr>
          <w:rFonts w:hint="eastAsia"/>
          <w:lang w:val="zh-CN" w:eastAsia="zh-CN"/>
        </w:rPr>
      </w:pPr>
    </w:p>
    <w:p w14:paraId="135B3C58">
      <w:pPr>
        <w:rPr>
          <w:rFonts w:hint="eastAsia"/>
          <w:lang w:val="zh-CN"/>
        </w:rPr>
      </w:pPr>
    </w:p>
    <w:p w14:paraId="70EB72FD">
      <w:pPr>
        <w:pStyle w:val="14"/>
        <w:jc w:val="left"/>
        <w:rPr>
          <w:rFonts w:hint="eastAsia" w:ascii="宋体" w:hAnsi="宋体"/>
          <w:sz w:val="28"/>
          <w:lang w:val="zh-CN"/>
        </w:rPr>
      </w:pPr>
    </w:p>
    <w:p w14:paraId="7FB77D0D">
      <w:pPr>
        <w:pStyle w:val="14"/>
        <w:jc w:val="left"/>
        <w:rPr>
          <w:rFonts w:hint="eastAsia" w:ascii="宋体" w:hAnsi="宋体"/>
          <w:sz w:val="28"/>
          <w:lang w:val="zh-CN"/>
        </w:rPr>
      </w:pPr>
    </w:p>
    <w:p w14:paraId="53EF5CF0">
      <w:pPr>
        <w:pStyle w:val="14"/>
        <w:jc w:val="left"/>
        <w:rPr>
          <w:rFonts w:hint="eastAsia" w:ascii="宋体" w:hAnsi="宋体"/>
          <w:sz w:val="28"/>
          <w:lang w:val="zh-CN"/>
        </w:rPr>
      </w:pPr>
    </w:p>
    <w:p w14:paraId="109668AA">
      <w:pPr>
        <w:rPr>
          <w:rFonts w:hint="eastAsia" w:ascii="宋体" w:hAnsi="宋体"/>
          <w:sz w:val="28"/>
          <w:lang w:val="zh-CN"/>
        </w:rPr>
      </w:pPr>
    </w:p>
    <w:p w14:paraId="311D8DF8">
      <w:pPr>
        <w:pStyle w:val="14"/>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4"/>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93" w:name="_Toc325726043"/>
      <w:bookmarkStart w:id="94" w:name="_Toc376936774"/>
      <w:bookmarkStart w:id="95"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4"/>
        <w:rPr>
          <w:rFonts w:hint="eastAsia"/>
          <w:lang w:val="en-US" w:eastAsia="zh-CN"/>
        </w:rPr>
      </w:pPr>
    </w:p>
    <w:p w14:paraId="26062D8E">
      <w:pPr>
        <w:rPr>
          <w:rFonts w:hint="eastAsia"/>
        </w:rPr>
      </w:pPr>
    </w:p>
    <w:p w14:paraId="2B679CF0">
      <w:pPr>
        <w:pStyle w:val="14"/>
        <w:rPr>
          <w:rFonts w:hint="eastAsia"/>
          <w:lang w:val="en-US" w:eastAsia="zh-CN"/>
        </w:rPr>
      </w:pPr>
    </w:p>
    <w:p w14:paraId="752F5A94">
      <w:pPr>
        <w:rPr>
          <w:rFonts w:hint="eastAsia"/>
        </w:rPr>
      </w:pPr>
    </w:p>
    <w:p w14:paraId="79D44397">
      <w:pPr>
        <w:pStyle w:val="14"/>
        <w:rPr>
          <w:rFonts w:hint="eastAsia"/>
          <w:lang w:val="en-US" w:eastAsia="zh-CN"/>
        </w:rPr>
      </w:pPr>
    </w:p>
    <w:p w14:paraId="7A5E098C">
      <w:pPr>
        <w:rPr>
          <w:rFonts w:hint="eastAsia"/>
          <w:lang w:val="en-US" w:eastAsia="zh-CN"/>
        </w:rPr>
      </w:pPr>
    </w:p>
    <w:p w14:paraId="602FFC6F">
      <w:pPr>
        <w:pStyle w:val="14"/>
        <w:jc w:val="left"/>
        <w:rPr>
          <w:rFonts w:hint="eastAsia" w:ascii="宋体" w:hAnsi="宋体"/>
          <w:sz w:val="28"/>
          <w:lang w:val="zh-CN"/>
        </w:rPr>
      </w:pPr>
      <w:bookmarkStart w:id="96" w:name="_Toc15276"/>
      <w:bookmarkStart w:id="97" w:name="_Toc428180582"/>
      <w:bookmarkStart w:id="98" w:name="_Toc20317"/>
    </w:p>
    <w:p w14:paraId="23705CB7">
      <w:pPr>
        <w:pStyle w:val="14"/>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4"/>
        <w:jc w:val="left"/>
        <w:rPr>
          <w:rFonts w:hint="eastAsia" w:ascii="宋体" w:cs="宋体"/>
          <w:b w:val="0"/>
          <w:sz w:val="24"/>
          <w:lang w:val="zh-CN" w:eastAsia="zh-CN"/>
        </w:rPr>
      </w:pPr>
    </w:p>
    <w:p w14:paraId="0BA0D409">
      <w:pPr>
        <w:pStyle w:val="14"/>
        <w:jc w:val="left"/>
        <w:rPr>
          <w:rFonts w:hint="eastAsia"/>
          <w:b w:val="0"/>
          <w:lang w:val="zh-CN" w:eastAsia="zh-CN"/>
        </w:rPr>
      </w:pPr>
      <w:bookmarkStart w:id="99" w:name="_Toc7194"/>
      <w:bookmarkStart w:id="100" w:name="_Toc1565"/>
      <w:bookmarkStart w:id="101" w:name="_Toc3720"/>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4"/>
        <w:jc w:val="left"/>
        <w:rPr>
          <w:rFonts w:hint="eastAsia" w:ascii="宋体" w:hAnsi="宋体"/>
          <w:sz w:val="28"/>
          <w:lang w:val="zh-CN"/>
        </w:rPr>
      </w:pPr>
      <w:bookmarkStart w:id="102" w:name="_Toc428180583"/>
      <w:bookmarkStart w:id="103" w:name="_Toc19581"/>
      <w:bookmarkStart w:id="104" w:name="_Toc428180578"/>
    </w:p>
    <w:p w14:paraId="7E04276C">
      <w:pPr>
        <w:pStyle w:val="14"/>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4"/>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4"/>
        <w:jc w:val="left"/>
        <w:rPr>
          <w:rFonts w:hint="eastAsia" w:ascii="宋体" w:hAnsi="宋体"/>
          <w:sz w:val="28"/>
          <w:lang w:val="zh-CN"/>
        </w:rPr>
      </w:pPr>
      <w:bookmarkStart w:id="106" w:name="_Toc428180584"/>
      <w:bookmarkStart w:id="107" w:name="_Toc25055"/>
    </w:p>
    <w:p w14:paraId="042E3E46">
      <w:pPr>
        <w:pStyle w:val="14"/>
        <w:jc w:val="left"/>
        <w:rPr>
          <w:rFonts w:hint="eastAsia" w:ascii="宋体" w:hAnsi="宋体"/>
          <w:sz w:val="28"/>
          <w:lang w:val="zh-CN"/>
        </w:rPr>
      </w:pPr>
    </w:p>
    <w:p w14:paraId="1686629A">
      <w:pPr>
        <w:pStyle w:val="14"/>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4"/>
        <w:jc w:val="left"/>
        <w:rPr>
          <w:rFonts w:hint="eastAsia" w:ascii="宋体"/>
          <w:b w:val="0"/>
          <w:sz w:val="28"/>
          <w:szCs w:val="28"/>
        </w:rPr>
      </w:pPr>
      <w:bookmarkStart w:id="109" w:name="_Toc9784"/>
      <w:bookmarkStart w:id="110" w:name="_Toc500493805"/>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4"/>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4"/>
        <w:rPr>
          <w:rFonts w:hint="eastAsia"/>
          <w:lang w:val="zh-CN" w:eastAsia="zh-CN"/>
        </w:rPr>
      </w:pPr>
    </w:p>
    <w:p w14:paraId="619EBB44">
      <w:pPr>
        <w:rPr>
          <w:rFonts w:hint="eastAsia"/>
          <w:lang w:val="zh-CN"/>
        </w:rPr>
      </w:pPr>
    </w:p>
    <w:p w14:paraId="01D6B90C">
      <w:pPr>
        <w:pStyle w:val="14"/>
        <w:rPr>
          <w:rFonts w:hint="eastAsia"/>
          <w:lang w:val="zh-CN" w:eastAsia="zh-CN"/>
        </w:rPr>
      </w:pPr>
    </w:p>
    <w:p w14:paraId="548AA338">
      <w:pPr>
        <w:rPr>
          <w:rFonts w:hint="eastAsia"/>
          <w:lang w:val="zh-CN"/>
        </w:rPr>
      </w:pPr>
    </w:p>
    <w:p w14:paraId="7B94B21F">
      <w:pPr>
        <w:pStyle w:val="14"/>
        <w:rPr>
          <w:rFonts w:hint="eastAsia"/>
          <w:lang w:val="zh-CN" w:eastAsia="zh-CN"/>
        </w:rPr>
      </w:pPr>
    </w:p>
    <w:p w14:paraId="717BA6D3">
      <w:pPr>
        <w:pStyle w:val="14"/>
        <w:jc w:val="left"/>
        <w:rPr>
          <w:rFonts w:hint="eastAsia" w:ascii="宋体" w:hAnsi="宋体"/>
          <w:sz w:val="28"/>
          <w:lang w:val="zh-CN"/>
        </w:rPr>
      </w:pPr>
      <w:bookmarkStart w:id="111" w:name="_Toc10149"/>
      <w:bookmarkStart w:id="112" w:name="_Toc500493807"/>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4"/>
        <w:jc w:val="left"/>
        <w:rPr>
          <w:rFonts w:hint="eastAsia" w:ascii="宋体" w:hAnsi="宋体"/>
          <w:sz w:val="28"/>
          <w:lang w:val="zh-CN" w:eastAsia="zh-CN"/>
        </w:rPr>
      </w:pPr>
      <w:bookmarkStart w:id="113" w:name="_Toc432230210"/>
    </w:p>
    <w:p w14:paraId="7F7E73C7">
      <w:pPr>
        <w:pStyle w:val="14"/>
        <w:jc w:val="left"/>
        <w:rPr>
          <w:rFonts w:hint="eastAsia" w:ascii="宋体" w:hAnsi="宋体"/>
          <w:sz w:val="28"/>
          <w:lang w:val="zh-CN" w:eastAsia="zh-CN"/>
        </w:rPr>
      </w:pPr>
    </w:p>
    <w:p w14:paraId="30CF2408">
      <w:pPr>
        <w:rPr>
          <w:rFonts w:hint="eastAsia"/>
          <w:lang w:val="zh-CN"/>
        </w:rPr>
      </w:pPr>
    </w:p>
    <w:p w14:paraId="022AE88E">
      <w:pPr>
        <w:pStyle w:val="14"/>
        <w:rPr>
          <w:rFonts w:hint="eastAsia"/>
          <w:lang w:val="zh-CN" w:eastAsia="zh-CN"/>
        </w:rPr>
      </w:pPr>
    </w:p>
    <w:p w14:paraId="2415B7B5">
      <w:pPr>
        <w:rPr>
          <w:rFonts w:hint="eastAsia"/>
          <w:lang w:val="zh-CN"/>
        </w:rPr>
      </w:pPr>
    </w:p>
    <w:p w14:paraId="28E19E04">
      <w:pPr>
        <w:pStyle w:val="14"/>
        <w:rPr>
          <w:rFonts w:hint="eastAsia"/>
          <w:lang w:val="zh-CN" w:eastAsia="zh-CN"/>
        </w:rPr>
      </w:pPr>
    </w:p>
    <w:p w14:paraId="3DD1C351">
      <w:pPr>
        <w:pStyle w:val="14"/>
        <w:jc w:val="left"/>
        <w:rPr>
          <w:rFonts w:hint="eastAsia" w:ascii="宋体" w:hAnsi="宋体"/>
          <w:sz w:val="28"/>
          <w:lang w:val="zh-CN"/>
        </w:rPr>
      </w:pPr>
    </w:p>
    <w:p w14:paraId="21FFAF2C">
      <w:pPr>
        <w:pStyle w:val="14"/>
        <w:jc w:val="left"/>
        <w:rPr>
          <w:rFonts w:hint="eastAsia" w:ascii="宋体" w:hAnsi="宋体"/>
          <w:sz w:val="28"/>
          <w:lang w:val="zh-CN"/>
        </w:rPr>
      </w:pPr>
      <w:bookmarkStart w:id="114" w:name="_Toc4933"/>
    </w:p>
    <w:p w14:paraId="534C3A7E">
      <w:pPr>
        <w:pStyle w:val="14"/>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FDDBC73">
      <w:pPr>
        <w:autoSpaceDE w:val="0"/>
        <w:autoSpaceDN w:val="0"/>
        <w:adjustRightInd w:val="0"/>
        <w:ind w:firstLine="525" w:firstLineChars="250"/>
        <w:jc w:val="left"/>
        <w:rPr>
          <w:rFonts w:hint="eastAsia" w:ascii="宋体" w:hAnsi="宋体"/>
        </w:rPr>
      </w:pPr>
    </w:p>
    <w:p w14:paraId="4396B05F">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31C2F43A">
      <w:pPr>
        <w:ind w:firstLine="420" w:firstLineChars="200"/>
        <w:rPr>
          <w:rFonts w:hint="eastAsia" w:ascii="宋体" w:hAnsi="宋体"/>
        </w:rPr>
      </w:pPr>
      <w:r>
        <w:rPr>
          <w:rFonts w:hint="eastAsia" w:ascii="宋体" w:hAnsi="宋体"/>
        </w:rPr>
        <w:t>1、①投标人是法人公司的需提供2024年度经第三方审计的财务状况报告或提供基本开户银行出具的近3个月的资信证明。②投标人是其他组织或自然人或2024年度新成立不足1年的企业，没有经审计的财务报告，可以提供基本开户银行出具的近3个月的资信证明。</w:t>
      </w:r>
    </w:p>
    <w:p w14:paraId="72DAF0E4">
      <w:pPr>
        <w:ind w:firstLine="420" w:firstLineChars="200"/>
        <w:rPr>
          <w:rFonts w:hint="eastAsia"/>
        </w:rPr>
      </w:pPr>
      <w:r>
        <w:rPr>
          <w:rFonts w:hint="eastAsia" w:ascii="宋体" w:hAnsi="宋体"/>
        </w:rPr>
        <w:t>2、提供近半年内至今任意一个月企业依法缴纳税收和缴纳职工社会保障资金记录的证明材料；依法免税或不需要缴纳社会保障资金的投标人须提供相应文件证明其依法免税或不需要缴纳社会保障资金。</w:t>
      </w:r>
    </w:p>
    <w:p w14:paraId="337C70D3">
      <w:pPr>
        <w:pStyle w:val="14"/>
        <w:jc w:val="left"/>
        <w:outlineLvl w:val="9"/>
        <w:rPr>
          <w:rFonts w:hint="eastAsia" w:ascii="宋体" w:hAnsi="宋体"/>
          <w:sz w:val="28"/>
          <w:lang w:val="zh-CN" w:eastAsia="zh-CN"/>
        </w:rPr>
      </w:pPr>
    </w:p>
    <w:p w14:paraId="28F81751">
      <w:pPr>
        <w:pStyle w:val="14"/>
        <w:jc w:val="left"/>
        <w:outlineLvl w:val="9"/>
        <w:rPr>
          <w:rFonts w:hint="eastAsia" w:ascii="宋体" w:hAnsi="宋体"/>
          <w:sz w:val="28"/>
          <w:lang w:val="zh-CN" w:eastAsia="zh-CN"/>
        </w:rPr>
      </w:pPr>
    </w:p>
    <w:p w14:paraId="612B506C">
      <w:pPr>
        <w:pStyle w:val="14"/>
        <w:jc w:val="left"/>
        <w:outlineLvl w:val="9"/>
        <w:rPr>
          <w:rFonts w:hint="eastAsia" w:ascii="宋体" w:hAnsi="宋体"/>
          <w:sz w:val="28"/>
          <w:lang w:val="zh-CN" w:eastAsia="zh-CN"/>
        </w:rPr>
      </w:pPr>
    </w:p>
    <w:p w14:paraId="64668CF4">
      <w:pPr>
        <w:pStyle w:val="14"/>
        <w:jc w:val="left"/>
        <w:outlineLvl w:val="9"/>
        <w:rPr>
          <w:rFonts w:hint="eastAsia" w:ascii="宋体" w:hAnsi="宋体"/>
          <w:sz w:val="28"/>
          <w:lang w:val="zh-CN" w:eastAsia="zh-CN"/>
        </w:rPr>
      </w:pPr>
    </w:p>
    <w:p w14:paraId="73FC9D52">
      <w:pPr>
        <w:pStyle w:val="14"/>
        <w:jc w:val="left"/>
        <w:outlineLvl w:val="9"/>
        <w:rPr>
          <w:rFonts w:hint="eastAsia" w:ascii="宋体" w:hAnsi="宋体"/>
          <w:sz w:val="28"/>
          <w:lang w:val="zh-CN" w:eastAsia="zh-CN"/>
        </w:rPr>
      </w:pPr>
    </w:p>
    <w:p w14:paraId="19328234">
      <w:pPr>
        <w:pStyle w:val="14"/>
        <w:jc w:val="left"/>
        <w:outlineLvl w:val="9"/>
        <w:rPr>
          <w:rFonts w:hint="eastAsia" w:ascii="宋体" w:hAnsi="宋体"/>
          <w:sz w:val="28"/>
          <w:lang w:val="zh-CN" w:eastAsia="zh-CN"/>
        </w:rPr>
      </w:pPr>
    </w:p>
    <w:p w14:paraId="47449990">
      <w:pPr>
        <w:pStyle w:val="14"/>
        <w:jc w:val="left"/>
        <w:outlineLvl w:val="9"/>
        <w:rPr>
          <w:rFonts w:hint="eastAsia" w:ascii="宋体" w:hAnsi="宋体"/>
          <w:sz w:val="28"/>
          <w:lang w:val="zh-CN" w:eastAsia="zh-CN"/>
        </w:rPr>
      </w:pPr>
    </w:p>
    <w:p w14:paraId="780DB9B3">
      <w:pPr>
        <w:pStyle w:val="14"/>
        <w:jc w:val="left"/>
        <w:outlineLvl w:val="9"/>
        <w:rPr>
          <w:rFonts w:hint="eastAsia" w:ascii="宋体" w:hAnsi="宋体"/>
          <w:sz w:val="28"/>
          <w:lang w:val="zh-CN" w:eastAsia="zh-CN"/>
        </w:rPr>
      </w:pPr>
    </w:p>
    <w:p w14:paraId="45BDBE85">
      <w:pPr>
        <w:pStyle w:val="14"/>
        <w:jc w:val="left"/>
        <w:outlineLvl w:val="9"/>
        <w:rPr>
          <w:rFonts w:hint="eastAsia" w:ascii="宋体" w:hAnsi="宋体"/>
          <w:sz w:val="28"/>
          <w:lang w:val="zh-CN" w:eastAsia="zh-CN"/>
        </w:rPr>
      </w:pPr>
    </w:p>
    <w:p w14:paraId="4D455BAF">
      <w:pPr>
        <w:rPr>
          <w:rFonts w:hint="eastAsia"/>
          <w:lang w:val="zh-CN"/>
        </w:rPr>
      </w:pPr>
    </w:p>
    <w:p w14:paraId="6A2FB822">
      <w:pPr>
        <w:pStyle w:val="9"/>
        <w:rPr>
          <w:rFonts w:hint="eastAsia"/>
          <w:lang w:val="zh-CN" w:eastAsia="zh-CN"/>
        </w:rPr>
      </w:pPr>
    </w:p>
    <w:p w14:paraId="52B47936">
      <w:pPr>
        <w:pStyle w:val="9"/>
        <w:rPr>
          <w:rFonts w:hint="eastAsia"/>
          <w:lang w:val="zh-CN" w:eastAsia="zh-CN"/>
        </w:rPr>
      </w:pPr>
    </w:p>
    <w:p w14:paraId="2EB6ADB1">
      <w:pPr>
        <w:pStyle w:val="9"/>
        <w:rPr>
          <w:rFonts w:hint="eastAsia"/>
          <w:lang w:val="zh-CN" w:eastAsia="zh-CN"/>
        </w:rPr>
      </w:pPr>
    </w:p>
    <w:p w14:paraId="6890FA0C">
      <w:pPr>
        <w:pStyle w:val="9"/>
        <w:rPr>
          <w:rFonts w:hint="eastAsia"/>
          <w:lang w:val="zh-CN" w:eastAsia="zh-CN"/>
        </w:rPr>
      </w:pPr>
    </w:p>
    <w:p w14:paraId="437B9D65">
      <w:pPr>
        <w:pStyle w:val="9"/>
        <w:rPr>
          <w:rFonts w:hint="eastAsia"/>
          <w:lang w:val="zh-CN" w:eastAsia="zh-CN"/>
        </w:rPr>
      </w:pPr>
    </w:p>
    <w:p w14:paraId="72F40A02">
      <w:pPr>
        <w:pStyle w:val="9"/>
        <w:rPr>
          <w:rFonts w:hint="eastAsia"/>
          <w:lang w:val="zh-CN" w:eastAsia="zh-CN"/>
        </w:rPr>
      </w:pPr>
    </w:p>
    <w:p w14:paraId="31710D69">
      <w:pPr>
        <w:pStyle w:val="9"/>
        <w:rPr>
          <w:rFonts w:hint="eastAsia"/>
          <w:lang w:val="zh-CN" w:eastAsia="zh-CN"/>
        </w:rPr>
      </w:pPr>
    </w:p>
    <w:p w14:paraId="04A6F0F4">
      <w:pPr>
        <w:pStyle w:val="9"/>
        <w:rPr>
          <w:rFonts w:hint="eastAsia"/>
          <w:lang w:val="zh-CN" w:eastAsia="zh-CN"/>
        </w:rPr>
      </w:pPr>
    </w:p>
    <w:p w14:paraId="5F7C8602">
      <w:pPr>
        <w:pStyle w:val="9"/>
        <w:rPr>
          <w:rFonts w:hint="eastAsia"/>
          <w:lang w:val="zh-CN" w:eastAsia="zh-CN"/>
        </w:rPr>
      </w:pPr>
    </w:p>
    <w:p w14:paraId="7DE419D7">
      <w:pPr>
        <w:pStyle w:val="9"/>
        <w:rPr>
          <w:rFonts w:hint="eastAsia"/>
          <w:lang w:val="zh-CN" w:eastAsia="zh-CN"/>
        </w:rPr>
      </w:pPr>
    </w:p>
    <w:p w14:paraId="6557B73D">
      <w:pPr>
        <w:pStyle w:val="9"/>
        <w:rPr>
          <w:rFonts w:hint="eastAsia"/>
          <w:lang w:val="zh-CN" w:eastAsia="zh-CN"/>
        </w:rPr>
      </w:pPr>
    </w:p>
    <w:p w14:paraId="0698419C">
      <w:pPr>
        <w:pStyle w:val="9"/>
        <w:rPr>
          <w:rFonts w:hint="eastAsia"/>
          <w:lang w:val="zh-CN" w:eastAsia="zh-CN"/>
        </w:rPr>
      </w:pPr>
    </w:p>
    <w:p w14:paraId="4BEAC94E">
      <w:pPr>
        <w:pStyle w:val="9"/>
        <w:rPr>
          <w:rFonts w:hint="eastAsia"/>
          <w:lang w:val="zh-CN" w:eastAsia="zh-CN"/>
        </w:rPr>
      </w:pPr>
    </w:p>
    <w:p w14:paraId="717A467C">
      <w:pPr>
        <w:pStyle w:val="9"/>
        <w:rPr>
          <w:rFonts w:hint="eastAsia"/>
          <w:lang w:val="zh-CN" w:eastAsia="zh-CN"/>
        </w:rPr>
      </w:pPr>
    </w:p>
    <w:p w14:paraId="3D6E1B2C">
      <w:pPr>
        <w:pStyle w:val="9"/>
        <w:rPr>
          <w:rFonts w:hint="eastAsia"/>
          <w:lang w:val="zh-CN" w:eastAsia="zh-CN"/>
        </w:rPr>
      </w:pPr>
    </w:p>
    <w:p w14:paraId="1ADA1327">
      <w:pPr>
        <w:rPr>
          <w:rFonts w:hint="eastAsia"/>
          <w:lang w:val="zh-CN" w:eastAsia="zh-CN"/>
        </w:rPr>
      </w:pPr>
    </w:p>
    <w:p w14:paraId="0507B3D3">
      <w:pPr>
        <w:pStyle w:val="4"/>
        <w:rPr>
          <w:rFonts w:hint="eastAsia"/>
          <w:lang w:val="zh-CN" w:eastAsia="zh-CN"/>
        </w:rPr>
      </w:pPr>
    </w:p>
    <w:p w14:paraId="5D64F7E0">
      <w:pPr>
        <w:pStyle w:val="9"/>
        <w:rPr>
          <w:rFonts w:hint="eastAsia"/>
          <w:lang w:val="zh-CN" w:eastAsia="zh-CN"/>
        </w:rPr>
      </w:pPr>
    </w:p>
    <w:p w14:paraId="460F2D00">
      <w:pPr>
        <w:pStyle w:val="9"/>
        <w:rPr>
          <w:rFonts w:hint="eastAsia"/>
          <w:lang w:val="zh-CN" w:eastAsia="zh-CN"/>
        </w:rPr>
      </w:pPr>
    </w:p>
    <w:p w14:paraId="169E0E6A">
      <w:pPr>
        <w:pStyle w:val="14"/>
        <w:jc w:val="left"/>
        <w:rPr>
          <w:rFonts w:ascii="宋体" w:hAnsi="宋体" w:cs="Cambria"/>
          <w:sz w:val="28"/>
        </w:rPr>
      </w:pPr>
      <w:bookmarkStart w:id="115" w:name="_Toc22821"/>
      <w:bookmarkStart w:id="116" w:name="_Toc7832"/>
      <w:bookmarkStart w:id="117" w:name="_Toc17052"/>
      <w:bookmarkStart w:id="118" w:name="_Toc16919"/>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4"/>
        <w:jc w:val="left"/>
        <w:rPr>
          <w:rFonts w:hint="eastAsia" w:ascii="宋体" w:hAnsi="宋体"/>
          <w:sz w:val="28"/>
          <w:lang w:val="zh-CN"/>
        </w:rPr>
      </w:pPr>
      <w:bookmarkStart w:id="119" w:name="_Toc24643"/>
    </w:p>
    <w:p w14:paraId="592785E5">
      <w:pPr>
        <w:pStyle w:val="14"/>
        <w:jc w:val="left"/>
        <w:rPr>
          <w:rFonts w:hint="eastAsia" w:ascii="宋体" w:hAnsi="宋体"/>
          <w:sz w:val="28"/>
          <w:lang w:val="zh-CN" w:eastAsia="zh-CN"/>
        </w:rPr>
      </w:pPr>
    </w:p>
    <w:p w14:paraId="40253801">
      <w:pPr>
        <w:rPr>
          <w:rFonts w:hint="eastAsia"/>
          <w:lang w:val="zh-CN"/>
        </w:rPr>
      </w:pPr>
    </w:p>
    <w:p w14:paraId="297F4839">
      <w:pPr>
        <w:pStyle w:val="14"/>
        <w:rPr>
          <w:rFonts w:hint="eastAsia"/>
          <w:lang w:val="zh-CN" w:eastAsia="zh-CN"/>
        </w:rPr>
      </w:pPr>
    </w:p>
    <w:p w14:paraId="04F2137C">
      <w:pPr>
        <w:rPr>
          <w:rFonts w:hint="eastAsia"/>
          <w:lang w:val="zh-CN"/>
        </w:rPr>
      </w:pPr>
    </w:p>
    <w:p w14:paraId="3179F92A">
      <w:pPr>
        <w:pStyle w:val="14"/>
        <w:rPr>
          <w:rFonts w:hint="eastAsia"/>
          <w:lang w:val="zh-CN" w:eastAsia="zh-CN"/>
        </w:rPr>
      </w:pPr>
    </w:p>
    <w:p w14:paraId="1F68E86B">
      <w:pPr>
        <w:rPr>
          <w:rFonts w:hint="eastAsia"/>
          <w:lang w:val="zh-CN"/>
        </w:rPr>
      </w:pPr>
    </w:p>
    <w:p w14:paraId="541F6D11">
      <w:pPr>
        <w:pStyle w:val="14"/>
        <w:rPr>
          <w:rFonts w:hint="eastAsia"/>
          <w:lang w:val="zh-CN" w:eastAsia="zh-CN"/>
        </w:rPr>
      </w:pPr>
    </w:p>
    <w:p w14:paraId="6E914BAE">
      <w:pPr>
        <w:rPr>
          <w:rFonts w:hint="eastAsia"/>
          <w:lang w:val="zh-CN"/>
        </w:rPr>
      </w:pPr>
    </w:p>
    <w:p w14:paraId="11D2180A">
      <w:pPr>
        <w:pStyle w:val="14"/>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4"/>
        <w:rPr>
          <w:rFonts w:hint="eastAsia"/>
          <w:lang w:val="zh-CN" w:eastAsia="zh-CN"/>
        </w:rPr>
      </w:pPr>
    </w:p>
    <w:p w14:paraId="384550FD">
      <w:pPr>
        <w:rPr>
          <w:rFonts w:hint="eastAsia"/>
          <w:lang w:val="zh-CN"/>
        </w:rPr>
      </w:pPr>
    </w:p>
    <w:p w14:paraId="5EB8C96B">
      <w:pPr>
        <w:pStyle w:val="14"/>
        <w:rPr>
          <w:rFonts w:hint="eastAsia"/>
          <w:lang w:val="zh-CN" w:eastAsia="zh-CN"/>
        </w:rPr>
      </w:pPr>
    </w:p>
    <w:p w14:paraId="26417A0D">
      <w:pPr>
        <w:rPr>
          <w:rFonts w:hint="eastAsia"/>
          <w:lang w:val="zh-CN"/>
        </w:rPr>
      </w:pPr>
    </w:p>
    <w:p w14:paraId="30D435B4">
      <w:pPr>
        <w:rPr>
          <w:lang w:val="zh-CN"/>
        </w:rPr>
      </w:pPr>
    </w:p>
    <w:p w14:paraId="45D71440">
      <w:pPr>
        <w:pStyle w:val="14"/>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2"/>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8"/>
        <w:spacing w:line="300" w:lineRule="exact"/>
        <w:ind w:firstLine="480"/>
        <w:rPr>
          <w:rFonts w:ascii="宋体" w:hAnsi="宋体" w:cs="Cambria"/>
          <w:b/>
          <w:bCs/>
          <w:sz w:val="28"/>
        </w:rPr>
      </w:pPr>
      <w:r>
        <w:rPr>
          <w:sz w:val="24"/>
          <w:lang w:val="zh-CN"/>
        </w:rPr>
        <w:br w:type="page"/>
      </w:r>
      <w:bookmarkStart w:id="124" w:name="_Toc7495"/>
      <w:bookmarkStart w:id="125"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5"/>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2"/>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4"/>
        <w:jc w:val="left"/>
        <w:rPr>
          <w:rFonts w:hint="eastAsia" w:ascii="宋体" w:hAnsi="宋体"/>
          <w:sz w:val="28"/>
          <w:lang w:val="zh-CN"/>
        </w:rPr>
      </w:pPr>
    </w:p>
    <w:p w14:paraId="484B1F31">
      <w:pPr>
        <w:pStyle w:val="14"/>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0748C1E">
      <w:pPr>
        <w:pStyle w:val="14"/>
        <w:jc w:val="left"/>
        <w:rPr>
          <w:rFonts w:hint="eastAsia" w:ascii="宋体" w:hAnsi="宋体"/>
          <w:color w:val="0000FF"/>
          <w:sz w:val="28"/>
          <w:lang w:val="zh-CN"/>
        </w:rPr>
      </w:pPr>
      <w:bookmarkStart w:id="127" w:name="_Toc20003"/>
    </w:p>
    <w:p w14:paraId="115EE12D">
      <w:pPr>
        <w:pStyle w:val="14"/>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2"/>
        <w:numPr>
          <w:ilvl w:val="0"/>
          <w:numId w:val="1"/>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2"/>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4"/>
        <w:jc w:val="left"/>
        <w:rPr>
          <w:rFonts w:hint="eastAsia" w:ascii="宋体" w:hAnsi="宋体"/>
          <w:color w:val="0000FF"/>
          <w:sz w:val="28"/>
          <w:lang w:val="zh-CN"/>
        </w:rPr>
      </w:pPr>
      <w:bookmarkStart w:id="128" w:name="_Toc1913"/>
      <w:bookmarkStart w:id="129" w:name="_Toc28514"/>
      <w:bookmarkStart w:id="130" w:name="_Toc11579"/>
      <w:bookmarkStart w:id="131" w:name="_Toc29240"/>
      <w:bookmarkStart w:id="132" w:name="_Toc428180585"/>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4"/>
        <w:jc w:val="left"/>
        <w:rPr>
          <w:rFonts w:hint="eastAsia" w:ascii="宋体" w:hAnsi="宋体"/>
          <w:sz w:val="28"/>
          <w:lang w:val="zh-CN"/>
        </w:rPr>
      </w:pPr>
    </w:p>
    <w:p w14:paraId="44E5F9E7">
      <w:pPr>
        <w:pStyle w:val="14"/>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4"/>
        <w:rPr>
          <w:rFonts w:hint="eastAsia"/>
          <w:lang w:val="zh-CN" w:eastAsia="zh-CN"/>
        </w:rPr>
      </w:pPr>
    </w:p>
    <w:p w14:paraId="041925B0">
      <w:pPr>
        <w:rPr>
          <w:rFonts w:hint="eastAsia"/>
          <w:lang w:val="zh-CN"/>
        </w:rPr>
      </w:pPr>
    </w:p>
    <w:p w14:paraId="365315C3">
      <w:pPr>
        <w:pStyle w:val="14"/>
        <w:rPr>
          <w:lang w:val="zh-CN" w:eastAsia="zh-CN"/>
        </w:rPr>
      </w:pPr>
    </w:p>
    <w:p w14:paraId="515160B8">
      <w:pPr>
        <w:pStyle w:val="14"/>
        <w:jc w:val="left"/>
        <w:rPr>
          <w:rFonts w:ascii="宋体" w:hAnsi="宋体" w:cs="Cambria"/>
          <w:sz w:val="32"/>
        </w:rPr>
      </w:pPr>
      <w:bookmarkStart w:id="134" w:name="_Toc17068"/>
      <w:bookmarkStart w:id="135" w:name="_Toc428180587"/>
      <w:bookmarkStart w:id="136" w:name="_Toc15321"/>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4"/>
        <w:rPr>
          <w:rFonts w:hint="eastAsia"/>
          <w:lang w:val="zh-CN" w:eastAsia="zh-CN"/>
        </w:rPr>
      </w:pPr>
    </w:p>
    <w:p w14:paraId="1707E319">
      <w:pPr>
        <w:rPr>
          <w:lang w:val="zh-CN"/>
        </w:rPr>
      </w:pPr>
    </w:p>
    <w:p w14:paraId="106DCBF1">
      <w:pPr>
        <w:pStyle w:val="14"/>
        <w:jc w:val="left"/>
        <w:rPr>
          <w:rFonts w:ascii="宋体" w:hAnsi="宋体" w:cs="Cambria"/>
          <w:sz w:val="28"/>
        </w:rPr>
      </w:pPr>
      <w:bookmarkStart w:id="137" w:name="_Toc10567"/>
      <w:bookmarkStart w:id="138" w:name="_Toc9914"/>
      <w:bookmarkStart w:id="139" w:name="_Toc428180591"/>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en-US" w:eastAsia="zh-CN"/>
        </w:rPr>
        <w:t>2022年</w:t>
      </w:r>
      <w:r>
        <w:rPr>
          <w:rFonts w:hint="eastAsia" w:ascii="宋体" w:hAnsi="Cambria" w:cs="宋体"/>
          <w:kern w:val="0"/>
          <w:sz w:val="24"/>
          <w:u w:val="none"/>
          <w:lang w:val="en-US" w:eastAsia="zh-CN"/>
        </w:rPr>
        <w:t>以来</w:t>
      </w:r>
      <w:r>
        <w:rPr>
          <w:rFonts w:hint="eastAsia" w:ascii="宋体" w:hAnsi="Cambria" w:cs="宋体"/>
          <w:kern w:val="0"/>
          <w:sz w:val="24"/>
          <w:lang w:val="zh-CN"/>
        </w:rPr>
        <w:t>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4"/>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428180592"/>
      <w:bookmarkStart w:id="141" w:name="_Toc22269"/>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2"/>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2"/>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4"/>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9"/>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9"/>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9"/>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9"/>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9"/>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9"/>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9"/>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9"/>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9"/>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4"/>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3"/>
      <w:bookmarkStart w:id="144" w:name="OLE_LINK14"/>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4"/>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4"/>
        <w:jc w:val="left"/>
        <w:rPr>
          <w:rFonts w:ascii="宋体" w:hAnsi="宋体" w:cs="Cambria"/>
          <w:sz w:val="32"/>
        </w:rPr>
      </w:pPr>
      <w:bookmarkStart w:id="146" w:name="_Toc8017"/>
      <w:bookmarkStart w:id="147" w:name="_Toc11535"/>
      <w:bookmarkStart w:id="148" w:name="_Toc428180593"/>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4"/>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2476"/>
      <w:bookmarkStart w:id="150" w:name="_Toc428180594"/>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p w14:paraId="68E631ED">
      <w:pPr>
        <w:sectPr>
          <w:headerReference r:id="rId5" w:type="default"/>
          <w:footerReference r:id="rId6" w:type="default"/>
          <w:pgSz w:w="11906" w:h="16838"/>
          <w:pgMar w:top="1020" w:right="1134" w:bottom="1020" w:left="1020" w:header="851" w:footer="850" w:gutter="0"/>
          <w:cols w:space="720" w:num="1"/>
          <w:rtlGutter w:val="0"/>
          <w:docGrid w:linePitch="312" w:charSpace="0"/>
        </w:sectPr>
      </w:pPr>
      <w:r>
        <w:br w:type="page"/>
      </w:r>
    </w:p>
    <w:tbl>
      <w:tblPr>
        <w:tblStyle w:val="15"/>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530"/>
        <w:gridCol w:w="6910"/>
        <w:gridCol w:w="610"/>
        <w:gridCol w:w="640"/>
      </w:tblGrid>
      <w:tr w14:paraId="3552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290"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69C151A0">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新建西宁市第八中学标准化考场项目</w:t>
            </w:r>
          </w:p>
        </w:tc>
      </w:tr>
      <w:tr w14:paraId="28E5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6FBAF48">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序号</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607E08C">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名称</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96ED960">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技术参数及配置</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84651E5">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数量</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9D7D7E">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单位</w:t>
            </w:r>
          </w:p>
        </w:tc>
      </w:tr>
      <w:tr w14:paraId="7FF2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130"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6456E9B7">
            <w:pPr>
              <w:spacing w:beforeLines="0" w:afterLines="0"/>
              <w:jc w:val="left"/>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网上巡查</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1ACC9138">
            <w:pPr>
              <w:spacing w:beforeLines="0" w:afterLines="0"/>
              <w:jc w:val="right"/>
              <w:rPr>
                <w:rFonts w:hint="eastAsia" w:ascii="宋体" w:hAnsi="宋体" w:eastAsia="宋体" w:cs="Times New Roman"/>
                <w:color w:val="000000"/>
                <w:sz w:val="18"/>
                <w:szCs w:val="24"/>
              </w:rPr>
            </w:pP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top"/>
          </w:tcPr>
          <w:p w14:paraId="53A99A5F">
            <w:pPr>
              <w:spacing w:beforeLines="0" w:afterLines="0"/>
              <w:jc w:val="right"/>
              <w:rPr>
                <w:rFonts w:hint="eastAsia" w:ascii="宋体" w:hAnsi="宋体" w:eastAsia="宋体" w:cs="Times New Roman"/>
                <w:color w:val="000000"/>
                <w:sz w:val="18"/>
                <w:szCs w:val="24"/>
              </w:rPr>
            </w:pP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top"/>
          </w:tcPr>
          <w:p w14:paraId="5F39A973">
            <w:pPr>
              <w:spacing w:beforeLines="0" w:afterLines="0"/>
              <w:jc w:val="right"/>
              <w:rPr>
                <w:rFonts w:hint="eastAsia" w:ascii="宋体" w:hAnsi="宋体" w:eastAsia="宋体" w:cs="Times New Roman"/>
                <w:color w:val="000000"/>
                <w:sz w:val="18"/>
                <w:szCs w:val="24"/>
              </w:rPr>
            </w:pPr>
          </w:p>
        </w:tc>
      </w:tr>
      <w:tr w14:paraId="46BE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8A2770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EA65406">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高清SIP转发管理三合一平台</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921A6A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1.要求符合《国家教育考试网上巡查系统视频标准技术规范（2017版）》相关技术规范；要求支持标准SIP协议；SIP URI地址解析；</w:t>
            </w:r>
          </w:p>
          <w:p w14:paraId="2A488FB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2.基本参数的设置，具备跨级管理、上级SIP参数、本级SIP参数、转发参数、端口等设置；</w:t>
            </w:r>
          </w:p>
          <w:p w14:paraId="59B972D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3.采用基于B/S架构的管理模式；查看系统内设备的在线信息；</w:t>
            </w:r>
          </w:p>
          <w:p w14:paraId="45BC6CD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4.支持SIP代理功能，信令转发和路由；</w:t>
            </w:r>
          </w:p>
          <w:p w14:paraId="72CA5B9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5.支持SIP向上级的主动注册与多级注册管理；支持远程运维功能；</w:t>
            </w:r>
          </w:p>
          <w:p w14:paraId="2412DDB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6.支持IP、UDP、RTP、RTCP、SIP、TCP/IP、DHCP、PPPOE等网络协议；</w:t>
            </w:r>
          </w:p>
          <w:p w14:paraId="718287D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7.支持下级设备数据同步到上级机构；支持学校机构考前准备，包括考试计划接收、参数设置；支持设备主动注册到管理平台进行设备管理的功能；支持级联拉流时，支持从存储平台或IPC取流后再上传功能；</w:t>
            </w:r>
          </w:p>
          <w:p w14:paraId="1D0FEB3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8.要求与青海省教育指挥中心、西宁市教育指挥中心、学校指挥平台无缝对接。（提供对接承诺函）</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A198A6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DA4D1F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705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FDB418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CBB4F38">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标考网络流媒体存储平台</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50EF61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1.符合《国家教育考试网上巡查系统视频标准技术规范（2017版）》相关技术规范；</w:t>
            </w:r>
          </w:p>
          <w:p w14:paraId="60550FC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2.支持≥64路网络视频接入；要求支持视频回放；要求支持1080p; 960p; 720p; D1; CIF; QCIF IPC分辨率接入；</w:t>
            </w:r>
          </w:p>
          <w:p w14:paraId="541DB08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3.支持≥16个内置SATA接口，单盘最大容量支持≥4TB，可配置成单盘，支持Raid0、Raid1、Raid5、Raid6、Raid10、JBOD等各种数据保护模式，主机配置：≥4TB*4块硬盘；</w:t>
            </w:r>
          </w:p>
          <w:p w14:paraId="42F9F41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4.支持4个≥2500Mbps以太网口，实现数据链路冗余；</w:t>
            </w:r>
          </w:p>
          <w:p w14:paraId="48179BE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5.支持≥2路VGA输出，≥4路HDMI输出；</w:t>
            </w:r>
          </w:p>
          <w:p w14:paraId="24F9B88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6.支持IPv4、IPv6、HTTP、UPnP、NTP、 RTSP、SADP、SNMP、ONVIF等网络协议；</w:t>
            </w:r>
          </w:p>
          <w:p w14:paraId="51D6A54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7.支持外接USB存储设备方式录像下载；</w:t>
            </w:r>
          </w:p>
          <w:p w14:paraId="4AC89AC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8.支持盘组管理功能，实现视频录像的定向存储；支持配额管理功能，实现按通道分配录像天数进行存储。</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CBFC53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D33ADE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4413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176AFC4">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F806504">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视讯指挥终端</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7371CF1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1.内置镜头：内置≥1080P30fps高清摄像头，支持≥12倍光学变焦；</w:t>
            </w:r>
          </w:p>
          <w:p w14:paraId="1975CA6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2.视频标准：支持H.265、H.264等编码格式；</w:t>
            </w:r>
          </w:p>
          <w:p w14:paraId="2DFB915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 xml:space="preserve">3. 视频接口：≥1路内置摄像机输入、≥1路VGA输入、≥1路HDMI输入，≥2路HDMI高清视频输出； </w:t>
            </w:r>
          </w:p>
          <w:p w14:paraId="3BD948C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4.音频标准：支持AAC-LC、G.719、G.711a、G.711u、G.722等编码格式；</w:t>
            </w:r>
          </w:p>
          <w:p w14:paraId="0EFB2CF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5.音频接口：提供≥3路音频输入接口，≥2路音频输出接口；</w:t>
            </w:r>
          </w:p>
          <w:p w14:paraId="3498854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6.会议带宽：IP线路下，会议速率： 64Kbps—8Mbps；</w:t>
            </w:r>
          </w:p>
          <w:p w14:paraId="454BE36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7.自主组会：终端可自主发起多点会议，通过地址本选取会场发起会议；</w:t>
            </w:r>
          </w:p>
          <w:p w14:paraId="777EC0C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主持人会控：支持主持人会控功能，被指定为主持人后能够实现点名发言、添加/删除会场、静闭音、邀请终端入会、强制终端退会、切换参会者终端语音/视频会议、设为大画面、设为焦点会场、远程遥控终端、结束会议、会议设置等功能；</w:t>
            </w:r>
          </w:p>
          <w:p w14:paraId="7C1177A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9.WEB管理：支持通过WEB端对终端进行会议管理、web登录密码修改、系统日志/网络诊断、SIP/H323模块诊断、远程控制终端、设备远程关机/重启；</w:t>
            </w:r>
          </w:p>
          <w:p w14:paraId="507F4B9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10.网口：具备≥1个10/100/1000M以太网接口；</w:t>
            </w:r>
          </w:p>
          <w:p w14:paraId="4B8ADA1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11.安装方式：支持正装、倒装；</w:t>
            </w:r>
          </w:p>
          <w:p w14:paraId="0BF5CC9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12.要求与青海省教育指挥中心、西宁市教育指挥中心、学校指挥平台无缝对接；（提供对接承诺函）。</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6BAA05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084ECC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30A9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071489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BF788CC">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智能视频监考软件</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137D90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1.支持1/4/9/16画面；支持视频截图、录像和回放功能，记录自动保存在本地；</w:t>
            </w:r>
          </w:p>
          <w:p w14:paraId="594B63C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2.支持即时轮巡、计划轮巡两种轮巡模式；支持对通道状态的使用中实时记录。</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CCCBD09">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930ACD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套</w:t>
            </w:r>
          </w:p>
        </w:tc>
      </w:tr>
      <w:tr w14:paraId="4620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48F152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B8FC894">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大屏中控管理平台软件</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365A6CB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1.符合《国家教育考试网上巡查系统视频标准技术规范（2017版）》相关技术规范；</w:t>
            </w:r>
          </w:p>
          <w:p w14:paraId="0BAB01B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2.支持灵活的屏幕、窗口控制特性；支持输出屏幕的自由绑定、自由开窗、窗口放缩融合拼接等功能；支持远程控制解码和管理平台对音视频图像以及编码图像的上墙解码和管理；</w:t>
            </w:r>
          </w:p>
          <w:p w14:paraId="4A365AC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3.分屏方式：支持控制电视墙1分屏、4分屏、6分屏、8分屏、9分屏、16分屏多种模式；</w:t>
            </w:r>
          </w:p>
          <w:p w14:paraId="1B31AB9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4.画面轮巡：支持设置多种自定义的轮巡设置；</w:t>
            </w:r>
          </w:p>
          <w:p w14:paraId="105C0CA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5.轮巡模式：独立轮巡和组合轮巡，同步轮巡和异步轮巡，定点轮巡和定长轮巡。</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D0912D4">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862535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6E84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96DDC8B">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E82046D">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大屏中控管理主机</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BB6261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CPU：≥8核8线程，性能主频≥2.7GHz；≥16GB DDR4 内存；≥512G SSD 硬盘；</w:t>
            </w:r>
          </w:p>
          <w:p w14:paraId="292142E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独立显卡，显存≥4GB；≥1个千兆RJ45 网口；集成声卡芯片；键盘/鼠标：有线USB键盘/鼠标；显示器：≥23.8寸窄边框显示器；支持 UOS/KOS/WIN10 操作系统、支持双系统。</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04BF744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664DC8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426B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8E71FC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1D9D52B">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液晶监视器</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D877EEB">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面板尺寸：≥55英寸；亮度：≥380cd/m²；信号输入：≥ HDMI 2.0×3、≥ USB 2.0×1、≥ AV×1。</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718DB7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B9D54C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DDB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664A0E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03DEFDA">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电视墙服务器</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1A6F631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1.符合《国家教育考试网上巡查系统视频标准技术规范（2017版）》相关技术规范；支持模拟、数字视频信号的输入和矩阵输出；支持300W/500W/800W/1200W解码；</w:t>
            </w:r>
          </w:p>
          <w:p w14:paraId="19D1219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2.采用H.264或MPEG4视频压缩标准，支持双码流技术，可变码流，支持复合流和视频流编码，且音频和视频同步；</w:t>
            </w:r>
          </w:p>
          <w:p w14:paraId="78BA5D1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3.满配支持≥80路3840*2160@30fps/320路1080p@30fps及以下标清视频解码能力；</w:t>
            </w:r>
          </w:p>
          <w:p w14:paraId="434FF9F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4.支持解码H.265/H264/MPEG4，H.265的1080P解码输出；支持1/4/9/16等画面分割显示，支持自由分割；支持液晶屏/DLP屏/小间距LED屏显示；支持高清全景拼接；</w:t>
            </w:r>
          </w:p>
          <w:p w14:paraId="39D7F3D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5.支持TCP/IP协议，支持RTP/RTSP/RTCP/TCP/UDP/DHCP等网络协议；</w:t>
            </w:r>
          </w:p>
          <w:p w14:paraId="5A7B82C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6.支持远程控制模拟、数字视频切换上墙。</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31A063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637E34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47FE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DBD10D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9</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292D456">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红外高清半球摄像机</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AB86E0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1.符合《国家教育考试网上巡查系统视频标准技术规范（2017版）》相关技术规范；</w:t>
            </w:r>
          </w:p>
          <w:p w14:paraId="3562F91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2.采用≥200万像素1/2.8英寸CMOS图像传感器；</w:t>
            </w:r>
          </w:p>
          <w:p w14:paraId="5CCF13A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3.可输出≥200万（1920×1080）@25fps；</w:t>
            </w:r>
          </w:p>
          <w:p w14:paraId="1F0CF97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4.支持ROI，SMART H.264/H.265，灵活编码；支持DC12V/POE供电方式。</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5FC9D6B">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33</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2AD30F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3F9F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75CEB8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10</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BAB098B">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电源适配器</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7011FF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摄像头电源12V。</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EC023A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33</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893CBA1">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个</w:t>
            </w:r>
          </w:p>
        </w:tc>
      </w:tr>
      <w:tr w14:paraId="0752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92F56B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55E633B">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全向拾音器</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477A5B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1.采用镀银咪头，10-30平方米内高保真、高灵敏、噪音低；内置DSP数字处理单元；</w:t>
            </w:r>
          </w:p>
          <w:p w14:paraId="240FF24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2.表面网状结构，配合内凹式声音反射腔。</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A93E3B9">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33</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DB2AC4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个</w:t>
            </w:r>
          </w:p>
        </w:tc>
      </w:tr>
      <w:tr w14:paraId="11FD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46E8919">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12</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4753E14">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红外高清球型摄像机</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2E99FBF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1.符合《国家教育考试网上巡查系统视频标准技术规范（2017版）》相关技术规范；</w:t>
            </w:r>
          </w:p>
          <w:p w14:paraId="190C336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支持≥20倍光学变倍，≥16倍数字变倍；支持H.265编码，实现超低码流传输；</w:t>
            </w:r>
          </w:p>
          <w:p w14:paraId="0723C7F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2.采用≥200万像素1/2.8英寸CMOS传感器。</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AC9050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A387E1B">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51E5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953D38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13</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5106A68">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屏蔽终端</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8BAD74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1.阻断工作、频率范围：30MHz-5850MHz；</w:t>
            </w:r>
          </w:p>
          <w:p w14:paraId="7B56CF3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2.侦测引导阻断频率范围：无缝覆盖30MHz-3000MHz；</w:t>
            </w:r>
          </w:p>
          <w:p w14:paraId="08817ED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3.手机屏蔽频段（当地环境手机基站＞300米时，通过频谱仪测量的信号强度2G/3G/4G/5G） 并保持在两分钟以上的最大值≤-65dBm，5G最大值≤-75dBm，可有效屏蔽2G电信/移动/联通、3G移动/电信/联通、4G联通/电信/移动、5G移动/联通/电信、5G室内；</w:t>
            </w:r>
          </w:p>
          <w:p w14:paraId="0AEF1E5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5.阻断方式：对侦测引导阻断频率范围内的专业作弊信号，采用侦测引导阻断方式，对专业作弊信号频点实现点对点的精准阻断，对2G/3G/4G/5G各种制式的手机信号和蓝牙/WIFI信号采用直接阻断方式；</w:t>
            </w:r>
          </w:p>
          <w:p w14:paraId="3ACB658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5.并发阻断能力：专业作弊信号（手机信号/WIFI/蓝牙信号通道除外）支持≥22路并发阻断；</w:t>
            </w:r>
          </w:p>
          <w:p w14:paraId="619BF72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6.批量升级：支持通过管理平台对屏蔽终端软件进行一键式集中批量升级；</w:t>
            </w:r>
          </w:p>
          <w:p w14:paraId="4C594DC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考试计划：可根据考点级管理平台的考试计划，在考试计划时间开始时系统自动进入工作状态，考试计划时间结束时系统自动停止工作，提供考前、考中及考后自动工作模式，实现无人值守式管理，也可支持手动操作；</w:t>
            </w:r>
          </w:p>
          <w:p w14:paraId="0FD1D1A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8.数据接口：≥1个RJ45接口，支持与考点级管理平台及侦测服务器组网；</w:t>
            </w:r>
          </w:p>
          <w:p w14:paraId="6C7DE56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9.可靠性：MTBF≥3000小时。</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D7C093D">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25</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ABC2074">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6BA5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00A4B7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14</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8064063">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侦测服务器</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9C079E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1.侦测频率范围：无缝覆盖30MHz-3000MHz；</w:t>
            </w:r>
          </w:p>
          <w:p w14:paraId="0D7B049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2.侦测引导阻断频率范围：无缝覆盖30MHz-3000MHz；</w:t>
            </w:r>
          </w:p>
          <w:p w14:paraId="001DDCC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3.工作模式：支持无人值守式侦测引导阻断工作模式，可完成无线电信号实时侦测、可疑信号自动采集还原和自动引导阻断；</w:t>
            </w:r>
          </w:p>
          <w:p w14:paraId="3A2E5E1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4.黑白名单：可手动设置黑白名单，也可接收考点级管理平台下发的黑白名单库，在黑名单频点/频段上作弊信号出现时优先发射阻断信号；在白名单频点/频段上不主动发射阻断信号，不干扰其正常通信；</w:t>
            </w:r>
          </w:p>
          <w:p w14:paraId="73978BEB">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考试计划：可手动设置考试计划，也可接收考点级管理平台下发的考试计划，在考试计划时间开始时系统自动进入工作状态，考试计划时间结束时系统自动停止工作，提供考前、考中及考后自动工作模式，实现无人值守式管理，也可支持手动操作；</w:t>
            </w:r>
          </w:p>
          <w:p w14:paraId="794D1C8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6.数据接口：≥1个RJ45接口，支持与考点级管理平台及高科技屏蔽终端组网；</w:t>
            </w:r>
          </w:p>
          <w:p w14:paraId="43845A9B">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7.可靠性：MTBF≥3000小时；</w:t>
            </w:r>
          </w:p>
          <w:p w14:paraId="55E2E12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8.CPU≥2.5GHz，DDR5内存≥8G，硬盘≥2TB，含馈线防雷器、盘锥天线、同轴馈线等配件。</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487FBA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6E5438B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35FA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0F280B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15</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3D80F10">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作弊防控管理平台</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0F4DAE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1.作弊信号展示：可统计本次考试作弊信号频点分布情况并进行展示；</w:t>
            </w:r>
          </w:p>
          <w:p w14:paraId="61267F9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2.设备状态查看：可对系统设备的运行状态、开关状态、网络情况等信息进行查看；</w:t>
            </w:r>
          </w:p>
          <w:p w14:paraId="2D82CD0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3.黑白名单：在专业作弊信号频段内，可任意设置黑白名单频点/频段，在黑名单频点/频段上作弊信号出现时优先发射阻断信号，在白名单频点/频段上不主动发射阻断信号，不干扰其正常通信；</w:t>
            </w:r>
          </w:p>
          <w:p w14:paraId="47464F3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4.黑白名单同步：各级管理平台之间和黑白名单能够进行同步；</w:t>
            </w:r>
          </w:p>
          <w:p w14:paraId="325A620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5.考试计划：可设置考试计划，在考试计划时间开始时系统自动进入工作状态，考试计划时间结束时系统自动停止工作，提供考前、考中及考后自动工作模式，实现无人值守式管理；</w:t>
            </w:r>
          </w:p>
          <w:p w14:paraId="69754B7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6.考试计划同步： 考试计划能够集中管理，各级管理平台之间考试计划能够进行同步；</w:t>
            </w:r>
          </w:p>
          <w:p w14:paraId="29FEE38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7.集中控制：支持对系统设备进行集中调试、查看和管理；</w:t>
            </w:r>
          </w:p>
          <w:p w14:paraId="0F83A23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8.与上级对接：可根据上级管理平台（如省级管理平台）的要求，开发数据接口，自动下载考试计划、黑白名单等，并上传作弊信号信息结果；</w:t>
            </w:r>
          </w:p>
          <w:p w14:paraId="6B30FD8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9.数据接口：≥1个RJ45接口，支持与侦测服务器及高科技屏蔽终端组网；</w:t>
            </w:r>
          </w:p>
          <w:p w14:paraId="6E734D5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10.可靠性：MTBF≥3000小时；</w:t>
            </w:r>
          </w:p>
          <w:p w14:paraId="2B6845E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11.要求与青海省省级综合考试考务指挥管理平台的作弊防控管理平台无缝对接，并提供对接承诺函（提供对接承诺函）。</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AC37B1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F41980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551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6A2DA9">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16</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C2FDA">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智能型手机探测门</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63E2142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安检门能够检测手机、具有录像、拍照和通话功能的电子智能设备、无线电接收设备等考试违禁物品；能排除人员正常着装上的金属拉链、腰带、眼镜、打火机、硬币、磁铁、内衣等物品的干扰，对此类贴身日常物品不报警；</w:t>
            </w:r>
          </w:p>
          <w:p w14:paraId="0173885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2.安检门自带前后双≥29英寸LCD显示屏并可以自由配置屏幕显示内容和位置；</w:t>
            </w:r>
          </w:p>
          <w:p w14:paraId="21915C1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3.安检门支持通过网络进行集中控制，具备远程参数调整、远程诊断以及报警等相关数据存储的功能；</w:t>
            </w:r>
          </w:p>
          <w:p w14:paraId="100248A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4.安检门能实现本地化维护与设置，现场使用人员可通过授权进行参数的设置和调试；</w:t>
            </w:r>
          </w:p>
          <w:p w14:paraId="537F612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安检门应具有较高检测效率和较低误报率，被检人员携带手机（开机、关机、待机、移除SIM卡、移除电池、用铝箔包裹状态下）和电子手表，藏匿于帽子内、后腰部、大腿内侧、小腿内侧、脚踝内侧,通过安检门时，应能声光报警，手机检出率≥99%，应能够在屏幕显示物品大致所在位置，应支持检出并显示多个手机，人员携机械手表、首饰、金属纽扣、钥匙、腰带、文具袋、钢尺、圆规等日常金属用品不报警，误报率≤5%；</w:t>
            </w:r>
          </w:p>
          <w:p w14:paraId="126A224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6.设备报警声音调及音量应可调节；能区别两台相邻金属门的报警；设备可根据被检测违禁物品的金属磁感应量的不同发出不同的音量和音调，设置最大声强时，音量≥105dB；</w:t>
            </w:r>
          </w:p>
          <w:p w14:paraId="5166D73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7.为保证考试期间多台设备工作稳定性，当多台设备按照间距≥80cm并排安置时，均能独立正常工作，且相互不干扰；</w:t>
            </w:r>
          </w:p>
          <w:p w14:paraId="5C2B50D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8.设备应具备信息发布功能，设备显示屏应能够接收远程客户端发布的信息内容，内容包括但不限于图片，音频、视频、滚动字幕、实时监控画面；</w:t>
            </w:r>
          </w:p>
          <w:p w14:paraId="4873007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9.当应报警物品进入探测区＜0.5秒内，智能安检门应发出报警指示，此测试物离开探测区后报警指示延续应≤1秒；</w:t>
            </w:r>
          </w:p>
          <w:p w14:paraId="303976B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10.为保证考试期间通行效率，设备应能够快速启动，从上电到可检测手机并发出声光报警时间≤3秒；</w:t>
            </w:r>
          </w:p>
          <w:p w14:paraId="11B5AEC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11.可集成符合《国家教育考试网上巡查系统视频标准技术规范（2017版）》（JY/T-KS-JS-2017-1）的网上巡查摄像机，用于对考生通过情况的监控；</w:t>
            </w:r>
          </w:p>
          <w:p w14:paraId="1EFF958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12.安检门联网后，可通过人数、报警人数、人脸比对结果等数据要求与西宁市教育指挥中心平台无缝对接。（提供对接承诺函）</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3433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3EFC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1395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0C6B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17</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9D42F">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人脸识别摄像机</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6B4161A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1.≥400万半球网络摄像机，采用1/1.8"CMOS传感器；采用2.8-12mm镜头；</w:t>
            </w:r>
          </w:p>
          <w:p w14:paraId="113EDF6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2.视频编码标准支持H.265/H.264，音频编码标准支持G.711/MP2L2/AAC，图像尺寸≥2688×1520分辨率；</w:t>
            </w:r>
          </w:p>
          <w:p w14:paraId="4CD1EED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3.≥1个内置扬声器，≥1个RJ45 10M/100M自适应以太网口、≥1个音频输入接口、≥1个音频输出接口；</w:t>
            </w:r>
          </w:p>
          <w:p w14:paraId="64FC078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4.支持人脸抓拍、人脸比对，支持人脸去重；人脸比对模式下支持前端人脸比对；≥对10个人脸库的管理，</w:t>
            </w:r>
          </w:p>
          <w:p w14:paraId="0791045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5.内置H.264、H.265编码算法。</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D6B9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A1B4B">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47E9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941C0A1">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18</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CF9DF6D">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KVM共享器</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3B1858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19寸LCD、键盘、触摸鼠标板。</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2F11293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0381DF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949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B22F47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19</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7EA7B88">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交换机</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BB8972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1.交换容量≥88Gbps，整机包转≥65.7Mpps；</w:t>
            </w:r>
          </w:p>
          <w:p w14:paraId="56A32F1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2.千兆电口≥24个，万兆光口≥2个。</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439886CB">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79A30C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1113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1BF63E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20</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8390E17">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系统集成费</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15B629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包含：综合布线所需的网络模块面板、水晶头、高清线缆、插座、PVC线槽、电源线、网线、主控机柜≥1台、设备间机柜≥3台、光缆≥8芯单模含熔纤配件配线与机架光纤终端盒、光模块≥18个、大屏墙面装修及背景墙、会议音箱、话筒等布线所需的辅材与安装调试费。</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0EC996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BEDF9C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项</w:t>
            </w:r>
          </w:p>
        </w:tc>
      </w:tr>
      <w:tr w14:paraId="2CA2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13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FC095A">
            <w:pPr>
              <w:spacing w:beforeLines="0" w:afterLines="0"/>
              <w:jc w:val="center"/>
              <w:rPr>
                <w:rFonts w:hint="eastAsia" w:ascii="宋体" w:hAnsi="宋体" w:eastAsia="宋体" w:cs="Times New Roman"/>
                <w:b/>
                <w:color w:val="000000"/>
                <w:sz w:val="18"/>
                <w:szCs w:val="24"/>
              </w:rPr>
            </w:pPr>
            <w:r>
              <w:rPr>
                <w:rFonts w:hint="eastAsia" w:ascii="宋体" w:hAnsi="宋体" w:eastAsia="宋体" w:cs="Times New Roman"/>
                <w:b/>
                <w:color w:val="000000"/>
                <w:sz w:val="18"/>
                <w:szCs w:val="24"/>
              </w:rPr>
              <w:t>听力保障系统</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6CC0E1AF">
            <w:pPr>
              <w:spacing w:beforeLines="0" w:afterLines="0"/>
              <w:jc w:val="left"/>
              <w:rPr>
                <w:rFonts w:hint="eastAsia" w:ascii="宋体" w:hAnsi="宋体" w:eastAsia="宋体" w:cs="Times New Roman"/>
                <w:color w:val="000000"/>
                <w:sz w:val="18"/>
                <w:szCs w:val="24"/>
              </w:rPr>
            </w:pP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39287">
            <w:pPr>
              <w:spacing w:beforeLines="0" w:afterLines="0"/>
              <w:jc w:val="center"/>
              <w:rPr>
                <w:rFonts w:hint="eastAsia" w:ascii="宋体" w:hAnsi="宋体" w:eastAsia="宋体" w:cs="Times New Roman"/>
                <w:color w:val="000000"/>
                <w:sz w:val="18"/>
                <w:szCs w:val="24"/>
              </w:rPr>
            </w:pP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2CC5CA">
            <w:pPr>
              <w:spacing w:beforeLines="0" w:afterLines="0"/>
              <w:jc w:val="center"/>
              <w:rPr>
                <w:rFonts w:hint="eastAsia" w:ascii="宋体" w:hAnsi="宋体" w:eastAsia="宋体" w:cs="Times New Roman"/>
                <w:color w:val="000000"/>
                <w:sz w:val="18"/>
                <w:szCs w:val="24"/>
              </w:rPr>
            </w:pPr>
          </w:p>
        </w:tc>
      </w:tr>
      <w:tr w14:paraId="3A12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3C3206A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21</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18FC8">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机架式播放器</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6899F0DB">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机架式双DVD播放机；支持U盘读取播放。</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FCD4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AF42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7F0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0F870B81">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22</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4B0D2">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数字音频矩阵</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58CD335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8*8数字音频矩阵处理器；每路输入带48V幻象供电；整机8*8全矩阵混音；支持RS232及RS485等控制。</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180FBD">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07EDD">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081A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24867328">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23</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3F58C6">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前置放大器</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75A6D9F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1.≥13路输入通道：包括常规话筒输入：≥TRS6 .35×5，紧急话筒输入：≥TRS6 .35×2，消防信号输入：≥TRS6 .35×1，双声道标准线路输入：≥RCA×5，消防控制接口：≥工业接线端子×2；输出通道：≥TRS6 .35×3、RCA×1；</w:t>
            </w:r>
          </w:p>
          <w:p w14:paraId="523895C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2.紧急话筒输入为第二级优先；话筒1（MIC1）具有默音可调功能，具有第三级优先；话筒（MIC2、3、4、5）与线路（AUX1、2、3）输入为第四级；5路话筒（MIC）输入每一路都带48V幻象功能，由拨码开关单独控制；</w:t>
            </w:r>
          </w:p>
          <w:p w14:paraId="05E5179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3.具有20个音调调节旋钮，分别调节5路线路输入，5路话筒输入的高音和低音。</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1DDD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70C3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27DE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07F869F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24</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EBAE9">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功放</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7AE75C1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1.全面的保护电路：交流保护：当交流电源电压超出工作范围，关闭电源；直流保护：功放输出端出现有直流电压，立即关闭电源，保护音箱；短路保护：负载短路立即切断输出，故障解除自动恢复，热保护；</w:t>
            </w:r>
          </w:p>
          <w:p w14:paraId="3FBE42A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2.可选配插卡式网络模块，让功放成为IP网络功放，整机设计采用插槽式设计，即插即用；</w:t>
            </w:r>
          </w:p>
          <w:p w14:paraId="726FC89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3.输出功率：≥1600W</w:t>
            </w:r>
          </w:p>
          <w:p w14:paraId="69A6EC6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 额定输出电压：100V±5V。</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BCD53">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52094">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7F7B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452D75A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25</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0398DD">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电源控制器</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3A34407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1.≥16路电源输出，时序开关控制，顺序开启，反序关闭；</w:t>
            </w:r>
          </w:p>
          <w:p w14:paraId="63ABD0B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2.时序控制增加控制口，短路信号输入，可将时序开关外接，方便与其他系统联动；</w:t>
            </w:r>
          </w:p>
          <w:p w14:paraId="6B8BEB1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3.可按键单独开启和关闭每一路电源输出；≥1个RS232串口和≥2个RS422数据接口；提供电源裸线端子接入市电，根据任务需求自动打开和关闭，实现无人化自动值守；</w:t>
            </w:r>
          </w:p>
          <w:p w14:paraId="663BE36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4.时序间隔时间：≤1秒；</w:t>
            </w:r>
          </w:p>
          <w:p w14:paraId="69E67AF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5.单路最大电源电流：≥10A；16路电源总电流：≥40A；</w:t>
            </w:r>
          </w:p>
          <w:p w14:paraId="406D687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6.硬件接口：≥1个RS232控制口；≥2个RS422数据接口。</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B389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BEA2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248C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6EC9A99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26</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47671">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有线话筒</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567F8A13">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1.换能方式：电容式；</w:t>
            </w:r>
          </w:p>
          <w:p w14:paraId="169A91C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2.指 向 性：心型指向；</w:t>
            </w:r>
          </w:p>
          <w:p w14:paraId="1EA028EB">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3.频率响应：40Hz-18KHz；</w:t>
            </w:r>
          </w:p>
          <w:p w14:paraId="5D461AA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4.输出阻抗: 600Ω±30%；</w:t>
            </w:r>
          </w:p>
          <w:p w14:paraId="2DA3DC3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5.MIC灵敏度：-39dB±3dB；</w:t>
            </w:r>
          </w:p>
          <w:p w14:paraId="3675EA0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6.供电电压： DC12V(外置电源)或9V(层叠电池)。</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352ED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36BB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支</w:t>
            </w:r>
          </w:p>
        </w:tc>
      </w:tr>
      <w:tr w14:paraId="5E5E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718A2BDD">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27</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33980">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网络广播保障主机</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19362AB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1.≥1路话筒输入，高低音调，和话筒音量可以单独调整，可选48V幻像电源，具有幻象电源开关；</w:t>
            </w:r>
          </w:p>
          <w:p w14:paraId="21BFBC6E">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2.≥4路线路输入，每路输入信号音量可以单独调整，同时具有总音量调节旋钮；</w:t>
            </w:r>
          </w:p>
          <w:p w14:paraId="51660BA7">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3.具有信号延迟，主动备份，延迟时间自主选择等功能；</w:t>
            </w:r>
          </w:p>
          <w:p w14:paraId="5135DC58">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4.最长延迟时间≥80秒；</w:t>
            </w:r>
          </w:p>
          <w:p w14:paraId="765A61DF">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4.输出采用隔离的平衡信号进行超远距离传输，提高了信噪比，传输距离在≥500米以上；</w:t>
            </w:r>
          </w:p>
          <w:p w14:paraId="5FFDAC6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5.≥3路分区输出，输出有超强的带载能力，能够带≥250个终端。</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88F9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B67D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28FF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4CEF3CD4">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28</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386A3">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多功能解码音箱</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73CC5B91">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1.内置2×20W数字功率放大器，可接副箱；</w:t>
            </w:r>
          </w:p>
          <w:p w14:paraId="670E54A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2.选配网络模块，支持TCP/IP、UDP、IGMP(组播)等协议，实现网络化传输16位CD音质的音频信号；</w:t>
            </w:r>
          </w:p>
          <w:p w14:paraId="060922E6">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3.100V定压保障接口，可以选配定压保障模块，实现定压保障功能；</w:t>
            </w:r>
          </w:p>
          <w:p w14:paraId="7A7C5C0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4.≥1路线路输入、≥1路话筒输入、≥1路线路输出接口，话筒和线路具有独立的音量调节旋钮；</w:t>
            </w:r>
          </w:p>
          <w:p w14:paraId="29503F05">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5.可以选配巡检模块，可以实现终端远程故障诊断，在机房通过远程巡检快速判断音箱的工作状态是否正常、高低音喇叭单元工作是否正常、音质是否正常；</w:t>
            </w:r>
          </w:p>
          <w:p w14:paraId="4B4D5082">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6.带音频应急保障功能，和100V定压保障功能一起组成网络信号的双重保障功能；</w:t>
            </w:r>
          </w:p>
          <w:p w14:paraId="1428893C">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7.功放额定功率：≥2*20W/8Ω。</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1B5B1A">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26</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77E5D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只</w:t>
            </w:r>
          </w:p>
        </w:tc>
      </w:tr>
      <w:tr w14:paraId="402F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6F8EBEE2">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29</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9471E">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副音箱</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1251F2D9">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1.额定功率：≥20W；</w:t>
            </w:r>
          </w:p>
          <w:p w14:paraId="33407FE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2.额定阻抗：8Ω；接入主音箱配套使用。</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07A77F">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25</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A578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只</w:t>
            </w:r>
          </w:p>
        </w:tc>
      </w:tr>
      <w:tr w14:paraId="4C81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noWrap w:val="0"/>
            <w:vAlign w:val="center"/>
          </w:tcPr>
          <w:p w14:paraId="28B0119C">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30</w:t>
            </w:r>
          </w:p>
        </w:tc>
        <w:tc>
          <w:tcPr>
            <w:tcW w:w="15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15049">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网络保障定压模块</w:t>
            </w:r>
          </w:p>
        </w:tc>
        <w:tc>
          <w:tcPr>
            <w:tcW w:w="6910" w:type="dxa"/>
            <w:tcBorders>
              <w:top w:val="single" w:color="auto" w:sz="6" w:space="0"/>
              <w:left w:val="single" w:color="auto" w:sz="6" w:space="0"/>
              <w:bottom w:val="single" w:color="auto" w:sz="6" w:space="0"/>
              <w:right w:val="single" w:color="auto" w:sz="6" w:space="0"/>
              <w:tl2br w:val="nil"/>
              <w:tr2bl w:val="nil"/>
            </w:tcBorders>
            <w:noWrap w:val="0"/>
            <w:vAlign w:val="top"/>
          </w:tcPr>
          <w:p w14:paraId="3F0D158D">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具有自动检测网络状态功能，一旦网络出现问题，音频信号自动切换的应急备份音频输入接口。</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EC63F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26</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72740E">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块</w:t>
            </w:r>
          </w:p>
        </w:tc>
      </w:tr>
      <w:tr w14:paraId="1938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shd w:val="clear" w:color="auto" w:fill="auto"/>
            <w:noWrap w:val="0"/>
            <w:vAlign w:val="center"/>
          </w:tcPr>
          <w:p w14:paraId="470A691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31</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6BC1BAB">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巡检模块</w:t>
            </w:r>
          </w:p>
        </w:tc>
        <w:tc>
          <w:tcPr>
            <w:tcW w:w="69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14:paraId="64F65660">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具备自动检测终端扬声器状态，通过网络传输方式把检测的数据回传给系统软件，实现扬声器状态在线检测；可内置于音箱内部。</w:t>
            </w:r>
          </w:p>
        </w:tc>
        <w:tc>
          <w:tcPr>
            <w:tcW w:w="6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B71C6">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26</w:t>
            </w:r>
          </w:p>
        </w:tc>
        <w:tc>
          <w:tcPr>
            <w:tcW w:w="6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BF461">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块</w:t>
            </w:r>
          </w:p>
        </w:tc>
      </w:tr>
      <w:tr w14:paraId="6A5D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shd w:val="clear" w:color="auto" w:fill="auto"/>
            <w:noWrap w:val="0"/>
            <w:vAlign w:val="center"/>
          </w:tcPr>
          <w:p w14:paraId="438EBF71">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32</w:t>
            </w:r>
          </w:p>
        </w:tc>
        <w:tc>
          <w:tcPr>
            <w:tcW w:w="153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784A96DA">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交换机</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57848B4">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1.交换容量≥88Gbps，整机包转≥65.7Mpps；</w:t>
            </w:r>
          </w:p>
          <w:p w14:paraId="29F40A2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2.千兆电口≥24个，万兆光口≥2个。</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98A7F90">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5</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1F9897A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台</w:t>
            </w:r>
          </w:p>
        </w:tc>
      </w:tr>
      <w:tr w14:paraId="5097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0" w:type="dxa"/>
            <w:tcBorders>
              <w:top w:val="single" w:color="auto" w:sz="6" w:space="0"/>
              <w:left w:val="single" w:color="auto" w:sz="6" w:space="0"/>
              <w:bottom w:val="single" w:color="auto" w:sz="6" w:space="0"/>
              <w:right w:val="nil"/>
              <w:tl2br w:val="nil"/>
              <w:tr2bl w:val="nil"/>
            </w:tcBorders>
            <w:shd w:val="clear" w:color="auto" w:fill="auto"/>
            <w:noWrap w:val="0"/>
            <w:vAlign w:val="center"/>
          </w:tcPr>
          <w:p w14:paraId="1588F26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33</w:t>
            </w:r>
          </w:p>
        </w:tc>
        <w:tc>
          <w:tcPr>
            <w:tcW w:w="153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09037BB">
            <w:pPr>
              <w:spacing w:beforeLines="0" w:afterLines="0"/>
              <w:jc w:val="both"/>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系统集成费</w:t>
            </w:r>
          </w:p>
        </w:tc>
        <w:tc>
          <w:tcPr>
            <w:tcW w:w="691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AA6E3BA">
            <w:pPr>
              <w:spacing w:beforeLines="0" w:afterLines="0"/>
              <w:jc w:val="left"/>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包含：综合布线所需的网络水晶头、网线、电源线、PVC线槽等布线所需的辅材及安装调试。</w:t>
            </w:r>
          </w:p>
        </w:tc>
        <w:tc>
          <w:tcPr>
            <w:tcW w:w="61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30C5E525">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1</w:t>
            </w:r>
          </w:p>
        </w:tc>
        <w:tc>
          <w:tcPr>
            <w:tcW w:w="640"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14:paraId="50639277">
            <w:pPr>
              <w:spacing w:beforeLines="0" w:afterLines="0"/>
              <w:jc w:val="center"/>
              <w:rPr>
                <w:rFonts w:hint="eastAsia" w:ascii="宋体" w:hAnsi="宋体" w:eastAsia="宋体" w:cs="Times New Roman"/>
                <w:color w:val="000000"/>
                <w:sz w:val="18"/>
                <w:szCs w:val="24"/>
              </w:rPr>
            </w:pPr>
            <w:r>
              <w:rPr>
                <w:rFonts w:hint="eastAsia" w:ascii="宋体" w:hAnsi="宋体" w:eastAsia="宋体" w:cs="Times New Roman"/>
                <w:color w:val="000000"/>
                <w:sz w:val="18"/>
                <w:szCs w:val="24"/>
              </w:rPr>
              <w:t>项</w:t>
            </w:r>
          </w:p>
        </w:tc>
      </w:tr>
    </w:tbl>
    <w:p w14:paraId="32D6A070"/>
    <w:p w14:paraId="03B0CBE4"/>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cs="Times New Roman"/>
          <w:color w:val="0000FF"/>
          <w:sz w:val="28"/>
          <w:szCs w:val="32"/>
          <w:highlight w:val="none"/>
          <w:lang w:val="en-US" w:eastAsia="zh-CN"/>
        </w:rPr>
        <w:t>制造</w:t>
      </w:r>
      <w:r>
        <w:rPr>
          <w:rFonts w:hint="eastAsia" w:ascii="Times New Roman" w:hAnsi="Times New Roman" w:eastAsia="宋体" w:cs="Times New Roman"/>
          <w:color w:val="0000FF"/>
          <w:sz w:val="28"/>
          <w:szCs w:val="32"/>
          <w:highlight w:val="none"/>
          <w:lang w:val="en-US" w:eastAsia="zh-CN"/>
        </w:rPr>
        <w:t>业</w:t>
      </w:r>
    </w:p>
    <w:p w14:paraId="106CB318">
      <w:pPr>
        <w:rPr>
          <w:rFonts w:hint="default"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cs="Times New Roman"/>
          <w:color w:val="0000FF"/>
          <w:sz w:val="28"/>
          <w:szCs w:val="32"/>
          <w:highlight w:val="none"/>
          <w:lang w:val="en-US" w:eastAsia="zh-CN"/>
        </w:rPr>
        <w:t>20天</w:t>
      </w:r>
    </w:p>
    <w:p w14:paraId="76D4060F"/>
    <w:p w14:paraId="44247B4C"/>
    <w:p w14:paraId="66FC4938"/>
    <w:p w14:paraId="031F2256">
      <w:bookmarkStart w:id="155" w:name="_GoBack"/>
      <w:bookmarkEnd w:id="155"/>
    </w:p>
    <w:sectPr>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10"/>
      <w:ind w:firstLine="360"/>
      <w:jc w:val="center"/>
    </w:pPr>
    <w:r>
      <w:fldChar w:fldCharType="begin"/>
    </w:r>
    <w:r>
      <w:instrText xml:space="preserve">PAGE   \* MERGEFORMAT</w:instrText>
    </w:r>
    <w:r>
      <w:fldChar w:fldCharType="separate"/>
    </w:r>
    <w:r>
      <w:rPr>
        <w:lang w:val="zh-CN"/>
      </w:rPr>
      <w:t>2</w:t>
    </w:r>
    <w:r>
      <w:fldChar w:fldCharType="end"/>
    </w:r>
  </w:p>
  <w:p w14:paraId="7823B716">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1"/>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5C0C378E"/>
    <w:multiLevelType w:val="singleLevel"/>
    <w:tmpl w:val="5C0C37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41B26"/>
    <w:rsid w:val="15CC2818"/>
    <w:rsid w:val="1E507D32"/>
    <w:rsid w:val="226E6690"/>
    <w:rsid w:val="28441B26"/>
    <w:rsid w:val="324C1C1F"/>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line="360" w:lineRule="auto"/>
      <w:ind w:firstLine="1440" w:firstLineChars="200"/>
    </w:pPr>
    <w:rPr>
      <w:sz w:val="24"/>
      <w:szCs w:val="20"/>
    </w:rPr>
  </w:style>
  <w:style w:type="paragraph" w:customStyle="1" w:styleId="3">
    <w:name w:val="纯文本1"/>
    <w:basedOn w:val="1"/>
    <w:qFormat/>
    <w:uiPriority w:val="0"/>
    <w:rPr>
      <w:rFonts w:ascii="宋体" w:hAnsi="Courier New"/>
      <w:szCs w:val="21"/>
    </w:rPr>
  </w:style>
  <w:style w:type="paragraph" w:styleId="6">
    <w:name w:val="Normal Indent"/>
    <w:basedOn w:val="1"/>
    <w:next w:val="7"/>
    <w:qFormat/>
    <w:uiPriority w:val="99"/>
    <w:pPr>
      <w:ind w:firstLine="420" w:firstLineChars="200"/>
    </w:pPr>
    <w:rPr>
      <w:rFonts w:ascii="Times New Roman" w:hAnsi="Times New Roman" w:eastAsia="仿宋_GB2312"/>
      <w:sz w:val="32"/>
      <w:szCs w:val="32"/>
    </w:rPr>
  </w:style>
  <w:style w:type="paragraph" w:styleId="7">
    <w:name w:val="Body Text First Indent 2"/>
    <w:basedOn w:val="8"/>
    <w:qFormat/>
    <w:uiPriority w:val="99"/>
    <w:pPr>
      <w:ind w:firstLine="420" w:firstLineChars="200"/>
    </w:pPr>
    <w:rPr>
      <w:rFonts w:ascii="宋体" w:hAnsi="宋体"/>
    </w:rPr>
  </w:style>
  <w:style w:type="paragraph" w:styleId="8">
    <w:name w:val="Body Text Indent"/>
    <w:basedOn w:val="1"/>
    <w:next w:val="1"/>
    <w:qFormat/>
    <w:uiPriority w:val="0"/>
    <w:pPr>
      <w:spacing w:after="120"/>
      <w:ind w:left="420" w:leftChars="200"/>
    </w:pPr>
    <w:rPr>
      <w:kern w:val="0"/>
      <w:sz w:val="20"/>
      <w:szCs w:val="24"/>
    </w:rPr>
  </w:style>
  <w:style w:type="paragraph" w:styleId="9">
    <w:name w:val="Plain Text"/>
    <w:basedOn w:val="1"/>
    <w:next w:val="1"/>
    <w:qFormat/>
    <w:uiPriority w:val="0"/>
    <w:rPr>
      <w:rFonts w:ascii="宋体" w:hAnsi="Courier New"/>
      <w:kern w:val="0"/>
      <w:sz w:val="20"/>
      <w:szCs w:val="21"/>
    </w:rPr>
  </w:style>
  <w:style w:type="paragraph" w:styleId="10">
    <w:name w:val="footer"/>
    <w:basedOn w:val="1"/>
    <w:next w:val="1"/>
    <w:unhideWhenUsed/>
    <w:qFormat/>
    <w:uiPriority w:val="0"/>
    <w:pPr>
      <w:tabs>
        <w:tab w:val="center" w:pos="4153"/>
        <w:tab w:val="right" w:pos="8306"/>
      </w:tabs>
      <w:snapToGrid w:val="0"/>
      <w:jc w:val="left"/>
    </w:pPr>
    <w:rPr>
      <w:kern w:val="0"/>
      <w:sz w:val="18"/>
      <w:szCs w:val="18"/>
    </w:rPr>
  </w:style>
  <w:style w:type="paragraph" w:styleId="11">
    <w:name w:val="header"/>
    <w:basedOn w:val="1"/>
    <w:next w:val="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3">
    <w:name w:val="Normal (Web)"/>
    <w:basedOn w:val="1"/>
    <w:next w:val="1"/>
    <w:unhideWhenUsed/>
    <w:qFormat/>
    <w:uiPriority w:val="99"/>
    <w:pPr>
      <w:spacing w:before="100" w:beforeAutospacing="1" w:after="100" w:afterAutospacing="1"/>
      <w:jc w:val="left"/>
    </w:pPr>
    <w:rPr>
      <w:rFonts w:ascii="Times New Roman" w:hAnsi="Times New Roman" w:eastAsia="宋体" w:cs="Times New Roman"/>
      <w:kern w:val="0"/>
      <w:szCs w:val="21"/>
    </w:rPr>
  </w:style>
  <w:style w:type="paragraph" w:styleId="14">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7">
    <w:name w:val="样式 正文缩进正文缩进2正文缩进 Char Char正文缩进 Char Char Char Char正文缩进 Char ..."/>
    <w:basedOn w:val="6"/>
    <w:qFormat/>
    <w:uiPriority w:val="99"/>
    <w:pPr>
      <w:spacing w:line="360" w:lineRule="auto"/>
      <w:ind w:firstLine="200"/>
    </w:pPr>
    <w:rPr>
      <w:rFonts w:cs="宋体"/>
      <w:sz w:val="24"/>
    </w:rPr>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Paragraph"/>
    <w:basedOn w:val="1"/>
    <w:qFormat/>
    <w:uiPriority w:val="0"/>
    <w:rPr>
      <w:rFonts w:ascii="宋体" w:hAnsi="宋体" w:eastAsia="宋体" w:cs="宋体"/>
      <w:szCs w:val="21"/>
    </w:rPr>
  </w:style>
  <w:style w:type="paragraph" w:customStyle="1" w:styleId="21">
    <w:name w:val="表格文字"/>
    <w:basedOn w:val="1"/>
    <w:qFormat/>
    <w:uiPriority w:val="0"/>
    <w:pPr>
      <w:spacing w:before="25" w:after="25"/>
    </w:pPr>
    <w:rPr>
      <w:bCs/>
      <w:spacing w:val="10"/>
      <w:kern w:val="0"/>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3">
    <w:name w:val="font31"/>
    <w:basedOn w:val="16"/>
    <w:qFormat/>
    <w:uiPriority w:val="0"/>
    <w:rPr>
      <w:rFonts w:hint="eastAsia" w:ascii="宋体" w:hAnsi="宋体" w:eastAsia="宋体" w:cs="宋体"/>
      <w:color w:val="FF0000"/>
      <w:sz w:val="22"/>
      <w:szCs w:val="22"/>
      <w:u w:val="none"/>
    </w:rPr>
  </w:style>
  <w:style w:type="character" w:customStyle="1" w:styleId="24">
    <w:name w:val="font21"/>
    <w:basedOn w:val="16"/>
    <w:qFormat/>
    <w:uiPriority w:val="0"/>
    <w:rPr>
      <w:rFonts w:hint="eastAsia" w:ascii="宋体" w:hAnsi="宋体" w:eastAsia="宋体" w:cs="宋体"/>
      <w:color w:val="000000"/>
      <w:sz w:val="20"/>
      <w:szCs w:val="20"/>
      <w:u w:val="none"/>
    </w:rPr>
  </w:style>
  <w:style w:type="character" w:customStyle="1" w:styleId="25">
    <w:name w:val="font41"/>
    <w:basedOn w:val="16"/>
    <w:qFormat/>
    <w:uiPriority w:val="0"/>
    <w:rPr>
      <w:rFonts w:hint="eastAsia" w:ascii="宋体" w:hAnsi="宋体" w:eastAsia="宋体" w:cs="宋体"/>
      <w:color w:val="FF0000"/>
      <w:sz w:val="20"/>
      <w:szCs w:val="20"/>
      <w:u w:val="none"/>
    </w:rPr>
  </w:style>
  <w:style w:type="character" w:customStyle="1" w:styleId="26">
    <w:name w:val="font51"/>
    <w:basedOn w:val="16"/>
    <w:qFormat/>
    <w:uiPriority w:val="0"/>
    <w:rPr>
      <w:rFonts w:hint="eastAsia" w:ascii="宋体" w:hAnsi="宋体" w:eastAsia="宋体" w:cs="宋体"/>
      <w:color w:val="000000"/>
      <w:sz w:val="20"/>
      <w:szCs w:val="20"/>
      <w:u w:val="none"/>
    </w:rPr>
  </w:style>
  <w:style w:type="character" w:customStyle="1" w:styleId="27">
    <w:name w:val="font11"/>
    <w:basedOn w:val="16"/>
    <w:qFormat/>
    <w:uiPriority w:val="0"/>
    <w:rPr>
      <w:rFonts w:hint="eastAsia" w:ascii="宋体" w:hAnsi="宋体" w:eastAsia="宋体" w:cs="宋体"/>
      <w:b/>
      <w:bCs/>
      <w:color w:val="000000"/>
      <w:sz w:val="20"/>
      <w:szCs w:val="20"/>
      <w:u w:val="none"/>
    </w:rPr>
  </w:style>
  <w:style w:type="character" w:customStyle="1" w:styleId="28">
    <w:name w:val="font61"/>
    <w:basedOn w:val="16"/>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22074</Words>
  <Characters>22745</Characters>
  <Lines>0</Lines>
  <Paragraphs>0</Paragraphs>
  <TotalTime>0</TotalTime>
  <ScaleCrop>false</ScaleCrop>
  <LinksUpToDate>false</LinksUpToDate>
  <CharactersWithSpaces>25382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2025-07-03T01:11:00Z</dcterms:created>
  <dc:creator>okok</dc:creator>
  <cp:lastModifiedBy>okok</cp:lastModifiedBy>
  <dcterms:modified xsi:type="dcterms:W3CDTF">2025-07-03T01:51:33Z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0208AD97FCBD410A9BF5187D67966C5B_11</vt:lpwstr>
  </property>
  <property fmtid="{D5CDD505-2E9C-101B-9397-08002B2CF9AE}" pid="4" name="KSOTemplateDocerSaveRecord">
    <vt:lpwstr>eyJoZGlkIjoiYmY1NWVhYmY5ZDBjM2I5N2M4NWU1NzI5ZDM3MTI0YzUiLCJ1c2VySWQiOiIzMTQ0MTQ3ODQifQ==</vt:lpwstr>
  </property>
</Properties>
</file>