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3"/>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0635CD67">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采购项目编号：</w:t>
      </w:r>
      <w:r>
        <w:rPr>
          <w:rFonts w:hint="eastAsia"/>
          <w:b/>
          <w:sz w:val="32"/>
          <w:szCs w:val="32"/>
          <w:lang w:eastAsia="zh-CN"/>
        </w:rPr>
        <w:t>宁政采磋商（货物）2025-030号</w:t>
      </w:r>
    </w:p>
    <w:p w14:paraId="7FA383E8">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塔尔山自然体验公园2025年试运营</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西宁市塔尔山林场</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6</w:t>
      </w:r>
      <w:r>
        <w:rPr>
          <w:rFonts w:hint="eastAsia" w:ascii="宋体" w:hAnsi="宋体"/>
          <w:b/>
          <w:sz w:val="32"/>
          <w:szCs w:val="32"/>
        </w:rPr>
        <w:t>月</w:t>
      </w:r>
    </w:p>
    <w:p w14:paraId="2C3E51C0">
      <w:pPr>
        <w:rPr>
          <w:rFonts w:ascii="宋体" w:hAnsi="宋体"/>
          <w:b/>
          <w:sz w:val="32"/>
          <w:szCs w:val="32"/>
        </w:rPr>
      </w:pPr>
    </w:p>
    <w:p w14:paraId="557B6B47">
      <w:pPr>
        <w:pStyle w:val="3"/>
        <w:jc w:val="center"/>
        <w:rPr>
          <w:rFonts w:hint="eastAsia"/>
          <w:lang w:val="en-US" w:eastAsia="zh-CN"/>
        </w:rPr>
      </w:pPr>
    </w:p>
    <w:p w14:paraId="22A628FE">
      <w:pPr>
        <w:rPr>
          <w:rFonts w:hint="eastAsia"/>
          <w:lang w:val="en-US" w:eastAsia="zh-CN"/>
        </w:rPr>
      </w:pPr>
    </w:p>
    <w:p w14:paraId="33E085C7">
      <w:pPr>
        <w:pStyle w:val="16"/>
        <w:rPr>
          <w:rFonts w:hint="eastAsia"/>
          <w:lang w:val="en-US" w:eastAsia="zh-CN"/>
        </w:rPr>
      </w:pPr>
    </w:p>
    <w:p w14:paraId="117383AF">
      <w:pPr>
        <w:pStyle w:val="16"/>
        <w:rPr>
          <w:rFonts w:hint="eastAsia"/>
          <w:lang w:val="en-US" w:eastAsia="zh-CN"/>
        </w:rPr>
      </w:pPr>
    </w:p>
    <w:p w14:paraId="593370E0">
      <w:pPr>
        <w:pStyle w:val="16"/>
        <w:rPr>
          <w:rFonts w:hint="eastAsia"/>
          <w:lang w:val="en-US" w:eastAsia="zh-CN"/>
        </w:rPr>
      </w:pPr>
    </w:p>
    <w:p w14:paraId="5A34B27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1"/>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1"/>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1"/>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1"/>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1"/>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1"/>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1"/>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1"/>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1"/>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1"/>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1"/>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1"/>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1"/>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1"/>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1"/>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1"/>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1"/>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1"/>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1"/>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1"/>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1"/>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1"/>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1"/>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1"/>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1"/>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7982131A">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29350"/>
      <w:bookmarkStart w:id="1" w:name="_Toc18531"/>
      <w:bookmarkStart w:id="2" w:name="_Toc440276621"/>
      <w:bookmarkStart w:id="3" w:name="_Toc10230"/>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宁政采磋商（货物）2025-030号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塔尔山自然体验公园2025年试运营</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41.8648</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keepNext w:val="0"/>
              <w:keepLines w:val="0"/>
              <w:widowControl/>
              <w:suppressLineNumbers w:val="0"/>
              <w:jc w:val="both"/>
              <w:textAlignment w:val="center"/>
              <w:rPr>
                <w:rFonts w:hint="eastAsia" w:ascii="宋体" w:hAnsi="宋体" w:eastAsia="宋体" w:cs="方正小标宋简体"/>
                <w:kern w:val="0"/>
                <w:sz w:val="24"/>
                <w:szCs w:val="24"/>
                <w:lang w:val="en-US" w:eastAsia="zh-CN"/>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17"/>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rPr>
            </w:pPr>
            <w:r>
              <w:rPr>
                <w:rFonts w:hint="eastAsia"/>
              </w:rPr>
              <w:t>1、应具备《政府采购法》第22条所规定的条件：</w:t>
            </w:r>
          </w:p>
          <w:p w14:paraId="2F6F7C25">
            <w:pPr>
              <w:widowControl/>
              <w:spacing w:line="320" w:lineRule="exact"/>
              <w:jc w:val="left"/>
              <w:rPr>
                <w:rFonts w:hint="eastAsia"/>
              </w:rPr>
            </w:pPr>
            <w:r>
              <w:rPr>
                <w:rFonts w:hint="eastAsia"/>
              </w:rPr>
              <w:t>（1）投标人的营业执照等证明文件，自然人的身份证明；</w:t>
            </w:r>
          </w:p>
          <w:p w14:paraId="77CE094A">
            <w:pPr>
              <w:widowControl/>
              <w:spacing w:line="320" w:lineRule="exact"/>
              <w:jc w:val="left"/>
              <w:rPr>
                <w:rFonts w:hint="eastAsia"/>
              </w:rPr>
            </w:pPr>
            <w:r>
              <w:rPr>
                <w:rFonts w:hint="eastAsia"/>
              </w:rPr>
              <w:t>（2）参加政府采购活动前3年内在经营活动中没有重大违法记录的书面声明；</w:t>
            </w:r>
          </w:p>
          <w:p w14:paraId="775D1DAF">
            <w:pPr>
              <w:widowControl/>
              <w:spacing w:line="320" w:lineRule="exact"/>
              <w:jc w:val="left"/>
              <w:rPr>
                <w:rFonts w:hint="eastAsia"/>
              </w:rPr>
            </w:pPr>
            <w:r>
              <w:rPr>
                <w:rFonts w:hint="eastAsia"/>
              </w:rPr>
              <w:t>（3）具备法律、行政法规规定的其他条件的证明材料。</w:t>
            </w:r>
          </w:p>
          <w:p w14:paraId="17959FF2">
            <w:pPr>
              <w:widowControl/>
              <w:spacing w:line="320" w:lineRule="exact"/>
              <w:jc w:val="left"/>
              <w:rPr>
                <w:rFonts w:hint="eastAsia" w:eastAsia="宋体"/>
                <w:lang w:eastAsia="zh-CN"/>
              </w:rPr>
            </w:pPr>
            <w:r>
              <w:rPr>
                <w:rFonts w:hint="eastAsia"/>
              </w:rPr>
              <w:t>2、经信用中国（www.creditchina.gov.cn）、中国政府采购网（www.ccgp.gov.cn）等渠道查询后，列入失信被执行人、重大税收违法案件当事人名单、政府采购严重违法失信行为记录名单的，取消投标资格。（</w:t>
            </w:r>
            <w:r>
              <w:rPr>
                <w:rFonts w:hint="eastAsia"/>
                <w:lang w:eastAsia="zh-CN"/>
              </w:rPr>
              <w:t>以现场实际查验为准</w:t>
            </w:r>
            <w:r>
              <w:rPr>
                <w:rFonts w:hint="eastAsia"/>
              </w:rPr>
              <w:t>）</w:t>
            </w:r>
            <w:r>
              <w:rPr>
                <w:rFonts w:hint="eastAsia"/>
                <w:lang w:eastAsia="zh-CN"/>
              </w:rPr>
              <w:t>；</w:t>
            </w:r>
          </w:p>
          <w:p w14:paraId="1BFBF056">
            <w:pPr>
              <w:widowControl/>
              <w:spacing w:line="320" w:lineRule="exact"/>
              <w:jc w:val="left"/>
              <w:rPr>
                <w:rFonts w:hint="eastAsia" w:eastAsia="宋体"/>
                <w:lang w:eastAsia="zh-CN"/>
              </w:rPr>
            </w:pPr>
            <w:r>
              <w:rPr>
                <w:rFonts w:hint="eastAsia"/>
              </w:rPr>
              <w:t>3、单位负责人为同一人或者存在直接控股、管理关系的不同供应商，不得参加同一合同项下的政府采购活动。否则，皆取消投标资格</w:t>
            </w:r>
            <w:r>
              <w:rPr>
                <w:rFonts w:hint="eastAsia"/>
                <w:lang w:eastAsia="zh-CN"/>
              </w:rPr>
              <w:t>；</w:t>
            </w:r>
          </w:p>
          <w:p w14:paraId="04007CAF">
            <w:pPr>
              <w:widowControl/>
              <w:spacing w:line="320" w:lineRule="exact"/>
              <w:jc w:val="left"/>
              <w:rPr>
                <w:rFonts w:hint="eastAsia" w:eastAsia="宋体"/>
                <w:lang w:eastAsia="zh-CN"/>
              </w:rPr>
            </w:pPr>
            <w:r>
              <w:rPr>
                <w:rFonts w:hint="eastAsia"/>
              </w:rPr>
              <w:t>4、为本采购项目提供整体设计、规范编制或者项目管理、监理、检测等服务的供应商，不得再参加该采购项目的其他采购活动</w:t>
            </w:r>
            <w:r>
              <w:rPr>
                <w:rFonts w:hint="eastAsia"/>
                <w:lang w:eastAsia="zh-CN"/>
              </w:rPr>
              <w:t>；</w:t>
            </w:r>
          </w:p>
          <w:p w14:paraId="710160AD">
            <w:pPr>
              <w:widowControl/>
              <w:spacing w:line="320" w:lineRule="exact"/>
              <w:jc w:val="left"/>
              <w:rPr>
                <w:rFonts w:hint="eastAsia" w:eastAsia="宋体"/>
                <w:lang w:eastAsia="zh-CN"/>
              </w:rPr>
            </w:pPr>
            <w:r>
              <w:rPr>
                <w:rFonts w:hint="eastAsia"/>
              </w:rPr>
              <w:t>5、本项目不接受供应商以联合体方式进行投标</w:t>
            </w:r>
            <w:r>
              <w:rPr>
                <w:rFonts w:hint="eastAsia"/>
                <w:lang w:eastAsia="zh-CN"/>
              </w:rPr>
              <w:t>；</w:t>
            </w:r>
          </w:p>
          <w:p w14:paraId="690245CA">
            <w:pPr>
              <w:widowControl/>
              <w:spacing w:line="320" w:lineRule="exact"/>
              <w:jc w:val="left"/>
              <w:rPr>
                <w:rFonts w:hint="eastAsia"/>
                <w:lang w:eastAsia="zh-CN"/>
              </w:rPr>
            </w:pPr>
            <w:r>
              <w:rPr>
                <w:rFonts w:hint="eastAsia"/>
              </w:rPr>
              <w:t>6、招标文件中规定的其他资质条件</w:t>
            </w:r>
            <w:r>
              <w:rPr>
                <w:rFonts w:hint="eastAsia"/>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23</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18"/>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23</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30</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1C6E082C">
            <w:pPr>
              <w:rPr>
                <w:rFonts w:hint="eastAsia" w:ascii="宋体" w:hAnsi="宋体" w:cs="宋体"/>
                <w:kern w:val="0"/>
                <w:sz w:val="24"/>
                <w:szCs w:val="24"/>
              </w:rPr>
            </w:pPr>
            <w:r>
              <w:rPr>
                <w:rFonts w:hint="eastAsia" w:ascii="宋体" w:hAnsi="宋体" w:cs="宋体"/>
                <w:kern w:val="0"/>
                <w:sz w:val="24"/>
                <w:szCs w:val="24"/>
                <w:lang w:eastAsia="zh-CN"/>
              </w:rPr>
              <w:t>西宁市塔尔山林场</w:t>
            </w:r>
            <w:r>
              <w:rPr>
                <w:rFonts w:hint="eastAsia" w:ascii="宋体" w:hAnsi="宋体" w:cs="宋体"/>
                <w:kern w:val="0"/>
                <w:sz w:val="24"/>
                <w:szCs w:val="24"/>
              </w:rPr>
              <w:t xml:space="preserve">        </w:t>
            </w:r>
          </w:p>
          <w:p w14:paraId="3A528E74">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val="en-US" w:eastAsia="zh-CN"/>
              </w:rPr>
              <w:t>李女士</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rPr>
              <w:t>4110183</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eastAsia="zh-CN"/>
              </w:rPr>
              <w:t>高女士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cs="Times New Roman"/>
                <w:lang w:eastAsia="zh-CN"/>
              </w:rPr>
              <w:t>；</w:t>
            </w:r>
          </w:p>
          <w:p w14:paraId="13B106EB">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cs="Times New Roman"/>
                <w:lang w:val="en-US" w:eastAsia="zh-CN"/>
              </w:rPr>
              <w:t>；</w:t>
            </w:r>
          </w:p>
          <w:p w14:paraId="1E545856">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1FE4136A">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cs="Times New Roman"/>
                <w:lang w:val="en-US" w:eastAsia="zh-CN"/>
              </w:rPr>
              <w:t>；</w:t>
            </w:r>
          </w:p>
          <w:p w14:paraId="53B98726">
            <w:pPr>
              <w:widowControl/>
              <w:spacing w:line="320" w:lineRule="exact"/>
              <w:jc w:val="left"/>
              <w:rPr>
                <w:rFonts w:hint="eastAsia" w:cs="Times New Roman"/>
                <w:color w:val="0000FF"/>
                <w:lang w:val="en-US" w:eastAsia="zh-CN"/>
              </w:rPr>
            </w:pPr>
            <w:r>
              <w:rPr>
                <w:rFonts w:hint="eastAsia" w:cs="Times New Roman"/>
                <w:color w:val="0000FF"/>
                <w:lang w:val="en-US" w:eastAsia="zh-CN"/>
              </w:rPr>
              <w:t>4、供货期：90个自然日；</w:t>
            </w:r>
          </w:p>
          <w:p w14:paraId="37B03ADC">
            <w:pPr>
              <w:widowControl/>
              <w:spacing w:line="320" w:lineRule="exact"/>
              <w:jc w:val="left"/>
              <w:rPr>
                <w:rFonts w:hint="default" w:cs="Times New Roman"/>
                <w:color w:val="0000FF"/>
                <w:lang w:val="en-US" w:eastAsia="zh-CN"/>
              </w:rPr>
            </w:pPr>
            <w:r>
              <w:rPr>
                <w:rFonts w:hint="eastAsia" w:cs="Times New Roman"/>
                <w:color w:val="0000FF"/>
                <w:lang w:val="en-US" w:eastAsia="zh-CN"/>
              </w:rPr>
              <w:t>5、履约保证金：合同总金额的5%；</w:t>
            </w:r>
          </w:p>
          <w:p w14:paraId="2088F835">
            <w:pPr>
              <w:widowControl/>
              <w:spacing w:line="320" w:lineRule="exact"/>
              <w:jc w:val="left"/>
              <w:rPr>
                <w:rFonts w:hint="default" w:cs="Times New Roman"/>
                <w:color w:val="0000FF"/>
                <w:lang w:val="en-US" w:eastAsia="zh-CN"/>
              </w:rPr>
            </w:pPr>
            <w:r>
              <w:rPr>
                <w:rFonts w:hint="eastAsia" w:cs="Times New Roman"/>
                <w:color w:val="0000FF"/>
                <w:lang w:val="en-US" w:eastAsia="zh-CN"/>
              </w:rPr>
              <w:t>6、合同预付款：合同总金额的40%；</w:t>
            </w:r>
          </w:p>
          <w:p w14:paraId="73933E4C">
            <w:pPr>
              <w:widowControl/>
              <w:spacing w:line="320" w:lineRule="exact"/>
              <w:jc w:val="left"/>
              <w:rPr>
                <w:rFonts w:hint="default" w:ascii="Times New Roman" w:hAnsi="Times New Roman" w:eastAsia="宋体" w:cs="Times New Roman"/>
                <w:lang w:val="en-US" w:eastAsia="zh-CN"/>
              </w:rPr>
            </w:pPr>
            <w:r>
              <w:rPr>
                <w:rFonts w:hint="eastAsia" w:cs="Times New Roman"/>
                <w:color w:val="0000FF"/>
                <w:lang w:val="en-US" w:eastAsia="zh-CN"/>
              </w:rPr>
              <w:t>7、采购标的物所属行业:制造业。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3"/>
        <w:rPr>
          <w:rFonts w:hint="eastAsia"/>
          <w:lang w:val="zh-CN" w:eastAsia="zh-CN"/>
        </w:rPr>
      </w:pPr>
    </w:p>
    <w:p w14:paraId="19854F77">
      <w:pPr>
        <w:rPr>
          <w:rFonts w:hint="eastAsia"/>
          <w:lang w:val="zh-CN"/>
        </w:rPr>
      </w:pPr>
    </w:p>
    <w:p w14:paraId="46A20B87">
      <w:pPr>
        <w:pStyle w:val="12"/>
        <w:rPr>
          <w:rFonts w:hint="eastAsia"/>
          <w:lang w:val="zh-CN" w:eastAsia="zh-CN"/>
        </w:rPr>
      </w:pPr>
    </w:p>
    <w:p w14:paraId="1199B7FC">
      <w:pPr>
        <w:rPr>
          <w:rFonts w:hint="eastAsia"/>
          <w:lang w:val="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w:t>
      </w:r>
      <w:r>
        <w:rPr>
          <w:rFonts w:hint="eastAsia" w:ascii="宋体" w:hAnsi="Cambria" w:cs="宋体"/>
          <w:kern w:val="0"/>
          <w:sz w:val="24"/>
          <w:lang w:val="en-US" w:eastAsia="zh-CN"/>
        </w:rPr>
        <w:t>通过政采云平台提出质疑</w:t>
      </w:r>
      <w:r>
        <w:rPr>
          <w:rFonts w:hint="eastAsia" w:ascii="宋体" w:hAnsi="Cambria" w:cs="宋体"/>
          <w:kern w:val="0"/>
          <w:sz w:val="24"/>
          <w:lang w:val="zh-CN"/>
        </w:rPr>
        <w:t>，集中采购机构在收到投标人的质疑后3日内予以答复，并将变更事宜在青海政府采购网上发布公告，告知本项目的所有潜在投标人。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376936754"/>
      <w:bookmarkStart w:id="33" w:name="_Toc325726023"/>
      <w:bookmarkStart w:id="34" w:name="_Toc500493781"/>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500493783"/>
      <w:bookmarkStart w:id="38" w:name="_Toc376936755"/>
      <w:bookmarkStart w:id="39" w:name="_Toc325726024"/>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3F076D62">
      <w:pPr>
        <w:autoSpaceDE w:val="0"/>
        <w:autoSpaceDN w:val="0"/>
        <w:adjustRightInd w:val="0"/>
        <w:spacing w:line="360" w:lineRule="auto"/>
        <w:jc w:val="left"/>
        <w:rPr>
          <w:rFonts w:hint="eastAsia" w:ascii="宋体" w:hAnsi="Cambria" w:cs="宋体"/>
          <w:b/>
          <w:bCs/>
          <w:kern w:val="0"/>
          <w:sz w:val="24"/>
          <w:szCs w:val="24"/>
          <w:lang w:val="zh-CN"/>
        </w:rPr>
      </w:pPr>
      <w:r>
        <w:rPr>
          <w:rFonts w:hint="eastAsia" w:ascii="宋体" w:cs="宋体"/>
          <w:b/>
          <w:bCs/>
          <w:sz w:val="24"/>
          <w:szCs w:val="24"/>
          <w:lang w:val="zh-CN"/>
        </w:rPr>
        <w:t>评标标准和分值分配：</w:t>
      </w:r>
    </w:p>
    <w:tbl>
      <w:tblPr>
        <w:tblStyle w:val="14"/>
        <w:tblpPr w:leftFromText="180" w:rightFromText="180" w:vertAnchor="text" w:horzAnchor="page" w:tblpX="1275" w:tblpY="11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4"/>
        <w:gridCol w:w="1436"/>
        <w:gridCol w:w="6990"/>
      </w:tblGrid>
      <w:tr w14:paraId="54413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4" w:type="dxa"/>
            <w:noWrap w:val="0"/>
            <w:vAlign w:val="top"/>
          </w:tcPr>
          <w:p w14:paraId="4283E809">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序号</w:t>
            </w:r>
          </w:p>
        </w:tc>
        <w:tc>
          <w:tcPr>
            <w:tcW w:w="1436" w:type="dxa"/>
            <w:noWrap w:val="0"/>
            <w:vAlign w:val="top"/>
          </w:tcPr>
          <w:p w14:paraId="476EC072">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评审因素</w:t>
            </w:r>
          </w:p>
        </w:tc>
        <w:tc>
          <w:tcPr>
            <w:tcW w:w="6990" w:type="dxa"/>
            <w:noWrap w:val="0"/>
            <w:vAlign w:val="top"/>
          </w:tcPr>
          <w:p w14:paraId="04D88D7C">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评审标准</w:t>
            </w:r>
          </w:p>
        </w:tc>
      </w:tr>
      <w:tr w14:paraId="7ECA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noWrap w:val="0"/>
            <w:vAlign w:val="center"/>
          </w:tcPr>
          <w:p w14:paraId="05A42599">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1436" w:type="dxa"/>
            <w:noWrap w:val="0"/>
            <w:vAlign w:val="center"/>
          </w:tcPr>
          <w:p w14:paraId="4B3362D2">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投标报价</w:t>
            </w:r>
          </w:p>
          <w:p w14:paraId="29CCF860">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(30分)</w:t>
            </w:r>
          </w:p>
        </w:tc>
        <w:tc>
          <w:tcPr>
            <w:tcW w:w="6990" w:type="dxa"/>
            <w:noWrap w:val="0"/>
            <w:vAlign w:val="top"/>
          </w:tcPr>
          <w:p w14:paraId="21A97965">
            <w:pPr>
              <w:spacing w:line="40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eastAsia="zh-CN"/>
              </w:rPr>
              <w:t>评标</w:t>
            </w:r>
            <w:r>
              <w:rPr>
                <w:rFonts w:hint="eastAsia" w:ascii="仿宋" w:hAnsi="仿宋" w:eastAsia="仿宋" w:cs="仿宋"/>
                <w:kern w:val="0"/>
                <w:sz w:val="24"/>
                <w:szCs w:val="24"/>
                <w:lang w:val="zh-CN"/>
              </w:rPr>
              <w:t>基准值=满足</w:t>
            </w:r>
            <w:r>
              <w:rPr>
                <w:rFonts w:hint="eastAsia" w:ascii="仿宋" w:hAnsi="仿宋" w:eastAsia="仿宋" w:cs="仿宋"/>
                <w:kern w:val="0"/>
                <w:sz w:val="24"/>
                <w:szCs w:val="24"/>
                <w:lang w:val="zh-CN" w:eastAsia="zh-CN"/>
              </w:rPr>
              <w:t>招标</w:t>
            </w:r>
            <w:r>
              <w:rPr>
                <w:rFonts w:hint="eastAsia" w:ascii="仿宋" w:hAnsi="仿宋" w:eastAsia="仿宋" w:cs="仿宋"/>
                <w:kern w:val="0"/>
                <w:sz w:val="24"/>
                <w:szCs w:val="24"/>
                <w:lang w:val="zh-CN"/>
              </w:rPr>
              <w:t>文件要求且</w:t>
            </w:r>
            <w:r>
              <w:rPr>
                <w:rFonts w:hint="eastAsia" w:ascii="仿宋" w:hAnsi="仿宋" w:eastAsia="仿宋" w:cs="仿宋"/>
                <w:kern w:val="0"/>
                <w:sz w:val="24"/>
                <w:szCs w:val="24"/>
                <w:lang w:val="zh-CN" w:eastAsia="zh-CN"/>
              </w:rPr>
              <w:t>投标</w:t>
            </w:r>
            <w:r>
              <w:rPr>
                <w:rFonts w:hint="eastAsia" w:ascii="仿宋" w:hAnsi="仿宋" w:eastAsia="仿宋" w:cs="仿宋"/>
                <w:kern w:val="0"/>
                <w:sz w:val="24"/>
                <w:szCs w:val="24"/>
                <w:lang w:val="zh-CN"/>
              </w:rPr>
              <w:t>报价最低的供应商的价格为</w:t>
            </w:r>
            <w:r>
              <w:rPr>
                <w:rFonts w:hint="eastAsia" w:ascii="仿宋" w:hAnsi="仿宋" w:eastAsia="仿宋" w:cs="仿宋"/>
                <w:kern w:val="0"/>
                <w:sz w:val="24"/>
                <w:szCs w:val="24"/>
                <w:lang w:val="zh-CN" w:eastAsia="zh-CN"/>
              </w:rPr>
              <w:t>评标</w:t>
            </w:r>
            <w:r>
              <w:rPr>
                <w:rFonts w:hint="eastAsia" w:ascii="仿宋" w:hAnsi="仿宋" w:eastAsia="仿宋" w:cs="仿宋"/>
                <w:kern w:val="0"/>
                <w:sz w:val="24"/>
                <w:szCs w:val="24"/>
                <w:lang w:val="zh-CN"/>
              </w:rPr>
              <w:t>基准价。</w:t>
            </w:r>
          </w:p>
          <w:p w14:paraId="212D7C76">
            <w:pPr>
              <w:spacing w:line="40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eastAsia="zh-CN"/>
              </w:rPr>
              <w:t>投标</w:t>
            </w:r>
            <w:r>
              <w:rPr>
                <w:rFonts w:hint="eastAsia" w:ascii="仿宋" w:hAnsi="仿宋" w:eastAsia="仿宋" w:cs="仿宋"/>
                <w:kern w:val="0"/>
                <w:sz w:val="24"/>
                <w:szCs w:val="24"/>
                <w:lang w:val="zh-CN"/>
              </w:rPr>
              <w:t>报价得分=（</w:t>
            </w:r>
            <w:r>
              <w:rPr>
                <w:rFonts w:hint="eastAsia" w:ascii="仿宋" w:hAnsi="仿宋" w:eastAsia="仿宋" w:cs="仿宋"/>
                <w:kern w:val="0"/>
                <w:sz w:val="24"/>
                <w:szCs w:val="24"/>
                <w:lang w:val="zh-CN" w:eastAsia="zh-CN"/>
              </w:rPr>
              <w:t>评标</w:t>
            </w:r>
            <w:r>
              <w:rPr>
                <w:rFonts w:hint="eastAsia" w:ascii="仿宋" w:hAnsi="仿宋" w:eastAsia="仿宋" w:cs="仿宋"/>
                <w:kern w:val="0"/>
                <w:sz w:val="24"/>
                <w:szCs w:val="24"/>
                <w:lang w:val="zh-CN"/>
              </w:rPr>
              <w:t>基准价/</w:t>
            </w:r>
            <w:r>
              <w:rPr>
                <w:rFonts w:hint="eastAsia" w:ascii="仿宋" w:hAnsi="仿宋" w:eastAsia="仿宋" w:cs="仿宋"/>
                <w:kern w:val="0"/>
                <w:sz w:val="24"/>
                <w:szCs w:val="24"/>
                <w:lang w:val="zh-CN" w:eastAsia="zh-CN"/>
              </w:rPr>
              <w:t>投标</w:t>
            </w:r>
            <w:r>
              <w:rPr>
                <w:rFonts w:hint="eastAsia" w:ascii="仿宋" w:hAnsi="仿宋" w:eastAsia="仿宋" w:cs="仿宋"/>
                <w:kern w:val="0"/>
                <w:sz w:val="24"/>
                <w:szCs w:val="24"/>
                <w:lang w:val="zh-CN"/>
              </w:rPr>
              <w:t>报价）×价格权值（</w:t>
            </w:r>
            <w:r>
              <w:rPr>
                <w:rFonts w:hint="eastAsia" w:ascii="仿宋" w:hAnsi="仿宋" w:eastAsia="仿宋" w:cs="仿宋"/>
                <w:kern w:val="0"/>
                <w:sz w:val="24"/>
                <w:szCs w:val="24"/>
                <w:lang w:val="zh-CN" w:eastAsia="zh-CN"/>
              </w:rPr>
              <w:t>30</w:t>
            </w:r>
            <w:r>
              <w:rPr>
                <w:rFonts w:hint="eastAsia" w:ascii="仿宋" w:hAnsi="仿宋" w:eastAsia="仿宋" w:cs="仿宋"/>
                <w:kern w:val="0"/>
                <w:sz w:val="24"/>
                <w:szCs w:val="24"/>
                <w:lang w:val="zh-CN"/>
              </w:rPr>
              <w:t>%）×100（四舍五入后保留小数点后两位）。</w:t>
            </w:r>
          </w:p>
          <w:p w14:paraId="54D953AB">
            <w:pPr>
              <w:spacing w:line="40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注：根据《政府采购促进中小企业发展管理办法》、《关于促进残疾人就业政府采购政策的通知》的相关规定，对残疾人福利性单位、监狱企业、</w:t>
            </w:r>
            <w:r>
              <w:rPr>
                <w:rFonts w:hint="eastAsia" w:ascii="仿宋" w:hAnsi="仿宋" w:eastAsia="仿宋" w:cs="仿宋"/>
                <w:kern w:val="0"/>
                <w:sz w:val="24"/>
                <w:szCs w:val="24"/>
                <w:lang w:val="en-US" w:eastAsia="zh-CN"/>
              </w:rPr>
              <w:t>中</w:t>
            </w:r>
            <w:r>
              <w:rPr>
                <w:rFonts w:hint="eastAsia" w:ascii="仿宋" w:hAnsi="仿宋" w:eastAsia="仿宋" w:cs="仿宋"/>
                <w:kern w:val="0"/>
                <w:sz w:val="24"/>
                <w:szCs w:val="24"/>
                <w:lang w:val="zh-CN"/>
              </w:rPr>
              <w:t>型和</w:t>
            </w:r>
            <w:r>
              <w:rPr>
                <w:rFonts w:hint="eastAsia" w:ascii="仿宋" w:hAnsi="仿宋" w:eastAsia="仿宋" w:cs="仿宋"/>
                <w:kern w:val="0"/>
                <w:sz w:val="24"/>
                <w:szCs w:val="24"/>
                <w:lang w:val="en-US" w:eastAsia="zh-CN"/>
              </w:rPr>
              <w:t>小</w:t>
            </w:r>
            <w:r>
              <w:rPr>
                <w:rFonts w:hint="eastAsia" w:ascii="仿宋" w:hAnsi="仿宋" w:eastAsia="仿宋" w:cs="仿宋"/>
                <w:kern w:val="0"/>
                <w:sz w:val="24"/>
                <w:szCs w:val="24"/>
                <w:lang w:val="zh-CN"/>
              </w:rPr>
              <w:t>型企业产品的价格给予10%的扣除，用扣除后的价格参与评审。</w:t>
            </w:r>
          </w:p>
          <w:p w14:paraId="366B334D">
            <w:pPr>
              <w:spacing w:line="40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（残疾人福利性单位、监狱企业</w:t>
            </w:r>
            <w:r>
              <w:rPr>
                <w:rFonts w:hint="eastAsia" w:ascii="仿宋" w:hAnsi="仿宋" w:eastAsia="仿宋" w:cs="仿宋"/>
                <w:kern w:val="0"/>
                <w:sz w:val="24"/>
                <w:szCs w:val="24"/>
                <w:lang w:val="zh-CN" w:eastAsia="zh-CN"/>
              </w:rPr>
              <w:t>视同</w:t>
            </w:r>
            <w:r>
              <w:rPr>
                <w:rFonts w:hint="eastAsia" w:ascii="仿宋" w:hAnsi="仿宋" w:eastAsia="仿宋" w:cs="仿宋"/>
                <w:kern w:val="0"/>
                <w:sz w:val="24"/>
                <w:szCs w:val="24"/>
                <w:lang w:val="en-US" w:eastAsia="zh-CN"/>
              </w:rPr>
              <w:t>中</w:t>
            </w:r>
            <w:r>
              <w:rPr>
                <w:rFonts w:hint="eastAsia" w:ascii="仿宋" w:hAnsi="仿宋" w:eastAsia="仿宋" w:cs="仿宋"/>
                <w:kern w:val="0"/>
                <w:sz w:val="24"/>
                <w:szCs w:val="24"/>
                <w:lang w:val="zh-CN"/>
              </w:rPr>
              <w:t>型、</w:t>
            </w:r>
            <w:r>
              <w:rPr>
                <w:rFonts w:hint="eastAsia" w:ascii="仿宋" w:hAnsi="仿宋" w:eastAsia="仿宋" w:cs="仿宋"/>
                <w:kern w:val="0"/>
                <w:sz w:val="24"/>
                <w:szCs w:val="24"/>
                <w:lang w:val="en-US" w:eastAsia="zh-CN"/>
              </w:rPr>
              <w:t>小</w:t>
            </w:r>
            <w:r>
              <w:rPr>
                <w:rFonts w:hint="eastAsia" w:ascii="仿宋" w:hAnsi="仿宋" w:eastAsia="仿宋" w:cs="仿宋"/>
                <w:kern w:val="0"/>
                <w:sz w:val="24"/>
                <w:szCs w:val="24"/>
                <w:lang w:val="zh-CN"/>
              </w:rPr>
              <w:t>型企业，不重复享受政策。）</w:t>
            </w:r>
          </w:p>
        </w:tc>
      </w:tr>
      <w:tr w14:paraId="6FDC1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1124" w:type="dxa"/>
            <w:noWrap w:val="0"/>
            <w:vAlign w:val="center"/>
          </w:tcPr>
          <w:p w14:paraId="26BAEA96">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w:t>
            </w:r>
          </w:p>
        </w:tc>
        <w:tc>
          <w:tcPr>
            <w:tcW w:w="1436" w:type="dxa"/>
            <w:noWrap w:val="0"/>
            <w:vAlign w:val="center"/>
          </w:tcPr>
          <w:p w14:paraId="37BB8C1A">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技术水平</w:t>
            </w:r>
          </w:p>
          <w:p w14:paraId="32967617">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w:t>
            </w:r>
            <w:r>
              <w:rPr>
                <w:rFonts w:hint="eastAsia" w:ascii="仿宋" w:hAnsi="仿宋" w:eastAsia="仿宋" w:cs="仿宋"/>
                <w:b/>
                <w:bCs/>
                <w:kern w:val="0"/>
                <w:sz w:val="24"/>
                <w:szCs w:val="24"/>
                <w:lang w:val="en-US" w:eastAsia="zh-CN"/>
              </w:rPr>
              <w:t>40</w:t>
            </w:r>
            <w:r>
              <w:rPr>
                <w:rFonts w:hint="eastAsia" w:ascii="仿宋" w:hAnsi="仿宋" w:eastAsia="仿宋" w:cs="仿宋"/>
                <w:b/>
                <w:bCs/>
                <w:kern w:val="0"/>
                <w:sz w:val="24"/>
                <w:szCs w:val="24"/>
                <w:lang w:val="zh-CN"/>
              </w:rPr>
              <w:t>分）</w:t>
            </w:r>
          </w:p>
        </w:tc>
        <w:tc>
          <w:tcPr>
            <w:tcW w:w="6990" w:type="dxa"/>
            <w:noWrap w:val="0"/>
            <w:vAlign w:val="top"/>
          </w:tcPr>
          <w:p w14:paraId="0AAF65BD">
            <w:pPr>
              <w:spacing w:line="40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(1)技术参数(4</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val="zh-CN"/>
              </w:rPr>
              <w:t>分):投标产品技术参数及配置完全满足或高于招标文件要求的得4</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val="zh-CN"/>
              </w:rPr>
              <w:t>分；每有一项负偏离扣</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rPr>
              <w:t>分，扣完为止。(此项评分参数中有要求的按其要求为依据，没有要求的以产品检验报告或产品彩页或厂家证明文件等为依据)</w:t>
            </w:r>
          </w:p>
        </w:tc>
      </w:tr>
      <w:tr w14:paraId="5C389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noWrap w:val="0"/>
            <w:vAlign w:val="center"/>
          </w:tcPr>
          <w:p w14:paraId="10C27259">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w:t>
            </w:r>
          </w:p>
        </w:tc>
        <w:tc>
          <w:tcPr>
            <w:tcW w:w="1436" w:type="dxa"/>
            <w:noWrap w:val="0"/>
            <w:vAlign w:val="center"/>
          </w:tcPr>
          <w:p w14:paraId="31316795">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节能和环保(2分)</w:t>
            </w:r>
          </w:p>
        </w:tc>
        <w:tc>
          <w:tcPr>
            <w:tcW w:w="6990" w:type="dxa"/>
            <w:noWrap w:val="0"/>
            <w:vAlign w:val="top"/>
          </w:tcPr>
          <w:p w14:paraId="6D41D330">
            <w:pPr>
              <w:spacing w:line="40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所投产品为节能产品的得1分；所投产为环保产品的得1分；未提供不得分。该项得分的认定以《节能产品认证证书》、《环境标志产品认证证书》扫描件为准。</w:t>
            </w:r>
          </w:p>
        </w:tc>
      </w:tr>
      <w:tr w14:paraId="377E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noWrap w:val="0"/>
            <w:vAlign w:val="center"/>
          </w:tcPr>
          <w:p w14:paraId="34886354">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w:t>
            </w:r>
          </w:p>
        </w:tc>
        <w:tc>
          <w:tcPr>
            <w:tcW w:w="1436" w:type="dxa"/>
            <w:noWrap w:val="0"/>
            <w:vAlign w:val="center"/>
          </w:tcPr>
          <w:p w14:paraId="6BE670EA">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履约能力</w:t>
            </w:r>
          </w:p>
          <w:p w14:paraId="6F3D5380">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(4分)</w:t>
            </w:r>
          </w:p>
        </w:tc>
        <w:tc>
          <w:tcPr>
            <w:tcW w:w="6990" w:type="dxa"/>
            <w:noWrap w:val="0"/>
            <w:vAlign w:val="top"/>
          </w:tcPr>
          <w:p w14:paraId="127BD147">
            <w:pPr>
              <w:spacing w:line="40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类似业绩情况(4分):提供投标截止</w:t>
            </w:r>
            <w:r>
              <w:rPr>
                <w:rFonts w:hint="eastAsia" w:ascii="仿宋" w:hAnsi="仿宋" w:eastAsia="仿宋" w:cs="仿宋"/>
                <w:kern w:val="0"/>
                <w:sz w:val="24"/>
                <w:szCs w:val="24"/>
                <w:lang w:val="en-US" w:eastAsia="zh-CN"/>
              </w:rPr>
              <w:t>2022年1月1日</w:t>
            </w:r>
            <w:r>
              <w:rPr>
                <w:rFonts w:hint="eastAsia" w:ascii="仿宋" w:hAnsi="仿宋" w:eastAsia="仿宋" w:cs="仿宋"/>
                <w:kern w:val="0"/>
                <w:sz w:val="24"/>
                <w:szCs w:val="24"/>
                <w:lang w:val="zh-CN"/>
              </w:rPr>
              <w:t>的投标人类似业绩证明材料(需提供包含合同首页、标的及金额所在页、供货合同签字盖章页的扫描(或复印)件),每提供1份得2分，满分4分；不提供不得分。</w:t>
            </w:r>
          </w:p>
        </w:tc>
      </w:tr>
      <w:tr w14:paraId="3856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noWrap w:val="0"/>
            <w:vAlign w:val="center"/>
          </w:tcPr>
          <w:p w14:paraId="5E93F805">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w:t>
            </w:r>
          </w:p>
        </w:tc>
        <w:tc>
          <w:tcPr>
            <w:tcW w:w="1436" w:type="dxa"/>
            <w:noWrap w:val="0"/>
            <w:vAlign w:val="center"/>
          </w:tcPr>
          <w:p w14:paraId="52BECAF2">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项目管理及实施方案(</w:t>
            </w:r>
            <w:r>
              <w:rPr>
                <w:rFonts w:hint="eastAsia" w:ascii="仿宋" w:hAnsi="仿宋" w:eastAsia="仿宋" w:cs="仿宋"/>
                <w:b/>
                <w:bCs/>
                <w:kern w:val="0"/>
                <w:sz w:val="24"/>
                <w:szCs w:val="24"/>
                <w:lang w:val="en-US" w:eastAsia="zh-CN"/>
              </w:rPr>
              <w:t>6</w:t>
            </w:r>
            <w:r>
              <w:rPr>
                <w:rFonts w:hint="eastAsia" w:ascii="仿宋" w:hAnsi="仿宋" w:eastAsia="仿宋" w:cs="仿宋"/>
                <w:b/>
                <w:bCs/>
                <w:kern w:val="0"/>
                <w:sz w:val="24"/>
                <w:szCs w:val="24"/>
                <w:lang w:val="zh-CN"/>
              </w:rPr>
              <w:t>分)</w:t>
            </w:r>
          </w:p>
        </w:tc>
        <w:tc>
          <w:tcPr>
            <w:tcW w:w="6990" w:type="dxa"/>
            <w:noWrap w:val="0"/>
            <w:vAlign w:val="top"/>
          </w:tcPr>
          <w:p w14:paraId="02A3753D">
            <w:pPr>
              <w:spacing w:line="400" w:lineRule="exact"/>
              <w:jc w:val="left"/>
              <w:rPr>
                <w:rFonts w:hint="eastAsia" w:ascii="仿宋" w:hAnsi="仿宋" w:eastAsia="仿宋" w:cs="仿宋"/>
                <w:kern w:val="0"/>
                <w:sz w:val="24"/>
                <w:szCs w:val="24"/>
                <w:lang w:val="zh-CN"/>
              </w:rPr>
            </w:pPr>
            <w:r>
              <w:rPr>
                <w:rFonts w:hint="eastAsia" w:ascii="仿宋" w:hAnsi="仿宋" w:eastAsia="仿宋" w:cs="仿宋"/>
                <w:color w:val="auto"/>
                <w:kern w:val="2"/>
                <w:sz w:val="24"/>
                <w:szCs w:val="24"/>
                <w:lang w:val="zh-CN" w:eastAsia="zh-CN" w:bidi="ar-SA"/>
              </w:rPr>
              <w:t>投标供应商制定方案须体现科学合理性、条理性、可行性、完善性、针对性。包含：①项目管理机构②项目管理措施及质量保障方案③人员配置情况。</w:t>
            </w:r>
            <w:r>
              <w:rPr>
                <w:rFonts w:hint="eastAsia" w:ascii="仿宋" w:hAnsi="仿宋" w:eastAsia="仿宋" w:cs="仿宋"/>
                <w:sz w:val="24"/>
                <w:szCs w:val="24"/>
              </w:rPr>
              <w:t>④实施进度</w:t>
            </w:r>
            <w:r>
              <w:rPr>
                <w:rFonts w:hint="eastAsia" w:ascii="仿宋" w:hAnsi="仿宋" w:eastAsia="仿宋" w:cs="仿宋"/>
                <w:sz w:val="24"/>
                <w:szCs w:val="24"/>
                <w:lang w:val="en-US" w:eastAsia="zh-CN"/>
              </w:rPr>
              <w:t>情况</w:t>
            </w:r>
            <w:r>
              <w:rPr>
                <w:rFonts w:hint="eastAsia" w:ascii="仿宋" w:hAnsi="仿宋" w:eastAsia="仿宋" w:cs="仿宋"/>
                <w:sz w:val="24"/>
                <w:szCs w:val="24"/>
              </w:rPr>
              <w:t>⑤安全保障措</w:t>
            </w:r>
            <w:r>
              <w:rPr>
                <w:rFonts w:hint="eastAsia" w:ascii="仿宋" w:hAnsi="仿宋" w:eastAsia="仿宋" w:cs="仿宋"/>
                <w:sz w:val="24"/>
                <w:szCs w:val="24"/>
                <w:lang w:val="en-US" w:eastAsia="zh-CN"/>
              </w:rPr>
              <w:t xml:space="preserve"> ⑥</w:t>
            </w:r>
            <w:r>
              <w:rPr>
                <w:rFonts w:hint="eastAsia" w:ascii="仿宋" w:hAnsi="仿宋" w:eastAsia="仿宋" w:cs="仿宋"/>
                <w:kern w:val="0"/>
                <w:sz w:val="24"/>
                <w:szCs w:val="24"/>
                <w:lang w:val="zh-CN"/>
              </w:rPr>
              <w:t>质量控制及保证措施。</w:t>
            </w:r>
            <w:r>
              <w:rPr>
                <w:rFonts w:hint="eastAsia" w:ascii="仿宋" w:hAnsi="仿宋" w:eastAsia="仿宋" w:cs="仿宋"/>
                <w:color w:val="auto"/>
                <w:kern w:val="2"/>
                <w:sz w:val="24"/>
                <w:szCs w:val="24"/>
                <w:lang w:val="zh-CN" w:eastAsia="zh-CN" w:bidi="ar-SA"/>
              </w:rPr>
              <w:t>以上因素实质性响应并详尽合理的每一项得</w:t>
            </w: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lang w:val="zh-CN" w:eastAsia="zh-CN" w:bidi="ar-SA"/>
              </w:rPr>
              <w:t>分，满分</w:t>
            </w:r>
            <w:r>
              <w:rPr>
                <w:rFonts w:hint="eastAsia" w:ascii="仿宋" w:hAnsi="仿宋" w:eastAsia="仿宋" w:cs="仿宋"/>
                <w:color w:val="auto"/>
                <w:kern w:val="2"/>
                <w:sz w:val="24"/>
                <w:szCs w:val="24"/>
                <w:lang w:val="en-US" w:eastAsia="zh-CN" w:bidi="ar-SA"/>
              </w:rPr>
              <w:t>6</w:t>
            </w:r>
            <w:r>
              <w:rPr>
                <w:rFonts w:hint="eastAsia" w:ascii="仿宋" w:hAnsi="仿宋" w:eastAsia="仿宋" w:cs="仿宋"/>
                <w:color w:val="auto"/>
                <w:kern w:val="2"/>
                <w:sz w:val="24"/>
                <w:szCs w:val="24"/>
                <w:lang w:val="zh-CN" w:eastAsia="zh-CN" w:bidi="ar-SA"/>
              </w:rPr>
              <w:t>分；每有一项存在缺陷或不足的扣</w:t>
            </w:r>
            <w:r>
              <w:rPr>
                <w:rFonts w:hint="eastAsia" w:ascii="仿宋" w:hAnsi="仿宋" w:eastAsia="仿宋" w:cs="仿宋"/>
                <w:color w:val="auto"/>
                <w:kern w:val="2"/>
                <w:sz w:val="24"/>
                <w:szCs w:val="24"/>
                <w:lang w:val="en-US" w:eastAsia="zh-CN" w:bidi="ar-SA"/>
              </w:rPr>
              <w:t>0.5</w:t>
            </w:r>
            <w:r>
              <w:rPr>
                <w:rFonts w:hint="eastAsia" w:ascii="仿宋" w:hAnsi="仿宋" w:eastAsia="仿宋" w:cs="仿宋"/>
                <w:color w:val="auto"/>
                <w:kern w:val="2"/>
                <w:sz w:val="24"/>
                <w:szCs w:val="24"/>
                <w:lang w:val="zh-CN" w:eastAsia="zh-CN" w:bidi="ar-SA"/>
              </w:rPr>
              <w:t>分，未提供的不得分。</w:t>
            </w:r>
          </w:p>
        </w:tc>
      </w:tr>
      <w:tr w14:paraId="667C3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noWrap w:val="0"/>
            <w:vAlign w:val="center"/>
          </w:tcPr>
          <w:p w14:paraId="3BDF63D5">
            <w:pPr>
              <w:spacing w:line="400" w:lineRule="exact"/>
              <w:jc w:val="center"/>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6</w:t>
            </w:r>
          </w:p>
        </w:tc>
        <w:tc>
          <w:tcPr>
            <w:tcW w:w="1436" w:type="dxa"/>
            <w:noWrap w:val="0"/>
            <w:vAlign w:val="center"/>
          </w:tcPr>
          <w:p w14:paraId="64808F8E">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color w:val="auto"/>
                <w:kern w:val="2"/>
                <w:sz w:val="24"/>
                <w:szCs w:val="24"/>
                <w:lang w:val="zh-CN" w:eastAsia="zh-CN" w:bidi="ar-SA"/>
              </w:rPr>
              <w:t>供货及配送方案（</w:t>
            </w:r>
            <w:r>
              <w:rPr>
                <w:rFonts w:hint="eastAsia" w:ascii="仿宋" w:hAnsi="仿宋" w:eastAsia="仿宋" w:cs="仿宋"/>
                <w:b/>
                <w:bCs/>
                <w:color w:val="auto"/>
                <w:kern w:val="2"/>
                <w:sz w:val="24"/>
                <w:szCs w:val="24"/>
                <w:lang w:val="en-US" w:eastAsia="zh-CN" w:bidi="ar-SA"/>
              </w:rPr>
              <w:t>4分</w:t>
            </w:r>
            <w:r>
              <w:rPr>
                <w:rFonts w:hint="eastAsia" w:ascii="仿宋" w:hAnsi="仿宋" w:eastAsia="仿宋" w:cs="仿宋"/>
                <w:b/>
                <w:bCs/>
                <w:color w:val="auto"/>
                <w:kern w:val="2"/>
                <w:sz w:val="24"/>
                <w:szCs w:val="24"/>
                <w:lang w:val="zh-CN" w:eastAsia="zh-CN" w:bidi="ar-SA"/>
              </w:rPr>
              <w:t>）</w:t>
            </w:r>
          </w:p>
        </w:tc>
        <w:tc>
          <w:tcPr>
            <w:tcW w:w="6990" w:type="dxa"/>
            <w:noWrap w:val="0"/>
            <w:vAlign w:val="top"/>
          </w:tcPr>
          <w:p w14:paraId="6F73D3A0">
            <w:pPr>
              <w:spacing w:line="400" w:lineRule="exact"/>
              <w:jc w:val="left"/>
              <w:rPr>
                <w:rFonts w:hint="eastAsia" w:ascii="仿宋" w:hAnsi="仿宋" w:eastAsia="仿宋" w:cs="仿宋"/>
                <w:kern w:val="0"/>
                <w:sz w:val="24"/>
                <w:szCs w:val="24"/>
                <w:lang w:val="zh-CN"/>
              </w:rPr>
            </w:pPr>
            <w:r>
              <w:rPr>
                <w:rFonts w:hint="eastAsia" w:ascii="仿宋" w:hAnsi="仿宋" w:eastAsia="仿宋" w:cs="仿宋"/>
                <w:color w:val="auto"/>
                <w:kern w:val="2"/>
                <w:sz w:val="24"/>
                <w:szCs w:val="24"/>
                <w:lang w:val="zh-CN" w:eastAsia="zh-CN" w:bidi="ar-SA"/>
              </w:rPr>
              <w:t>投标供应商针对本项目特点制定详细的货物供货及配送方案。包含：①完善的供货计划②完善的运输计划及运输配置、应急措施等③完善的供货保证措施</w:t>
            </w:r>
            <w:r>
              <w:rPr>
                <w:rFonts w:hint="eastAsia" w:ascii="仿宋" w:hAnsi="仿宋" w:eastAsia="仿宋" w:cs="仿宋"/>
                <w:sz w:val="24"/>
                <w:szCs w:val="24"/>
              </w:rPr>
              <w:t>④安全保障措</w:t>
            </w:r>
            <w:r>
              <w:rPr>
                <w:rFonts w:hint="eastAsia" w:ascii="仿宋" w:hAnsi="仿宋" w:eastAsia="仿宋" w:cs="仿宋"/>
                <w:color w:val="auto"/>
                <w:kern w:val="2"/>
                <w:sz w:val="24"/>
                <w:szCs w:val="24"/>
                <w:lang w:val="zh-CN" w:eastAsia="zh-CN" w:bidi="ar-SA"/>
              </w:rPr>
              <w:t>。以上因素实质性响应并详尽合理的每一项得</w:t>
            </w: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lang w:val="zh-CN" w:eastAsia="zh-CN" w:bidi="ar-SA"/>
              </w:rPr>
              <w:t>分，满分</w:t>
            </w: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kern w:val="2"/>
                <w:sz w:val="24"/>
                <w:szCs w:val="24"/>
                <w:lang w:val="zh-CN" w:eastAsia="zh-CN" w:bidi="ar-SA"/>
              </w:rPr>
              <w:t>分；每有一项存在缺陷或不足的扣</w:t>
            </w:r>
            <w:r>
              <w:rPr>
                <w:rFonts w:hint="eastAsia" w:ascii="仿宋" w:hAnsi="仿宋" w:eastAsia="仿宋" w:cs="仿宋"/>
                <w:color w:val="auto"/>
                <w:kern w:val="2"/>
                <w:sz w:val="24"/>
                <w:szCs w:val="24"/>
                <w:lang w:val="en-US" w:eastAsia="zh-CN" w:bidi="ar-SA"/>
              </w:rPr>
              <w:t>0.5</w:t>
            </w:r>
            <w:r>
              <w:rPr>
                <w:rFonts w:hint="eastAsia" w:ascii="仿宋" w:hAnsi="仿宋" w:eastAsia="仿宋" w:cs="仿宋"/>
                <w:color w:val="auto"/>
                <w:kern w:val="2"/>
                <w:sz w:val="24"/>
                <w:szCs w:val="24"/>
                <w:lang w:val="zh-CN" w:eastAsia="zh-CN" w:bidi="ar-SA"/>
              </w:rPr>
              <w:t>分，未提供的不得分。</w:t>
            </w:r>
          </w:p>
        </w:tc>
      </w:tr>
      <w:tr w14:paraId="1324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4" w:type="dxa"/>
            <w:noWrap w:val="0"/>
            <w:vAlign w:val="center"/>
          </w:tcPr>
          <w:p w14:paraId="122D5198">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7</w:t>
            </w:r>
          </w:p>
        </w:tc>
        <w:tc>
          <w:tcPr>
            <w:tcW w:w="1436" w:type="dxa"/>
            <w:noWrap w:val="0"/>
            <w:vAlign w:val="center"/>
          </w:tcPr>
          <w:p w14:paraId="3806914C">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培训计划措施及培训承诺（</w:t>
            </w:r>
            <w:r>
              <w:rPr>
                <w:rFonts w:hint="eastAsia" w:ascii="仿宋" w:hAnsi="仿宋" w:eastAsia="仿宋" w:cs="仿宋"/>
                <w:b/>
                <w:bCs/>
                <w:color w:val="auto"/>
                <w:kern w:val="2"/>
                <w:sz w:val="24"/>
                <w:szCs w:val="24"/>
                <w:lang w:val="en-US" w:eastAsia="zh-CN" w:bidi="ar-SA"/>
              </w:rPr>
              <w:t>4分</w:t>
            </w:r>
            <w:r>
              <w:rPr>
                <w:rFonts w:hint="eastAsia" w:ascii="仿宋" w:hAnsi="仿宋" w:eastAsia="仿宋" w:cs="仿宋"/>
                <w:b/>
                <w:bCs/>
                <w:kern w:val="0"/>
                <w:sz w:val="24"/>
                <w:szCs w:val="24"/>
                <w:lang w:val="zh-CN"/>
              </w:rPr>
              <w:t>）</w:t>
            </w:r>
          </w:p>
        </w:tc>
        <w:tc>
          <w:tcPr>
            <w:tcW w:w="6990" w:type="dxa"/>
            <w:noWrap w:val="0"/>
            <w:vAlign w:val="top"/>
          </w:tcPr>
          <w:p w14:paraId="6200DF85">
            <w:pPr>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szCs w:val="24"/>
                <w:lang w:val="zh-CN"/>
              </w:rPr>
              <w:t>针对本项目有培训计划、措施及培训承诺。包含：①培训保障措施及培训计划方案（技术实战操培训）②培训安全保障方案及培训相关承诺，以上因素每实质性响应一项得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rPr>
              <w:t>分，满分</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分，未实质性响应或未提供不得分。</w:t>
            </w:r>
          </w:p>
        </w:tc>
      </w:tr>
      <w:tr w14:paraId="0EC3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0" w:hRule="atLeast"/>
        </w:trPr>
        <w:tc>
          <w:tcPr>
            <w:tcW w:w="1124" w:type="dxa"/>
            <w:noWrap w:val="0"/>
            <w:vAlign w:val="center"/>
          </w:tcPr>
          <w:p w14:paraId="32B04CC0">
            <w:pPr>
              <w:spacing w:line="4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8</w:t>
            </w:r>
          </w:p>
        </w:tc>
        <w:tc>
          <w:tcPr>
            <w:tcW w:w="1436" w:type="dxa"/>
            <w:noWrap w:val="0"/>
            <w:vAlign w:val="center"/>
          </w:tcPr>
          <w:p w14:paraId="1F3CC38E">
            <w:pPr>
              <w:spacing w:line="400" w:lineRule="exact"/>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售后服务(</w:t>
            </w:r>
            <w:r>
              <w:rPr>
                <w:rFonts w:hint="eastAsia" w:ascii="仿宋" w:hAnsi="仿宋" w:eastAsia="仿宋" w:cs="仿宋"/>
                <w:b/>
                <w:bCs/>
                <w:kern w:val="0"/>
                <w:sz w:val="24"/>
                <w:szCs w:val="24"/>
                <w:lang w:val="en-US" w:eastAsia="zh-CN"/>
              </w:rPr>
              <w:t>10</w:t>
            </w:r>
            <w:r>
              <w:rPr>
                <w:rFonts w:hint="eastAsia" w:ascii="仿宋" w:hAnsi="仿宋" w:eastAsia="仿宋" w:cs="仿宋"/>
                <w:b/>
                <w:bCs/>
                <w:kern w:val="0"/>
                <w:sz w:val="24"/>
                <w:szCs w:val="24"/>
                <w:lang w:val="zh-CN"/>
              </w:rPr>
              <w:t>分)</w:t>
            </w:r>
          </w:p>
        </w:tc>
        <w:tc>
          <w:tcPr>
            <w:tcW w:w="6990" w:type="dxa"/>
            <w:noWrap w:val="0"/>
            <w:vAlign w:val="top"/>
          </w:tcPr>
          <w:p w14:paraId="09396B81">
            <w:pPr>
              <w:spacing w:line="400" w:lineRule="exact"/>
              <w:jc w:val="left"/>
              <w:rPr>
                <w:rFonts w:hint="eastAsia" w:ascii="仿宋" w:hAnsi="仿宋" w:eastAsia="仿宋" w:cs="仿宋"/>
                <w:kern w:val="0"/>
                <w:sz w:val="24"/>
                <w:szCs w:val="24"/>
                <w:lang w:val="zh-CN"/>
              </w:rPr>
            </w:pPr>
            <w:r>
              <w:rPr>
                <w:rFonts w:hint="eastAsia" w:ascii="仿宋" w:hAnsi="仿宋" w:eastAsia="仿宋" w:cs="仿宋"/>
                <w:color w:val="auto"/>
                <w:kern w:val="2"/>
                <w:sz w:val="24"/>
                <w:szCs w:val="24"/>
                <w:lang w:val="zh-CN" w:eastAsia="zh-CN" w:bidi="ar-SA"/>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kern w:val="2"/>
                <w:sz w:val="24"/>
                <w:szCs w:val="24"/>
                <w:lang w:val="zh-CN" w:eastAsia="zh-CN" w:bidi="ar-SA"/>
              </w:rPr>
              <w:t>分，满分</w:t>
            </w:r>
            <w:r>
              <w:rPr>
                <w:rFonts w:hint="eastAsia" w:ascii="仿宋" w:hAnsi="仿宋" w:eastAsia="仿宋" w:cs="仿宋"/>
                <w:color w:val="auto"/>
                <w:kern w:val="2"/>
                <w:sz w:val="24"/>
                <w:szCs w:val="24"/>
                <w:lang w:val="en-US" w:eastAsia="zh-CN" w:bidi="ar-SA"/>
              </w:rPr>
              <w:t>10</w:t>
            </w:r>
            <w:r>
              <w:rPr>
                <w:rFonts w:hint="eastAsia" w:ascii="仿宋" w:hAnsi="仿宋" w:eastAsia="仿宋" w:cs="仿宋"/>
                <w:color w:val="auto"/>
                <w:kern w:val="2"/>
                <w:sz w:val="24"/>
                <w:szCs w:val="24"/>
                <w:lang w:val="zh-CN" w:eastAsia="zh-CN" w:bidi="ar-SA"/>
              </w:rPr>
              <w:t>分；每有一项存在缺陷或不足的扣</w:t>
            </w:r>
            <w:r>
              <w:rPr>
                <w:rFonts w:hint="eastAsia" w:ascii="仿宋" w:hAnsi="仿宋" w:eastAsia="仿宋" w:cs="仿宋"/>
                <w:color w:val="auto"/>
                <w:kern w:val="2"/>
                <w:sz w:val="24"/>
                <w:szCs w:val="24"/>
                <w:lang w:val="en-US" w:eastAsia="zh-CN" w:bidi="ar-SA"/>
              </w:rPr>
              <w:t>0.5</w:t>
            </w:r>
            <w:r>
              <w:rPr>
                <w:rFonts w:hint="eastAsia" w:ascii="仿宋" w:hAnsi="仿宋" w:eastAsia="仿宋" w:cs="仿宋"/>
                <w:color w:val="auto"/>
                <w:kern w:val="2"/>
                <w:sz w:val="24"/>
                <w:szCs w:val="24"/>
                <w:lang w:val="zh-CN" w:eastAsia="zh-CN" w:bidi="ar-SA"/>
              </w:rPr>
              <w:t>分，未提供的不得分。</w:t>
            </w:r>
          </w:p>
        </w:tc>
      </w:tr>
      <w:bookmarkEnd w:id="35"/>
    </w:tbl>
    <w:p w14:paraId="5155B1E7">
      <w:pPr>
        <w:autoSpaceDE w:val="0"/>
        <w:autoSpaceDN w:val="0"/>
        <w:adjustRightInd w:val="0"/>
        <w:spacing w:line="360" w:lineRule="auto"/>
        <w:jc w:val="left"/>
        <w:rPr>
          <w:rFonts w:hint="eastAsia" w:ascii="宋体" w:cs="宋体"/>
          <w:sz w:val="24"/>
          <w:szCs w:val="24"/>
          <w:lang w:val="zh-CN"/>
        </w:rPr>
      </w:pPr>
      <w:bookmarkStart w:id="40" w:name="_Toc325726025"/>
      <w:bookmarkStart w:id="41" w:name="_Toc428180562"/>
      <w:bookmarkStart w:id="42" w:name="_Toc500493784"/>
      <w:bookmarkStart w:id="43" w:name="_Toc376936756"/>
    </w:p>
    <w:p w14:paraId="090A7F47">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5CCBF709">
      <w:pPr>
        <w:autoSpaceDE w:val="0"/>
        <w:autoSpaceDN w:val="0"/>
        <w:adjustRightInd w:val="0"/>
        <w:spacing w:line="360" w:lineRule="auto"/>
        <w:jc w:val="left"/>
        <w:rPr>
          <w:rFonts w:ascii="Arial" w:hAnsi="Arial" w:cs="Arial"/>
          <w:sz w:val="24"/>
        </w:rPr>
      </w:pPr>
    </w:p>
    <w:p w14:paraId="5D4103C6">
      <w:pPr>
        <w:pStyle w:val="18"/>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325726026"/>
      <w:bookmarkStart w:id="45" w:name="_Toc500493785"/>
      <w:bookmarkStart w:id="46" w:name="_Toc376936757"/>
    </w:p>
    <w:p w14:paraId="28656D4A">
      <w:pPr>
        <w:pStyle w:val="18"/>
        <w:ind w:firstLine="424" w:firstLineChars="176"/>
        <w:rPr>
          <w:rFonts w:hint="eastAsia"/>
          <w:b/>
          <w:kern w:val="0"/>
          <w:sz w:val="24"/>
        </w:rPr>
      </w:pPr>
    </w:p>
    <w:p w14:paraId="125F4F8B">
      <w:pPr>
        <w:pStyle w:val="18"/>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500493786"/>
      <w:bookmarkStart w:id="49" w:name="_Toc325726028"/>
      <w:bookmarkStart w:id="50" w:name="_Toc376936759"/>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18"/>
        <w:ind w:firstLine="282" w:firstLineChars="117"/>
        <w:rPr>
          <w:rFonts w:hint="eastAsia"/>
          <w:b/>
          <w:kern w:val="0"/>
          <w:sz w:val="24"/>
        </w:rPr>
      </w:pPr>
      <w:bookmarkStart w:id="51" w:name="_Toc376936758"/>
      <w:bookmarkStart w:id="52" w:name="_Toc500493787"/>
    </w:p>
    <w:p w14:paraId="546C62DA">
      <w:pPr>
        <w:pStyle w:val="18"/>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18"/>
        <w:ind w:firstLine="282" w:firstLineChars="117"/>
        <w:rPr>
          <w:rFonts w:hint="eastAsia"/>
          <w:b/>
          <w:kern w:val="0"/>
          <w:sz w:val="24"/>
        </w:rPr>
      </w:pPr>
      <w:bookmarkStart w:id="53" w:name="_Toc500493788"/>
      <w:bookmarkStart w:id="54" w:name="_Toc376936760"/>
      <w:bookmarkStart w:id="55" w:name="_Toc325726029"/>
    </w:p>
    <w:p w14:paraId="3BC65597">
      <w:pPr>
        <w:pStyle w:val="18"/>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18"/>
        <w:ind w:firstLine="424" w:firstLineChars="176"/>
        <w:rPr>
          <w:rFonts w:hint="eastAsia"/>
          <w:b/>
          <w:kern w:val="0"/>
          <w:sz w:val="24"/>
        </w:rPr>
      </w:pPr>
      <w:bookmarkStart w:id="58" w:name="_Toc500493789"/>
    </w:p>
    <w:p w14:paraId="0B6D3D5E">
      <w:pPr>
        <w:pStyle w:val="18"/>
        <w:ind w:firstLine="424" w:firstLineChars="176"/>
        <w:rPr>
          <w:rFonts w:hint="eastAsia"/>
          <w:b/>
          <w:kern w:val="0"/>
          <w:sz w:val="24"/>
        </w:rPr>
      </w:pPr>
      <w:r>
        <w:rPr>
          <w:rFonts w:hint="eastAsia"/>
          <w:b/>
          <w:kern w:val="0"/>
          <w:sz w:val="24"/>
        </w:rPr>
        <w:t>十、串通投标的认定及处理办法</w:t>
      </w:r>
      <w:bookmarkEnd w:id="58"/>
    </w:p>
    <w:p w14:paraId="2F6F5620">
      <w:pPr>
        <w:pStyle w:val="18"/>
        <w:ind w:firstLine="424" w:firstLineChars="176"/>
        <w:rPr>
          <w:rFonts w:hint="eastAsia"/>
          <w:b/>
          <w:kern w:val="0"/>
          <w:sz w:val="24"/>
        </w:rPr>
      </w:pPr>
      <w:bookmarkStart w:id="59" w:name="_Toc500493790"/>
    </w:p>
    <w:p w14:paraId="7FBE9CB7">
      <w:pPr>
        <w:pStyle w:val="18"/>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18"/>
        <w:ind w:firstLine="424" w:firstLineChars="176"/>
        <w:rPr>
          <w:rFonts w:hint="eastAsia"/>
          <w:b/>
          <w:kern w:val="0"/>
          <w:sz w:val="24"/>
        </w:rPr>
      </w:pPr>
      <w:bookmarkStart w:id="60" w:name="_Toc500493791"/>
    </w:p>
    <w:p w14:paraId="3A0DBE37">
      <w:pPr>
        <w:pStyle w:val="18"/>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18"/>
        <w:ind w:firstLine="424" w:firstLineChars="176"/>
        <w:rPr>
          <w:rFonts w:hint="eastAsia"/>
          <w:b/>
          <w:kern w:val="0"/>
          <w:sz w:val="24"/>
        </w:rPr>
      </w:pPr>
      <w:bookmarkStart w:id="61" w:name="_Toc500493792"/>
      <w:bookmarkStart w:id="62" w:name="_Toc325726031"/>
      <w:bookmarkStart w:id="63" w:name="_Toc376936762"/>
    </w:p>
    <w:p w14:paraId="032CE5DA">
      <w:pPr>
        <w:pStyle w:val="18"/>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18"/>
        <w:ind w:firstLine="424" w:firstLineChars="176"/>
        <w:rPr>
          <w:rFonts w:hint="eastAsia"/>
          <w:b/>
          <w:kern w:val="0"/>
          <w:sz w:val="24"/>
        </w:rPr>
      </w:pPr>
      <w:bookmarkStart w:id="65" w:name="_Toc500493793"/>
      <w:bookmarkStart w:id="66" w:name="_Toc376936763"/>
    </w:p>
    <w:p w14:paraId="016B0672">
      <w:pPr>
        <w:pStyle w:val="18"/>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18"/>
        <w:ind w:firstLine="424" w:firstLineChars="176"/>
        <w:rPr>
          <w:rFonts w:hint="eastAsia"/>
          <w:b/>
          <w:kern w:val="0"/>
          <w:sz w:val="24"/>
        </w:rPr>
      </w:pPr>
      <w:bookmarkStart w:id="67" w:name="_Toc500493794"/>
      <w:bookmarkStart w:id="68" w:name="_Toc325726033"/>
      <w:bookmarkStart w:id="69" w:name="_Toc376936764"/>
    </w:p>
    <w:p w14:paraId="4F14F5FE">
      <w:pPr>
        <w:pStyle w:val="18"/>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325726034"/>
      <w:bookmarkStart w:id="71" w:name="_Toc376936765"/>
      <w:bookmarkStart w:id="72" w:name="_Toc500493795"/>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7A7B68A2">
      <w:pPr>
        <w:pStyle w:val="12"/>
        <w:jc w:val="center"/>
        <w:rPr>
          <w:rFonts w:hint="eastAsia"/>
          <w:sz w:val="28"/>
          <w:lang w:val="zh-CN"/>
        </w:rPr>
      </w:pPr>
      <w:bookmarkStart w:id="73" w:name="_Toc428180573"/>
      <w:bookmarkStart w:id="74" w:name="_Toc21328"/>
    </w:p>
    <w:p w14:paraId="0319C9B1">
      <w:pPr>
        <w:rPr>
          <w:rFonts w:hint="eastAsia"/>
          <w:sz w:val="28"/>
          <w:lang w:val="zh-CN"/>
        </w:rPr>
      </w:pPr>
    </w:p>
    <w:p w14:paraId="737FEE14">
      <w:pPr>
        <w:rPr>
          <w:rFonts w:hint="eastAsia"/>
          <w:sz w:val="28"/>
          <w:lang w:val="zh-CN"/>
        </w:rPr>
      </w:pPr>
    </w:p>
    <w:p w14:paraId="25178DB8">
      <w:pPr>
        <w:rPr>
          <w:rFonts w:hint="eastAsia"/>
          <w:sz w:val="28"/>
          <w:lang w:val="zh-CN"/>
        </w:rPr>
      </w:pPr>
    </w:p>
    <w:p w14:paraId="1D0FF7CC">
      <w:pPr>
        <w:pStyle w:val="12"/>
        <w:jc w:val="center"/>
        <w:rPr>
          <w:rFonts w:ascii="Calibri" w:cs="Calibri"/>
          <w:sz w:val="21"/>
        </w:rPr>
      </w:pPr>
      <w:bookmarkStart w:id="75" w:name="_Toc31588"/>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3"/>
      <w:bookmarkEnd w:id="74"/>
      <w:bookmarkEnd w:id="75"/>
    </w:p>
    <w:p w14:paraId="0A87A102">
      <w:pPr>
        <w:spacing w:line="400" w:lineRule="exact"/>
        <w:ind w:firstLine="564" w:firstLineChars="235"/>
        <w:rPr>
          <w:rFonts w:cs="Calibri"/>
          <w:kern w:val="0"/>
          <w:sz w:val="24"/>
          <w:szCs w:val="24"/>
        </w:rPr>
      </w:pPr>
    </w:p>
    <w:p w14:paraId="58738AEF">
      <w:pPr>
        <w:jc w:val="center"/>
        <w:rPr>
          <w:kern w:val="28"/>
          <w:sz w:val="72"/>
        </w:rPr>
      </w:pPr>
      <w:bookmarkStart w:id="76" w:name="_Toc428180574"/>
      <w:bookmarkStart w:id="77" w:name="_Toc6724"/>
      <w:bookmarkStart w:id="78" w:name="_Toc24579"/>
      <w:r>
        <w:rPr>
          <w:rFonts w:hint="eastAsia"/>
          <w:b/>
          <w:kern w:val="28"/>
          <w:sz w:val="72"/>
        </w:rPr>
        <w:t>西宁市政府采购</w:t>
      </w:r>
    </w:p>
    <w:p w14:paraId="27A364AD">
      <w:pPr>
        <w:jc w:val="center"/>
        <w:rPr>
          <w:kern w:val="28"/>
          <w:sz w:val="72"/>
        </w:rPr>
      </w:pPr>
    </w:p>
    <w:p w14:paraId="2D754AD6">
      <w:pPr>
        <w:jc w:val="center"/>
        <w:rPr>
          <w:b/>
          <w:kern w:val="28"/>
          <w:sz w:val="72"/>
        </w:rPr>
      </w:pPr>
      <w:r>
        <w:rPr>
          <w:rFonts w:hint="eastAsia"/>
          <w:b/>
          <w:kern w:val="28"/>
          <w:sz w:val="72"/>
        </w:rPr>
        <w:t>合</w:t>
      </w:r>
    </w:p>
    <w:p w14:paraId="27CB6413">
      <w:pPr>
        <w:jc w:val="center"/>
        <w:rPr>
          <w:b/>
          <w:kern w:val="28"/>
          <w:sz w:val="72"/>
        </w:rPr>
      </w:pPr>
    </w:p>
    <w:p w14:paraId="4466C66A">
      <w:pPr>
        <w:jc w:val="center"/>
        <w:rPr>
          <w:b/>
          <w:kern w:val="28"/>
          <w:sz w:val="72"/>
        </w:rPr>
      </w:pPr>
      <w:r>
        <w:rPr>
          <w:rFonts w:hint="eastAsia"/>
          <w:b/>
          <w:kern w:val="28"/>
          <w:sz w:val="72"/>
        </w:rPr>
        <w:t>同</w:t>
      </w:r>
    </w:p>
    <w:p w14:paraId="57EB5446">
      <w:pPr>
        <w:jc w:val="center"/>
        <w:rPr>
          <w:b/>
          <w:kern w:val="28"/>
          <w:sz w:val="72"/>
        </w:rPr>
      </w:pPr>
    </w:p>
    <w:p w14:paraId="1E0D4979">
      <w:pPr>
        <w:jc w:val="center"/>
        <w:rPr>
          <w:kern w:val="28"/>
          <w:sz w:val="72"/>
        </w:rPr>
      </w:pPr>
      <w:r>
        <w:rPr>
          <w:rFonts w:hint="eastAsia"/>
          <w:b/>
          <w:kern w:val="28"/>
          <w:sz w:val="72"/>
        </w:rPr>
        <w:t>书</w:t>
      </w:r>
    </w:p>
    <w:p w14:paraId="230325BB">
      <w:pPr>
        <w:rPr>
          <w:sz w:val="52"/>
        </w:rPr>
      </w:pPr>
    </w:p>
    <w:p w14:paraId="6E615B37">
      <w:pPr>
        <w:spacing w:line="276" w:lineRule="auto"/>
        <w:ind w:firstLine="602"/>
        <w:rPr>
          <w:b/>
          <w:sz w:val="30"/>
          <w:szCs w:val="30"/>
          <w:u w:val="single"/>
        </w:rPr>
      </w:pPr>
      <w:r>
        <w:rPr>
          <w:rFonts w:hint="eastAsia"/>
          <w:b/>
          <w:sz w:val="30"/>
          <w:szCs w:val="30"/>
        </w:rPr>
        <w:t>采购项目名称：</w:t>
      </w:r>
    </w:p>
    <w:p w14:paraId="6C1C08CF">
      <w:pPr>
        <w:spacing w:line="276" w:lineRule="auto"/>
        <w:ind w:firstLine="602"/>
        <w:rPr>
          <w:b/>
          <w:sz w:val="30"/>
          <w:szCs w:val="30"/>
          <w:u w:val="single"/>
        </w:rPr>
      </w:pPr>
      <w:r>
        <w:rPr>
          <w:rFonts w:hint="eastAsia"/>
          <w:b/>
          <w:sz w:val="30"/>
          <w:szCs w:val="30"/>
        </w:rPr>
        <w:t>采购项目编号：</w:t>
      </w:r>
    </w:p>
    <w:p w14:paraId="0C403F10">
      <w:pPr>
        <w:spacing w:line="276" w:lineRule="auto"/>
        <w:ind w:firstLine="596" w:firstLineChars="198"/>
        <w:rPr>
          <w:b/>
          <w:sz w:val="30"/>
          <w:szCs w:val="30"/>
        </w:rPr>
      </w:pPr>
      <w:r>
        <w:rPr>
          <w:rFonts w:hint="eastAsia"/>
          <w:b/>
          <w:sz w:val="30"/>
          <w:szCs w:val="30"/>
        </w:rPr>
        <w:t>采购单位：西宁市塔尔山林场</w:t>
      </w:r>
    </w:p>
    <w:p w14:paraId="36C2FA14">
      <w:pPr>
        <w:spacing w:line="276" w:lineRule="auto"/>
        <w:ind w:firstLine="596" w:firstLineChars="198"/>
        <w:rPr>
          <w:b/>
          <w:sz w:val="30"/>
          <w:szCs w:val="30"/>
        </w:rPr>
      </w:pPr>
      <w:r>
        <w:rPr>
          <w:rFonts w:hint="eastAsia"/>
          <w:b/>
          <w:sz w:val="30"/>
          <w:szCs w:val="30"/>
        </w:rPr>
        <w:t>中标单位：</w:t>
      </w:r>
    </w:p>
    <w:p w14:paraId="547D07B8">
      <w:pPr>
        <w:spacing w:line="276" w:lineRule="auto"/>
        <w:ind w:firstLine="596" w:firstLineChars="198"/>
        <w:rPr>
          <w:b/>
          <w:sz w:val="30"/>
          <w:szCs w:val="30"/>
        </w:rPr>
      </w:pPr>
      <w:r>
        <w:rPr>
          <w:rFonts w:hint="eastAsia"/>
          <w:b/>
          <w:sz w:val="30"/>
          <w:szCs w:val="30"/>
        </w:rPr>
        <w:t>中标金额：</w:t>
      </w:r>
    </w:p>
    <w:p w14:paraId="5313BFDE">
      <w:pPr>
        <w:spacing w:line="276" w:lineRule="auto"/>
        <w:ind w:firstLine="596" w:firstLineChars="198"/>
        <w:jc w:val="center"/>
        <w:rPr>
          <w:b/>
          <w:sz w:val="30"/>
          <w:szCs w:val="30"/>
        </w:rPr>
      </w:pPr>
      <w:r>
        <w:rPr>
          <w:rFonts w:hint="eastAsia"/>
          <w:b/>
          <w:sz w:val="30"/>
          <w:szCs w:val="30"/>
        </w:rPr>
        <w:t>西宁市政府采购中心</w:t>
      </w:r>
    </w:p>
    <w:p w14:paraId="3D46AAFA">
      <w:pPr>
        <w:spacing w:line="276" w:lineRule="auto"/>
        <w:ind w:firstLine="596" w:firstLineChars="198"/>
        <w:jc w:val="center"/>
        <w:rPr>
          <w:b/>
          <w:sz w:val="30"/>
          <w:szCs w:val="30"/>
        </w:rPr>
      </w:pPr>
      <w:r>
        <w:rPr>
          <w:rFonts w:hint="eastAsia"/>
          <w:b/>
          <w:sz w:val="30"/>
          <w:szCs w:val="30"/>
        </w:rPr>
        <w:t xml:space="preserve">   年   月</w:t>
      </w:r>
    </w:p>
    <w:p w14:paraId="7CA74D78">
      <w:pPr>
        <w:autoSpaceDE w:val="0"/>
        <w:autoSpaceDN w:val="0"/>
        <w:adjustRightInd w:val="0"/>
        <w:spacing w:line="560" w:lineRule="exact"/>
        <w:ind w:left="3654" w:hanging="3654" w:hangingChars="1300"/>
        <w:rPr>
          <w:rFonts w:ascii="宋体" w:hAnsi="宋体" w:cs="宋体"/>
          <w:b/>
          <w:bCs/>
          <w:sz w:val="28"/>
          <w:szCs w:val="28"/>
        </w:rPr>
        <w:sectPr>
          <w:pgSz w:w="11906" w:h="16838"/>
          <w:pgMar w:top="1020" w:right="1134" w:bottom="1020" w:left="1020" w:header="851" w:footer="992" w:gutter="0"/>
          <w:cols w:space="720" w:num="1"/>
          <w:docGrid w:type="lines" w:linePitch="312" w:charSpace="0"/>
        </w:sectPr>
      </w:pPr>
    </w:p>
    <w:p w14:paraId="591F81ED">
      <w:pPr>
        <w:keepNext w:val="0"/>
        <w:keepLines w:val="0"/>
        <w:pageBreakBefore w:val="0"/>
        <w:widowControl w:val="0"/>
        <w:kinsoku/>
        <w:wordWrap/>
        <w:overflowPunct/>
        <w:topLinePunct w:val="0"/>
        <w:autoSpaceDE w:val="0"/>
        <w:autoSpaceDN w:val="0"/>
        <w:bidi w:val="0"/>
        <w:adjustRightInd w:val="0"/>
        <w:spacing w:line="400" w:lineRule="exact"/>
        <w:ind w:firstLine="643" w:firstLineChars="200"/>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zh-CN"/>
        </w:rPr>
        <w:t>采</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lang w:val="zh-CN"/>
        </w:rPr>
        <w:t>购</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lang w:val="zh-CN"/>
        </w:rPr>
        <w:t>人（以下简称甲方）：西宁市塔尔山林场</w:t>
      </w:r>
    </w:p>
    <w:p w14:paraId="48153BAF">
      <w:pPr>
        <w:keepNext w:val="0"/>
        <w:keepLines w:val="0"/>
        <w:pageBreakBefore w:val="0"/>
        <w:widowControl w:val="0"/>
        <w:kinsoku/>
        <w:wordWrap/>
        <w:overflowPunct/>
        <w:topLinePunct w:val="0"/>
        <w:autoSpaceDE w:val="0"/>
        <w:autoSpaceDN w:val="0"/>
        <w:bidi w:val="0"/>
        <w:adjustRightInd w:val="0"/>
        <w:spacing w:line="400" w:lineRule="exact"/>
        <w:ind w:firstLine="643"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zh-CN"/>
        </w:rPr>
        <w:t>中</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lang w:val="zh-CN"/>
        </w:rPr>
        <w:t>标</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lang w:val="zh-CN"/>
        </w:rPr>
        <w:t>人（以下简称乙方）：</w:t>
      </w:r>
    </w:p>
    <w:p w14:paraId="53F79B17">
      <w:pPr>
        <w:pStyle w:val="6"/>
        <w:keepNext w:val="0"/>
        <w:keepLines w:val="0"/>
        <w:pageBreakBefore w:val="0"/>
        <w:widowControl w:val="0"/>
        <w:kinsoku/>
        <w:wordWrap/>
        <w:overflowPunct/>
        <w:topLinePunct w:val="0"/>
        <w:autoSpaceDE w:val="0"/>
        <w:autoSpaceDN w:val="0"/>
        <w:bidi w:val="0"/>
        <w:adjustRightInd/>
        <w:spacing w:after="0" w:line="400" w:lineRule="exact"/>
        <w:ind w:left="0" w:leftChars="0" w:firstLine="600"/>
        <w:textAlignment w:val="auto"/>
        <w:rPr>
          <w:rFonts w:ascii="仿宋" w:hAnsi="仿宋" w:eastAsia="仿宋" w:cs="仿宋"/>
          <w:sz w:val="30"/>
          <w:szCs w:val="30"/>
          <w:lang w:val="zh-CN"/>
        </w:rPr>
      </w:pPr>
      <w:r>
        <w:rPr>
          <w:rFonts w:hint="eastAsia" w:ascii="仿宋" w:hAnsi="仿宋" w:eastAsia="仿宋" w:cs="仿宋"/>
          <w:sz w:val="30"/>
          <w:szCs w:val="30"/>
          <w:lang w:val="zh-CN"/>
        </w:rPr>
        <w:t>甲、乙双方根据</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的招标文件要求和采购代理机构出具的《中标通知书》，并经双方协商一致，签订本合同协议书。</w:t>
      </w:r>
    </w:p>
    <w:p w14:paraId="55F129B3">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一、签订本政府采购合同的依据</w:t>
      </w:r>
    </w:p>
    <w:p w14:paraId="2FE3DAC5">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本政府采购合同所附下列文件是构成本政府采购合同不可分割的部分：</w:t>
      </w:r>
    </w:p>
    <w:p w14:paraId="10E25487">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1.招标文件；</w:t>
      </w:r>
    </w:p>
    <w:p w14:paraId="710F2E13">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2.招标文件的澄清、变更公告；</w:t>
      </w:r>
    </w:p>
    <w:p w14:paraId="271B378B">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3.中标人提交的投标文件；</w:t>
      </w:r>
    </w:p>
    <w:p w14:paraId="71EC92DC">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4.招标文件中规定的政府采购合同通用条款；</w:t>
      </w:r>
    </w:p>
    <w:p w14:paraId="3AFE9F26">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5.中标通知书；</w:t>
      </w:r>
    </w:p>
    <w:p w14:paraId="6564B8E0">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6.履约保证金缴费证明。</w:t>
      </w:r>
    </w:p>
    <w:p w14:paraId="0AF1E749">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二、合同标的及金额                      单位：元</w:t>
      </w:r>
    </w:p>
    <w:tbl>
      <w:tblPr>
        <w:tblStyle w:val="13"/>
        <w:tblW w:w="0" w:type="auto"/>
        <w:jc w:val="center"/>
        <w:tblLayout w:type="fixed"/>
        <w:tblCellMar>
          <w:top w:w="0" w:type="dxa"/>
          <w:left w:w="108" w:type="dxa"/>
          <w:bottom w:w="0" w:type="dxa"/>
          <w:right w:w="108" w:type="dxa"/>
        </w:tblCellMar>
      </w:tblPr>
      <w:tblGrid>
        <w:gridCol w:w="913"/>
        <w:gridCol w:w="1505"/>
        <w:gridCol w:w="2109"/>
        <w:gridCol w:w="1364"/>
        <w:gridCol w:w="945"/>
        <w:gridCol w:w="1127"/>
        <w:gridCol w:w="1009"/>
      </w:tblGrid>
      <w:tr w14:paraId="4E56B5A2">
        <w:tblPrEx>
          <w:tblCellMar>
            <w:top w:w="0" w:type="dxa"/>
            <w:left w:w="108" w:type="dxa"/>
            <w:bottom w:w="0" w:type="dxa"/>
            <w:right w:w="108" w:type="dxa"/>
          </w:tblCellMar>
        </w:tblPrEx>
        <w:trPr>
          <w:cantSplit/>
          <w:trHeight w:val="23"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502C373F">
            <w:pPr>
              <w:keepNext w:val="0"/>
              <w:keepLines w:val="0"/>
              <w:pageBreakBefore w:val="0"/>
              <w:widowControl w:val="0"/>
              <w:kinsoku/>
              <w:wordWrap/>
              <w:overflowPunct/>
              <w:topLinePunct w:val="0"/>
              <w:autoSpaceDE w:val="0"/>
              <w:autoSpaceDN w:val="0"/>
              <w:bidi w:val="0"/>
              <w:spacing w:line="400" w:lineRule="exact"/>
              <w:jc w:val="center"/>
              <w:textAlignment w:val="auto"/>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rPr>
              <w:t>序</w:t>
            </w:r>
            <w:r>
              <w:rPr>
                <w:rFonts w:hint="eastAsia" w:ascii="仿宋_GB2312" w:hAnsi="仿宋_GB2312" w:eastAsia="仿宋_GB2312" w:cs="仿宋_GB2312"/>
                <w:color w:val="000000"/>
                <w:kern w:val="0"/>
                <w:sz w:val="28"/>
                <w:szCs w:val="28"/>
                <w:lang w:val="zh-CN"/>
              </w:rPr>
              <w:t>号</w:t>
            </w:r>
          </w:p>
        </w:tc>
        <w:tc>
          <w:tcPr>
            <w:tcW w:w="1505" w:type="dxa"/>
            <w:tcBorders>
              <w:top w:val="single" w:color="auto" w:sz="4" w:space="0"/>
              <w:left w:val="single" w:color="auto" w:sz="4" w:space="0"/>
              <w:bottom w:val="single" w:color="auto" w:sz="4" w:space="0"/>
              <w:right w:val="single" w:color="auto" w:sz="4" w:space="0"/>
            </w:tcBorders>
            <w:vAlign w:val="center"/>
          </w:tcPr>
          <w:p w14:paraId="36F72BC1">
            <w:pPr>
              <w:keepNext w:val="0"/>
              <w:keepLines w:val="0"/>
              <w:pageBreakBefore w:val="0"/>
              <w:widowControl w:val="0"/>
              <w:kinsoku/>
              <w:wordWrap/>
              <w:overflowPunct/>
              <w:topLinePunct w:val="0"/>
              <w:autoSpaceDE w:val="0"/>
              <w:autoSpaceDN w:val="0"/>
              <w:bidi w:val="0"/>
              <w:spacing w:line="400" w:lineRule="exact"/>
              <w:jc w:val="center"/>
              <w:textAlignment w:val="auto"/>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标的名称</w:t>
            </w:r>
          </w:p>
        </w:tc>
        <w:tc>
          <w:tcPr>
            <w:tcW w:w="2109" w:type="dxa"/>
            <w:tcBorders>
              <w:top w:val="single" w:color="auto" w:sz="4" w:space="0"/>
              <w:left w:val="single" w:color="auto" w:sz="4" w:space="0"/>
              <w:bottom w:val="single" w:color="auto" w:sz="4" w:space="0"/>
              <w:right w:val="single" w:color="auto" w:sz="4" w:space="0"/>
            </w:tcBorders>
            <w:vAlign w:val="center"/>
          </w:tcPr>
          <w:p w14:paraId="348A2081">
            <w:pPr>
              <w:keepNext w:val="0"/>
              <w:keepLines w:val="0"/>
              <w:pageBreakBefore w:val="0"/>
              <w:widowControl w:val="0"/>
              <w:kinsoku/>
              <w:wordWrap/>
              <w:overflowPunct/>
              <w:topLinePunct w:val="0"/>
              <w:autoSpaceDE w:val="0"/>
              <w:autoSpaceDN w:val="0"/>
              <w:bidi w:val="0"/>
              <w:spacing w:line="400" w:lineRule="exact"/>
              <w:jc w:val="center"/>
              <w:textAlignment w:val="auto"/>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规格型号</w:t>
            </w:r>
          </w:p>
        </w:tc>
        <w:tc>
          <w:tcPr>
            <w:tcW w:w="1364" w:type="dxa"/>
            <w:tcBorders>
              <w:top w:val="single" w:color="auto" w:sz="4" w:space="0"/>
              <w:left w:val="single" w:color="auto" w:sz="4" w:space="0"/>
              <w:bottom w:val="single" w:color="auto" w:sz="4" w:space="0"/>
              <w:right w:val="single" w:color="auto" w:sz="4" w:space="0"/>
            </w:tcBorders>
            <w:vAlign w:val="center"/>
          </w:tcPr>
          <w:p w14:paraId="7A5D5F4B">
            <w:pPr>
              <w:keepNext w:val="0"/>
              <w:keepLines w:val="0"/>
              <w:pageBreakBefore w:val="0"/>
              <w:widowControl w:val="0"/>
              <w:kinsoku/>
              <w:wordWrap/>
              <w:overflowPunct/>
              <w:topLinePunct w:val="0"/>
              <w:autoSpaceDE w:val="0"/>
              <w:autoSpaceDN w:val="0"/>
              <w:bidi w:val="0"/>
              <w:spacing w:line="400" w:lineRule="exact"/>
              <w:jc w:val="center"/>
              <w:textAlignment w:val="auto"/>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53B04B59">
            <w:pPr>
              <w:keepNext w:val="0"/>
              <w:keepLines w:val="0"/>
              <w:pageBreakBefore w:val="0"/>
              <w:widowControl w:val="0"/>
              <w:kinsoku/>
              <w:wordWrap/>
              <w:overflowPunct/>
              <w:topLinePunct w:val="0"/>
              <w:autoSpaceDE w:val="0"/>
              <w:autoSpaceDN w:val="0"/>
              <w:bidi w:val="0"/>
              <w:spacing w:line="400" w:lineRule="exact"/>
              <w:jc w:val="center"/>
              <w:textAlignment w:val="auto"/>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单价</w:t>
            </w:r>
          </w:p>
        </w:tc>
        <w:tc>
          <w:tcPr>
            <w:tcW w:w="1127" w:type="dxa"/>
            <w:tcBorders>
              <w:top w:val="single" w:color="auto" w:sz="4" w:space="0"/>
              <w:left w:val="single" w:color="auto" w:sz="4" w:space="0"/>
              <w:bottom w:val="single" w:color="auto" w:sz="4" w:space="0"/>
              <w:right w:val="single" w:color="auto" w:sz="4" w:space="0"/>
            </w:tcBorders>
            <w:vAlign w:val="center"/>
          </w:tcPr>
          <w:p w14:paraId="5219680E">
            <w:pPr>
              <w:keepNext w:val="0"/>
              <w:keepLines w:val="0"/>
              <w:pageBreakBefore w:val="0"/>
              <w:widowControl w:val="0"/>
              <w:kinsoku/>
              <w:wordWrap/>
              <w:overflowPunct/>
              <w:topLinePunct w:val="0"/>
              <w:autoSpaceDE w:val="0"/>
              <w:autoSpaceDN w:val="0"/>
              <w:bidi w:val="0"/>
              <w:spacing w:line="400" w:lineRule="exact"/>
              <w:jc w:val="center"/>
              <w:textAlignment w:val="auto"/>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总价</w:t>
            </w:r>
          </w:p>
        </w:tc>
        <w:tc>
          <w:tcPr>
            <w:tcW w:w="1009" w:type="dxa"/>
            <w:tcBorders>
              <w:top w:val="single" w:color="auto" w:sz="4" w:space="0"/>
              <w:left w:val="single" w:color="auto" w:sz="4" w:space="0"/>
              <w:bottom w:val="single" w:color="auto" w:sz="4" w:space="0"/>
              <w:right w:val="single" w:color="auto" w:sz="4" w:space="0"/>
            </w:tcBorders>
            <w:vAlign w:val="center"/>
          </w:tcPr>
          <w:p w14:paraId="37F4EFB0">
            <w:pPr>
              <w:keepNext w:val="0"/>
              <w:keepLines w:val="0"/>
              <w:pageBreakBefore w:val="0"/>
              <w:widowControl w:val="0"/>
              <w:kinsoku/>
              <w:wordWrap/>
              <w:overflowPunct/>
              <w:topLinePunct w:val="0"/>
              <w:autoSpaceDE w:val="0"/>
              <w:autoSpaceDN w:val="0"/>
              <w:bidi w:val="0"/>
              <w:spacing w:line="400" w:lineRule="exact"/>
              <w:jc w:val="center"/>
              <w:textAlignment w:val="auto"/>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rPr>
              <w:t>备</w:t>
            </w:r>
            <w:r>
              <w:rPr>
                <w:rFonts w:hint="eastAsia" w:ascii="仿宋_GB2312" w:hAnsi="仿宋_GB2312" w:eastAsia="仿宋_GB2312" w:cs="仿宋_GB2312"/>
                <w:color w:val="000000"/>
                <w:kern w:val="0"/>
                <w:sz w:val="28"/>
                <w:szCs w:val="28"/>
                <w:lang w:val="zh-CN"/>
              </w:rPr>
              <w:t>注</w:t>
            </w:r>
          </w:p>
        </w:tc>
      </w:tr>
      <w:tr w14:paraId="05FD4EA2">
        <w:tblPrEx>
          <w:tblCellMar>
            <w:top w:w="0" w:type="dxa"/>
            <w:left w:w="108" w:type="dxa"/>
            <w:bottom w:w="0" w:type="dxa"/>
            <w:right w:w="108" w:type="dxa"/>
          </w:tblCellMar>
        </w:tblPrEx>
        <w:trPr>
          <w:cantSplit/>
          <w:trHeight w:val="23"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2EFAF632">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505" w:type="dxa"/>
            <w:tcBorders>
              <w:top w:val="single" w:color="auto" w:sz="4" w:space="0"/>
              <w:left w:val="single" w:color="auto" w:sz="4" w:space="0"/>
              <w:bottom w:val="single" w:color="auto" w:sz="4" w:space="0"/>
              <w:right w:val="single" w:color="auto" w:sz="4" w:space="0"/>
            </w:tcBorders>
            <w:vAlign w:val="center"/>
          </w:tcPr>
          <w:p w14:paraId="0C936856">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2109" w:type="dxa"/>
            <w:tcBorders>
              <w:top w:val="single" w:color="auto" w:sz="4" w:space="0"/>
              <w:left w:val="single" w:color="auto" w:sz="4" w:space="0"/>
              <w:bottom w:val="single" w:color="auto" w:sz="4" w:space="0"/>
              <w:right w:val="single" w:color="auto" w:sz="4" w:space="0"/>
            </w:tcBorders>
            <w:vAlign w:val="center"/>
          </w:tcPr>
          <w:p w14:paraId="4D9DAFAA">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364" w:type="dxa"/>
            <w:tcBorders>
              <w:top w:val="single" w:color="auto" w:sz="4" w:space="0"/>
              <w:left w:val="single" w:color="auto" w:sz="4" w:space="0"/>
              <w:bottom w:val="single" w:color="auto" w:sz="4" w:space="0"/>
              <w:right w:val="single" w:color="auto" w:sz="4" w:space="0"/>
            </w:tcBorders>
            <w:vAlign w:val="center"/>
          </w:tcPr>
          <w:p w14:paraId="3BAFB602">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ED60ACA">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127" w:type="dxa"/>
            <w:tcBorders>
              <w:top w:val="single" w:color="auto" w:sz="4" w:space="0"/>
              <w:left w:val="single" w:color="auto" w:sz="4" w:space="0"/>
              <w:bottom w:val="single" w:color="auto" w:sz="4" w:space="0"/>
              <w:right w:val="single" w:color="auto" w:sz="4" w:space="0"/>
            </w:tcBorders>
            <w:vAlign w:val="center"/>
          </w:tcPr>
          <w:p w14:paraId="524914E4">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009" w:type="dxa"/>
            <w:tcBorders>
              <w:top w:val="single" w:color="auto" w:sz="4" w:space="0"/>
              <w:left w:val="single" w:color="auto" w:sz="4" w:space="0"/>
              <w:bottom w:val="single" w:color="auto" w:sz="4" w:space="0"/>
              <w:right w:val="single" w:color="auto" w:sz="4" w:space="0"/>
            </w:tcBorders>
            <w:vAlign w:val="center"/>
          </w:tcPr>
          <w:p w14:paraId="61A0CBE1">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r>
      <w:tr w14:paraId="6BECC692">
        <w:tblPrEx>
          <w:tblCellMar>
            <w:top w:w="0" w:type="dxa"/>
            <w:left w:w="108" w:type="dxa"/>
            <w:bottom w:w="0" w:type="dxa"/>
            <w:right w:w="108" w:type="dxa"/>
          </w:tblCellMar>
        </w:tblPrEx>
        <w:trPr>
          <w:cantSplit/>
          <w:trHeight w:val="23"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7E7429F5">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505" w:type="dxa"/>
            <w:tcBorders>
              <w:top w:val="single" w:color="auto" w:sz="4" w:space="0"/>
              <w:left w:val="single" w:color="auto" w:sz="4" w:space="0"/>
              <w:bottom w:val="single" w:color="auto" w:sz="4" w:space="0"/>
              <w:right w:val="single" w:color="auto" w:sz="4" w:space="0"/>
            </w:tcBorders>
            <w:vAlign w:val="center"/>
          </w:tcPr>
          <w:p w14:paraId="2C077AE5">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2109" w:type="dxa"/>
            <w:tcBorders>
              <w:top w:val="single" w:color="auto" w:sz="4" w:space="0"/>
              <w:left w:val="single" w:color="auto" w:sz="4" w:space="0"/>
              <w:bottom w:val="single" w:color="auto" w:sz="4" w:space="0"/>
              <w:right w:val="single" w:color="auto" w:sz="4" w:space="0"/>
            </w:tcBorders>
            <w:vAlign w:val="center"/>
          </w:tcPr>
          <w:p w14:paraId="12237BE3">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364" w:type="dxa"/>
            <w:tcBorders>
              <w:top w:val="single" w:color="auto" w:sz="4" w:space="0"/>
              <w:left w:val="single" w:color="auto" w:sz="4" w:space="0"/>
              <w:bottom w:val="single" w:color="auto" w:sz="4" w:space="0"/>
              <w:right w:val="single" w:color="auto" w:sz="4" w:space="0"/>
            </w:tcBorders>
            <w:vAlign w:val="center"/>
          </w:tcPr>
          <w:p w14:paraId="529B1AAB">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8BC0B38">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127" w:type="dxa"/>
            <w:tcBorders>
              <w:top w:val="single" w:color="auto" w:sz="4" w:space="0"/>
              <w:left w:val="single" w:color="auto" w:sz="4" w:space="0"/>
              <w:bottom w:val="single" w:color="auto" w:sz="4" w:space="0"/>
              <w:right w:val="single" w:color="auto" w:sz="4" w:space="0"/>
            </w:tcBorders>
            <w:vAlign w:val="center"/>
          </w:tcPr>
          <w:p w14:paraId="071C65E2">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009" w:type="dxa"/>
            <w:tcBorders>
              <w:top w:val="single" w:color="auto" w:sz="4" w:space="0"/>
              <w:left w:val="single" w:color="auto" w:sz="4" w:space="0"/>
              <w:bottom w:val="single" w:color="auto" w:sz="4" w:space="0"/>
              <w:right w:val="single" w:color="auto" w:sz="4" w:space="0"/>
            </w:tcBorders>
            <w:vAlign w:val="center"/>
          </w:tcPr>
          <w:p w14:paraId="39BA1A69">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r>
      <w:tr w14:paraId="2D52B27E">
        <w:tblPrEx>
          <w:tblCellMar>
            <w:top w:w="0" w:type="dxa"/>
            <w:left w:w="108" w:type="dxa"/>
            <w:bottom w:w="0" w:type="dxa"/>
            <w:right w:w="108" w:type="dxa"/>
          </w:tblCellMar>
        </w:tblPrEx>
        <w:trPr>
          <w:cantSplit/>
          <w:trHeight w:val="23"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0A5401C6">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505" w:type="dxa"/>
            <w:tcBorders>
              <w:top w:val="single" w:color="auto" w:sz="4" w:space="0"/>
              <w:left w:val="single" w:color="auto" w:sz="4" w:space="0"/>
              <w:bottom w:val="single" w:color="auto" w:sz="4" w:space="0"/>
              <w:right w:val="single" w:color="auto" w:sz="4" w:space="0"/>
            </w:tcBorders>
            <w:vAlign w:val="center"/>
          </w:tcPr>
          <w:p w14:paraId="74609418">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2109" w:type="dxa"/>
            <w:tcBorders>
              <w:top w:val="single" w:color="auto" w:sz="4" w:space="0"/>
              <w:left w:val="single" w:color="auto" w:sz="4" w:space="0"/>
              <w:bottom w:val="single" w:color="auto" w:sz="4" w:space="0"/>
              <w:right w:val="single" w:color="auto" w:sz="4" w:space="0"/>
            </w:tcBorders>
            <w:vAlign w:val="center"/>
          </w:tcPr>
          <w:p w14:paraId="5196D39E">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364" w:type="dxa"/>
            <w:tcBorders>
              <w:top w:val="single" w:color="auto" w:sz="4" w:space="0"/>
              <w:left w:val="single" w:color="auto" w:sz="4" w:space="0"/>
              <w:bottom w:val="single" w:color="auto" w:sz="4" w:space="0"/>
              <w:right w:val="single" w:color="auto" w:sz="4" w:space="0"/>
            </w:tcBorders>
            <w:vAlign w:val="center"/>
          </w:tcPr>
          <w:p w14:paraId="3CE8C609">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0365F4C">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127" w:type="dxa"/>
            <w:tcBorders>
              <w:top w:val="single" w:color="auto" w:sz="4" w:space="0"/>
              <w:left w:val="single" w:color="auto" w:sz="4" w:space="0"/>
              <w:bottom w:val="single" w:color="auto" w:sz="4" w:space="0"/>
              <w:right w:val="single" w:color="auto" w:sz="4" w:space="0"/>
            </w:tcBorders>
            <w:vAlign w:val="center"/>
          </w:tcPr>
          <w:p w14:paraId="391E3E56">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c>
          <w:tcPr>
            <w:tcW w:w="1009" w:type="dxa"/>
            <w:tcBorders>
              <w:top w:val="single" w:color="auto" w:sz="4" w:space="0"/>
              <w:left w:val="single" w:color="auto" w:sz="4" w:space="0"/>
              <w:bottom w:val="single" w:color="auto" w:sz="4" w:space="0"/>
              <w:right w:val="single" w:color="auto" w:sz="4" w:space="0"/>
            </w:tcBorders>
            <w:vAlign w:val="center"/>
          </w:tcPr>
          <w:p w14:paraId="3F2B016F">
            <w:pPr>
              <w:keepNext w:val="0"/>
              <w:keepLines w:val="0"/>
              <w:pageBreakBefore w:val="0"/>
              <w:widowControl w:val="0"/>
              <w:kinsoku/>
              <w:wordWrap/>
              <w:overflowPunct/>
              <w:topLinePunct w:val="0"/>
              <w:autoSpaceDE w:val="0"/>
              <w:autoSpaceDN w:val="0"/>
              <w:bidi w:val="0"/>
              <w:spacing w:line="400" w:lineRule="exact"/>
              <w:ind w:firstLine="640" w:firstLineChars="200"/>
              <w:jc w:val="center"/>
              <w:textAlignment w:val="auto"/>
              <w:rPr>
                <w:rFonts w:ascii="仿宋_GB2312" w:hAnsi="仿宋_GB2312" w:eastAsia="仿宋_GB2312" w:cs="仿宋_GB2312"/>
                <w:color w:val="000000"/>
                <w:kern w:val="0"/>
                <w:sz w:val="32"/>
                <w:szCs w:val="32"/>
                <w:lang w:val="zh-CN"/>
              </w:rPr>
            </w:pPr>
          </w:p>
        </w:tc>
      </w:tr>
    </w:tbl>
    <w:p w14:paraId="2858FE3C">
      <w:pPr>
        <w:keepNext w:val="0"/>
        <w:keepLines w:val="0"/>
        <w:pageBreakBefore w:val="0"/>
        <w:widowControl w:val="0"/>
        <w:kinsoku/>
        <w:wordWrap/>
        <w:overflowPunct/>
        <w:topLinePunct w:val="0"/>
        <w:autoSpaceDE w:val="0"/>
        <w:autoSpaceDN w:val="0"/>
        <w:bidi w:val="0"/>
        <w:spacing w:line="400" w:lineRule="exact"/>
        <w:ind w:firstLine="640" w:firstLineChars="200"/>
        <w:jc w:val="left"/>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根据上述政府采购合同文件要求，本政府采购合同的总金额为人民币</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（大写）</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w:t>
      </w:r>
    </w:p>
    <w:p w14:paraId="53D3A97D">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本合同以人民币进行结算，合同总价包括：产品费、验收费、手续费、包装费、运输费、保险费、安装费、调试费、培训费、售前、售中、售后服务费、税金及不可预见费等全部费用。</w:t>
      </w:r>
    </w:p>
    <w:p w14:paraId="46253631">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三、交付时间、地点和要求</w:t>
      </w:r>
    </w:p>
    <w:p w14:paraId="097D056C">
      <w:pPr>
        <w:keepNext w:val="0"/>
        <w:keepLines w:val="0"/>
        <w:pageBreakBefore w:val="0"/>
        <w:widowControl w:val="0"/>
        <w:kinsoku/>
        <w:wordWrap/>
        <w:overflowPunct/>
        <w:topLinePunct w:val="0"/>
        <w:autoSpaceDE w:val="0"/>
        <w:autoSpaceDN w:val="0"/>
        <w:bidi w:val="0"/>
        <w:spacing w:line="400" w:lineRule="exact"/>
        <w:ind w:firstLine="640" w:firstLineChars="200"/>
        <w:jc w:val="lef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服务期：</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w:t>
      </w:r>
    </w:p>
    <w:p w14:paraId="204B9B04">
      <w:pPr>
        <w:keepNext w:val="0"/>
        <w:keepLines w:val="0"/>
        <w:pageBreakBefore w:val="0"/>
        <w:widowControl w:val="0"/>
        <w:kinsoku/>
        <w:wordWrap/>
        <w:overflowPunct/>
        <w:topLinePunct w:val="0"/>
        <w:autoSpaceDE w:val="0"/>
        <w:autoSpaceDN w:val="0"/>
        <w:bidi w:val="0"/>
        <w:spacing w:line="40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交货地点：</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w:t>
      </w:r>
    </w:p>
    <w:p w14:paraId="6F284ECA">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zh-CN"/>
        </w:rPr>
        <w:t>乙方提供不符合招投标文件和本合同规定的产品，甲方有权拒绝接受。</w:t>
      </w:r>
    </w:p>
    <w:p w14:paraId="1BECA442">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zh-CN"/>
        </w:rPr>
        <w:t>乙方应将提供产品的装箱清单、用户手册、原厂保修卡、随机资料、工具和备品、备件等交付给甲方，如有缺失应及时补齐，否则视为逾期交货。</w:t>
      </w:r>
    </w:p>
    <w:p w14:paraId="611680E3">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zh-CN"/>
        </w:rPr>
        <w:t>甲方应当在到货（安装、调试完）后</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个工作日内进行验收，逾期不验收的，乙方可视为验收合格。验收合格后，由甲乙双方签署产品验收单并加盖采购人公章，甲乙双方各执一份。</w:t>
      </w:r>
    </w:p>
    <w:p w14:paraId="5F94036A">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zh-CN"/>
        </w:rPr>
        <w:t>甲方在验收过程中发现乙方有违约问题，可按招、投标文件的规定要求乙方及时予以解决。</w:t>
      </w:r>
    </w:p>
    <w:p w14:paraId="19E00000">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zh-CN"/>
        </w:rPr>
        <w:t>乙方向甲方提供产品相关增值税专用发票。</w:t>
      </w:r>
    </w:p>
    <w:p w14:paraId="184A657A">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四、付款方式</w:t>
      </w:r>
    </w:p>
    <w:p w14:paraId="023BA115">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FF0000"/>
          <w:kern w:val="0"/>
          <w:sz w:val="32"/>
          <w:szCs w:val="32"/>
          <w:lang w:val="zh-CN"/>
        </w:rPr>
        <w:t>在签订合同之后，乙方向甲方提交合同总价款</w:t>
      </w:r>
      <w:r>
        <w:rPr>
          <w:rFonts w:ascii="仿宋_GB2312" w:hAnsi="仿宋_GB2312" w:eastAsia="仿宋_GB2312" w:cs="仿宋_GB2312"/>
          <w:color w:val="FF0000"/>
          <w:kern w:val="0"/>
          <w:sz w:val="32"/>
          <w:szCs w:val="32"/>
          <w:lang w:val="zh-CN"/>
        </w:rPr>
        <w:t>5</w:t>
      </w:r>
      <w:r>
        <w:rPr>
          <w:rFonts w:hint="eastAsia" w:ascii="仿宋_GB2312" w:hAnsi="仿宋_GB2312" w:eastAsia="仿宋_GB2312" w:cs="仿宋_GB2312"/>
          <w:color w:val="FF0000"/>
          <w:kern w:val="0"/>
          <w:sz w:val="32"/>
          <w:szCs w:val="32"/>
          <w:lang w:val="zh-CN"/>
        </w:rPr>
        <w:t>%即</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rPr>
        <w:t>元为项目履约保证金后，</w:t>
      </w:r>
      <w:r>
        <w:rPr>
          <w:rFonts w:hint="eastAsia" w:ascii="仿宋_GB2312" w:hAnsi="仿宋_GB2312" w:eastAsia="仿宋_GB2312" w:cs="仿宋_GB2312"/>
          <w:color w:val="FF0000"/>
          <w:kern w:val="0"/>
          <w:sz w:val="32"/>
          <w:szCs w:val="32"/>
          <w:lang w:val="zh-CN"/>
        </w:rPr>
        <w:t>甲方向乙方支付合同额</w:t>
      </w:r>
      <w:r>
        <w:rPr>
          <w:rFonts w:hint="eastAsia" w:ascii="仿宋_GB2312" w:hAnsi="仿宋_GB2312" w:eastAsia="仿宋_GB2312" w:cs="仿宋_GB2312"/>
          <w:color w:val="FF0000"/>
          <w:kern w:val="0"/>
          <w:sz w:val="32"/>
          <w:szCs w:val="32"/>
        </w:rPr>
        <w:t>4</w:t>
      </w:r>
      <w:r>
        <w:rPr>
          <w:rFonts w:hint="eastAsia" w:ascii="仿宋_GB2312" w:hAnsi="仿宋_GB2312" w:eastAsia="仿宋_GB2312" w:cs="仿宋_GB2312"/>
          <w:color w:val="FF0000"/>
          <w:kern w:val="0"/>
          <w:sz w:val="32"/>
          <w:szCs w:val="32"/>
          <w:lang w:val="zh-CN"/>
        </w:rPr>
        <w:t>0%即</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lang w:val="zh-CN"/>
        </w:rPr>
        <w:t>元为预付款，待乙方</w:t>
      </w:r>
      <w:r>
        <w:rPr>
          <w:rFonts w:hint="eastAsia" w:ascii="仿宋_GB2312" w:hAnsi="仿宋_GB2312" w:eastAsia="仿宋_GB2312" w:cs="仿宋_GB2312"/>
          <w:color w:val="FF0000"/>
          <w:kern w:val="0"/>
          <w:sz w:val="32"/>
          <w:szCs w:val="32"/>
        </w:rPr>
        <w:t>交付产品</w:t>
      </w:r>
      <w:r>
        <w:rPr>
          <w:rFonts w:hint="eastAsia" w:ascii="仿宋_GB2312" w:hAnsi="仿宋_GB2312" w:eastAsia="仿宋_GB2312" w:cs="仿宋_GB2312"/>
          <w:color w:val="FF0000"/>
          <w:kern w:val="0"/>
          <w:sz w:val="32"/>
          <w:szCs w:val="32"/>
          <w:lang w:val="zh-CN"/>
        </w:rPr>
        <w:t>并经甲方验收合格后，甲方向乙方支付合同总金额的60%即</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lang w:val="zh-CN"/>
        </w:rPr>
        <w:t>元。乙方向甲方提交的履约保证金</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rPr>
        <w:t>元</w:t>
      </w:r>
      <w:r>
        <w:rPr>
          <w:rFonts w:hint="eastAsia" w:ascii="仿宋_GB2312" w:hAnsi="仿宋_GB2312" w:eastAsia="仿宋_GB2312" w:cs="仿宋_GB2312"/>
          <w:color w:val="FF0000"/>
          <w:kern w:val="0"/>
          <w:sz w:val="32"/>
          <w:szCs w:val="32"/>
          <w:lang w:val="zh-CN"/>
        </w:rPr>
        <w:t>转为质量保证金。质量保证金待约定的免费质保期满</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lang w:val="zh-CN"/>
        </w:rPr>
        <w:t>（年）且产品无质量问题后，由乙方提出书面申请，甲方以转账方式予以退还。</w:t>
      </w:r>
    </w:p>
    <w:p w14:paraId="533B53A3">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五、合同的变更、终止与转让</w:t>
      </w:r>
    </w:p>
    <w:p w14:paraId="72BD89DE">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除《中华人民共和国政府采购法》第</w:t>
      </w:r>
      <w:r>
        <w:rPr>
          <w:rFonts w:hint="eastAsia" w:ascii="仿宋_GB2312" w:hAnsi="仿宋_GB2312" w:eastAsia="仿宋_GB2312" w:cs="仿宋_GB2312"/>
          <w:color w:val="000000"/>
          <w:kern w:val="0"/>
          <w:sz w:val="32"/>
          <w:szCs w:val="32"/>
        </w:rPr>
        <w:t>50</w:t>
      </w:r>
      <w:r>
        <w:rPr>
          <w:rFonts w:hint="eastAsia" w:ascii="仿宋_GB2312" w:hAnsi="仿宋_GB2312" w:eastAsia="仿宋_GB2312" w:cs="仿宋_GB2312"/>
          <w:color w:val="000000"/>
          <w:kern w:val="0"/>
          <w:sz w:val="32"/>
          <w:szCs w:val="32"/>
          <w:lang w:val="zh-CN"/>
        </w:rPr>
        <w:t>条规定的情形外，本合同一经签订，甲乙双方不得擅自变更、中止或终止。</w:t>
      </w:r>
    </w:p>
    <w:p w14:paraId="50B12642">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zh-CN"/>
        </w:rPr>
        <w:t>乙方不得擅自转让其应履行的合同义务。</w:t>
      </w:r>
    </w:p>
    <w:p w14:paraId="7A0D080A">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六、违约责任</w:t>
      </w:r>
    </w:p>
    <w:p w14:paraId="414B1A6A">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591528B">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zh-CN"/>
        </w:rPr>
        <w:t>乙方提供的货物如侵犯了第三方权益而引发纠纷或诉讼的，均由乙方负责交涉并承担全部责任。</w:t>
      </w:r>
    </w:p>
    <w:p w14:paraId="4D104768">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zh-CN"/>
        </w:rPr>
        <w:t>因包装、运输引起的货物损坏，按质量不合格处罚。</w:t>
      </w:r>
    </w:p>
    <w:p w14:paraId="11336BA7">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color w:val="000000"/>
          <w:kern w:val="0"/>
          <w:sz w:val="32"/>
          <w:szCs w:val="32"/>
          <w:lang w:val="zh-CN"/>
        </w:rPr>
        <w:t>乙方未按本合同和投标文件中规定的服务承诺提供售后服务的，乙方应按本合同合计金额的</w:t>
      </w:r>
      <w:r>
        <w:rPr>
          <w:rFonts w:hint="eastAsia"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lang w:val="zh-CN"/>
        </w:rPr>
        <w:t>向甲方支付违约金。</w:t>
      </w:r>
    </w:p>
    <w:p w14:paraId="64C4E77F">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zh-CN"/>
        </w:rPr>
        <w:t>乙方提供的货物在质量保证期内，因设计、工艺或材料的缺陷和其它质量原因造成的问题，由乙方负责，费用从履约保证金中扣除，不足另补。</w:t>
      </w:r>
    </w:p>
    <w:p w14:paraId="1EED43DA">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zh-CN"/>
        </w:rPr>
        <w:t>其它违约行为按违约货款额</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zh-CN"/>
        </w:rPr>
        <w:t>收取违约金并赔偿经济损失。</w:t>
      </w:r>
    </w:p>
    <w:p w14:paraId="64E8FE33">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val="zh-CN"/>
        </w:rPr>
        <w:t>如乙方所供货物质量、数量等不符合合同约定，致使甲方不能实现合同目的，甲方有权解除合同，乙方应全额退还甲方已支付的货款，并向甲方承担合同总价款的</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%的违约金，违约金不够赔偿给甲方造成的损失的，还应当承担损失赔偿责任。</w:t>
      </w:r>
    </w:p>
    <w:p w14:paraId="30A21A18">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七、不可抗力</w:t>
      </w:r>
    </w:p>
    <w:p w14:paraId="41D2E0B8">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不可抗力使合同的某些内容有变更必要的，双方应通过协商在</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天内达成进一步履行合同的协议，因不可抗力致使合同不能履行的，合同终止。</w:t>
      </w:r>
    </w:p>
    <w:p w14:paraId="5FFC81DE">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八、知识产权：详见合同通用条款</w:t>
      </w:r>
    </w:p>
    <w:p w14:paraId="761C9AF6">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九、合同争议解决</w:t>
      </w:r>
    </w:p>
    <w:p w14:paraId="164BA385">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因产品质量问题发生争议的，应邀请国家认可的质量检测机构进行鉴定。产品符合标准的，鉴定费由甲方承担；产品不符合标准的，鉴定费由乙方承担。</w:t>
      </w:r>
    </w:p>
    <w:p w14:paraId="4A458D15">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zh-CN"/>
        </w:rPr>
        <w:t>因履行本合同引起的或与本合同有关的争议，甲乙双方应首先通过友好协商解决，如果协商不能解决，向甲方所在地人民法院提起诉讼。</w:t>
      </w:r>
    </w:p>
    <w:p w14:paraId="0AEA5F8A">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zh-CN"/>
        </w:rPr>
        <w:t>诉讼期间，本合同继续履行。</w:t>
      </w:r>
    </w:p>
    <w:p w14:paraId="616A2A41">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十、合同生效及其它</w:t>
      </w:r>
      <w:r>
        <w:rPr>
          <w:rFonts w:hint="eastAsia" w:ascii="仿宋_GB2312" w:hAnsi="仿宋_GB2312" w:eastAsia="仿宋_GB2312" w:cs="仿宋_GB2312"/>
          <w:color w:val="000000"/>
          <w:kern w:val="0"/>
          <w:sz w:val="32"/>
          <w:szCs w:val="32"/>
        </w:rPr>
        <w:t>：</w:t>
      </w:r>
    </w:p>
    <w:p w14:paraId="334CC1E2">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本合同一式</w:t>
      </w:r>
      <w:r>
        <w:rPr>
          <w:rFonts w:hint="eastAsia" w:ascii="仿宋_GB2312" w:hAnsi="仿宋_GB2312" w:eastAsia="仿宋_GB2312" w:cs="仿宋_GB2312"/>
          <w:color w:val="000000"/>
          <w:kern w:val="0"/>
          <w:sz w:val="32"/>
          <w:szCs w:val="32"/>
        </w:rPr>
        <w:t>陆</w:t>
      </w:r>
      <w:r>
        <w:rPr>
          <w:rFonts w:hint="eastAsia" w:ascii="仿宋_GB2312" w:hAnsi="仿宋_GB2312" w:eastAsia="仿宋_GB2312" w:cs="仿宋_GB2312"/>
          <w:color w:val="000000"/>
          <w:kern w:val="0"/>
          <w:sz w:val="32"/>
          <w:szCs w:val="32"/>
          <w:lang w:val="zh-CN"/>
        </w:rPr>
        <w:t>份，经双方签字，并加盖公章即为生效。</w:t>
      </w:r>
    </w:p>
    <w:p w14:paraId="09A03A27">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zh-CN"/>
        </w:rPr>
        <w:t>本合同未尽事宜，按《中华人民共和国民法典》有关规定处理。</w:t>
      </w:r>
    </w:p>
    <w:p w14:paraId="1360C9F9">
      <w:pPr>
        <w:keepNext w:val="0"/>
        <w:keepLines w:val="0"/>
        <w:pageBreakBefore w:val="0"/>
        <w:widowControl w:val="0"/>
        <w:kinsoku/>
        <w:wordWrap/>
        <w:overflowPunct/>
        <w:topLinePunct w:val="0"/>
        <w:autoSpaceDE w:val="0"/>
        <w:autoSpaceDN w:val="0"/>
        <w:bidi w:val="0"/>
        <w:spacing w:line="400" w:lineRule="exact"/>
        <w:ind w:firstLine="640" w:firstLineChars="200"/>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zh-CN"/>
        </w:rPr>
        <w:t>本合同的组成包含《合同通用条款》。</w:t>
      </w:r>
    </w:p>
    <w:p w14:paraId="2588DCFE">
      <w:pPr>
        <w:keepNext w:val="0"/>
        <w:keepLines w:val="0"/>
        <w:pageBreakBefore w:val="0"/>
        <w:widowControl w:val="0"/>
        <w:kinsoku/>
        <w:wordWrap/>
        <w:overflowPunct/>
        <w:topLinePunct w:val="0"/>
        <w:autoSpaceDE w:val="0"/>
        <w:autoSpaceDN w:val="0"/>
        <w:bidi w:val="0"/>
        <w:spacing w:line="400" w:lineRule="exact"/>
        <w:textAlignment w:val="auto"/>
        <w:rPr>
          <w:rFonts w:ascii="仿宋_GB2312" w:hAnsi="仿宋_GB2312" w:eastAsia="仿宋_GB2312" w:cs="仿宋_GB2312"/>
          <w:color w:val="000000"/>
          <w:kern w:val="0"/>
          <w:sz w:val="32"/>
          <w:szCs w:val="32"/>
          <w:lang w:val="zh-CN"/>
        </w:rPr>
      </w:pPr>
    </w:p>
    <w:p w14:paraId="3650D841">
      <w:pPr>
        <w:keepNext w:val="0"/>
        <w:keepLines w:val="0"/>
        <w:pageBreakBefore w:val="0"/>
        <w:widowControl w:val="0"/>
        <w:kinsoku/>
        <w:wordWrap/>
        <w:overflowPunct/>
        <w:topLinePunct w:val="0"/>
        <w:autoSpaceDE w:val="0"/>
        <w:autoSpaceDN w:val="0"/>
        <w:bidi w:val="0"/>
        <w:spacing w:line="4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甲方（盖章）：</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乙方（盖章）：</w:t>
      </w:r>
    </w:p>
    <w:p w14:paraId="66C83499">
      <w:pPr>
        <w:keepNext w:val="0"/>
        <w:keepLines w:val="0"/>
        <w:pageBreakBefore w:val="0"/>
        <w:widowControl w:val="0"/>
        <w:kinsoku/>
        <w:wordWrap/>
        <w:overflowPunct/>
        <w:topLinePunct w:val="0"/>
        <w:autoSpaceDE w:val="0"/>
        <w:autoSpaceDN w:val="0"/>
        <w:bidi w:val="0"/>
        <w:spacing w:line="4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法定代表人或委托代理人</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法定代表人或委托代理人</w:t>
      </w:r>
      <w:r>
        <w:rPr>
          <w:rFonts w:hint="eastAsia" w:ascii="仿宋_GB2312" w:hAnsi="仿宋_GB2312" w:eastAsia="仿宋_GB2312" w:cs="仿宋_GB2312"/>
          <w:color w:val="000000"/>
          <w:kern w:val="0"/>
          <w:sz w:val="32"/>
          <w:szCs w:val="32"/>
        </w:rPr>
        <w:t>：</w:t>
      </w:r>
    </w:p>
    <w:p w14:paraId="201A314B">
      <w:pPr>
        <w:keepNext w:val="0"/>
        <w:keepLines w:val="0"/>
        <w:pageBreakBefore w:val="0"/>
        <w:widowControl w:val="0"/>
        <w:kinsoku/>
        <w:wordWrap/>
        <w:overflowPunct/>
        <w:topLinePunct w:val="0"/>
        <w:autoSpaceDE w:val="0"/>
        <w:autoSpaceDN w:val="0"/>
        <w:bidi w:val="0"/>
        <w:spacing w:line="4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开户银行：</w:t>
      </w:r>
    </w:p>
    <w:p w14:paraId="62623B82">
      <w:pPr>
        <w:keepNext w:val="0"/>
        <w:keepLines w:val="0"/>
        <w:pageBreakBefore w:val="0"/>
        <w:widowControl w:val="0"/>
        <w:kinsoku/>
        <w:wordWrap/>
        <w:overflowPunct/>
        <w:topLinePunct w:val="0"/>
        <w:autoSpaceDE w:val="0"/>
        <w:autoSpaceDN w:val="0"/>
        <w:bidi w:val="0"/>
        <w:spacing w:line="400" w:lineRule="exact"/>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账号：</w:t>
      </w:r>
    </w:p>
    <w:p w14:paraId="11C5EB44">
      <w:pPr>
        <w:keepNext w:val="0"/>
        <w:keepLines w:val="0"/>
        <w:pageBreakBefore w:val="0"/>
        <w:widowControl w:val="0"/>
        <w:kinsoku/>
        <w:wordWrap/>
        <w:overflowPunct/>
        <w:topLinePunct w:val="0"/>
        <w:autoSpaceDE w:val="0"/>
        <w:autoSpaceDN w:val="0"/>
        <w:bidi w:val="0"/>
        <w:spacing w:line="400" w:lineRule="exact"/>
        <w:textAlignment w:val="auto"/>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地址：</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地址：</w:t>
      </w:r>
    </w:p>
    <w:p w14:paraId="3DBC0873">
      <w:pPr>
        <w:keepNext w:val="0"/>
        <w:keepLines w:val="0"/>
        <w:pageBreakBefore w:val="0"/>
        <w:widowControl w:val="0"/>
        <w:kinsoku/>
        <w:wordWrap/>
        <w:overflowPunct/>
        <w:topLinePunct w:val="0"/>
        <w:autoSpaceDE w:val="0"/>
        <w:autoSpaceDN w:val="0"/>
        <w:bidi w:val="0"/>
        <w:spacing w:line="4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联系电话：</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联系电话：</w:t>
      </w:r>
    </w:p>
    <w:p w14:paraId="6A08B921">
      <w:pPr>
        <w:keepNext w:val="0"/>
        <w:keepLines w:val="0"/>
        <w:pageBreakBefore w:val="0"/>
        <w:widowControl w:val="0"/>
        <w:kinsoku/>
        <w:wordWrap/>
        <w:overflowPunct/>
        <w:topLinePunct w:val="0"/>
        <w:autoSpaceDE w:val="0"/>
        <w:autoSpaceDN w:val="0"/>
        <w:bidi w:val="0"/>
        <w:spacing w:line="400" w:lineRule="exact"/>
        <w:ind w:firstLine="1760" w:firstLineChars="550"/>
        <w:textAlignment w:val="auto"/>
        <w:rPr>
          <w:rFonts w:ascii="仿宋_GB2312" w:hAnsi="仿宋_GB2312" w:eastAsia="仿宋_GB2312" w:cs="仿宋_GB2312"/>
          <w:color w:val="000000"/>
          <w:kern w:val="0"/>
          <w:sz w:val="32"/>
          <w:szCs w:val="32"/>
          <w:lang w:val="zh-CN"/>
        </w:rPr>
      </w:pPr>
    </w:p>
    <w:p w14:paraId="62D9D5CC">
      <w:pPr>
        <w:keepNext w:val="0"/>
        <w:keepLines w:val="0"/>
        <w:pageBreakBefore w:val="0"/>
        <w:widowControl w:val="0"/>
        <w:kinsoku/>
        <w:wordWrap/>
        <w:overflowPunct/>
        <w:topLinePunct w:val="0"/>
        <w:autoSpaceDE w:val="0"/>
        <w:autoSpaceDN w:val="0"/>
        <w:bidi w:val="0"/>
        <w:spacing w:line="400" w:lineRule="exact"/>
        <w:ind w:firstLine="1760" w:firstLineChars="55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签约时间：</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日</w:t>
      </w:r>
    </w:p>
    <w:p w14:paraId="7A7AE930">
      <w:pPr>
        <w:keepNext w:val="0"/>
        <w:keepLines w:val="0"/>
        <w:pageBreakBefore w:val="0"/>
        <w:widowControl w:val="0"/>
        <w:kinsoku/>
        <w:wordWrap/>
        <w:overflowPunct/>
        <w:topLinePunct w:val="0"/>
        <w:bidi w:val="0"/>
        <w:spacing w:line="400" w:lineRule="exact"/>
        <w:textAlignment w:val="auto"/>
        <w:rPr>
          <w:rFonts w:ascii="仿宋_GB2312" w:hAnsi="仿宋_GB2312" w:eastAsia="仿宋_GB2312" w:cs="仿宋_GB2312"/>
          <w:b/>
          <w:bCs/>
          <w:color w:val="000000"/>
          <w:kern w:val="0"/>
          <w:sz w:val="32"/>
          <w:szCs w:val="32"/>
          <w:lang w:val="zh-CN"/>
        </w:rPr>
      </w:pPr>
      <w:r>
        <w:rPr>
          <w:rFonts w:hint="eastAsia" w:ascii="仿宋_GB2312" w:hAnsi="仿宋_GB2312" w:eastAsia="仿宋_GB2312" w:cs="仿宋_GB2312"/>
          <w:b/>
          <w:bCs/>
          <w:color w:val="000000"/>
          <w:kern w:val="0"/>
          <w:sz w:val="32"/>
          <w:szCs w:val="32"/>
          <w:lang w:val="zh-CN"/>
        </w:rPr>
        <w:br w:type="page"/>
      </w:r>
    </w:p>
    <w:p w14:paraId="60F1B619">
      <w:pPr>
        <w:autoSpaceDE w:val="0"/>
        <w:autoSpaceDN w:val="0"/>
        <w:spacing w:line="400" w:lineRule="exact"/>
        <w:ind w:firstLine="643" w:firstLineChars="200"/>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zh-CN"/>
        </w:rPr>
        <w:t>合同通用条款</w:t>
      </w:r>
    </w:p>
    <w:p w14:paraId="023BC735">
      <w:pPr>
        <w:autoSpaceDE w:val="0"/>
        <w:autoSpaceDN w:val="0"/>
        <w:adjustRightInd w:val="0"/>
        <w:spacing w:line="400" w:lineRule="exact"/>
        <w:ind w:firstLine="640" w:firstLineChars="200"/>
        <w:rPr>
          <w:rFonts w:ascii="仿宋_GB2312" w:hAnsi="仿宋_GB2312" w:eastAsia="仿宋_GB2312" w:cs="仿宋_GB2312"/>
          <w:color w:val="000000"/>
          <w:kern w:val="0"/>
          <w:sz w:val="32"/>
          <w:szCs w:val="32"/>
        </w:rPr>
      </w:pPr>
    </w:p>
    <w:p w14:paraId="6ED4559C">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根据《中华人民共和国民法典》、《中华人民共和国政府采购法》的规定，合同双方经协商达成一致，自愿订立本合同，遵循公平原则明确双方的权利、义务，确保双方诚实守信地履行合同。</w:t>
      </w:r>
    </w:p>
    <w:p w14:paraId="4C18222D">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val="zh-CN"/>
        </w:rPr>
        <w:t>定义</w:t>
      </w:r>
    </w:p>
    <w:p w14:paraId="18812F5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本合同中的下列术语应解释为：</w:t>
      </w:r>
    </w:p>
    <w:p w14:paraId="5E1AAAE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 </w:t>
      </w:r>
      <w:r>
        <w:rPr>
          <w:rFonts w:hint="eastAsia" w:ascii="仿宋_GB2312" w:hAnsi="仿宋_GB2312" w:eastAsia="仿宋_GB2312" w:cs="仿宋_GB2312"/>
          <w:color w:val="000000"/>
          <w:kern w:val="0"/>
          <w:sz w:val="32"/>
          <w:szCs w:val="32"/>
          <w:lang w:val="zh-CN"/>
        </w:rPr>
        <w:t>“合同”指甲乙双方签署的、载明的甲乙双方权利义务的协议，包括所有的附件、附录和上述文件所提到的构成合同的所有文件。</w:t>
      </w:r>
    </w:p>
    <w:p w14:paraId="4E82797E">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1.2 </w:t>
      </w:r>
      <w:r>
        <w:rPr>
          <w:rFonts w:hint="eastAsia" w:ascii="仿宋_GB2312" w:hAnsi="仿宋_GB2312" w:eastAsia="仿宋_GB2312" w:cs="仿宋_GB2312"/>
          <w:color w:val="000000"/>
          <w:kern w:val="0"/>
          <w:sz w:val="32"/>
          <w:szCs w:val="32"/>
          <w:lang w:val="zh-CN"/>
        </w:rPr>
        <w:t>“合同金额”指根据合同规定，乙方在正确地完全履行合同义务后甲方应付给乙方的价款。</w:t>
      </w:r>
    </w:p>
    <w:p w14:paraId="7D076646">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 </w:t>
      </w:r>
      <w:r>
        <w:rPr>
          <w:rFonts w:hint="eastAsia" w:ascii="仿宋_GB2312" w:hAnsi="仿宋_GB2312" w:eastAsia="仿宋_GB2312" w:cs="仿宋_GB2312"/>
          <w:color w:val="000000"/>
          <w:kern w:val="0"/>
          <w:sz w:val="32"/>
          <w:szCs w:val="32"/>
          <w:lang w:val="zh-CN"/>
        </w:rPr>
        <w:t>“合同条款”指本合同条款。</w:t>
      </w:r>
    </w:p>
    <w:p w14:paraId="58C1D44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1.4 </w:t>
      </w:r>
      <w:r>
        <w:rPr>
          <w:rFonts w:hint="eastAsia" w:ascii="仿宋_GB2312" w:hAnsi="仿宋_GB2312" w:eastAsia="仿宋_GB2312" w:cs="仿宋_GB2312"/>
          <w:color w:val="000000"/>
          <w:kern w:val="0"/>
          <w:sz w:val="32"/>
          <w:szCs w:val="32"/>
          <w:lang w:val="zh-CN"/>
        </w:rPr>
        <w:t>“货物”指乙方根据合同约定须向甲方提供的一切产品、设备、机械、仪表、备件等，包括辅助工具、使用手册等相关资料。</w:t>
      </w:r>
    </w:p>
    <w:p w14:paraId="3CFF77F7">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1.5 </w:t>
      </w:r>
      <w:r>
        <w:rPr>
          <w:rFonts w:hint="eastAsia" w:ascii="仿宋_GB2312" w:hAnsi="仿宋_GB2312" w:eastAsia="仿宋_GB2312" w:cs="仿宋_GB2312"/>
          <w:color w:val="000000"/>
          <w:kern w:val="0"/>
          <w:sz w:val="32"/>
          <w:szCs w:val="32"/>
          <w:lang w:val="zh-CN"/>
        </w:rPr>
        <w:t>“服务”指根据本合同规定乙方承担与供货有关的辅助服务，如运输、保险及安装、调试、提供技术援助、培训和合同中规定乙方应承担的其它义务。</w:t>
      </w:r>
    </w:p>
    <w:p w14:paraId="2C83A04E">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1.6 </w:t>
      </w:r>
      <w:r>
        <w:rPr>
          <w:rFonts w:hint="eastAsia" w:ascii="仿宋_GB2312" w:hAnsi="仿宋_GB2312" w:eastAsia="仿宋_GB2312" w:cs="仿宋_GB2312"/>
          <w:color w:val="000000"/>
          <w:kern w:val="0"/>
          <w:sz w:val="32"/>
          <w:szCs w:val="32"/>
          <w:lang w:val="zh-CN"/>
        </w:rPr>
        <w:t>“甲方”指购买货物和服务的单位。</w:t>
      </w:r>
    </w:p>
    <w:p w14:paraId="6456DD8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1.7 </w:t>
      </w:r>
      <w:r>
        <w:rPr>
          <w:rFonts w:hint="eastAsia" w:ascii="仿宋_GB2312" w:hAnsi="仿宋_GB2312" w:eastAsia="仿宋_GB2312" w:cs="仿宋_GB2312"/>
          <w:color w:val="000000"/>
          <w:kern w:val="0"/>
          <w:sz w:val="32"/>
          <w:szCs w:val="32"/>
          <w:lang w:val="zh-CN"/>
        </w:rPr>
        <w:t>“乙方”指提供本合同条款下货物和服务的公司或其他实体。</w:t>
      </w:r>
    </w:p>
    <w:p w14:paraId="1AD33A5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1.8 </w:t>
      </w:r>
      <w:r>
        <w:rPr>
          <w:rFonts w:hint="eastAsia" w:ascii="仿宋_GB2312" w:hAnsi="仿宋_GB2312" w:eastAsia="仿宋_GB2312" w:cs="仿宋_GB2312"/>
          <w:color w:val="000000"/>
          <w:kern w:val="0"/>
          <w:sz w:val="32"/>
          <w:szCs w:val="32"/>
          <w:lang w:val="zh-CN"/>
        </w:rPr>
        <w:t>“现场”指合同规定货物将要运至和安装的地点。</w:t>
      </w:r>
    </w:p>
    <w:p w14:paraId="4CAA834F">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1.9 </w:t>
      </w:r>
      <w:r>
        <w:rPr>
          <w:rFonts w:hint="eastAsia" w:ascii="仿宋_GB2312" w:hAnsi="仿宋_GB2312" w:eastAsia="仿宋_GB2312" w:cs="仿宋_GB2312"/>
          <w:color w:val="000000"/>
          <w:kern w:val="0"/>
          <w:sz w:val="32"/>
          <w:szCs w:val="32"/>
          <w:lang w:val="zh-CN"/>
        </w:rPr>
        <w:t>“验收”指合同双方依据强制性的国家技术质量规范和合同约定，确认合同条款下的货物符合合同规定的活动。</w:t>
      </w:r>
    </w:p>
    <w:p w14:paraId="0116C2D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1.10 </w:t>
      </w:r>
      <w:r>
        <w:rPr>
          <w:rFonts w:hint="eastAsia" w:ascii="仿宋_GB2312" w:hAnsi="仿宋_GB2312" w:eastAsia="仿宋_GB2312" w:cs="仿宋_GB2312"/>
          <w:color w:val="000000"/>
          <w:kern w:val="0"/>
          <w:sz w:val="32"/>
          <w:szCs w:val="32"/>
          <w:lang w:val="zh-CN"/>
        </w:rPr>
        <w:t>原厂商：产品制造商或其在中国境内设立的办事或技术服务机构。除另有说明外，本合同文件所述的制造商、产品制造商、制造厂家、产品制造厂家均为原厂商。</w:t>
      </w:r>
    </w:p>
    <w:p w14:paraId="3C855F0F">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1.11 </w:t>
      </w:r>
      <w:r>
        <w:rPr>
          <w:rFonts w:hint="eastAsia" w:ascii="仿宋_GB2312" w:hAnsi="仿宋_GB2312" w:eastAsia="仿宋_GB2312" w:cs="仿宋_GB2312"/>
          <w:color w:val="000000"/>
          <w:kern w:val="0"/>
          <w:sz w:val="32"/>
          <w:szCs w:val="32"/>
          <w:lang w:val="zh-CN"/>
        </w:rPr>
        <w:t>原产地：指产品的生产地，或提供服务的来源地。</w:t>
      </w:r>
    </w:p>
    <w:p w14:paraId="4B427C09">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1.12 </w:t>
      </w:r>
      <w:r>
        <w:rPr>
          <w:rFonts w:hint="eastAsia" w:ascii="仿宋_GB2312" w:hAnsi="仿宋_GB2312" w:eastAsia="仿宋_GB2312" w:cs="仿宋_GB2312"/>
          <w:color w:val="000000"/>
          <w:kern w:val="0"/>
          <w:sz w:val="32"/>
          <w:szCs w:val="32"/>
          <w:lang w:val="zh-CN"/>
        </w:rPr>
        <w:t>“工作日”指国家法定工作日，“天”指日历天数。</w:t>
      </w:r>
    </w:p>
    <w:p w14:paraId="598DC8F8">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lang w:val="zh-CN"/>
        </w:rPr>
        <w:t>技术规格要求</w:t>
      </w:r>
    </w:p>
    <w:p w14:paraId="6301CC4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2.1 </w:t>
      </w:r>
      <w:r>
        <w:rPr>
          <w:rFonts w:hint="eastAsia" w:ascii="仿宋_GB2312" w:hAnsi="仿宋_GB2312" w:eastAsia="仿宋_GB2312" w:cs="仿宋_GB2312"/>
          <w:color w:val="000000"/>
          <w:kern w:val="0"/>
          <w:sz w:val="32"/>
          <w:szCs w:val="32"/>
          <w:lang w:val="zh-CN"/>
        </w:rPr>
        <w:t>本合同条款下提交货物的技术规格要求应等于或优于招投标文件技术规格要求。若技术规格要求中无相应规定，则应符合相应的国家有关部门最新颁布的相应正式标准。</w:t>
      </w:r>
    </w:p>
    <w:p w14:paraId="3F6AB25B">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2.2 </w:t>
      </w:r>
      <w:r>
        <w:rPr>
          <w:rFonts w:hint="eastAsia" w:ascii="仿宋_GB2312" w:hAnsi="仿宋_GB2312" w:eastAsia="仿宋_GB2312" w:cs="仿宋_GB2312"/>
          <w:color w:val="000000"/>
          <w:kern w:val="0"/>
          <w:sz w:val="32"/>
          <w:szCs w:val="32"/>
          <w:lang w:val="zh-CN"/>
        </w:rPr>
        <w:t>乙方应向甲方提供货物及服务有关的标准的中文文本。</w:t>
      </w:r>
    </w:p>
    <w:p w14:paraId="4F09CA9E">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2.3 </w:t>
      </w:r>
      <w:r>
        <w:rPr>
          <w:rFonts w:hint="eastAsia" w:ascii="仿宋_GB2312" w:hAnsi="仿宋_GB2312" w:eastAsia="仿宋_GB2312" w:cs="仿宋_GB2312"/>
          <w:color w:val="000000"/>
          <w:kern w:val="0"/>
          <w:sz w:val="32"/>
          <w:szCs w:val="32"/>
          <w:lang w:val="zh-CN"/>
        </w:rPr>
        <w:t>除非技术规范中另有规定，计量单位均采用中华人民共和国法定计量单位。</w:t>
      </w:r>
    </w:p>
    <w:p w14:paraId="797A74AD">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lang w:val="zh-CN"/>
        </w:rPr>
        <w:t>合同范围</w:t>
      </w:r>
    </w:p>
    <w:p w14:paraId="7074F71B">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3.1 </w:t>
      </w:r>
      <w:r>
        <w:rPr>
          <w:rFonts w:hint="eastAsia" w:ascii="仿宋_GB2312" w:hAnsi="仿宋_GB2312" w:eastAsia="仿宋_GB2312" w:cs="仿宋_GB2312"/>
          <w:color w:val="000000"/>
          <w:kern w:val="0"/>
          <w:sz w:val="32"/>
          <w:szCs w:val="32"/>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AA12051">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3.2 </w:t>
      </w:r>
      <w:r>
        <w:rPr>
          <w:rFonts w:hint="eastAsia" w:ascii="仿宋_GB2312" w:hAnsi="仿宋_GB2312" w:eastAsia="仿宋_GB2312" w:cs="仿宋_GB2312"/>
          <w:color w:val="000000"/>
          <w:kern w:val="0"/>
          <w:sz w:val="32"/>
          <w:szCs w:val="32"/>
          <w:lang w:val="zh-CN"/>
        </w:rPr>
        <w:t>乙方应负责培训甲方的技术人员。</w:t>
      </w:r>
    </w:p>
    <w:p w14:paraId="41D2C32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3.3 </w:t>
      </w:r>
      <w:r>
        <w:rPr>
          <w:rFonts w:hint="eastAsia" w:ascii="仿宋_GB2312" w:hAnsi="仿宋_GB2312" w:eastAsia="仿宋_GB2312" w:cs="仿宋_GB2312"/>
          <w:color w:val="000000"/>
          <w:kern w:val="0"/>
          <w:sz w:val="32"/>
          <w:szCs w:val="32"/>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9504571">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w:t>
      </w:r>
      <w:r>
        <w:rPr>
          <w:rFonts w:hint="eastAsia" w:ascii="仿宋_GB2312" w:hAnsi="仿宋_GB2312" w:eastAsia="仿宋_GB2312" w:cs="仿宋_GB2312"/>
          <w:b/>
          <w:bCs/>
          <w:color w:val="000000"/>
          <w:kern w:val="0"/>
          <w:sz w:val="32"/>
          <w:szCs w:val="32"/>
          <w:lang w:val="zh-CN"/>
        </w:rPr>
        <w:t>合同文件和资料</w:t>
      </w:r>
    </w:p>
    <w:p w14:paraId="4340D3D1">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4.1 </w:t>
      </w:r>
      <w:r>
        <w:rPr>
          <w:rFonts w:hint="eastAsia" w:ascii="仿宋_GB2312" w:hAnsi="仿宋_GB2312" w:eastAsia="仿宋_GB2312" w:cs="仿宋_GB2312"/>
          <w:color w:val="000000"/>
          <w:kern w:val="0"/>
          <w:sz w:val="32"/>
          <w:szCs w:val="32"/>
          <w:lang w:val="zh-CN"/>
        </w:rPr>
        <w:t>乙方在提供仪器设备时应同时提供中文版相关的技术资料，如目录索引、图纸、操作手册、使用指南、维修指南、服务手册等。</w:t>
      </w:r>
    </w:p>
    <w:p w14:paraId="632A0C9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4.2 </w:t>
      </w:r>
      <w:r>
        <w:rPr>
          <w:rFonts w:hint="eastAsia" w:ascii="仿宋_GB2312" w:hAnsi="仿宋_GB2312" w:eastAsia="仿宋_GB2312" w:cs="仿宋_GB2312"/>
          <w:color w:val="000000"/>
          <w:kern w:val="0"/>
          <w:sz w:val="32"/>
          <w:szCs w:val="32"/>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FC57E5">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5.</w:t>
      </w:r>
      <w:r>
        <w:rPr>
          <w:rFonts w:hint="eastAsia" w:ascii="仿宋_GB2312" w:hAnsi="仿宋_GB2312" w:eastAsia="仿宋_GB2312" w:cs="仿宋_GB2312"/>
          <w:b/>
          <w:bCs/>
          <w:color w:val="000000"/>
          <w:kern w:val="0"/>
          <w:sz w:val="32"/>
          <w:szCs w:val="32"/>
          <w:lang w:val="zh-CN"/>
        </w:rPr>
        <w:t>知识产权</w:t>
      </w:r>
    </w:p>
    <w:p w14:paraId="55BE277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5.1 </w:t>
      </w:r>
      <w:r>
        <w:rPr>
          <w:rFonts w:hint="eastAsia" w:ascii="仿宋_GB2312" w:hAnsi="仿宋_GB2312" w:eastAsia="仿宋_GB2312" w:cs="仿宋_GB2312"/>
          <w:color w:val="000000"/>
          <w:kern w:val="0"/>
          <w:sz w:val="32"/>
          <w:szCs w:val="32"/>
          <w:lang w:val="zh-CN"/>
        </w:rPr>
        <w:t>乙方应保证甲方在使用该货物或其任何一部分时不受第三方提出的侵犯专利权、著作权、商标权和工业设计权等的起诉。</w:t>
      </w:r>
    </w:p>
    <w:p w14:paraId="048F7AC8">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5.2 </w:t>
      </w:r>
      <w:r>
        <w:rPr>
          <w:rFonts w:hint="eastAsia" w:ascii="仿宋_GB2312" w:hAnsi="仿宋_GB2312" w:eastAsia="仿宋_GB2312" w:cs="仿宋_GB2312"/>
          <w:color w:val="000000"/>
          <w:kern w:val="0"/>
          <w:sz w:val="32"/>
          <w:szCs w:val="32"/>
          <w:lang w:val="zh-CN"/>
        </w:rPr>
        <w:t>任何第三方提出侵权指控，乙方须与第三方交涉并承担由此产生的一切责任、费用和经济赔偿。</w:t>
      </w:r>
    </w:p>
    <w:p w14:paraId="413C45B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5.3 </w:t>
      </w:r>
      <w:r>
        <w:rPr>
          <w:rFonts w:hint="eastAsia" w:ascii="仿宋_GB2312" w:hAnsi="仿宋_GB2312" w:eastAsia="仿宋_GB2312" w:cs="仿宋_GB2312"/>
          <w:color w:val="000000"/>
          <w:kern w:val="0"/>
          <w:sz w:val="32"/>
          <w:szCs w:val="32"/>
          <w:lang w:val="zh-CN"/>
        </w:rPr>
        <w:t>双方应共同遵守国家有关版权、专利、商标等知识产权方面的法律规定，相互尊重对方的知识产权，对本合同内容、对方的技术秘密和商业秘密负有保密责任。如有违反，违约方负相关法律责任。</w:t>
      </w:r>
    </w:p>
    <w:p w14:paraId="160C40B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5.4 </w:t>
      </w:r>
      <w:r>
        <w:rPr>
          <w:rFonts w:hint="eastAsia" w:ascii="仿宋_GB2312" w:hAnsi="仿宋_GB2312" w:eastAsia="仿宋_GB2312" w:cs="仿宋_GB2312"/>
          <w:color w:val="000000"/>
          <w:kern w:val="0"/>
          <w:sz w:val="32"/>
          <w:szCs w:val="32"/>
          <w:lang w:val="zh-CN"/>
        </w:rPr>
        <w:t>在本合同生效时已经存在并为各方合法拥有或使用的所有技术、资料和信息的知识产权，仍应属于其各自的原权利人所有或享有，另有约定的除外。</w:t>
      </w:r>
    </w:p>
    <w:p w14:paraId="6D27D07A">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5.5 </w:t>
      </w:r>
      <w:r>
        <w:rPr>
          <w:rFonts w:hint="eastAsia" w:ascii="仿宋_GB2312" w:hAnsi="仿宋_GB2312" w:eastAsia="仿宋_GB2312" w:cs="仿宋_GB2312"/>
          <w:color w:val="000000"/>
          <w:kern w:val="0"/>
          <w:sz w:val="32"/>
          <w:szCs w:val="32"/>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06D5A83">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6.</w:t>
      </w:r>
      <w:r>
        <w:rPr>
          <w:rFonts w:hint="eastAsia" w:ascii="仿宋_GB2312" w:hAnsi="仿宋_GB2312" w:eastAsia="仿宋_GB2312" w:cs="仿宋_GB2312"/>
          <w:b/>
          <w:bCs/>
          <w:color w:val="000000"/>
          <w:kern w:val="0"/>
          <w:sz w:val="32"/>
          <w:szCs w:val="32"/>
          <w:lang w:val="zh-CN"/>
        </w:rPr>
        <w:t>保密</w:t>
      </w:r>
    </w:p>
    <w:p w14:paraId="155321F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6.1 </w:t>
      </w:r>
      <w:r>
        <w:rPr>
          <w:rFonts w:hint="eastAsia" w:ascii="仿宋_GB2312" w:hAnsi="仿宋_GB2312" w:eastAsia="仿宋_GB2312" w:cs="仿宋_GB2312"/>
          <w:color w:val="000000"/>
          <w:kern w:val="0"/>
          <w:sz w:val="32"/>
          <w:szCs w:val="32"/>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B0874F6">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6.2 </w:t>
      </w:r>
      <w:r>
        <w:rPr>
          <w:rFonts w:hint="eastAsia" w:ascii="仿宋_GB2312" w:hAnsi="仿宋_GB2312" w:eastAsia="仿宋_GB2312" w:cs="仿宋_GB2312"/>
          <w:color w:val="000000"/>
          <w:kern w:val="0"/>
          <w:sz w:val="32"/>
          <w:szCs w:val="32"/>
          <w:lang w:val="zh-CN"/>
        </w:rPr>
        <w:t>保密信息指任何一方因履行本合同所知悉的任何以口头、书面、图表或电子形式存在的对方信息，具体包括：</w:t>
      </w:r>
    </w:p>
    <w:p w14:paraId="34688CE6">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6.2.1 </w:t>
      </w:r>
      <w:r>
        <w:rPr>
          <w:rFonts w:hint="eastAsia" w:ascii="仿宋_GB2312" w:hAnsi="仿宋_GB2312" w:eastAsia="仿宋_GB2312" w:cs="仿宋_GB2312"/>
          <w:color w:val="000000"/>
          <w:kern w:val="0"/>
          <w:sz w:val="32"/>
          <w:szCs w:val="32"/>
          <w:lang w:val="zh-CN"/>
        </w:rPr>
        <w:t>任何涉及对方过去、现在或将来的商业计划、规章制度、操作规程、处理手段、财务信息；</w:t>
      </w:r>
    </w:p>
    <w:p w14:paraId="3C3F0E6A">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6.2.2 </w:t>
      </w:r>
      <w:r>
        <w:rPr>
          <w:rFonts w:hint="eastAsia" w:ascii="仿宋_GB2312" w:hAnsi="仿宋_GB2312" w:eastAsia="仿宋_GB2312" w:cs="仿宋_GB2312"/>
          <w:color w:val="000000"/>
          <w:kern w:val="0"/>
          <w:sz w:val="32"/>
          <w:szCs w:val="32"/>
          <w:lang w:val="zh-CN"/>
        </w:rPr>
        <w:t>任何对方的技术措施、技术方案、软件应用及开发，硬件设备的品种、质量、数量、品牌等；</w:t>
      </w:r>
    </w:p>
    <w:p w14:paraId="0EADDC19">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6.2.3 </w:t>
      </w:r>
      <w:r>
        <w:rPr>
          <w:rFonts w:hint="eastAsia" w:ascii="仿宋_GB2312" w:hAnsi="仿宋_GB2312" w:eastAsia="仿宋_GB2312" w:cs="仿宋_GB2312"/>
          <w:color w:val="000000"/>
          <w:kern w:val="0"/>
          <w:sz w:val="32"/>
          <w:szCs w:val="32"/>
          <w:lang w:val="zh-CN"/>
        </w:rPr>
        <w:t>任何对方的技术秘密或专有知识、文件</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、报告、数据、客户软件、流程图、数据库、发明、知识、贸易秘密。</w:t>
      </w:r>
    </w:p>
    <w:p w14:paraId="305423E0">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6.3 </w:t>
      </w:r>
      <w:r>
        <w:rPr>
          <w:rFonts w:hint="eastAsia" w:ascii="仿宋_GB2312" w:hAnsi="仿宋_GB2312" w:eastAsia="仿宋_GB2312" w:cs="仿宋_GB2312"/>
          <w:color w:val="000000"/>
          <w:kern w:val="0"/>
          <w:sz w:val="32"/>
          <w:szCs w:val="32"/>
          <w:lang w:val="zh-CN"/>
        </w:rPr>
        <w:t>乙方应根据甲方的要求签署相应的保密协议，保密协议与本条款存在不一致的，以保密协议为准。</w:t>
      </w:r>
    </w:p>
    <w:p w14:paraId="70537442">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7. </w:t>
      </w:r>
      <w:r>
        <w:rPr>
          <w:rFonts w:hint="eastAsia" w:ascii="仿宋_GB2312" w:hAnsi="仿宋_GB2312" w:eastAsia="仿宋_GB2312" w:cs="仿宋_GB2312"/>
          <w:b/>
          <w:bCs/>
          <w:color w:val="000000"/>
          <w:kern w:val="0"/>
          <w:sz w:val="32"/>
          <w:szCs w:val="32"/>
          <w:lang w:val="zh-CN"/>
        </w:rPr>
        <w:t>质量保证</w:t>
      </w:r>
    </w:p>
    <w:p w14:paraId="4C16BCD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7.1 </w:t>
      </w:r>
      <w:r>
        <w:rPr>
          <w:rFonts w:hint="eastAsia" w:ascii="仿宋_GB2312" w:hAnsi="仿宋_GB2312" w:eastAsia="仿宋_GB2312" w:cs="仿宋_GB2312"/>
          <w:color w:val="000000"/>
          <w:kern w:val="0"/>
          <w:sz w:val="32"/>
          <w:szCs w:val="32"/>
          <w:lang w:val="zh-CN"/>
        </w:rPr>
        <w:t>货物质量保证</w:t>
      </w:r>
    </w:p>
    <w:p w14:paraId="4C8EAF3F">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7.1.1 </w:t>
      </w:r>
      <w:r>
        <w:rPr>
          <w:rFonts w:hint="eastAsia" w:ascii="仿宋_GB2312" w:hAnsi="仿宋_GB2312" w:eastAsia="仿宋_GB2312" w:cs="仿宋_GB2312"/>
          <w:color w:val="000000"/>
          <w:kern w:val="0"/>
          <w:sz w:val="32"/>
          <w:szCs w:val="32"/>
          <w:lang w:val="zh-CN"/>
        </w:rPr>
        <w:t>乙方必须保证货物是全新、未使用过的，并完全符合强制性的国家技术质量规范和合同规定的质量、规格、性能和技术规范等的要求。</w:t>
      </w:r>
    </w:p>
    <w:p w14:paraId="36337E6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7.1.2 </w:t>
      </w:r>
      <w:r>
        <w:rPr>
          <w:rFonts w:hint="eastAsia" w:ascii="仿宋_GB2312" w:hAnsi="仿宋_GB2312" w:eastAsia="仿宋_GB2312" w:cs="仿宋_GB2312"/>
          <w:color w:val="000000"/>
          <w:kern w:val="0"/>
          <w:sz w:val="32"/>
          <w:szCs w:val="32"/>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3EB79A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7.1.3 </w:t>
      </w:r>
      <w:r>
        <w:rPr>
          <w:rFonts w:hint="eastAsia" w:ascii="仿宋_GB2312" w:hAnsi="仿宋_GB2312" w:eastAsia="仿宋_GB2312" w:cs="仿宋_GB2312"/>
          <w:color w:val="000000"/>
          <w:kern w:val="0"/>
          <w:sz w:val="32"/>
          <w:szCs w:val="32"/>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D80744E">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7.1.4 </w:t>
      </w:r>
      <w:r>
        <w:rPr>
          <w:rFonts w:hint="eastAsia" w:ascii="仿宋_GB2312" w:hAnsi="仿宋_GB2312" w:eastAsia="仿宋_GB2312" w:cs="仿宋_GB2312"/>
          <w:color w:val="000000"/>
          <w:kern w:val="0"/>
          <w:sz w:val="32"/>
          <w:szCs w:val="32"/>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A8D5168">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7.1.5 </w:t>
      </w:r>
      <w:r>
        <w:rPr>
          <w:rFonts w:hint="eastAsia" w:ascii="仿宋_GB2312" w:hAnsi="仿宋_GB2312" w:eastAsia="仿宋_GB2312" w:cs="仿宋_GB2312"/>
          <w:color w:val="000000"/>
          <w:kern w:val="0"/>
          <w:sz w:val="32"/>
          <w:szCs w:val="32"/>
          <w:lang w:val="zh-CN"/>
        </w:rPr>
        <w:t>合同条款下货物的质量保证期自货物通过最终验收起算，合同另行规定除外。</w:t>
      </w:r>
    </w:p>
    <w:p w14:paraId="779BE31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7.2 </w:t>
      </w:r>
      <w:r>
        <w:rPr>
          <w:rFonts w:hint="eastAsia" w:ascii="仿宋_GB2312" w:hAnsi="仿宋_GB2312" w:eastAsia="仿宋_GB2312" w:cs="仿宋_GB2312"/>
          <w:color w:val="000000"/>
          <w:kern w:val="0"/>
          <w:sz w:val="32"/>
          <w:szCs w:val="32"/>
          <w:lang w:val="zh-CN"/>
        </w:rPr>
        <w:t>辅助服务质量保证</w:t>
      </w:r>
    </w:p>
    <w:p w14:paraId="4B18C23C">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7.2.1 </w:t>
      </w:r>
      <w:r>
        <w:rPr>
          <w:rFonts w:hint="eastAsia" w:ascii="仿宋_GB2312" w:hAnsi="仿宋_GB2312" w:eastAsia="仿宋_GB2312" w:cs="仿宋_GB2312"/>
          <w:color w:val="000000"/>
          <w:kern w:val="0"/>
          <w:sz w:val="32"/>
          <w:szCs w:val="32"/>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7FEAF46">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7.2.2 </w:t>
      </w:r>
      <w:r>
        <w:rPr>
          <w:rFonts w:hint="eastAsia" w:ascii="仿宋_GB2312" w:hAnsi="仿宋_GB2312" w:eastAsia="仿宋_GB2312" w:cs="仿宋_GB2312"/>
          <w:color w:val="000000"/>
          <w:kern w:val="0"/>
          <w:sz w:val="32"/>
          <w:szCs w:val="32"/>
          <w:lang w:val="zh-CN"/>
        </w:rPr>
        <w:t>乙方应保证合同条款下所提供的服务包括培训、安装指导、单机调试、系统联调和试验等，按合同规定方式进行，并保证不存在因乙方工作人员的过失、错误或疏忽而产生的缺陷。</w:t>
      </w:r>
    </w:p>
    <w:p w14:paraId="3803F193">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8.</w:t>
      </w:r>
      <w:r>
        <w:rPr>
          <w:rFonts w:hint="eastAsia" w:ascii="仿宋_GB2312" w:hAnsi="仿宋_GB2312" w:eastAsia="仿宋_GB2312" w:cs="仿宋_GB2312"/>
          <w:b/>
          <w:bCs/>
          <w:color w:val="000000"/>
          <w:kern w:val="0"/>
          <w:sz w:val="32"/>
          <w:szCs w:val="32"/>
          <w:lang w:val="zh-CN"/>
        </w:rPr>
        <w:t>包装要求</w:t>
      </w:r>
    </w:p>
    <w:p w14:paraId="47F95A40">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8.1 </w:t>
      </w:r>
      <w:r>
        <w:rPr>
          <w:rFonts w:hint="eastAsia" w:ascii="仿宋_GB2312" w:hAnsi="仿宋_GB2312" w:eastAsia="仿宋_GB2312" w:cs="仿宋_GB2312"/>
          <w:color w:val="000000"/>
          <w:kern w:val="0"/>
          <w:sz w:val="32"/>
          <w:szCs w:val="32"/>
          <w:lang w:val="zh-CN"/>
        </w:rPr>
        <w:t>除合同另有约定外</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zh-CN"/>
        </w:rPr>
        <w:t>乙方提供的全部货物</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zh-CN"/>
        </w:rPr>
        <w:t>均应采用本行业通用的方式进行包装，且该包装应符合国家有关包装的法律、法规的规定。</w:t>
      </w:r>
    </w:p>
    <w:p w14:paraId="1423E698">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8.2 </w:t>
      </w:r>
      <w:r>
        <w:rPr>
          <w:rFonts w:hint="eastAsia" w:ascii="仿宋_GB2312" w:hAnsi="仿宋_GB2312" w:eastAsia="仿宋_GB2312" w:cs="仿宋_GB2312"/>
          <w:color w:val="000000"/>
          <w:kern w:val="0"/>
          <w:sz w:val="32"/>
          <w:szCs w:val="32"/>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C4AD5D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8.3 </w:t>
      </w:r>
      <w:r>
        <w:rPr>
          <w:rFonts w:hint="eastAsia" w:ascii="仿宋_GB2312" w:hAnsi="仿宋_GB2312" w:eastAsia="仿宋_GB2312" w:cs="仿宋_GB2312"/>
          <w:color w:val="000000"/>
          <w:kern w:val="0"/>
          <w:sz w:val="32"/>
          <w:szCs w:val="32"/>
          <w:lang w:val="zh-CN"/>
        </w:rPr>
        <w:t>乙方所提供的货物包装均为出厂时原包装。</w:t>
      </w:r>
    </w:p>
    <w:p w14:paraId="414AD1AC">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8.4 </w:t>
      </w:r>
      <w:r>
        <w:rPr>
          <w:rFonts w:hint="eastAsia" w:ascii="仿宋_GB2312" w:hAnsi="仿宋_GB2312" w:eastAsia="仿宋_GB2312" w:cs="仿宋_GB2312"/>
          <w:color w:val="000000"/>
          <w:kern w:val="0"/>
          <w:sz w:val="32"/>
          <w:szCs w:val="32"/>
          <w:lang w:val="zh-CN"/>
        </w:rPr>
        <w:t>乙方所提供货物必须附有质量合格证，装箱清单，主机、附件、各种零部件和消耗品，有清楚的与装箱单相对应的名称和编号。</w:t>
      </w:r>
    </w:p>
    <w:p w14:paraId="5303CFFF">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8.5 </w:t>
      </w:r>
      <w:r>
        <w:rPr>
          <w:rFonts w:hint="eastAsia" w:ascii="仿宋_GB2312" w:hAnsi="仿宋_GB2312" w:eastAsia="仿宋_GB2312" w:cs="仿宋_GB2312"/>
          <w:color w:val="000000"/>
          <w:kern w:val="0"/>
          <w:sz w:val="32"/>
          <w:szCs w:val="32"/>
          <w:lang w:val="zh-CN"/>
        </w:rPr>
        <w:t>货物运输中的运输费用和保险费用均由乙方承担。运输过程中的一切损失、损坏均由乙方负责。</w:t>
      </w:r>
    </w:p>
    <w:p w14:paraId="3E98AABB">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9.</w:t>
      </w:r>
      <w:r>
        <w:rPr>
          <w:rFonts w:hint="eastAsia" w:ascii="仿宋_GB2312" w:hAnsi="仿宋_GB2312" w:eastAsia="仿宋_GB2312" w:cs="仿宋_GB2312"/>
          <w:b/>
          <w:bCs/>
          <w:color w:val="000000"/>
          <w:kern w:val="0"/>
          <w:sz w:val="32"/>
          <w:szCs w:val="32"/>
          <w:lang w:val="zh-CN"/>
        </w:rPr>
        <w:t>价格</w:t>
      </w:r>
    </w:p>
    <w:p w14:paraId="61FC0CFA">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9.1 </w:t>
      </w:r>
      <w:r>
        <w:rPr>
          <w:rFonts w:hint="eastAsia" w:ascii="仿宋_GB2312" w:hAnsi="仿宋_GB2312" w:eastAsia="仿宋_GB2312" w:cs="仿宋_GB2312"/>
          <w:color w:val="000000"/>
          <w:kern w:val="0"/>
          <w:sz w:val="32"/>
          <w:szCs w:val="32"/>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B068FB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9.2 </w:t>
      </w:r>
      <w:r>
        <w:rPr>
          <w:rFonts w:hint="eastAsia" w:ascii="仿宋_GB2312" w:hAnsi="仿宋_GB2312" w:eastAsia="仿宋_GB2312" w:cs="仿宋_GB2312"/>
          <w:color w:val="000000"/>
          <w:kern w:val="0"/>
          <w:sz w:val="32"/>
          <w:szCs w:val="32"/>
          <w:lang w:val="zh-CN"/>
        </w:rPr>
        <w:t>本合同价格为固定价格，包括了乙方履行合同全过程产生的所有成本和费用以及乙方应承担的一切税费。</w:t>
      </w:r>
    </w:p>
    <w:p w14:paraId="4100E68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9.3 </w:t>
      </w:r>
      <w:r>
        <w:rPr>
          <w:rFonts w:hint="eastAsia" w:ascii="仿宋_GB2312" w:hAnsi="仿宋_GB2312" w:eastAsia="仿宋_GB2312" w:cs="仿宋_GB2312"/>
          <w:color w:val="000000"/>
          <w:kern w:val="0"/>
          <w:sz w:val="32"/>
          <w:szCs w:val="32"/>
          <w:lang w:val="zh-CN"/>
        </w:rPr>
        <w:t>检验费用</w:t>
      </w:r>
    </w:p>
    <w:p w14:paraId="7C8CEF87">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9.3.1 </w:t>
      </w:r>
      <w:r>
        <w:rPr>
          <w:rFonts w:hint="eastAsia" w:ascii="仿宋_GB2312" w:hAnsi="仿宋_GB2312" w:eastAsia="仿宋_GB2312" w:cs="仿宋_GB2312"/>
          <w:color w:val="000000"/>
          <w:kern w:val="0"/>
          <w:sz w:val="32"/>
          <w:szCs w:val="32"/>
          <w:lang w:val="zh-CN"/>
        </w:rPr>
        <w:t>乙方必须负担本条款下属于乙方负责的检验、测试、调试、试运行和验收的所有费用，并负责乙方派往买方组织的检验、测试和验收人员的所有费用。</w:t>
      </w:r>
    </w:p>
    <w:p w14:paraId="2449C0D1">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9.3.2 </w:t>
      </w:r>
      <w:r>
        <w:rPr>
          <w:rFonts w:hint="eastAsia" w:ascii="仿宋_GB2312" w:hAnsi="仿宋_GB2312" w:eastAsia="仿宋_GB2312" w:cs="仿宋_GB2312"/>
          <w:color w:val="000000"/>
          <w:kern w:val="0"/>
          <w:sz w:val="32"/>
          <w:szCs w:val="32"/>
          <w:lang w:val="zh-CN"/>
        </w:rPr>
        <w:t>甲方按合同计划参加在乙方工厂所在地检验、测试和验收的费用全部由乙方负责并已包含在合同总价中。</w:t>
      </w:r>
    </w:p>
    <w:p w14:paraId="679A5EFC">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9.3.3 </w:t>
      </w:r>
      <w:r>
        <w:rPr>
          <w:rFonts w:hint="eastAsia" w:ascii="仿宋_GB2312" w:hAnsi="仿宋_GB2312" w:eastAsia="仿宋_GB2312" w:cs="仿宋_GB2312"/>
          <w:color w:val="000000"/>
          <w:kern w:val="0"/>
          <w:sz w:val="32"/>
          <w:szCs w:val="32"/>
          <w:lang w:val="zh-CN"/>
        </w:rPr>
        <w:t>甲方检验人员已到卖方所在地，测试无法依照合同进行，</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而引起甲方人员延长逗留时间，所有由此产生的包括甲方人员在内的直接费用及成本由乙方承担。</w:t>
      </w:r>
    </w:p>
    <w:p w14:paraId="72D65C83">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10.</w:t>
      </w:r>
      <w:r>
        <w:rPr>
          <w:rFonts w:hint="eastAsia" w:ascii="仿宋_GB2312" w:hAnsi="仿宋_GB2312" w:eastAsia="仿宋_GB2312" w:cs="仿宋_GB2312"/>
          <w:b/>
          <w:bCs/>
          <w:color w:val="000000"/>
          <w:kern w:val="0"/>
          <w:sz w:val="32"/>
          <w:szCs w:val="32"/>
          <w:lang w:val="zh-CN"/>
        </w:rPr>
        <w:t>交货方式及交货日期</w:t>
      </w:r>
    </w:p>
    <w:p w14:paraId="6B9B27FA">
      <w:pPr>
        <w:autoSpaceDE w:val="0"/>
        <w:autoSpaceDN w:val="0"/>
        <w:spacing w:line="4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交货方式：现场交货，乙方负责办理运输和保险，将货物运抵现场。</w:t>
      </w:r>
    </w:p>
    <w:p w14:paraId="61C1308C">
      <w:pPr>
        <w:autoSpaceDE w:val="0"/>
        <w:autoSpaceDN w:val="0"/>
        <w:spacing w:line="4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交货期应根据产品的特点实事求是填写，进口产品90个工作日内，国产产品60个工作日内。特殊产品交货期需说明。</w:t>
      </w:r>
    </w:p>
    <w:p w14:paraId="08C01542">
      <w:pPr>
        <w:autoSpaceDE w:val="0"/>
        <w:autoSpaceDN w:val="0"/>
        <w:spacing w:line="4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交货日期：所有货物运抵现场并经双方开箱验收合格之日。</w:t>
      </w:r>
    </w:p>
    <w:p w14:paraId="490E4491">
      <w:pPr>
        <w:autoSpaceDE w:val="0"/>
        <w:autoSpaceDN w:val="0"/>
        <w:spacing w:line="400" w:lineRule="exact"/>
        <w:ind w:firstLine="643"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b/>
          <w:bCs/>
          <w:color w:val="000000"/>
          <w:kern w:val="0"/>
          <w:sz w:val="32"/>
          <w:szCs w:val="32"/>
          <w:lang w:val="zh-CN"/>
        </w:rPr>
        <w:t>11.检验和验收</w:t>
      </w:r>
    </w:p>
    <w:p w14:paraId="1C93714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11.1 </w:t>
      </w:r>
      <w:r>
        <w:rPr>
          <w:rFonts w:hint="eastAsia" w:ascii="仿宋_GB2312" w:hAnsi="仿宋_GB2312" w:eastAsia="仿宋_GB2312" w:cs="仿宋_GB2312"/>
          <w:color w:val="000000"/>
          <w:kern w:val="0"/>
          <w:sz w:val="32"/>
          <w:szCs w:val="32"/>
          <w:lang w:val="zh-CN"/>
        </w:rPr>
        <w:t>开箱验收</w:t>
      </w:r>
    </w:p>
    <w:p w14:paraId="37F1DB7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11.1.1 </w:t>
      </w:r>
      <w:r>
        <w:rPr>
          <w:rFonts w:hint="eastAsia" w:ascii="仿宋_GB2312" w:hAnsi="仿宋_GB2312" w:eastAsia="仿宋_GB2312" w:cs="仿宋_GB2312"/>
          <w:color w:val="000000"/>
          <w:kern w:val="0"/>
          <w:sz w:val="32"/>
          <w:szCs w:val="32"/>
          <w:lang w:val="zh-CN"/>
        </w:rPr>
        <w:t>货物运抵现场后，双方应及时开箱验收，并制作验收记录，以确认与本合同约定的数量、型号等是否一致。</w:t>
      </w:r>
    </w:p>
    <w:p w14:paraId="58C2F6B9">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11.1.2 </w:t>
      </w:r>
      <w:r>
        <w:rPr>
          <w:rFonts w:hint="eastAsia" w:ascii="仿宋_GB2312" w:hAnsi="仿宋_GB2312" w:eastAsia="仿宋_GB2312" w:cs="仿宋_GB2312"/>
          <w:color w:val="000000"/>
          <w:kern w:val="0"/>
          <w:sz w:val="32"/>
          <w:szCs w:val="32"/>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456941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11.1.3 </w:t>
      </w:r>
      <w:r>
        <w:rPr>
          <w:rFonts w:hint="eastAsia" w:ascii="仿宋_GB2312" w:hAnsi="仿宋_GB2312" w:eastAsia="仿宋_GB2312" w:cs="仿宋_GB2312"/>
          <w:color w:val="000000"/>
          <w:kern w:val="0"/>
          <w:sz w:val="32"/>
          <w:szCs w:val="32"/>
          <w:lang w:val="zh-CN"/>
        </w:rPr>
        <w:t>开箱验收中如发现货物的数量、规格与合同约定不符，甲方有权拒收货物，乙方应及时按甲方要求免费对拒收货物采取更换或其他必要的补救措施，直至开箱验收合格，方视为乙方完成交货。</w:t>
      </w:r>
    </w:p>
    <w:p w14:paraId="25CFBDA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11.2 </w:t>
      </w:r>
      <w:r>
        <w:rPr>
          <w:rFonts w:hint="eastAsia" w:ascii="仿宋_GB2312" w:hAnsi="仿宋_GB2312" w:eastAsia="仿宋_GB2312" w:cs="仿宋_GB2312"/>
          <w:color w:val="000000"/>
          <w:kern w:val="0"/>
          <w:sz w:val="32"/>
          <w:szCs w:val="32"/>
          <w:lang w:val="zh-CN"/>
        </w:rPr>
        <w:t>检验验收</w:t>
      </w:r>
    </w:p>
    <w:p w14:paraId="45734C3C">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11.2.1 </w:t>
      </w:r>
      <w:r>
        <w:rPr>
          <w:rFonts w:hint="eastAsia" w:ascii="仿宋_GB2312" w:hAnsi="仿宋_GB2312" w:eastAsia="仿宋_GB2312" w:cs="仿宋_GB2312"/>
          <w:color w:val="000000"/>
          <w:kern w:val="0"/>
          <w:sz w:val="32"/>
          <w:szCs w:val="32"/>
          <w:lang w:val="zh-CN"/>
        </w:rPr>
        <w:t>交货完成后，乙方应及时组装、调试、试运行，按照合同专用条款规定的试运行完成后，双方及时组织对货物检验验收。合同双方均须派人参加合同要求双方参加的试验、检验。</w:t>
      </w:r>
    </w:p>
    <w:p w14:paraId="6A9A8818">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11.2.2 </w:t>
      </w:r>
      <w:r>
        <w:rPr>
          <w:rFonts w:hint="eastAsia" w:ascii="仿宋_GB2312" w:hAnsi="仿宋_GB2312" w:eastAsia="仿宋_GB2312" w:cs="仿宋_GB2312"/>
          <w:color w:val="000000"/>
          <w:kern w:val="0"/>
          <w:sz w:val="32"/>
          <w:szCs w:val="32"/>
          <w:lang w:val="zh-CN"/>
        </w:rPr>
        <w:t>在具体实施合同规定的检验验收之前，乙方需提前提交相应的测试计划（包括测试程序、测试内容和检验标准、试验时间安排等）供甲方确认。</w:t>
      </w:r>
    </w:p>
    <w:p w14:paraId="13BC5EE7">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11.2.3 </w:t>
      </w:r>
      <w:r>
        <w:rPr>
          <w:rFonts w:hint="eastAsia" w:ascii="仿宋_GB2312" w:hAnsi="仿宋_GB2312" w:eastAsia="仿宋_GB2312" w:cs="仿宋_GB2312"/>
          <w:color w:val="000000"/>
          <w:kern w:val="0"/>
          <w:sz w:val="32"/>
          <w:szCs w:val="32"/>
          <w:lang w:val="zh-CN"/>
        </w:rPr>
        <w:t>除需甲方确认的试验验收外，乙方还应对所有检验验收测试的结果、步骤、原始数据等作妥善记录。如甲方要求，乙方应提供这些记录给买方。</w:t>
      </w:r>
    </w:p>
    <w:p w14:paraId="341C82A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11.2.4 </w:t>
      </w:r>
      <w:r>
        <w:rPr>
          <w:rFonts w:hint="eastAsia" w:ascii="仿宋_GB2312" w:hAnsi="仿宋_GB2312" w:eastAsia="仿宋_GB2312" w:cs="仿宋_GB2312"/>
          <w:color w:val="000000"/>
          <w:kern w:val="0"/>
          <w:sz w:val="32"/>
          <w:szCs w:val="32"/>
          <w:lang w:val="zh-CN"/>
        </w:rPr>
        <w:t>检验测试出现全部或部分未达到本合同所约定的技术指标，甲方有权选择下列任一处理方式：</w:t>
      </w:r>
    </w:p>
    <w:p w14:paraId="488AE24A">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lang w:val="zh-CN"/>
        </w:rPr>
        <w:t>重新测试直至合格为止；</w:t>
      </w:r>
    </w:p>
    <w:p w14:paraId="70A012A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color w:val="000000"/>
          <w:kern w:val="0"/>
          <w:sz w:val="32"/>
          <w:szCs w:val="32"/>
          <w:lang w:val="zh-CN"/>
        </w:rPr>
        <w:t>要求乙方对货物进行免费更换，然后重新测试直至合格为止；</w:t>
      </w:r>
    </w:p>
    <w:p w14:paraId="1588E12F">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无论选择何种方式，甲方因此而发生的因卖方原因引起的所有费用均由乙方负担。</w:t>
      </w:r>
    </w:p>
    <w:p w14:paraId="4808D9F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11.3 </w:t>
      </w:r>
      <w:r>
        <w:rPr>
          <w:rFonts w:hint="eastAsia" w:ascii="仿宋_GB2312" w:hAnsi="仿宋_GB2312" w:eastAsia="仿宋_GB2312" w:cs="仿宋_GB2312"/>
          <w:color w:val="000000"/>
          <w:kern w:val="0"/>
          <w:sz w:val="32"/>
          <w:szCs w:val="32"/>
          <w:lang w:val="zh-CN"/>
        </w:rPr>
        <w:t>使用过程检验</w:t>
      </w:r>
    </w:p>
    <w:p w14:paraId="4DB5A35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11.3.1 </w:t>
      </w:r>
      <w:r>
        <w:rPr>
          <w:rFonts w:hint="eastAsia" w:ascii="仿宋_GB2312" w:hAnsi="仿宋_GB2312" w:eastAsia="仿宋_GB2312" w:cs="仿宋_GB2312"/>
          <w:color w:val="000000"/>
          <w:kern w:val="0"/>
          <w:sz w:val="32"/>
          <w:szCs w:val="32"/>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A246C0F">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11.3.2 </w:t>
      </w:r>
      <w:r>
        <w:rPr>
          <w:rFonts w:hint="eastAsia" w:ascii="仿宋_GB2312" w:hAnsi="仿宋_GB2312" w:eastAsia="仿宋_GB2312" w:cs="仿宋_GB2312"/>
          <w:color w:val="000000"/>
          <w:kern w:val="0"/>
          <w:sz w:val="32"/>
          <w:szCs w:val="32"/>
          <w:lang w:val="zh-CN"/>
        </w:rPr>
        <w:t>如果合同双方对乙方提供的上述试验结果报告的解释有分歧，双方须于出现分歧后</w:t>
      </w:r>
      <w:r>
        <w:rPr>
          <w:rFonts w:hint="eastAsia"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lang w:val="zh-CN"/>
        </w:rPr>
        <w:t>天内给对方声明，以陈述己方的观点。声明须附有关证据。分歧应通过协商解决。</w:t>
      </w:r>
    </w:p>
    <w:p w14:paraId="3F1084F6">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12.</w:t>
      </w:r>
      <w:r>
        <w:rPr>
          <w:rFonts w:hint="eastAsia" w:ascii="仿宋_GB2312" w:hAnsi="仿宋_GB2312" w:eastAsia="仿宋_GB2312" w:cs="仿宋_GB2312"/>
          <w:b/>
          <w:bCs/>
          <w:color w:val="000000"/>
          <w:kern w:val="0"/>
          <w:sz w:val="32"/>
          <w:szCs w:val="32"/>
          <w:lang w:val="zh-CN"/>
        </w:rPr>
        <w:t>付款方法和条件</w:t>
      </w:r>
    </w:p>
    <w:p w14:paraId="542AD75A">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本合同条款下的付款方法和条件在“青海省政府采购项目合同书”中具体规定。</w:t>
      </w:r>
    </w:p>
    <w:p w14:paraId="7EAC4483">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13.</w:t>
      </w:r>
      <w:r>
        <w:rPr>
          <w:rFonts w:hint="eastAsia" w:ascii="仿宋_GB2312" w:hAnsi="仿宋_GB2312" w:eastAsia="仿宋_GB2312" w:cs="仿宋_GB2312"/>
          <w:b/>
          <w:bCs/>
          <w:color w:val="000000"/>
          <w:kern w:val="0"/>
          <w:sz w:val="32"/>
          <w:szCs w:val="32"/>
          <w:lang w:val="zh-CN"/>
        </w:rPr>
        <w:t>履约保证金</w:t>
      </w:r>
    </w:p>
    <w:p w14:paraId="1A142211">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13.1 </w:t>
      </w:r>
      <w:r>
        <w:rPr>
          <w:rFonts w:hint="eastAsia" w:ascii="仿宋_GB2312" w:hAnsi="仿宋_GB2312" w:eastAsia="仿宋_GB2312" w:cs="仿宋_GB2312"/>
          <w:color w:val="000000"/>
          <w:kern w:val="0"/>
          <w:sz w:val="32"/>
          <w:szCs w:val="32"/>
          <w:lang w:val="zh-CN"/>
        </w:rPr>
        <w:t>乙方应在合同签订前，按招标文件第</w:t>
      </w: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val="zh-CN"/>
        </w:rPr>
        <w:t>部分“九 授予合同”中第23.2项的约定提交履约保证金。</w:t>
      </w:r>
    </w:p>
    <w:p w14:paraId="35D11D17">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13.2 </w:t>
      </w:r>
      <w:r>
        <w:rPr>
          <w:rFonts w:hint="eastAsia" w:ascii="仿宋_GB2312" w:hAnsi="仿宋_GB2312" w:eastAsia="仿宋_GB2312" w:cs="仿宋_GB2312"/>
          <w:color w:val="000000"/>
          <w:kern w:val="0"/>
          <w:sz w:val="32"/>
          <w:szCs w:val="32"/>
          <w:lang w:val="zh-CN"/>
        </w:rPr>
        <w:t>履约保证金用于补偿甲方因乙方不能履行其合同义务而蒙受的损失。</w:t>
      </w:r>
    </w:p>
    <w:p w14:paraId="44B54D6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13.3 </w:t>
      </w:r>
      <w:r>
        <w:rPr>
          <w:rFonts w:hint="eastAsia" w:ascii="仿宋_GB2312" w:hAnsi="仿宋_GB2312" w:eastAsia="仿宋_GB2312" w:cs="仿宋_GB2312"/>
          <w:color w:val="000000"/>
          <w:kern w:val="0"/>
          <w:sz w:val="32"/>
          <w:szCs w:val="32"/>
          <w:lang w:val="zh-CN"/>
        </w:rPr>
        <w:t>履约保证金应使用本合同货币，按下述方式之一提交（招标文件中另有约定的除外）：</w:t>
      </w:r>
    </w:p>
    <w:p w14:paraId="4099603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13.3.1 </w:t>
      </w:r>
      <w:r>
        <w:rPr>
          <w:rFonts w:hint="eastAsia" w:ascii="仿宋_GB2312" w:hAnsi="仿宋_GB2312" w:eastAsia="仿宋_GB2312" w:cs="仿宋_GB2312"/>
          <w:color w:val="000000"/>
          <w:kern w:val="0"/>
          <w:sz w:val="32"/>
          <w:szCs w:val="32"/>
          <w:lang w:val="zh-CN"/>
        </w:rPr>
        <w:t>甲方可接受的在中华人民共和国注册和营业的银行出具的履约保函；</w:t>
      </w:r>
    </w:p>
    <w:p w14:paraId="78E2751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13.3.2 </w:t>
      </w:r>
      <w:r>
        <w:rPr>
          <w:rFonts w:hint="eastAsia" w:ascii="仿宋_GB2312" w:hAnsi="仿宋_GB2312" w:eastAsia="仿宋_GB2312" w:cs="仿宋_GB2312"/>
          <w:color w:val="000000"/>
          <w:kern w:val="0"/>
          <w:sz w:val="32"/>
          <w:szCs w:val="32"/>
          <w:lang w:val="zh-CN"/>
        </w:rPr>
        <w:t>支票或汇票。</w:t>
      </w:r>
    </w:p>
    <w:p w14:paraId="3A756EF1">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13.4 </w:t>
      </w:r>
      <w:r>
        <w:rPr>
          <w:rFonts w:hint="eastAsia" w:ascii="仿宋_GB2312" w:hAnsi="仿宋_GB2312" w:eastAsia="仿宋_GB2312" w:cs="仿宋_GB2312"/>
          <w:color w:val="000000"/>
          <w:kern w:val="0"/>
          <w:sz w:val="32"/>
          <w:szCs w:val="32"/>
          <w:lang w:val="zh-CN"/>
        </w:rPr>
        <w:t>乙方未能按合同规定履行其义务，甲方有权从履约保证金中取得补偿。货物验收合格后，甲方将履约保证金退还乙方或转为质量保证金。</w:t>
      </w:r>
    </w:p>
    <w:p w14:paraId="4F02AEA6">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14.</w:t>
      </w:r>
      <w:r>
        <w:rPr>
          <w:rFonts w:hint="eastAsia" w:ascii="仿宋_GB2312" w:hAnsi="仿宋_GB2312" w:eastAsia="仿宋_GB2312" w:cs="仿宋_GB2312"/>
          <w:b/>
          <w:bCs/>
          <w:color w:val="000000"/>
          <w:kern w:val="0"/>
          <w:sz w:val="32"/>
          <w:szCs w:val="32"/>
          <w:lang w:val="zh-CN"/>
        </w:rPr>
        <w:t>索赔</w:t>
      </w:r>
    </w:p>
    <w:p w14:paraId="17E9C32C">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14.1 </w:t>
      </w:r>
      <w:r>
        <w:rPr>
          <w:rFonts w:hint="eastAsia" w:ascii="仿宋_GB2312" w:hAnsi="仿宋_GB2312" w:eastAsia="仿宋_GB2312" w:cs="仿宋_GB2312"/>
          <w:color w:val="000000"/>
          <w:kern w:val="0"/>
          <w:sz w:val="32"/>
          <w:szCs w:val="32"/>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23CAD39">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14.2 </w:t>
      </w:r>
      <w:r>
        <w:rPr>
          <w:rFonts w:hint="eastAsia" w:ascii="仿宋_GB2312" w:hAnsi="仿宋_GB2312" w:eastAsia="仿宋_GB2312" w:cs="仿宋_GB2312"/>
          <w:color w:val="000000"/>
          <w:kern w:val="0"/>
          <w:sz w:val="32"/>
          <w:szCs w:val="32"/>
          <w:lang w:val="zh-CN"/>
        </w:rPr>
        <w:t>在履约保证期和检验期内，乙方对甲方提出的索赔负有责任，乙方应按照甲方同意的下列一种或多种方式解决索赔事宜：</w:t>
      </w:r>
    </w:p>
    <w:p w14:paraId="09DF1772">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14.2.1 </w:t>
      </w:r>
      <w:r>
        <w:rPr>
          <w:rFonts w:hint="eastAsia" w:ascii="仿宋_GB2312" w:hAnsi="仿宋_GB2312" w:eastAsia="仿宋_GB2312" w:cs="仿宋_GB2312"/>
          <w:color w:val="000000"/>
          <w:kern w:val="0"/>
          <w:sz w:val="32"/>
          <w:szCs w:val="32"/>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65DA63B">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14.2.2 </w:t>
      </w:r>
      <w:r>
        <w:rPr>
          <w:rFonts w:hint="eastAsia" w:ascii="仿宋_GB2312" w:hAnsi="仿宋_GB2312" w:eastAsia="仿宋_GB2312" w:cs="仿宋_GB2312"/>
          <w:color w:val="000000"/>
          <w:kern w:val="0"/>
          <w:sz w:val="32"/>
          <w:szCs w:val="32"/>
          <w:lang w:val="zh-CN"/>
        </w:rPr>
        <w:t>根据货物低劣程度、损坏程度以及甲方所遭受损失的数额，经甲乙双方商定降低货物的价格，或由有资质的中介机构评估，以降低后的价格或评估价格为准。</w:t>
      </w:r>
    </w:p>
    <w:p w14:paraId="1D857D1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14.2.3 </w:t>
      </w:r>
      <w:r>
        <w:rPr>
          <w:rFonts w:hint="eastAsia" w:ascii="仿宋_GB2312" w:hAnsi="仿宋_GB2312" w:eastAsia="仿宋_GB2312" w:cs="仿宋_GB2312"/>
          <w:color w:val="000000"/>
          <w:kern w:val="0"/>
          <w:sz w:val="32"/>
          <w:szCs w:val="32"/>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B67774F">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14.3 </w:t>
      </w:r>
      <w:r>
        <w:rPr>
          <w:rFonts w:hint="eastAsia" w:ascii="仿宋_GB2312" w:hAnsi="仿宋_GB2312" w:eastAsia="仿宋_GB2312" w:cs="仿宋_GB2312"/>
          <w:color w:val="000000"/>
          <w:kern w:val="0"/>
          <w:sz w:val="32"/>
          <w:szCs w:val="32"/>
          <w:lang w:val="zh-CN"/>
        </w:rPr>
        <w:t>乙方收到甲方发出的索赔通知之日起</w:t>
      </w: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val="zh-CN"/>
        </w:rPr>
        <w:t>个工作日内未作答复的，甲方可从合同款或履约保证金中扣回索赔金额，如金额不足以补偿索赔金额，乙方应补足差额部分。</w:t>
      </w:r>
    </w:p>
    <w:p w14:paraId="102700A9">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15.</w:t>
      </w:r>
      <w:r>
        <w:rPr>
          <w:rFonts w:hint="eastAsia" w:ascii="仿宋_GB2312" w:hAnsi="仿宋_GB2312" w:eastAsia="仿宋_GB2312" w:cs="仿宋_GB2312"/>
          <w:b/>
          <w:bCs/>
          <w:color w:val="000000"/>
          <w:kern w:val="0"/>
          <w:sz w:val="32"/>
          <w:szCs w:val="32"/>
          <w:lang w:val="zh-CN"/>
        </w:rPr>
        <w:t>迟延交货</w:t>
      </w:r>
    </w:p>
    <w:p w14:paraId="66C3DE3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15.1 </w:t>
      </w:r>
      <w:r>
        <w:rPr>
          <w:rFonts w:hint="eastAsia" w:ascii="仿宋_GB2312" w:hAnsi="仿宋_GB2312" w:eastAsia="仿宋_GB2312" w:cs="仿宋_GB2312"/>
          <w:color w:val="000000"/>
          <w:kern w:val="0"/>
          <w:sz w:val="32"/>
          <w:szCs w:val="32"/>
          <w:lang w:val="zh-CN"/>
        </w:rPr>
        <w:t>乙方应按照合同约定的时间交货和提供服务。</w:t>
      </w:r>
    </w:p>
    <w:p w14:paraId="585A4B3E">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15.2 </w:t>
      </w:r>
      <w:r>
        <w:rPr>
          <w:rFonts w:hint="eastAsia" w:ascii="仿宋_GB2312" w:hAnsi="仿宋_GB2312" w:eastAsia="仿宋_GB2312" w:cs="仿宋_GB2312"/>
          <w:color w:val="000000"/>
          <w:kern w:val="0"/>
          <w:sz w:val="32"/>
          <w:szCs w:val="32"/>
          <w:lang w:val="zh-CN"/>
        </w:rPr>
        <w:t>除不可抗力因素外，乙方迟延交货，甲方有权提出违约损失赔偿或解除合同。</w:t>
      </w:r>
    </w:p>
    <w:p w14:paraId="15ED6A9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15.3 </w:t>
      </w:r>
      <w:r>
        <w:rPr>
          <w:rFonts w:hint="eastAsia" w:ascii="仿宋_GB2312" w:hAnsi="仿宋_GB2312" w:eastAsia="仿宋_GB2312" w:cs="仿宋_GB2312"/>
          <w:color w:val="000000"/>
          <w:kern w:val="0"/>
          <w:sz w:val="32"/>
          <w:szCs w:val="32"/>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F784632">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16.</w:t>
      </w:r>
      <w:r>
        <w:rPr>
          <w:rFonts w:hint="eastAsia" w:ascii="仿宋_GB2312" w:hAnsi="仿宋_GB2312" w:eastAsia="仿宋_GB2312" w:cs="仿宋_GB2312"/>
          <w:b/>
          <w:bCs/>
          <w:color w:val="000000"/>
          <w:kern w:val="0"/>
          <w:sz w:val="32"/>
          <w:szCs w:val="32"/>
          <w:lang w:val="zh-CN"/>
        </w:rPr>
        <w:t>违约赔偿</w:t>
      </w:r>
    </w:p>
    <w:p w14:paraId="6B21B07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除不可抗力因素外，乙方没有按照合同规定的时间交货和提供服务，甲方可要求乙方支付违约金。违约金每日按合同总价款的千分之五计收。</w:t>
      </w:r>
    </w:p>
    <w:p w14:paraId="42114A78">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17.</w:t>
      </w:r>
      <w:r>
        <w:rPr>
          <w:rFonts w:hint="eastAsia" w:ascii="仿宋_GB2312" w:hAnsi="仿宋_GB2312" w:eastAsia="仿宋_GB2312" w:cs="仿宋_GB2312"/>
          <w:b/>
          <w:bCs/>
          <w:color w:val="000000"/>
          <w:kern w:val="0"/>
          <w:sz w:val="32"/>
          <w:szCs w:val="32"/>
          <w:lang w:val="zh-CN"/>
        </w:rPr>
        <w:t>不可抗力</w:t>
      </w:r>
    </w:p>
    <w:p w14:paraId="792E0D1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17.1 </w:t>
      </w:r>
      <w:r>
        <w:rPr>
          <w:rFonts w:hint="eastAsia" w:ascii="仿宋_GB2312" w:hAnsi="仿宋_GB2312" w:eastAsia="仿宋_GB2312" w:cs="仿宋_GB2312"/>
          <w:color w:val="000000"/>
          <w:kern w:val="0"/>
          <w:sz w:val="32"/>
          <w:szCs w:val="32"/>
          <w:lang w:val="zh-CN"/>
        </w:rPr>
        <w:t>双方中任何一方遭遇法律规定的不可抗力，致使合同履行受阻时，履行合同的期限应予延长，延长的期限应相当于不可抗力所影响的时间。</w:t>
      </w:r>
    </w:p>
    <w:p w14:paraId="72CCE963">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17.2 </w:t>
      </w:r>
      <w:r>
        <w:rPr>
          <w:rFonts w:hint="eastAsia" w:ascii="仿宋_GB2312" w:hAnsi="仿宋_GB2312" w:eastAsia="仿宋_GB2312" w:cs="仿宋_GB2312"/>
          <w:color w:val="000000"/>
          <w:kern w:val="0"/>
          <w:sz w:val="32"/>
          <w:szCs w:val="32"/>
          <w:lang w:val="zh-CN"/>
        </w:rPr>
        <w:t>受事故影响的一方应在不可抗力的事故发生后以书面形式通知另一方。</w:t>
      </w:r>
    </w:p>
    <w:p w14:paraId="4C2490B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17.3 </w:t>
      </w:r>
      <w:r>
        <w:rPr>
          <w:rFonts w:hint="eastAsia" w:ascii="仿宋_GB2312" w:hAnsi="仿宋_GB2312" w:eastAsia="仿宋_GB2312" w:cs="仿宋_GB2312"/>
          <w:color w:val="000000"/>
          <w:kern w:val="0"/>
          <w:sz w:val="32"/>
          <w:szCs w:val="32"/>
          <w:lang w:val="zh-CN"/>
        </w:rPr>
        <w:t>不可抗力使合同的某些内容有变更必要的，双方应通过协商达成进一步履行合同的协议，因不可抗力致使合同不能履行的，合同终止。</w:t>
      </w:r>
    </w:p>
    <w:p w14:paraId="613ABC43">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18.</w:t>
      </w:r>
      <w:r>
        <w:rPr>
          <w:rFonts w:hint="eastAsia" w:ascii="仿宋_GB2312" w:hAnsi="仿宋_GB2312" w:eastAsia="仿宋_GB2312" w:cs="仿宋_GB2312"/>
          <w:b/>
          <w:bCs/>
          <w:color w:val="000000"/>
          <w:kern w:val="0"/>
          <w:sz w:val="32"/>
          <w:szCs w:val="32"/>
          <w:lang w:val="zh-CN"/>
        </w:rPr>
        <w:t>税费</w:t>
      </w:r>
    </w:p>
    <w:p w14:paraId="0CC8207D">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与本合同有关的一切税费均由乙方承担。</w:t>
      </w:r>
    </w:p>
    <w:p w14:paraId="26D97031">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19.</w:t>
      </w:r>
      <w:r>
        <w:rPr>
          <w:rFonts w:hint="eastAsia" w:ascii="仿宋_GB2312" w:hAnsi="仿宋_GB2312" w:eastAsia="仿宋_GB2312" w:cs="仿宋_GB2312"/>
          <w:b/>
          <w:bCs/>
          <w:color w:val="000000"/>
          <w:kern w:val="0"/>
          <w:sz w:val="32"/>
          <w:szCs w:val="32"/>
          <w:lang w:val="zh-CN"/>
        </w:rPr>
        <w:t>合同争议的解决</w:t>
      </w:r>
    </w:p>
    <w:p w14:paraId="5A5D4F3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19.1 </w:t>
      </w:r>
      <w:r>
        <w:rPr>
          <w:rFonts w:hint="eastAsia" w:ascii="仿宋_GB2312" w:hAnsi="仿宋_GB2312" w:eastAsia="仿宋_GB2312" w:cs="仿宋_GB2312"/>
          <w:color w:val="000000"/>
          <w:kern w:val="0"/>
          <w:sz w:val="32"/>
          <w:szCs w:val="32"/>
          <w:lang w:val="zh-CN"/>
        </w:rPr>
        <w:t>甲方和乙方由于本合同的履行而发生任何争议时，双方可先通过协商解决。</w:t>
      </w:r>
    </w:p>
    <w:p w14:paraId="7B80E3FB">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19.2 </w:t>
      </w:r>
      <w:r>
        <w:rPr>
          <w:rFonts w:hint="eastAsia" w:ascii="仿宋_GB2312" w:hAnsi="仿宋_GB2312" w:eastAsia="仿宋_GB2312" w:cs="仿宋_GB2312"/>
          <w:color w:val="000000"/>
          <w:kern w:val="0"/>
          <w:sz w:val="32"/>
          <w:szCs w:val="32"/>
          <w:lang w:val="zh-CN"/>
        </w:rPr>
        <w:t>任何一方不愿通过协商或通过协商仍不能解决争议，则双方中任何一方均应向甲方所在地人民法院起诉。</w:t>
      </w:r>
    </w:p>
    <w:p w14:paraId="771CD335">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20.</w:t>
      </w:r>
      <w:r>
        <w:rPr>
          <w:rFonts w:hint="eastAsia" w:ascii="仿宋_GB2312" w:hAnsi="仿宋_GB2312" w:eastAsia="仿宋_GB2312" w:cs="仿宋_GB2312"/>
          <w:b/>
          <w:bCs/>
          <w:color w:val="000000"/>
          <w:kern w:val="0"/>
          <w:sz w:val="32"/>
          <w:szCs w:val="32"/>
          <w:lang w:val="zh-CN"/>
        </w:rPr>
        <w:t>违约解除合同</w:t>
      </w:r>
    </w:p>
    <w:p w14:paraId="79B0281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20.1 </w:t>
      </w:r>
      <w:r>
        <w:rPr>
          <w:rFonts w:hint="eastAsia" w:ascii="仿宋_GB2312" w:hAnsi="仿宋_GB2312" w:eastAsia="仿宋_GB2312" w:cs="仿宋_GB2312"/>
          <w:color w:val="000000"/>
          <w:kern w:val="0"/>
          <w:sz w:val="32"/>
          <w:szCs w:val="32"/>
          <w:lang w:val="zh-CN"/>
        </w:rPr>
        <w:t>出现下列情形之一的，视为乙方违约。甲方可向乙方发出书面通知，部分或全部终止合同，同时保留向乙方索赔的权利。</w:t>
      </w:r>
    </w:p>
    <w:p w14:paraId="208C78F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20.1.1 </w:t>
      </w:r>
      <w:r>
        <w:rPr>
          <w:rFonts w:hint="eastAsia" w:ascii="仿宋_GB2312" w:hAnsi="仿宋_GB2312" w:eastAsia="仿宋_GB2312" w:cs="仿宋_GB2312"/>
          <w:color w:val="000000"/>
          <w:kern w:val="0"/>
          <w:sz w:val="32"/>
          <w:szCs w:val="32"/>
          <w:lang w:val="zh-CN"/>
        </w:rPr>
        <w:t>乙方未能在合同规定的限期或甲方同意延长的限期内，提供全部或部分货物的；</w:t>
      </w:r>
    </w:p>
    <w:p w14:paraId="5A73B40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20.1.2 </w:t>
      </w:r>
      <w:r>
        <w:rPr>
          <w:rFonts w:hint="eastAsia" w:ascii="仿宋_GB2312" w:hAnsi="仿宋_GB2312" w:eastAsia="仿宋_GB2312" w:cs="仿宋_GB2312"/>
          <w:color w:val="000000"/>
          <w:kern w:val="0"/>
          <w:sz w:val="32"/>
          <w:szCs w:val="32"/>
          <w:lang w:val="zh-CN"/>
        </w:rPr>
        <w:t>乙方未能履行合同规定的其它主要义务的；</w:t>
      </w:r>
    </w:p>
    <w:p w14:paraId="6AA9266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20.1.3 </w:t>
      </w:r>
      <w:r>
        <w:rPr>
          <w:rFonts w:hint="eastAsia" w:ascii="仿宋_GB2312" w:hAnsi="仿宋_GB2312" w:eastAsia="仿宋_GB2312" w:cs="仿宋_GB2312"/>
          <w:color w:val="000000"/>
          <w:kern w:val="0"/>
          <w:sz w:val="32"/>
          <w:szCs w:val="32"/>
          <w:lang w:val="zh-CN"/>
        </w:rPr>
        <w:t>乙方在本合同履行过程中有欺诈行为的。</w:t>
      </w:r>
    </w:p>
    <w:p w14:paraId="5DB21B0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20.2 </w:t>
      </w:r>
      <w:r>
        <w:rPr>
          <w:rFonts w:hint="eastAsia" w:ascii="仿宋_GB2312" w:hAnsi="仿宋_GB2312" w:eastAsia="仿宋_GB2312" w:cs="仿宋_GB2312"/>
          <w:color w:val="000000"/>
          <w:kern w:val="0"/>
          <w:sz w:val="32"/>
          <w:szCs w:val="32"/>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12DFF13">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21.</w:t>
      </w:r>
      <w:r>
        <w:rPr>
          <w:rFonts w:hint="eastAsia" w:ascii="仿宋_GB2312" w:hAnsi="仿宋_GB2312" w:eastAsia="仿宋_GB2312" w:cs="仿宋_GB2312"/>
          <w:b/>
          <w:bCs/>
          <w:color w:val="000000"/>
          <w:kern w:val="0"/>
          <w:sz w:val="32"/>
          <w:szCs w:val="32"/>
          <w:lang w:val="zh-CN"/>
        </w:rPr>
        <w:t>破产终止合同</w:t>
      </w:r>
    </w:p>
    <w:p w14:paraId="7E8656A9">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乙方破产而无法完全履行本合同义务时，甲方可以书面方式通知乙方终止合同而不给予乙方补偿。该合同的终止将不损害或不影响甲方已经采取或将要采取任何行动或补救措施的权利。</w:t>
      </w:r>
    </w:p>
    <w:p w14:paraId="2EEE0314">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22.</w:t>
      </w:r>
      <w:r>
        <w:rPr>
          <w:rFonts w:hint="eastAsia" w:ascii="仿宋_GB2312" w:hAnsi="仿宋_GB2312" w:eastAsia="仿宋_GB2312" w:cs="仿宋_GB2312"/>
          <w:b/>
          <w:bCs/>
          <w:color w:val="000000"/>
          <w:kern w:val="0"/>
          <w:sz w:val="32"/>
          <w:szCs w:val="32"/>
          <w:lang w:val="zh-CN"/>
        </w:rPr>
        <w:t>转让和分包</w:t>
      </w:r>
    </w:p>
    <w:p w14:paraId="4213B400">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22.1 </w:t>
      </w:r>
      <w:r>
        <w:rPr>
          <w:rFonts w:hint="eastAsia" w:ascii="仿宋_GB2312" w:hAnsi="仿宋_GB2312" w:eastAsia="仿宋_GB2312" w:cs="仿宋_GB2312"/>
          <w:color w:val="000000"/>
          <w:kern w:val="0"/>
          <w:sz w:val="32"/>
          <w:szCs w:val="32"/>
          <w:lang w:val="zh-CN"/>
        </w:rPr>
        <w:t>政府采购合同不能转让。</w:t>
      </w:r>
    </w:p>
    <w:p w14:paraId="4FCA77D0">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22.2 </w:t>
      </w:r>
      <w:r>
        <w:rPr>
          <w:rFonts w:hint="eastAsia" w:ascii="仿宋_GB2312" w:hAnsi="仿宋_GB2312" w:eastAsia="仿宋_GB2312" w:cs="仿宋_GB2312"/>
          <w:color w:val="000000"/>
          <w:kern w:val="0"/>
          <w:sz w:val="32"/>
          <w:szCs w:val="32"/>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E0538E3">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23.</w:t>
      </w:r>
      <w:r>
        <w:rPr>
          <w:rFonts w:hint="eastAsia" w:ascii="仿宋_GB2312" w:hAnsi="仿宋_GB2312" w:eastAsia="仿宋_GB2312" w:cs="仿宋_GB2312"/>
          <w:b/>
          <w:bCs/>
          <w:color w:val="000000"/>
          <w:kern w:val="0"/>
          <w:sz w:val="32"/>
          <w:szCs w:val="32"/>
          <w:lang w:val="zh-CN"/>
        </w:rPr>
        <w:t>合同修改</w:t>
      </w:r>
    </w:p>
    <w:p w14:paraId="46BB3044">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政府采购合同的双方当事人不得擅自变更、中止或者终止合同</w:t>
      </w:r>
    </w:p>
    <w:p w14:paraId="07EB1407">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24.</w:t>
      </w:r>
      <w:r>
        <w:rPr>
          <w:rFonts w:hint="eastAsia" w:ascii="仿宋_GB2312" w:hAnsi="仿宋_GB2312" w:eastAsia="仿宋_GB2312" w:cs="仿宋_GB2312"/>
          <w:b/>
          <w:bCs/>
          <w:color w:val="000000"/>
          <w:kern w:val="0"/>
          <w:sz w:val="32"/>
          <w:szCs w:val="32"/>
          <w:lang w:val="zh-CN"/>
        </w:rPr>
        <w:t>通知</w:t>
      </w:r>
    </w:p>
    <w:p w14:paraId="7FF9FDE5">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本合同任何一方给另一方的通知，都应以书面形式发送，而另一方也应以书面形式确认并发送到对方明确的地址。</w:t>
      </w:r>
    </w:p>
    <w:p w14:paraId="01D3CD71">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25.</w:t>
      </w:r>
      <w:r>
        <w:rPr>
          <w:rFonts w:hint="eastAsia" w:ascii="仿宋_GB2312" w:hAnsi="仿宋_GB2312" w:eastAsia="仿宋_GB2312" w:cs="仿宋_GB2312"/>
          <w:b/>
          <w:bCs/>
          <w:color w:val="000000"/>
          <w:kern w:val="0"/>
          <w:sz w:val="32"/>
          <w:szCs w:val="32"/>
          <w:lang w:val="zh-CN"/>
        </w:rPr>
        <w:t>计量单位</w:t>
      </w:r>
    </w:p>
    <w:p w14:paraId="2E4F1BB6">
      <w:pPr>
        <w:autoSpaceDE w:val="0"/>
        <w:autoSpaceDN w:val="0"/>
        <w:spacing w:line="4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除技术规范中另有规定外</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zh-CN"/>
        </w:rPr>
        <w:t>计量单位均使用国家法定计量单位。</w:t>
      </w:r>
    </w:p>
    <w:p w14:paraId="41745E5E">
      <w:pPr>
        <w:autoSpaceDE w:val="0"/>
        <w:autoSpaceDN w:val="0"/>
        <w:spacing w:line="40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26.</w:t>
      </w:r>
      <w:r>
        <w:rPr>
          <w:rFonts w:hint="eastAsia" w:ascii="仿宋_GB2312" w:hAnsi="仿宋_GB2312" w:eastAsia="仿宋_GB2312" w:cs="仿宋_GB2312"/>
          <w:b/>
          <w:bCs/>
          <w:color w:val="000000"/>
          <w:kern w:val="0"/>
          <w:sz w:val="32"/>
          <w:szCs w:val="32"/>
          <w:lang w:val="zh-CN"/>
        </w:rPr>
        <w:t>适用法律</w:t>
      </w:r>
    </w:p>
    <w:p w14:paraId="230DEA84">
      <w:pPr>
        <w:autoSpaceDE w:val="0"/>
        <w:autoSpaceDN w:val="0"/>
        <w:spacing w:line="40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kern w:val="0"/>
          <w:sz w:val="32"/>
          <w:szCs w:val="32"/>
          <w:lang w:val="zh-CN"/>
        </w:rPr>
        <w:t>本合同按照中华人民共和国的相关法律进行解释。</w:t>
      </w:r>
    </w:p>
    <w:p w14:paraId="26807552">
      <w:pPr>
        <w:spacing w:line="400" w:lineRule="exact"/>
        <w:ind w:firstLine="640" w:firstLineChars="200"/>
        <w:rPr>
          <w:color w:val="000000"/>
          <w:sz w:val="32"/>
          <w:szCs w:val="32"/>
        </w:rPr>
      </w:pPr>
    </w:p>
    <w:p w14:paraId="44BE20B1">
      <w:pPr>
        <w:spacing w:line="400" w:lineRule="exact"/>
      </w:pPr>
    </w:p>
    <w:p w14:paraId="2B3A924E">
      <w:pPr>
        <w:rPr>
          <w:rFonts w:hint="eastAsia"/>
          <w:lang w:val="en-US" w:eastAsia="zh-CN"/>
        </w:rPr>
      </w:pPr>
    </w:p>
    <w:p w14:paraId="0E9C794F">
      <w:pPr>
        <w:pStyle w:val="12"/>
        <w:jc w:val="center"/>
        <w:rPr>
          <w:rFonts w:hint="eastAsia"/>
          <w:lang w:val="zh-CN"/>
        </w:rPr>
      </w:pPr>
    </w:p>
    <w:p w14:paraId="7776A8A5">
      <w:pPr>
        <w:pStyle w:val="12"/>
        <w:jc w:val="center"/>
        <w:rPr>
          <w:rFonts w:hint="eastAsia"/>
          <w:lang w:val="zh-CN"/>
        </w:rPr>
      </w:pPr>
    </w:p>
    <w:p w14:paraId="7EE20B3C">
      <w:pPr>
        <w:pStyle w:val="12"/>
        <w:jc w:val="center"/>
        <w:rPr>
          <w:lang w:val="zh-CN"/>
        </w:rPr>
      </w:pPr>
      <w:r>
        <w:rPr>
          <w:rFonts w:hint="eastAsia"/>
          <w:lang w:val="zh-CN"/>
        </w:rPr>
        <w:br w:type="textWrapping"/>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76"/>
      <w:bookmarkEnd w:id="77"/>
      <w:bookmarkEnd w:id="78"/>
    </w:p>
    <w:p w14:paraId="5F5E595C">
      <w:pPr>
        <w:pStyle w:val="18"/>
        <w:jc w:val="center"/>
        <w:rPr>
          <w:rFonts w:hint="eastAsia"/>
          <w:kern w:val="28"/>
          <w:sz w:val="40"/>
        </w:rPr>
      </w:pPr>
      <w:bookmarkStart w:id="79" w:name="_Toc500493799"/>
      <w:r>
        <w:rPr>
          <w:rFonts w:hint="eastAsia"/>
          <w:kern w:val="28"/>
          <w:sz w:val="40"/>
        </w:rPr>
        <w:t>文件的组成</w:t>
      </w:r>
      <w:bookmarkEnd w:id="79"/>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4、磋商最终报价表（最终轮）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5.</w:t>
      </w:r>
      <w:r>
        <w:rPr>
          <w:rFonts w:hint="eastAsia" w:ascii="宋体" w:hAnsi="宋体" w:cs="Times New Roman"/>
          <w:lang w:val="zh-CN" w:eastAsia="zh-CN"/>
        </w:rPr>
        <w:t>磋商最终</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7</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2</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9"/>
        <w:rPr>
          <w:rFonts w:hint="eastAsia"/>
          <w:lang w:val="zh-CN" w:eastAsia="zh-CN"/>
        </w:rPr>
      </w:pPr>
    </w:p>
    <w:p w14:paraId="12C10C6F">
      <w:pPr>
        <w:pStyle w:val="12"/>
        <w:jc w:val="left"/>
        <w:rPr>
          <w:rFonts w:hint="eastAsia" w:ascii="宋体" w:hAnsi="宋体"/>
          <w:sz w:val="28"/>
          <w:lang w:val="zh-CN"/>
        </w:rPr>
      </w:pPr>
      <w:bookmarkStart w:id="80" w:name="_Toc428180575"/>
      <w:bookmarkStart w:id="81" w:name="_Toc9251"/>
      <w:bookmarkStart w:id="82" w:name="_Toc18734"/>
    </w:p>
    <w:p w14:paraId="30301E49">
      <w:pPr>
        <w:pStyle w:val="12"/>
        <w:jc w:val="left"/>
        <w:rPr>
          <w:rFonts w:hint="eastAsia" w:ascii="宋体" w:hAnsi="宋体"/>
          <w:sz w:val="28"/>
          <w:lang w:val="zh-CN"/>
        </w:rPr>
      </w:pPr>
    </w:p>
    <w:p w14:paraId="6215C28D">
      <w:pPr>
        <w:pStyle w:val="12"/>
        <w:jc w:val="left"/>
        <w:rPr>
          <w:rFonts w:ascii="宋体" w:hAnsi="宋体"/>
          <w:sz w:val="28"/>
          <w:lang w:val="zh-CN"/>
        </w:rPr>
      </w:pPr>
      <w:bookmarkStart w:id="83"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0"/>
      <w:r>
        <w:rPr>
          <w:rFonts w:hint="eastAsia" w:ascii="宋体" w:hAnsi="宋体"/>
          <w:sz w:val="28"/>
          <w:lang w:val="zh-CN"/>
        </w:rPr>
        <w:t>）</w:t>
      </w:r>
      <w:bookmarkEnd w:id="81"/>
      <w:bookmarkEnd w:id="82"/>
      <w:bookmarkEnd w:id="83"/>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2"/>
        <w:jc w:val="left"/>
        <w:rPr>
          <w:rFonts w:hint="eastAsia" w:ascii="宋体" w:hAnsi="宋体"/>
          <w:sz w:val="28"/>
          <w:lang w:val="zh-CN"/>
        </w:rPr>
      </w:pPr>
      <w:bookmarkStart w:id="84" w:name="_Toc428180576"/>
      <w:bookmarkStart w:id="85" w:name="_Toc1298"/>
    </w:p>
    <w:p w14:paraId="2A8EDE02">
      <w:pPr>
        <w:pStyle w:val="12"/>
        <w:jc w:val="left"/>
        <w:rPr>
          <w:rFonts w:hint="eastAsia" w:ascii="宋体" w:hAnsi="宋体"/>
          <w:sz w:val="28"/>
          <w:lang w:val="zh-CN"/>
        </w:rPr>
      </w:pPr>
    </w:p>
    <w:p w14:paraId="2E8CAF97">
      <w:pPr>
        <w:rPr>
          <w:rFonts w:hint="eastAsia" w:ascii="宋体" w:hAnsi="宋体"/>
          <w:sz w:val="28"/>
          <w:lang w:val="zh-CN"/>
        </w:rPr>
      </w:pPr>
    </w:p>
    <w:p w14:paraId="5F2B5894">
      <w:pPr>
        <w:pStyle w:val="12"/>
        <w:rPr>
          <w:rFonts w:hint="eastAsia"/>
          <w:lang w:val="zh-CN" w:eastAsia="zh-CN"/>
        </w:rPr>
      </w:pPr>
    </w:p>
    <w:p w14:paraId="135B3C58">
      <w:pPr>
        <w:rPr>
          <w:rFonts w:hint="eastAsia"/>
          <w:lang w:val="zh-CN"/>
        </w:rPr>
      </w:pPr>
    </w:p>
    <w:p w14:paraId="70EB72FD">
      <w:pPr>
        <w:pStyle w:val="12"/>
        <w:jc w:val="left"/>
        <w:rPr>
          <w:rFonts w:hint="eastAsia" w:ascii="宋体" w:hAnsi="宋体"/>
          <w:sz w:val="28"/>
          <w:lang w:val="zh-CN"/>
        </w:rPr>
      </w:pPr>
    </w:p>
    <w:p w14:paraId="7FB77D0D">
      <w:pPr>
        <w:pStyle w:val="12"/>
        <w:jc w:val="left"/>
        <w:rPr>
          <w:rFonts w:hint="eastAsia" w:ascii="宋体" w:hAnsi="宋体"/>
          <w:sz w:val="28"/>
          <w:lang w:val="zh-CN"/>
        </w:rPr>
      </w:pPr>
    </w:p>
    <w:p w14:paraId="53EF5CF0">
      <w:pPr>
        <w:pStyle w:val="12"/>
        <w:jc w:val="left"/>
        <w:rPr>
          <w:rFonts w:hint="eastAsia" w:ascii="宋体" w:hAnsi="宋体"/>
          <w:sz w:val="28"/>
          <w:lang w:val="zh-CN"/>
        </w:rPr>
      </w:pPr>
    </w:p>
    <w:p w14:paraId="67BBCFA7">
      <w:pPr>
        <w:rPr>
          <w:rFonts w:hint="eastAsia" w:ascii="宋体" w:hAnsi="宋体"/>
          <w:sz w:val="28"/>
          <w:lang w:val="zh-CN"/>
        </w:rPr>
      </w:pPr>
    </w:p>
    <w:p w14:paraId="774BA9A7">
      <w:pPr>
        <w:pStyle w:val="2"/>
        <w:rPr>
          <w:rFonts w:hint="eastAsia"/>
          <w:lang w:val="zh-CN"/>
        </w:rPr>
      </w:pPr>
    </w:p>
    <w:p w14:paraId="109668AA">
      <w:pPr>
        <w:rPr>
          <w:rFonts w:hint="eastAsia" w:ascii="宋体" w:hAnsi="宋体"/>
          <w:sz w:val="28"/>
          <w:lang w:val="zh-CN"/>
        </w:rPr>
      </w:pPr>
    </w:p>
    <w:p w14:paraId="311D8DF8">
      <w:pPr>
        <w:pStyle w:val="12"/>
        <w:jc w:val="left"/>
        <w:rPr>
          <w:lang w:val="zh-CN"/>
        </w:rPr>
      </w:pPr>
      <w:bookmarkStart w:id="86"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84"/>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85"/>
      <w:bookmarkEnd w:id="86"/>
    </w:p>
    <w:p w14:paraId="38D79259">
      <w:pPr>
        <w:pStyle w:val="12"/>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316620B7">
      <w:pPr>
        <w:autoSpaceDE w:val="0"/>
        <w:autoSpaceDN w:val="0"/>
        <w:adjustRightInd w:val="0"/>
        <w:spacing w:line="400" w:lineRule="exact"/>
        <w:rPr>
          <w:rFonts w:hint="eastAsia" w:ascii="宋体"/>
          <w:b/>
          <w:sz w:val="28"/>
          <w:szCs w:val="28"/>
        </w:rPr>
      </w:pPr>
      <w:bookmarkStart w:id="87" w:name="_Toc325726043"/>
      <w:bookmarkStart w:id="88" w:name="_Toc376936774"/>
      <w:bookmarkStart w:id="89" w:name="_Toc500493801"/>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87"/>
      <w:bookmarkEnd w:id="88"/>
      <w:bookmarkEnd w:id="89"/>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2"/>
        <w:rPr>
          <w:rFonts w:hint="eastAsia"/>
          <w:lang w:val="en-US" w:eastAsia="zh-CN"/>
        </w:rPr>
      </w:pPr>
    </w:p>
    <w:p w14:paraId="26062D8E">
      <w:pPr>
        <w:rPr>
          <w:rFonts w:hint="eastAsia"/>
        </w:rPr>
      </w:pPr>
    </w:p>
    <w:p w14:paraId="2B679CF0">
      <w:pPr>
        <w:pStyle w:val="12"/>
        <w:rPr>
          <w:rFonts w:hint="eastAsia"/>
          <w:lang w:val="en-US" w:eastAsia="zh-CN"/>
        </w:rPr>
      </w:pPr>
    </w:p>
    <w:p w14:paraId="752F5A94">
      <w:pPr>
        <w:rPr>
          <w:rFonts w:hint="eastAsia"/>
        </w:rPr>
      </w:pPr>
    </w:p>
    <w:p w14:paraId="79D44397">
      <w:pPr>
        <w:pStyle w:val="12"/>
        <w:rPr>
          <w:rFonts w:hint="eastAsia"/>
          <w:lang w:val="en-US" w:eastAsia="zh-CN"/>
        </w:rPr>
      </w:pPr>
    </w:p>
    <w:p w14:paraId="7A5E098C">
      <w:pPr>
        <w:rPr>
          <w:rFonts w:hint="eastAsia"/>
          <w:lang w:val="en-US" w:eastAsia="zh-CN"/>
        </w:rPr>
      </w:pPr>
    </w:p>
    <w:p w14:paraId="602FFC6F">
      <w:pPr>
        <w:pStyle w:val="12"/>
        <w:jc w:val="left"/>
        <w:rPr>
          <w:rFonts w:hint="eastAsia" w:ascii="宋体" w:hAnsi="宋体"/>
          <w:sz w:val="28"/>
          <w:lang w:val="zh-CN"/>
        </w:rPr>
      </w:pPr>
      <w:bookmarkStart w:id="90" w:name="_Toc20317"/>
      <w:bookmarkStart w:id="91" w:name="_Toc428180582"/>
      <w:bookmarkStart w:id="92" w:name="_Toc15276"/>
    </w:p>
    <w:p w14:paraId="23705CB7">
      <w:pPr>
        <w:pStyle w:val="12"/>
        <w:jc w:val="left"/>
        <w:rPr>
          <w:rFonts w:ascii="宋体" w:hAnsi="宋体"/>
          <w:sz w:val="28"/>
          <w:lang w:val="zh-CN"/>
        </w:rPr>
      </w:pPr>
      <w:r>
        <w:rPr>
          <w:rFonts w:hint="eastAsia" w:ascii="宋体" w:hAnsi="宋体"/>
          <w:sz w:val="28"/>
          <w:lang w:val="zh-CN"/>
        </w:rPr>
        <w:t>格式3：法定代表人授权书</w:t>
      </w:r>
      <w:bookmarkEnd w:id="90"/>
      <w:bookmarkEnd w:id="91"/>
      <w:bookmarkEnd w:id="92"/>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2"/>
        <w:jc w:val="left"/>
        <w:rPr>
          <w:rFonts w:hint="eastAsia" w:ascii="宋体" w:cs="宋体"/>
          <w:b w:val="0"/>
          <w:sz w:val="24"/>
          <w:lang w:val="zh-CN" w:eastAsia="zh-CN"/>
        </w:rPr>
      </w:pPr>
    </w:p>
    <w:p w14:paraId="0BA0D409">
      <w:pPr>
        <w:pStyle w:val="12"/>
        <w:jc w:val="left"/>
        <w:rPr>
          <w:rFonts w:hint="eastAsia"/>
          <w:b w:val="0"/>
          <w:lang w:val="zh-CN" w:eastAsia="zh-CN"/>
        </w:rPr>
      </w:pPr>
      <w:bookmarkStart w:id="93" w:name="_Toc1565"/>
      <w:bookmarkStart w:id="94" w:name="_Toc7194"/>
      <w:bookmarkStart w:id="95" w:name="_Toc3720"/>
      <w:r>
        <w:rPr>
          <w:rFonts w:hint="eastAsia" w:ascii="宋体" w:cs="宋体"/>
          <w:b w:val="0"/>
          <w:sz w:val="24"/>
          <w:lang w:val="zh-CN"/>
        </w:rPr>
        <w:t>职务：</w:t>
      </w:r>
      <w:bookmarkEnd w:id="93"/>
      <w:bookmarkEnd w:id="94"/>
      <w:bookmarkEnd w:id="95"/>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2"/>
        <w:jc w:val="left"/>
        <w:rPr>
          <w:rFonts w:hint="eastAsia" w:ascii="宋体" w:hAnsi="宋体"/>
          <w:sz w:val="28"/>
          <w:lang w:val="zh-CN"/>
        </w:rPr>
      </w:pPr>
      <w:bookmarkStart w:id="96" w:name="_Toc19581"/>
      <w:bookmarkStart w:id="97" w:name="_Toc428180583"/>
      <w:bookmarkStart w:id="98" w:name="_Toc428180578"/>
    </w:p>
    <w:p w14:paraId="7E04276C">
      <w:pPr>
        <w:pStyle w:val="12"/>
        <w:jc w:val="left"/>
        <w:rPr>
          <w:rFonts w:ascii="宋体" w:hAnsi="宋体"/>
          <w:sz w:val="28"/>
          <w:lang w:val="zh-CN"/>
        </w:rPr>
      </w:pPr>
      <w:bookmarkStart w:id="99" w:name="_Toc610"/>
      <w:r>
        <w:rPr>
          <w:rFonts w:hint="eastAsia" w:ascii="宋体" w:hAnsi="宋体"/>
          <w:sz w:val="28"/>
          <w:lang w:val="zh-CN"/>
        </w:rPr>
        <w:t>格式4：投标人承诺函</w:t>
      </w:r>
      <w:bookmarkEnd w:id="96"/>
      <w:bookmarkEnd w:id="97"/>
      <w:bookmarkEnd w:id="99"/>
    </w:p>
    <w:p w14:paraId="77015B0A">
      <w:pPr>
        <w:pStyle w:val="12"/>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bookmarkStart w:id="149" w:name="_GoBack"/>
      <w:bookmarkEnd w:id="149"/>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2"/>
        <w:jc w:val="left"/>
        <w:rPr>
          <w:rFonts w:hint="eastAsia" w:ascii="宋体" w:hAnsi="宋体"/>
          <w:sz w:val="28"/>
          <w:lang w:val="zh-CN"/>
        </w:rPr>
      </w:pPr>
      <w:bookmarkStart w:id="100" w:name="_Toc428180584"/>
      <w:bookmarkStart w:id="101" w:name="_Toc25055"/>
    </w:p>
    <w:p w14:paraId="042E3E46">
      <w:pPr>
        <w:pStyle w:val="12"/>
        <w:jc w:val="left"/>
        <w:rPr>
          <w:rFonts w:hint="eastAsia" w:ascii="宋体" w:hAnsi="宋体"/>
          <w:sz w:val="28"/>
          <w:lang w:val="zh-CN"/>
        </w:rPr>
      </w:pPr>
    </w:p>
    <w:p w14:paraId="1686629A">
      <w:pPr>
        <w:pStyle w:val="12"/>
        <w:jc w:val="left"/>
        <w:rPr>
          <w:rFonts w:ascii="宋体" w:hAnsi="宋体"/>
          <w:sz w:val="28"/>
          <w:lang w:val="zh-CN"/>
        </w:rPr>
      </w:pPr>
      <w:bookmarkStart w:id="102"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0"/>
      <w:bookmarkEnd w:id="101"/>
      <w:bookmarkEnd w:id="102"/>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2"/>
        <w:jc w:val="left"/>
        <w:rPr>
          <w:rFonts w:hint="eastAsia" w:ascii="宋体"/>
          <w:b w:val="0"/>
          <w:sz w:val="28"/>
          <w:szCs w:val="28"/>
        </w:rPr>
      </w:pPr>
      <w:bookmarkStart w:id="103" w:name="_Toc500493805"/>
      <w:bookmarkStart w:id="104" w:name="_Toc9784"/>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3"/>
      <w:bookmarkEnd w:id="104"/>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2"/>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2"/>
        <w:rPr>
          <w:rFonts w:hint="eastAsia"/>
          <w:lang w:val="zh-CN" w:eastAsia="zh-CN"/>
        </w:rPr>
      </w:pPr>
    </w:p>
    <w:p w14:paraId="619EBB44">
      <w:pPr>
        <w:rPr>
          <w:rFonts w:hint="eastAsia"/>
          <w:lang w:val="zh-CN"/>
        </w:rPr>
      </w:pPr>
    </w:p>
    <w:p w14:paraId="01D6B90C">
      <w:pPr>
        <w:pStyle w:val="12"/>
        <w:rPr>
          <w:rFonts w:hint="eastAsia"/>
          <w:lang w:val="zh-CN" w:eastAsia="zh-CN"/>
        </w:rPr>
      </w:pPr>
    </w:p>
    <w:p w14:paraId="548AA338">
      <w:pPr>
        <w:rPr>
          <w:rFonts w:hint="eastAsia"/>
          <w:lang w:val="zh-CN"/>
        </w:rPr>
      </w:pPr>
    </w:p>
    <w:p w14:paraId="7B94B21F">
      <w:pPr>
        <w:pStyle w:val="12"/>
        <w:rPr>
          <w:rFonts w:hint="eastAsia"/>
          <w:lang w:val="zh-CN" w:eastAsia="zh-CN"/>
        </w:rPr>
      </w:pPr>
    </w:p>
    <w:p w14:paraId="717BA6D3">
      <w:pPr>
        <w:pStyle w:val="12"/>
        <w:jc w:val="left"/>
        <w:rPr>
          <w:rFonts w:hint="eastAsia" w:ascii="宋体" w:hAnsi="宋体"/>
          <w:sz w:val="28"/>
          <w:lang w:val="zh-CN"/>
        </w:rPr>
      </w:pPr>
      <w:bookmarkStart w:id="105" w:name="_Toc10149"/>
      <w:bookmarkStart w:id="106" w:name="_Toc500493807"/>
      <w:r>
        <w:rPr>
          <w:rFonts w:hint="eastAsia" w:ascii="宋体" w:hAnsi="宋体"/>
          <w:sz w:val="28"/>
          <w:lang w:val="zh-CN"/>
        </w:rPr>
        <w:t>格式7：无重大违法记录声明</w:t>
      </w:r>
      <w:bookmarkEnd w:id="105"/>
      <w:bookmarkEnd w:id="106"/>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2"/>
        <w:jc w:val="left"/>
        <w:rPr>
          <w:rFonts w:hint="eastAsia" w:ascii="宋体" w:hAnsi="宋体"/>
          <w:sz w:val="28"/>
          <w:lang w:val="zh-CN" w:eastAsia="zh-CN"/>
        </w:rPr>
      </w:pPr>
      <w:bookmarkStart w:id="107" w:name="_Toc432230210"/>
    </w:p>
    <w:p w14:paraId="7F7E73C7">
      <w:pPr>
        <w:pStyle w:val="12"/>
        <w:jc w:val="left"/>
        <w:rPr>
          <w:rFonts w:hint="eastAsia" w:ascii="宋体" w:hAnsi="宋体"/>
          <w:sz w:val="28"/>
          <w:lang w:val="zh-CN" w:eastAsia="zh-CN"/>
        </w:rPr>
      </w:pPr>
    </w:p>
    <w:p w14:paraId="30CF2408">
      <w:pPr>
        <w:rPr>
          <w:rFonts w:hint="eastAsia"/>
          <w:lang w:val="zh-CN"/>
        </w:rPr>
      </w:pPr>
    </w:p>
    <w:p w14:paraId="022AE88E">
      <w:pPr>
        <w:pStyle w:val="12"/>
        <w:rPr>
          <w:rFonts w:hint="eastAsia"/>
          <w:lang w:val="zh-CN" w:eastAsia="zh-CN"/>
        </w:rPr>
      </w:pPr>
    </w:p>
    <w:p w14:paraId="2415B7B5">
      <w:pPr>
        <w:rPr>
          <w:rFonts w:hint="eastAsia"/>
          <w:lang w:val="zh-CN"/>
        </w:rPr>
      </w:pPr>
    </w:p>
    <w:p w14:paraId="28E19E04">
      <w:pPr>
        <w:pStyle w:val="12"/>
        <w:rPr>
          <w:rFonts w:hint="eastAsia"/>
          <w:lang w:val="zh-CN" w:eastAsia="zh-CN"/>
        </w:rPr>
      </w:pPr>
    </w:p>
    <w:p w14:paraId="3DD1C351">
      <w:pPr>
        <w:pStyle w:val="12"/>
        <w:jc w:val="left"/>
        <w:rPr>
          <w:rFonts w:hint="eastAsia" w:ascii="宋体" w:hAnsi="宋体"/>
          <w:sz w:val="28"/>
          <w:lang w:val="zh-CN"/>
        </w:rPr>
      </w:pPr>
    </w:p>
    <w:p w14:paraId="21FFAF2C">
      <w:pPr>
        <w:pStyle w:val="12"/>
        <w:jc w:val="left"/>
        <w:rPr>
          <w:rFonts w:hint="eastAsia" w:ascii="宋体" w:hAnsi="宋体"/>
          <w:sz w:val="28"/>
          <w:lang w:val="zh-CN"/>
        </w:rPr>
      </w:pPr>
      <w:bookmarkStart w:id="108" w:name="_Toc4933"/>
    </w:p>
    <w:p w14:paraId="534C3A7E">
      <w:pPr>
        <w:pStyle w:val="12"/>
        <w:jc w:val="left"/>
        <w:rPr>
          <w:rFonts w:hint="eastAsia" w:ascii="宋体" w:hAnsi="宋体"/>
          <w:sz w:val="28"/>
          <w:lang w:val="zh-CN"/>
        </w:rPr>
      </w:pPr>
      <w:r>
        <w:rPr>
          <w:rFonts w:hint="eastAsia" w:ascii="宋体" w:hAnsi="宋体"/>
          <w:sz w:val="28"/>
          <w:lang w:val="zh-CN"/>
        </w:rPr>
        <w:t>格式8：</w:t>
      </w:r>
      <w:bookmarkEnd w:id="107"/>
      <w:r>
        <w:rPr>
          <w:rFonts w:hint="eastAsia" w:ascii="宋体" w:hAnsi="宋体"/>
          <w:sz w:val="28"/>
          <w:lang w:val="zh-CN"/>
        </w:rPr>
        <w:t>财务状况、缴纳税收和社会保障资金证明</w:t>
      </w:r>
      <w:bookmarkEnd w:id="108"/>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FDDBC73">
      <w:pPr>
        <w:autoSpaceDE w:val="0"/>
        <w:autoSpaceDN w:val="0"/>
        <w:adjustRightInd w:val="0"/>
        <w:ind w:firstLine="525" w:firstLineChars="250"/>
        <w:jc w:val="left"/>
        <w:rPr>
          <w:rFonts w:hint="eastAsia" w:ascii="宋体" w:hAnsi="宋体"/>
        </w:rPr>
      </w:pPr>
    </w:p>
    <w:p w14:paraId="4396B05F">
      <w:pPr>
        <w:autoSpaceDE w:val="0"/>
        <w:autoSpaceDN w:val="0"/>
        <w:adjustRightInd w:val="0"/>
        <w:ind w:firstLine="525" w:firstLineChars="250"/>
        <w:jc w:val="left"/>
        <w:rPr>
          <w:rFonts w:hint="eastAsia" w:ascii="宋体" w:hAnsi="宋体"/>
        </w:rPr>
      </w:pPr>
      <w:r>
        <w:rPr>
          <w:rFonts w:hint="eastAsia" w:ascii="宋体" w:hAnsi="宋体"/>
        </w:rPr>
        <w:t>提供以下相关材料。</w:t>
      </w:r>
    </w:p>
    <w:p w14:paraId="31C2F43A">
      <w:pPr>
        <w:ind w:firstLine="420" w:firstLineChars="200"/>
        <w:rPr>
          <w:rFonts w:hint="eastAsia" w:ascii="宋体" w:hAnsi="宋体"/>
        </w:rPr>
      </w:pPr>
      <w:r>
        <w:rPr>
          <w:rFonts w:hint="eastAsia" w:ascii="宋体" w:hAnsi="宋体"/>
        </w:rPr>
        <w:t>1、①投标人是法人公司的需提供2024年度经第三方审计的财务状况报告或提供基本开户银行出具的近3个月的资信证明。②投标人是其他组织或自然人或2024年度新成立不足1年的企业，没有经审计的财务报告，可以提供基本开户银行出具的近3个月的资信证明。</w:t>
      </w:r>
    </w:p>
    <w:p w14:paraId="72DAF0E4">
      <w:pPr>
        <w:ind w:firstLine="420" w:firstLineChars="200"/>
        <w:rPr>
          <w:rFonts w:hint="eastAsia"/>
        </w:rPr>
      </w:pPr>
      <w:r>
        <w:rPr>
          <w:rFonts w:hint="eastAsia" w:ascii="宋体" w:hAnsi="宋体"/>
        </w:rPr>
        <w:t>2、提供近半年内至今任意一个月企业依法缴纳税收和缴纳职工社会保障资金记录的证明材料；依法免税或不需要缴纳社会保障资金的投标人须提供相应文件证明其依法免税或不需要缴纳社会保障资金。</w:t>
      </w:r>
    </w:p>
    <w:p w14:paraId="337C70D3">
      <w:pPr>
        <w:pStyle w:val="12"/>
        <w:jc w:val="left"/>
        <w:outlineLvl w:val="9"/>
        <w:rPr>
          <w:rFonts w:hint="eastAsia" w:ascii="宋体" w:hAnsi="宋体"/>
          <w:sz w:val="28"/>
          <w:lang w:val="zh-CN" w:eastAsia="zh-CN"/>
        </w:rPr>
      </w:pPr>
    </w:p>
    <w:p w14:paraId="28F81751">
      <w:pPr>
        <w:pStyle w:val="12"/>
        <w:jc w:val="left"/>
        <w:outlineLvl w:val="9"/>
        <w:rPr>
          <w:rFonts w:hint="eastAsia" w:ascii="宋体" w:hAnsi="宋体"/>
          <w:sz w:val="28"/>
          <w:lang w:val="zh-CN" w:eastAsia="zh-CN"/>
        </w:rPr>
      </w:pPr>
    </w:p>
    <w:p w14:paraId="612B506C">
      <w:pPr>
        <w:pStyle w:val="12"/>
        <w:jc w:val="left"/>
        <w:outlineLvl w:val="9"/>
        <w:rPr>
          <w:rFonts w:hint="eastAsia" w:ascii="宋体" w:hAnsi="宋体"/>
          <w:sz w:val="28"/>
          <w:lang w:val="zh-CN" w:eastAsia="zh-CN"/>
        </w:rPr>
      </w:pPr>
    </w:p>
    <w:p w14:paraId="64668CF4">
      <w:pPr>
        <w:pStyle w:val="12"/>
        <w:jc w:val="left"/>
        <w:outlineLvl w:val="9"/>
        <w:rPr>
          <w:rFonts w:hint="eastAsia" w:ascii="宋体" w:hAnsi="宋体"/>
          <w:sz w:val="28"/>
          <w:lang w:val="zh-CN" w:eastAsia="zh-CN"/>
        </w:rPr>
      </w:pPr>
    </w:p>
    <w:p w14:paraId="73FC9D52">
      <w:pPr>
        <w:pStyle w:val="12"/>
        <w:jc w:val="left"/>
        <w:outlineLvl w:val="9"/>
        <w:rPr>
          <w:rFonts w:hint="eastAsia" w:ascii="宋体" w:hAnsi="宋体"/>
          <w:sz w:val="28"/>
          <w:lang w:val="zh-CN" w:eastAsia="zh-CN"/>
        </w:rPr>
      </w:pPr>
    </w:p>
    <w:p w14:paraId="19328234">
      <w:pPr>
        <w:pStyle w:val="12"/>
        <w:jc w:val="left"/>
        <w:outlineLvl w:val="9"/>
        <w:rPr>
          <w:rFonts w:hint="eastAsia" w:ascii="宋体" w:hAnsi="宋体"/>
          <w:sz w:val="28"/>
          <w:lang w:val="zh-CN" w:eastAsia="zh-CN"/>
        </w:rPr>
      </w:pPr>
    </w:p>
    <w:p w14:paraId="47449990">
      <w:pPr>
        <w:pStyle w:val="12"/>
        <w:jc w:val="left"/>
        <w:outlineLvl w:val="9"/>
        <w:rPr>
          <w:rFonts w:hint="eastAsia" w:ascii="宋体" w:hAnsi="宋体"/>
          <w:sz w:val="28"/>
          <w:lang w:val="zh-CN" w:eastAsia="zh-CN"/>
        </w:rPr>
      </w:pPr>
    </w:p>
    <w:p w14:paraId="780DB9B3">
      <w:pPr>
        <w:pStyle w:val="12"/>
        <w:jc w:val="left"/>
        <w:outlineLvl w:val="9"/>
        <w:rPr>
          <w:rFonts w:hint="eastAsia" w:ascii="宋体" w:hAnsi="宋体"/>
          <w:sz w:val="28"/>
          <w:lang w:val="zh-CN" w:eastAsia="zh-CN"/>
        </w:rPr>
      </w:pPr>
    </w:p>
    <w:p w14:paraId="45BDBE85">
      <w:pPr>
        <w:pStyle w:val="12"/>
        <w:jc w:val="left"/>
        <w:outlineLvl w:val="9"/>
        <w:rPr>
          <w:rFonts w:hint="eastAsia" w:ascii="宋体" w:hAnsi="宋体"/>
          <w:sz w:val="28"/>
          <w:lang w:val="zh-CN" w:eastAsia="zh-CN"/>
        </w:rPr>
      </w:pPr>
    </w:p>
    <w:p w14:paraId="4D455BAF">
      <w:pPr>
        <w:rPr>
          <w:rFonts w:hint="eastAsia"/>
          <w:lang w:val="zh-CN"/>
        </w:rPr>
      </w:pPr>
    </w:p>
    <w:p w14:paraId="6A2FB822">
      <w:pPr>
        <w:pStyle w:val="8"/>
        <w:rPr>
          <w:rFonts w:hint="eastAsia"/>
          <w:lang w:val="zh-CN" w:eastAsia="zh-CN"/>
        </w:rPr>
      </w:pPr>
    </w:p>
    <w:p w14:paraId="52B47936">
      <w:pPr>
        <w:pStyle w:val="8"/>
        <w:rPr>
          <w:rFonts w:hint="eastAsia"/>
          <w:lang w:val="zh-CN" w:eastAsia="zh-CN"/>
        </w:rPr>
      </w:pPr>
    </w:p>
    <w:p w14:paraId="2EB6ADB1">
      <w:pPr>
        <w:pStyle w:val="8"/>
        <w:rPr>
          <w:rFonts w:hint="eastAsia"/>
          <w:lang w:val="zh-CN" w:eastAsia="zh-CN"/>
        </w:rPr>
      </w:pPr>
    </w:p>
    <w:p w14:paraId="6890FA0C">
      <w:pPr>
        <w:pStyle w:val="8"/>
        <w:rPr>
          <w:rFonts w:hint="eastAsia"/>
          <w:lang w:val="zh-CN" w:eastAsia="zh-CN"/>
        </w:rPr>
      </w:pPr>
    </w:p>
    <w:p w14:paraId="437B9D65">
      <w:pPr>
        <w:pStyle w:val="8"/>
        <w:rPr>
          <w:rFonts w:hint="eastAsia"/>
          <w:lang w:val="zh-CN" w:eastAsia="zh-CN"/>
        </w:rPr>
      </w:pPr>
    </w:p>
    <w:p w14:paraId="72F40A02">
      <w:pPr>
        <w:pStyle w:val="8"/>
        <w:rPr>
          <w:rFonts w:hint="eastAsia"/>
          <w:lang w:val="zh-CN" w:eastAsia="zh-CN"/>
        </w:rPr>
      </w:pPr>
    </w:p>
    <w:p w14:paraId="31710D69">
      <w:pPr>
        <w:pStyle w:val="8"/>
        <w:rPr>
          <w:rFonts w:hint="eastAsia"/>
          <w:lang w:val="zh-CN" w:eastAsia="zh-CN"/>
        </w:rPr>
      </w:pPr>
    </w:p>
    <w:p w14:paraId="04A6F0F4">
      <w:pPr>
        <w:pStyle w:val="8"/>
        <w:rPr>
          <w:rFonts w:hint="eastAsia"/>
          <w:lang w:val="zh-CN" w:eastAsia="zh-CN"/>
        </w:rPr>
      </w:pPr>
    </w:p>
    <w:p w14:paraId="5F7C8602">
      <w:pPr>
        <w:pStyle w:val="8"/>
        <w:rPr>
          <w:rFonts w:hint="eastAsia"/>
          <w:lang w:val="zh-CN" w:eastAsia="zh-CN"/>
        </w:rPr>
      </w:pPr>
    </w:p>
    <w:p w14:paraId="7DE419D7">
      <w:pPr>
        <w:pStyle w:val="8"/>
        <w:rPr>
          <w:rFonts w:hint="eastAsia"/>
          <w:lang w:val="zh-CN" w:eastAsia="zh-CN"/>
        </w:rPr>
      </w:pPr>
    </w:p>
    <w:p w14:paraId="6557B73D">
      <w:pPr>
        <w:pStyle w:val="8"/>
        <w:rPr>
          <w:rFonts w:hint="eastAsia"/>
          <w:lang w:val="zh-CN" w:eastAsia="zh-CN"/>
        </w:rPr>
      </w:pPr>
    </w:p>
    <w:p w14:paraId="0698419C">
      <w:pPr>
        <w:pStyle w:val="8"/>
        <w:rPr>
          <w:rFonts w:hint="eastAsia"/>
          <w:lang w:val="zh-CN" w:eastAsia="zh-CN"/>
        </w:rPr>
      </w:pPr>
    </w:p>
    <w:p w14:paraId="4BEAC94E">
      <w:pPr>
        <w:pStyle w:val="8"/>
        <w:rPr>
          <w:rFonts w:hint="eastAsia"/>
          <w:lang w:val="zh-CN" w:eastAsia="zh-CN"/>
        </w:rPr>
      </w:pPr>
    </w:p>
    <w:p w14:paraId="717A467C">
      <w:pPr>
        <w:pStyle w:val="8"/>
        <w:rPr>
          <w:rFonts w:hint="eastAsia"/>
          <w:lang w:val="zh-CN" w:eastAsia="zh-CN"/>
        </w:rPr>
      </w:pPr>
    </w:p>
    <w:p w14:paraId="3D6E1B2C">
      <w:pPr>
        <w:pStyle w:val="8"/>
        <w:rPr>
          <w:rFonts w:hint="eastAsia"/>
          <w:lang w:val="zh-CN" w:eastAsia="zh-CN"/>
        </w:rPr>
      </w:pPr>
    </w:p>
    <w:p w14:paraId="1ADA1327">
      <w:pPr>
        <w:rPr>
          <w:rFonts w:hint="eastAsia"/>
          <w:lang w:val="zh-CN" w:eastAsia="zh-CN"/>
        </w:rPr>
      </w:pPr>
    </w:p>
    <w:p w14:paraId="0507B3D3">
      <w:pPr>
        <w:pStyle w:val="2"/>
        <w:rPr>
          <w:rFonts w:hint="eastAsia"/>
          <w:lang w:val="zh-CN" w:eastAsia="zh-CN"/>
        </w:rPr>
      </w:pPr>
    </w:p>
    <w:p w14:paraId="5D64F7E0">
      <w:pPr>
        <w:pStyle w:val="8"/>
        <w:rPr>
          <w:rFonts w:hint="eastAsia"/>
          <w:lang w:val="zh-CN" w:eastAsia="zh-CN"/>
        </w:rPr>
      </w:pPr>
    </w:p>
    <w:p w14:paraId="460F2D00">
      <w:pPr>
        <w:pStyle w:val="8"/>
        <w:rPr>
          <w:rFonts w:hint="eastAsia"/>
          <w:lang w:val="zh-CN" w:eastAsia="zh-CN"/>
        </w:rPr>
      </w:pPr>
    </w:p>
    <w:p w14:paraId="169E0E6A">
      <w:pPr>
        <w:pStyle w:val="12"/>
        <w:jc w:val="left"/>
        <w:rPr>
          <w:rFonts w:ascii="宋体" w:hAnsi="宋体" w:cs="Cambria"/>
          <w:sz w:val="28"/>
        </w:rPr>
      </w:pPr>
      <w:bookmarkStart w:id="109" w:name="_Toc16919"/>
      <w:bookmarkStart w:id="110" w:name="_Toc17052"/>
      <w:bookmarkStart w:id="111" w:name="_Toc7832"/>
      <w:bookmarkStart w:id="112" w:name="_Toc22821"/>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09"/>
      <w:bookmarkEnd w:id="110"/>
      <w:bookmarkEnd w:id="111"/>
      <w:bookmarkEnd w:id="112"/>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2"/>
        <w:jc w:val="left"/>
        <w:rPr>
          <w:rFonts w:hint="eastAsia" w:ascii="宋体" w:hAnsi="宋体"/>
          <w:sz w:val="28"/>
          <w:lang w:val="zh-CN"/>
        </w:rPr>
      </w:pPr>
      <w:bookmarkStart w:id="113" w:name="_Toc24643"/>
    </w:p>
    <w:p w14:paraId="592785E5">
      <w:pPr>
        <w:pStyle w:val="12"/>
        <w:jc w:val="left"/>
        <w:rPr>
          <w:rFonts w:hint="eastAsia" w:ascii="宋体" w:hAnsi="宋体"/>
          <w:sz w:val="28"/>
          <w:lang w:val="zh-CN" w:eastAsia="zh-CN"/>
        </w:rPr>
      </w:pPr>
    </w:p>
    <w:p w14:paraId="40253801">
      <w:pPr>
        <w:rPr>
          <w:rFonts w:hint="eastAsia"/>
          <w:lang w:val="zh-CN"/>
        </w:rPr>
      </w:pPr>
    </w:p>
    <w:p w14:paraId="297F4839">
      <w:pPr>
        <w:pStyle w:val="12"/>
        <w:rPr>
          <w:rFonts w:hint="eastAsia"/>
          <w:lang w:val="zh-CN" w:eastAsia="zh-CN"/>
        </w:rPr>
      </w:pPr>
    </w:p>
    <w:p w14:paraId="04F2137C">
      <w:pPr>
        <w:rPr>
          <w:rFonts w:hint="eastAsia"/>
          <w:lang w:val="zh-CN"/>
        </w:rPr>
      </w:pPr>
    </w:p>
    <w:p w14:paraId="3179F92A">
      <w:pPr>
        <w:pStyle w:val="12"/>
        <w:rPr>
          <w:rFonts w:hint="eastAsia"/>
          <w:lang w:val="zh-CN" w:eastAsia="zh-CN"/>
        </w:rPr>
      </w:pPr>
    </w:p>
    <w:p w14:paraId="1F68E86B">
      <w:pPr>
        <w:rPr>
          <w:rFonts w:hint="eastAsia"/>
          <w:lang w:val="zh-CN"/>
        </w:rPr>
      </w:pPr>
    </w:p>
    <w:p w14:paraId="541F6D11">
      <w:pPr>
        <w:pStyle w:val="12"/>
        <w:rPr>
          <w:rFonts w:hint="eastAsia"/>
          <w:lang w:val="zh-CN" w:eastAsia="zh-CN"/>
        </w:rPr>
      </w:pPr>
    </w:p>
    <w:p w14:paraId="6E914BAE">
      <w:pPr>
        <w:rPr>
          <w:rFonts w:hint="eastAsia"/>
          <w:lang w:val="zh-CN"/>
        </w:rPr>
      </w:pPr>
    </w:p>
    <w:p w14:paraId="11D2180A">
      <w:pPr>
        <w:pStyle w:val="12"/>
        <w:jc w:val="left"/>
        <w:rPr>
          <w:rFonts w:ascii="宋体" w:hAnsi="宋体" w:cs="Cambria"/>
          <w:sz w:val="28"/>
          <w:lang w:eastAsia="zh-CN"/>
        </w:rPr>
      </w:pPr>
      <w:bookmarkStart w:id="114"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98"/>
      <w:bookmarkEnd w:id="113"/>
      <w:r>
        <w:rPr>
          <w:rFonts w:hint="eastAsia" w:ascii="宋体" w:hAnsi="宋体"/>
          <w:sz w:val="28"/>
          <w:lang w:val="zh-CN" w:eastAsia="zh-CN"/>
        </w:rPr>
        <w:t>（第一轮）</w:t>
      </w:r>
      <w:bookmarkEnd w:id="114"/>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3"/>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2"/>
        <w:rPr>
          <w:rFonts w:hint="eastAsia"/>
          <w:lang w:val="zh-CN" w:eastAsia="zh-CN"/>
        </w:rPr>
      </w:pPr>
    </w:p>
    <w:p w14:paraId="384550FD">
      <w:pPr>
        <w:rPr>
          <w:rFonts w:hint="eastAsia"/>
          <w:lang w:val="zh-CN"/>
        </w:rPr>
      </w:pPr>
    </w:p>
    <w:p w14:paraId="5EB8C96B">
      <w:pPr>
        <w:pStyle w:val="12"/>
        <w:rPr>
          <w:rFonts w:hint="eastAsia"/>
          <w:lang w:val="zh-CN" w:eastAsia="zh-CN"/>
        </w:rPr>
      </w:pPr>
    </w:p>
    <w:p w14:paraId="26417A0D">
      <w:pPr>
        <w:rPr>
          <w:rFonts w:hint="eastAsia"/>
          <w:lang w:val="zh-CN"/>
        </w:rPr>
      </w:pPr>
    </w:p>
    <w:p w14:paraId="30D435B4">
      <w:pPr>
        <w:rPr>
          <w:lang w:val="zh-CN"/>
        </w:rPr>
      </w:pPr>
    </w:p>
    <w:p w14:paraId="45D71440">
      <w:pPr>
        <w:pStyle w:val="12"/>
        <w:jc w:val="left"/>
        <w:rPr>
          <w:rFonts w:ascii="宋体" w:hAnsi="宋体" w:cs="Cambria"/>
          <w:sz w:val="28"/>
        </w:rPr>
      </w:pPr>
      <w:bookmarkStart w:id="115" w:name="_Toc32375"/>
      <w:bookmarkStart w:id="116" w:name="_Toc2698"/>
      <w:bookmarkStart w:id="117"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15"/>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3"/>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1"/>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17"/>
        <w:spacing w:line="300" w:lineRule="exact"/>
        <w:ind w:firstLine="480"/>
        <w:rPr>
          <w:rFonts w:ascii="宋体" w:hAnsi="宋体" w:cs="Cambria"/>
          <w:b/>
          <w:bCs/>
          <w:sz w:val="28"/>
        </w:rPr>
      </w:pPr>
      <w:r>
        <w:rPr>
          <w:sz w:val="24"/>
          <w:lang w:val="zh-CN"/>
        </w:rPr>
        <w:br w:type="page"/>
      </w:r>
      <w:bookmarkStart w:id="118" w:name="_Toc7495"/>
      <w:bookmarkStart w:id="119" w:name="_Toc428180580"/>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18"/>
      <w:bookmarkEnd w:id="119"/>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3"/>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1"/>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6E25E0A">
      <w:pPr>
        <w:pStyle w:val="12"/>
        <w:jc w:val="left"/>
        <w:rPr>
          <w:rFonts w:hint="eastAsia" w:ascii="宋体" w:hAnsi="宋体"/>
          <w:sz w:val="28"/>
          <w:lang w:val="zh-CN"/>
        </w:rPr>
      </w:pPr>
    </w:p>
    <w:p w14:paraId="484B1F31">
      <w:pPr>
        <w:pStyle w:val="12"/>
        <w:jc w:val="left"/>
        <w:rPr>
          <w:rFonts w:ascii="宋体" w:hAnsi="宋体" w:cs="Cambria"/>
          <w:sz w:val="28"/>
          <w:lang w:eastAsia="zh-CN"/>
        </w:rPr>
      </w:pPr>
      <w:bookmarkStart w:id="120"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16"/>
      <w:r>
        <w:rPr>
          <w:rFonts w:hint="eastAsia" w:ascii="宋体" w:hAnsi="宋体"/>
          <w:sz w:val="28"/>
          <w:lang w:val="zh-CN" w:eastAsia="zh-CN"/>
        </w:rPr>
        <w:t>（最终轮）</w:t>
      </w:r>
      <w:bookmarkEnd w:id="120"/>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3"/>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7"/>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7"/>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17"/>
    <w:p w14:paraId="10748C1E">
      <w:pPr>
        <w:pStyle w:val="12"/>
        <w:jc w:val="left"/>
        <w:rPr>
          <w:rFonts w:hint="eastAsia" w:ascii="宋体" w:hAnsi="宋体"/>
          <w:color w:val="0000FF"/>
          <w:sz w:val="28"/>
          <w:lang w:val="zh-CN"/>
        </w:rPr>
      </w:pPr>
      <w:bookmarkStart w:id="121" w:name="_Toc20003"/>
    </w:p>
    <w:p w14:paraId="115EE12D">
      <w:pPr>
        <w:pStyle w:val="12"/>
        <w:jc w:val="left"/>
        <w:rPr>
          <w:rFonts w:hint="eastAsia" w:ascii="宋体" w:hAnsi="宋体"/>
          <w:sz w:val="28"/>
          <w:lang w:val="en-US" w:eastAsia="zh-CN"/>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1"/>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3"/>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1"/>
        <w:numPr>
          <w:ilvl w:val="0"/>
          <w:numId w:val="1"/>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1"/>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2"/>
        <w:jc w:val="left"/>
        <w:rPr>
          <w:rFonts w:hint="eastAsia" w:ascii="宋体" w:hAnsi="宋体"/>
          <w:color w:val="0000FF"/>
          <w:sz w:val="28"/>
          <w:lang w:val="zh-CN"/>
        </w:rPr>
      </w:pPr>
      <w:bookmarkStart w:id="122" w:name="_Toc11579"/>
      <w:bookmarkStart w:id="123" w:name="_Toc1913"/>
      <w:bookmarkStart w:id="124" w:name="_Toc28514"/>
      <w:bookmarkStart w:id="125" w:name="_Toc428180585"/>
      <w:bookmarkStart w:id="126" w:name="_Toc29240"/>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2"/>
      <w:bookmarkEnd w:id="123"/>
      <w:bookmarkEnd w:id="124"/>
    </w:p>
    <w:p w14:paraId="6C2A1B24">
      <w:pPr>
        <w:pStyle w:val="12"/>
        <w:jc w:val="left"/>
        <w:rPr>
          <w:rFonts w:hint="eastAsia" w:ascii="宋体" w:hAnsi="宋体"/>
          <w:sz w:val="28"/>
          <w:lang w:val="zh-CN"/>
        </w:rPr>
      </w:pPr>
    </w:p>
    <w:p w14:paraId="44E5F9E7">
      <w:pPr>
        <w:pStyle w:val="12"/>
        <w:jc w:val="left"/>
        <w:rPr>
          <w:rFonts w:ascii="宋体" w:hAnsi="宋体"/>
          <w:sz w:val="28"/>
          <w:lang w:val="zh-CN"/>
        </w:rPr>
      </w:pPr>
      <w:bookmarkStart w:id="127" w:name="_Toc1185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25"/>
      <w:bookmarkEnd w:id="126"/>
      <w:bookmarkEnd w:id="127"/>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2"/>
        <w:rPr>
          <w:rFonts w:hint="eastAsia"/>
          <w:lang w:val="zh-CN" w:eastAsia="zh-CN"/>
        </w:rPr>
      </w:pPr>
    </w:p>
    <w:p w14:paraId="041925B0">
      <w:pPr>
        <w:rPr>
          <w:rFonts w:hint="eastAsia"/>
          <w:lang w:val="zh-CN"/>
        </w:rPr>
      </w:pPr>
    </w:p>
    <w:p w14:paraId="365315C3">
      <w:pPr>
        <w:pStyle w:val="12"/>
        <w:rPr>
          <w:lang w:val="zh-CN" w:eastAsia="zh-CN"/>
        </w:rPr>
      </w:pPr>
    </w:p>
    <w:p w14:paraId="515160B8">
      <w:pPr>
        <w:pStyle w:val="12"/>
        <w:jc w:val="left"/>
        <w:rPr>
          <w:rFonts w:ascii="宋体" w:hAnsi="宋体" w:cs="Cambria"/>
          <w:sz w:val="32"/>
        </w:rPr>
      </w:pPr>
      <w:bookmarkStart w:id="128" w:name="_Toc428180587"/>
      <w:bookmarkStart w:id="129" w:name="_Toc15321"/>
      <w:bookmarkStart w:id="130" w:name="_Toc17068"/>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28"/>
      <w:bookmarkEnd w:id="129"/>
      <w:bookmarkEnd w:id="130"/>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2"/>
        <w:rPr>
          <w:rFonts w:hint="eastAsia"/>
          <w:lang w:val="zh-CN" w:eastAsia="zh-CN"/>
        </w:rPr>
      </w:pPr>
    </w:p>
    <w:p w14:paraId="1707E319">
      <w:pPr>
        <w:rPr>
          <w:lang w:val="zh-CN"/>
        </w:rPr>
      </w:pPr>
    </w:p>
    <w:p w14:paraId="106DCBF1">
      <w:pPr>
        <w:pStyle w:val="12"/>
        <w:jc w:val="left"/>
        <w:rPr>
          <w:rFonts w:ascii="宋体" w:hAnsi="宋体" w:cs="Cambria"/>
          <w:sz w:val="28"/>
        </w:rPr>
      </w:pPr>
      <w:bookmarkStart w:id="131" w:name="_Toc10567"/>
      <w:bookmarkStart w:id="132" w:name="_Toc428180591"/>
      <w:bookmarkStart w:id="133" w:name="_Toc9914"/>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1"/>
      <w:bookmarkEnd w:id="132"/>
      <w:bookmarkEnd w:id="133"/>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22</w:t>
      </w:r>
      <w:r>
        <w:rPr>
          <w:rFonts w:hint="eastAsia" w:ascii="宋体" w:hAnsi="Cambria"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2"/>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34" w:name="_Toc428180592"/>
      <w:bookmarkStart w:id="135" w:name="_Toc22269"/>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34"/>
    <w:bookmarkEnd w:id="135"/>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2"/>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2"/>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2"/>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8"/>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8"/>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8"/>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8"/>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8"/>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8"/>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8"/>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8"/>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8"/>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36"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2"/>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36"/>
    </w:p>
    <w:p w14:paraId="3D580A89">
      <w:pPr>
        <w:jc w:val="center"/>
        <w:rPr>
          <w:rFonts w:hint="eastAsia" w:ascii="宋体" w:hAnsi="宋体"/>
          <w:b/>
          <w:sz w:val="36"/>
          <w:szCs w:val="36"/>
        </w:rPr>
      </w:pPr>
      <w:bookmarkStart w:id="137" w:name="OLE_LINK14"/>
      <w:bookmarkStart w:id="138" w:name="OLE_LINK13"/>
    </w:p>
    <w:p w14:paraId="686958A0">
      <w:pPr>
        <w:jc w:val="center"/>
        <w:rPr>
          <w:rFonts w:ascii="宋体" w:hAnsi="宋体"/>
          <w:b/>
          <w:sz w:val="36"/>
          <w:szCs w:val="36"/>
        </w:rPr>
      </w:pPr>
      <w:r>
        <w:rPr>
          <w:rFonts w:hint="eastAsia" w:ascii="宋体" w:hAnsi="宋体"/>
          <w:b/>
          <w:sz w:val="36"/>
          <w:szCs w:val="36"/>
        </w:rPr>
        <w:t>残疾人福利性单位声明函</w:t>
      </w:r>
    </w:p>
    <w:bookmarkEnd w:id="137"/>
    <w:bookmarkEnd w:id="138"/>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2"/>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39"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39"/>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2"/>
        <w:jc w:val="left"/>
        <w:rPr>
          <w:rFonts w:ascii="宋体" w:hAnsi="宋体" w:cs="Cambria"/>
          <w:sz w:val="32"/>
        </w:rPr>
      </w:pPr>
      <w:bookmarkStart w:id="140" w:name="_Toc8017"/>
      <w:bookmarkStart w:id="141" w:name="_Toc428180593"/>
      <w:bookmarkStart w:id="142" w:name="_Toc11535"/>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0"/>
      <w:bookmarkEnd w:id="141"/>
      <w:bookmarkEnd w:id="142"/>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2"/>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3" w:name="_Toc2476"/>
      <w:bookmarkStart w:id="144" w:name="_Toc428180594"/>
    </w:p>
    <w:p w14:paraId="184BA1C6">
      <w:pPr>
        <w:jc w:val="center"/>
        <w:outlineLvl w:val="0"/>
        <w:rPr>
          <w:rFonts w:hint="eastAsia"/>
          <w:b/>
          <w:sz w:val="28"/>
          <w:lang w:val="zh-CN"/>
        </w:rPr>
      </w:pPr>
    </w:p>
    <w:p w14:paraId="749770BD">
      <w:pPr>
        <w:jc w:val="center"/>
        <w:outlineLvl w:val="0"/>
        <w:rPr>
          <w:rFonts w:cs="Calibri"/>
          <w:b/>
          <w:sz w:val="28"/>
        </w:rPr>
      </w:pPr>
      <w:bookmarkStart w:id="145"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3"/>
      <w:bookmarkEnd w:id="144"/>
      <w:bookmarkEnd w:id="145"/>
    </w:p>
    <w:p w14:paraId="0EC09C23">
      <w:pPr>
        <w:spacing w:line="400" w:lineRule="exact"/>
        <w:ind w:firstLine="566" w:firstLineChars="235"/>
        <w:rPr>
          <w:rFonts w:cs="Calibri"/>
          <w:b/>
          <w:sz w:val="24"/>
          <w:szCs w:val="24"/>
        </w:rPr>
      </w:pPr>
      <w:bookmarkStart w:id="146" w:name="_Toc428180595"/>
      <w:r>
        <w:rPr>
          <w:rFonts w:hint="eastAsia"/>
          <w:b/>
          <w:sz w:val="24"/>
          <w:szCs w:val="24"/>
          <w:lang w:val="zh-CN"/>
        </w:rPr>
        <w:t>（一）投标要求</w:t>
      </w:r>
      <w:bookmarkEnd w:id="146"/>
    </w:p>
    <w:p w14:paraId="052B7C45">
      <w:pPr>
        <w:spacing w:line="400" w:lineRule="exact"/>
        <w:ind w:firstLine="566" w:firstLineChars="235"/>
        <w:rPr>
          <w:rFonts w:ascii="宋体" w:hAnsi="宋体"/>
          <w:b/>
          <w:sz w:val="24"/>
          <w:szCs w:val="24"/>
          <w:lang w:val="zh-CN"/>
        </w:rPr>
      </w:pPr>
      <w:bookmarkStart w:id="147" w:name="_Toc428180596"/>
      <w:r>
        <w:rPr>
          <w:rFonts w:ascii="宋体" w:hAnsi="宋体"/>
          <w:b/>
          <w:sz w:val="24"/>
          <w:szCs w:val="24"/>
          <w:lang w:val="zh-CN"/>
        </w:rPr>
        <w:t>1.</w:t>
      </w:r>
      <w:r>
        <w:rPr>
          <w:rFonts w:hint="eastAsia" w:ascii="宋体" w:hAnsi="宋体"/>
          <w:b/>
          <w:sz w:val="24"/>
          <w:szCs w:val="24"/>
          <w:lang w:val="zh-CN"/>
        </w:rPr>
        <w:t>投标说明</w:t>
      </w:r>
      <w:bookmarkEnd w:id="147"/>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48"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48"/>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122CC17">
      <w:pPr>
        <w:spacing w:line="400" w:lineRule="exact"/>
        <w:ind w:firstLine="566" w:firstLineChars="236"/>
        <w:rPr>
          <w:rFonts w:hint="eastAsia"/>
          <w:kern w:val="0"/>
          <w:sz w:val="24"/>
          <w:lang w:val="zh-CN"/>
        </w:rPr>
      </w:pPr>
    </w:p>
    <w:p w14:paraId="2AB9A1C5">
      <w:pPr>
        <w:jc w:val="center"/>
        <w:rPr>
          <w:rFonts w:hint="eastAsia"/>
          <w:b/>
          <w:bCs/>
          <w:sz w:val="44"/>
          <w:szCs w:val="44"/>
          <w:lang w:val="en-US" w:eastAsia="zh-CN"/>
        </w:rPr>
      </w:pPr>
    </w:p>
    <w:p w14:paraId="17A77679">
      <w:pPr>
        <w:jc w:val="center"/>
        <w:rPr>
          <w:rFonts w:hint="eastAsia"/>
          <w:b/>
          <w:bCs/>
          <w:sz w:val="44"/>
          <w:szCs w:val="44"/>
          <w:lang w:val="en-US" w:eastAsia="zh-CN"/>
        </w:rPr>
      </w:pPr>
    </w:p>
    <w:p w14:paraId="530C471D">
      <w:pPr>
        <w:jc w:val="center"/>
        <w:rPr>
          <w:rFonts w:hint="eastAsia"/>
          <w:b/>
          <w:bCs/>
          <w:sz w:val="44"/>
          <w:szCs w:val="44"/>
          <w:lang w:val="en-US" w:eastAsia="zh-CN"/>
        </w:rPr>
      </w:pPr>
    </w:p>
    <w:p w14:paraId="37A8326B">
      <w:pPr>
        <w:jc w:val="center"/>
        <w:rPr>
          <w:rFonts w:hint="eastAsia"/>
          <w:b/>
          <w:bCs/>
          <w:sz w:val="44"/>
          <w:szCs w:val="44"/>
          <w:lang w:val="en-US" w:eastAsia="zh-CN"/>
        </w:rPr>
      </w:pPr>
    </w:p>
    <w:p w14:paraId="38AACFB7">
      <w:pPr>
        <w:jc w:val="center"/>
        <w:rPr>
          <w:rFonts w:hint="eastAsia"/>
          <w:b/>
          <w:bCs/>
          <w:sz w:val="44"/>
          <w:szCs w:val="44"/>
          <w:lang w:val="en-US" w:eastAsia="zh-CN"/>
        </w:rPr>
      </w:pPr>
    </w:p>
    <w:p w14:paraId="52DFC566">
      <w:pPr>
        <w:jc w:val="center"/>
        <w:rPr>
          <w:rFonts w:hint="eastAsia"/>
          <w:b/>
          <w:bCs/>
          <w:sz w:val="44"/>
          <w:szCs w:val="44"/>
          <w:lang w:val="en-US" w:eastAsia="zh-CN"/>
        </w:rPr>
      </w:pPr>
    </w:p>
    <w:p w14:paraId="78809CD1">
      <w:pPr>
        <w:jc w:val="center"/>
        <w:rPr>
          <w:rFonts w:hint="eastAsia"/>
          <w:b/>
          <w:bCs/>
          <w:sz w:val="44"/>
          <w:szCs w:val="44"/>
          <w:lang w:val="en-US" w:eastAsia="zh-CN"/>
        </w:rPr>
      </w:pPr>
    </w:p>
    <w:p w14:paraId="6B4315C1">
      <w:pPr>
        <w:jc w:val="center"/>
        <w:rPr>
          <w:rFonts w:hint="eastAsia"/>
          <w:b/>
          <w:bCs/>
          <w:sz w:val="44"/>
          <w:szCs w:val="44"/>
          <w:lang w:val="en-US" w:eastAsia="zh-CN"/>
        </w:rPr>
      </w:pPr>
    </w:p>
    <w:p w14:paraId="35BE3A7C">
      <w:pPr>
        <w:jc w:val="center"/>
        <w:rPr>
          <w:rFonts w:hint="eastAsia"/>
          <w:b/>
          <w:bCs/>
          <w:sz w:val="44"/>
          <w:szCs w:val="44"/>
          <w:lang w:val="en-US" w:eastAsia="zh-CN"/>
        </w:rPr>
      </w:pPr>
    </w:p>
    <w:p w14:paraId="15D9AAD0">
      <w:pPr>
        <w:jc w:val="center"/>
        <w:rPr>
          <w:rFonts w:hint="eastAsia"/>
          <w:b/>
          <w:bCs/>
          <w:sz w:val="44"/>
          <w:szCs w:val="44"/>
          <w:lang w:val="en-US" w:eastAsia="zh-CN"/>
        </w:rPr>
      </w:pPr>
    </w:p>
    <w:p w14:paraId="25CEC868">
      <w:pPr>
        <w:jc w:val="center"/>
        <w:rPr>
          <w:rFonts w:hint="eastAsia"/>
          <w:b/>
          <w:bCs/>
          <w:sz w:val="44"/>
          <w:szCs w:val="44"/>
          <w:lang w:val="en-US" w:eastAsia="zh-CN"/>
        </w:rPr>
      </w:pPr>
    </w:p>
    <w:p w14:paraId="2D48E6FB"/>
    <w:p w14:paraId="6CD82771"/>
    <w:tbl>
      <w:tblPr>
        <w:tblStyle w:val="13"/>
        <w:tblW w:w="5063" w:type="pct"/>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182"/>
        <w:gridCol w:w="6565"/>
        <w:gridCol w:w="737"/>
        <w:gridCol w:w="722"/>
      </w:tblGrid>
      <w:tr w14:paraId="4ED2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C1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C6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3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37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A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3F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14:paraId="56AD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26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8A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X射线检查系统</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top"/>
          </w:tcPr>
          <w:p w14:paraId="4585EB3E">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一、基本参数：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1、传送带速度:不少于0.22m/s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2、单次检查剂量:≤0.89µGy</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3、分辨力:直径0.0787mm金属线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5、穿透力:≥46mm钢板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6、胶卷安全性:对ISO1600胶卷安全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7、泄漏剂量:≤0.09µGy/h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8、泄露电流：≤0.09mA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9、超薄物检测：当被测物过于薄而无法遮挡光障时，按下相应功能键后可对超簿物进行探测。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10、一键关机：关掉电源或者关电脑都可以自动安全完成关机全过程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11、报警功能：当辐射剂量率仪超过设定阈值时，可发出报警信息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12、分屏显示功能：可在一台显示器上以上下分屏方式显示同一被测物的彩色和黑白图像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13、摄像功能：可通过摄像机实时拍摄现场图像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14、联网功能：可通过远程客户端启动或停止样机，可将成后图片传输至客户端。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二、X射线发生器：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1、射线束方向: 底照式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2、管电流:0.4~1.2mA（可调）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3、管电压:100~160 kV（可调）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4、射线束发散角：80°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5、冷却／工作周期：密封式油冷／100％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三、图像处理系统：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1、X射线传感器：L形光电二极管阵列探测器 (多能量可选)，12bit深度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2、显示器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3、彩色图像显示：24位真彩色显示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4、边缘增强：物体轮廓边缘更加清晰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5、超级图像增强：图像细节更加清晰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6、高穿透显示：提高图像中暗区的亮度，使隐藏在高吸收物后面的物品清晰显示。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7、低穿透力显示：提高低吸收率（易穿透）物体的对比度，使易穿透物体更加清晰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8、放大镜：局部放大功能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9、增亮/减暗：增加图像的亮度/降低图像的亮度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10、图像回拉：显示前20幅图像，并对回拉图像可进行任何图像处理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11、图像复原：图像显示恢复到皮带停转的最初状态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12、图像存储：实时保存任意幅图像，并可进行任意图像处理，连续工作保存。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四、多能量功能：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1、多能量彩色：有机物显示为橙色，无机物显示为蓝色，混合物显示为绿色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2、高能/低能：两种能量切换显示，高能显示金属等，低能显示非金属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3、毒品炸药辅助：辅助探测毒品炸药等危险物品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4、声光报警：满足条件时发出声音和报警灯信号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五、使用环境：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1、工作温度／湿度：0℃～45℃／20%～95% (不冷凝)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2、储存温度／湿度：-20℃～60℃／20%～95% (不冷凝)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3、工作电压：220VAC(±10%)  50±3Hz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4、功率损耗：0.5KW（最大值）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5、噪声级：≤54dB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六、产品功能及安全性认证：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（1）提供第三方检验报告复印件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（2）提供环保部门颁发的生产销售及使用射线装置的《辐射安全许可证》复印件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（3）提供检测机构出具的安检机具备自动感应物体节能功能复印件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（4）提供检测机构出具的安检机具备危险品自动分类功能复印件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（5）安检机具有自主研发的人工智能危险品分类系统软件，提供软件著作权证书复印件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（6）安检机具有自主研发的安全检查设备系统软件，提供软件著作权证书复印件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D4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5B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1642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BE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F2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金属探测门</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top"/>
          </w:tcPr>
          <w:p w14:paraId="4C55C072">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1、通道尺寸：≥2010mm(高) ×715mm（宽）×510mm(深)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2、外型尺寸：≥2225mm(高) ×830mm(宽)×510mm(深)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3、中英文操作菜单：LCD液晶中英文操作菜单，直观的指导操作，并可通过遥控器对所有参数进行设置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4、防震设计，采用特殊材质门体上下带有防水脚套，内有合金支柱具有不变形、防水、防火、防腐等功能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5、设置防区数量为“6”、“12”和“18”，当多个区域同时报警时，对应的防区指示应能产生报警信息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6、能自动或手动设置工作频率,可设置在7000Hz～8999Hz范围内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7、能设置11种不同的应用场景，设置内容包含灵敏度（最高3999）、报警声音等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8、四侧LED门柱灯显示，可直观看到人体携带藏匿违禁物品相应的位置,视角可达360度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9、系统自检：具有开机自检功能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10、统计功能：具有双向计数统计功能，有三种统计方式：双向通过人数累加、特定方向进入时统计人数增加，反方向时进入时统计人数递减、双方向分别计数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11、报警输出：可通过报警输出接口（继电器）输出报警信息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12、密码保护，只允许专管人员操作，，防止非授权人改变参数，无需维护、无需定期校准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13、远程控制：可通过485接口对样机进行设置，并接受报警信息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14、飞物探测功能：在飞物探测模式下将被测物抛过探测区域时，应能产生报警信息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15、通过率：大于100人次/分钟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16、在探测区左右边界各向内150mm形成的区域中，任意一点的磁感应强度都不超过11.9µT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17、功耗：报警状态≤12.7W，探测状态≤7.7W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18、绝缘电阻：正常条件≥743MΩ，湿热条件下≥147MΩ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19、整机重量：≤72kg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20、探测均匀性：符合A级标准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21、符合标准:GB15210-2003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22、电源：64V～264V、47.5Hz～52.5h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23、符合国际安全标准对人体内的心脏起博器、孕妇、磁性软盘、录像带、磁带、胶卷记录资料等无负作用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24、具有自主研发的智能排除小金属探测门系统，提供计算机软件著作权登记证书</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2B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9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58A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7D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23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智慧预约登记管理软件</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F4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1、来访预约：来访者关注公众号以后，点击来访预约，按照流程填入来访者信息，发起预约时填写被访者、拜访时间等，等待被访人确认。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2、审批反馈：被访者审批通过后，系统自动反馈。来访者微信端将收到审批消息和来访二维码。（可跳过审批）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3、预约记录：来访者可在微信端查看到近期记录。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4、邀请来访：员工可直接通过微信公众号/钉钉/企业微信/飞书填写来访者资料发起来访邀请。邀请完成后，系统自动生产来访凭证。来访凭证直接发送给客户。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5、到访提醒：访客到访验证时，系统自动提醒被访人客户在门口验证后，系统会自动发送到访提醒。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6、到访记录查询：员工可在微信公众号/钉钉/企业微信/飞书上面直接查看近期的到访记录。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7、可设置部门审批人。设置了部门审批人，该部门员工的来访申请最终将需要通过部门审批人审批后方可通过。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8、来访凭证一键导航功能：到访凭证自带单位地址，一键发起导航；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9、随访人管理：多人来访可由一个人填写预约信息，无需重复填写。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10、访客机联动：访客到现场可刷身份证/二维码带出预约信息，进行签到登记                                                               11、提供计算机软件著作权登记证书</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59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BA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5A1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66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F1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进出管控系统</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C9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1.员工数据管理：管理内部员工数据，部门数据，可增减、导入导出、员工权限设置等功能。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2.访客数据维护：访客数据、来访历史记录管理，可导出记录报表；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3.配置信息：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后台配置：来访须知、隐私协议内容可自定义编辑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被访人匹配：被访人匹配模式可选：预约时可通过手机号、姓名、工号匹配被访人。匹配被访人后，页面信息显示可自定义编辑：部门姓名可脱敏，可显示姓名或者部门或者工号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随访人功能：预约随访人功能配置，可在后台设置是否开启该功能；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自定义表单：访客预约字段可自定义，根据实际需求选择填写的表单内容为必填项或选填项或不填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4.主图配置：移动端主图可配置，员工邀请主图可配置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5.登记设置：可配置来访事由、访客类型、拜访地点等；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6.随访人记忆功能：后台开启随访人记忆功能，添加随访人后，将会自动生成随访人历史记录；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7.多应用配置：可配置企业微信、钉钉、飞书、微信公众号进行审批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8.自定义审批流：可新增多级审批，指定对应人员或者部门负责人审批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9.记录管理：可查看预约数据，到访数据，门禁数据等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10.账号权限设置：可新增子账号，设置子账号权限                   11、提供计算机软件著作权登记证书</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1C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A7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BBF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69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41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台式双屏访客机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35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1.操作系统 windows操作系统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2.CPU：≥I5  五代  内存：≥8G，存储≥256G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3.主显屏 彩色RGB TFT≥ 15.6英寸显示屏， 分别率≥1920*1080 ,  屏比16: 9，G+G电容式多点触控屏,防划伤，加硬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4.客显屏 彩色RGB TFT≥15.6英寸显示屏，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5.身份证模块：符合公安部标准，可读二代证三代证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6.摄像头 200W双目宽动态摄像头，带补光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7.二维码模块：硬解码扫码头，可扫二维码获取预约信息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8.图片浏览 支持JPG、JPEG、BMP、GIF、PNG、JFIF等格式图片浏览,最大支持8000*8000的分辩率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9.热敏打印机，纸宽：58MM，可打印文字、图形、条码、可选择多种字体大小。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10.外壳 外壳ABS 材料  颜色：银色+黑色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11.包装 标准工业包装（彩盒+内托+卡通+说明书+保修卡）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12.重量：7.6-9.6Kg</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EA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19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2C6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11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A2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云服务器</w:t>
            </w:r>
          </w:p>
        </w:tc>
        <w:tc>
          <w:tcPr>
            <w:tcW w:w="3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FB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Linux操作系统，2核4G内存以上，80G存储以上，3M公网带宽以上。</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F1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1C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w:t>
            </w:r>
          </w:p>
        </w:tc>
      </w:tr>
      <w:tr w14:paraId="0A92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A6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4E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照相机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ED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1、具有自动对焦/自动曝光的单镜头无反光镜。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2、单卡槽，SD/SDHC/SDXC存储卡(兼容UHS-I存储卡)。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3、CMOS图像感应器(支持全像素双核CMOS AF)。</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4、有效像素≥2420万。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5、OLED彩色电子取景器。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6、使用图像感应器进行实时测光。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7、可通过USB电源适配器为相机内的锂电池进行充电或供电。</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E4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43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E31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B4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66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摄像机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03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1、对焦方式：自动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2、传感器类型：CMOS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3、防抖功能：光学防抖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4、音效模式：内置麦克风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5、传感器尺寸≥1/2.5英寸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6、光学变焦倍数≥20倍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7、液晶屏尺寸≥3英寸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8、总像素：≥857万像素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EB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34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CBB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5F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37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对讲机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66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16个储存信道，扰频和压扩、宽窄带设置、TOT发射限时、中英文语音信道报号、省电功能、具有亚音加密功能、VOX声控功能、低电提醒、跳频功能、扰频功能、读写频加密功能、信道扫描、远程报警</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41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05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2E97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0B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78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彩色复印机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47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1、品牌类型：国产品牌；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2、类型：A3彩色激光多功能数码一体机；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3、设备接口：USB、RJ45，最高支持1000 Base-TX；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4、打印功能：支持自动双面打印、支持网络打印、支持PC端打印状态监控；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5、复印功能：支持稿台（FB)、自动进稿器（ADF)、支持彩色复印、复印模式包含彩色、黑白；支持多页合一复印、自动双面复印、缩放复印、逐份复印；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6、扫描功能：支持彩色扫描、支持稿台（FB)、自动进稿（ADF)、支持双面扫描，自带扫描应用软件；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7、打印准备时间≦8S；首页打印时间≦4.4S；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8、打印速度≥32ppm；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9、内存2GB；处理器盘数4：处理器主频：1.2GHz；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10、标准进纸盒容量1000页；标准多功能进纸器150页；标准出纸盒容量250页；ADF进纸器150页；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11、操作系统：支持国际通用系统，中科方德+兆芯、中标麒麟 +龙芯、银河麒麟+飞腾、银河麒麟+龙芯、银河麒麟+兆芯、银河麒麟+鲲鹏、中标麒麟+兆芯、UOS+龙芯、UOS+兆芯、UOS+ 鲲鹏、UOS+飞腾；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49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AE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14D6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B4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6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54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1、品牌类型：国产品牌；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2、类型：A4黑白激光多功能一体机；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3、设备接口：USB，RJ45，最高支持1000 Base-TX；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4、打印功能：支持自动双面打印、支持网络打印、支持PC端打印状态监控；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5、扫描功能：支持彩色扫描、支持稿台（FB)、自动进稿（ADF)、自带扫描应用软件；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复印功能：支持支持稿台（FB)、自动进稿（ADF)、复印模式包括自动、图文、图像、文本；一键身份证复印、票据复印、支持身份证自动纠偏复印、多页合一复印、克隆复印、海报复印、逐份复印、自动双面复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7、打印准备时间≦5.9S、首页打印时间≦3.1S；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8、打印速度≥39ppm；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9、内存≧512MB；处理器盘数1：处理器主频≧1.2GHz；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10、标准进纸盒容量：250页；标准出纸盒容量：150页；多功能进纸盒≥60页；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11、支持日志审计、内存清除等安全功能，嵌入可信计算3.0技术，支持打印共享切换器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12、操作系统：支持国际通用系统，中科方德+兆芯、中标麒麟 +龙芯、银河麒麟+飞腾、银河麒麟+龙芯、银河麒麟+兆芯、银河麒麟+鲲鹏、中标麒麟+兆芯、UOS+龙芯、UOS+兆芯、UOS+ 鲲鹏、UOS+飞腾；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A0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9E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843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34E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28C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垃圾清运车</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40C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Style w:val="22"/>
                <w:rFonts w:hint="eastAsia" w:ascii="宋体" w:hAnsi="宋体" w:eastAsia="宋体" w:cs="宋体"/>
                <w:color w:val="auto"/>
                <w:sz w:val="24"/>
                <w:szCs w:val="24"/>
                <w:lang w:val="en-US" w:eastAsia="zh-CN" w:bidi="ar"/>
              </w:rPr>
              <w:t>1、总质量≤ 3500kg</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2、额定载质量1750kg</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3、爬坡力</w:t>
            </w:r>
            <w:r>
              <w:rPr>
                <w:rStyle w:val="23"/>
                <w:rFonts w:hint="eastAsia" w:ascii="宋体" w:hAnsi="宋体" w:eastAsia="宋体" w:cs="宋体"/>
                <w:color w:val="auto"/>
                <w:sz w:val="24"/>
                <w:szCs w:val="24"/>
                <w:lang w:val="en-US" w:eastAsia="zh-CN" w:bidi="ar"/>
              </w:rPr>
              <w:t>≥25%</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4、电机功率：7500瓦电机实表</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5、垃圾桶装载时间≤15s</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6、后门开启方式：上下分体式后门</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7、箱体体容积4m3</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8、后桥及悬挂：整体式后桥、板簧式悬挂</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9、转向系统：汽车式方向管柱、齿轮齿条</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10、轴距≥2200mm</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11、最高车速≥38km/h</w:t>
            </w:r>
            <w:r>
              <w:rPr>
                <w:rStyle w:val="22"/>
                <w:rFonts w:hint="eastAsia" w:ascii="宋体" w:hAnsi="宋体" w:eastAsia="宋体" w:cs="宋体"/>
                <w:color w:val="auto"/>
                <w:sz w:val="24"/>
                <w:szCs w:val="24"/>
                <w:lang w:val="en-US" w:eastAsia="zh-CN" w:bidi="ar"/>
              </w:rPr>
              <w:br w:type="textWrapping"/>
            </w:r>
            <w:r>
              <w:rPr>
                <w:rStyle w:val="22"/>
                <w:rFonts w:hint="eastAsia" w:ascii="宋体" w:hAnsi="宋体" w:eastAsia="宋体" w:cs="宋体"/>
                <w:color w:val="auto"/>
                <w:sz w:val="24"/>
                <w:szCs w:val="24"/>
                <w:lang w:val="en-US" w:eastAsia="zh-CN" w:bidi="ar"/>
              </w:rPr>
              <w:t>12、外形尺寸（mm）：≥4100*1850*2300（mm）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29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15B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辆</w:t>
            </w:r>
          </w:p>
        </w:tc>
      </w:tr>
      <w:tr w14:paraId="1AE6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E2E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AFF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微型消防站</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C46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1、包含用于扑灭初期火灾的便携式灭火设备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2、配备必要的消防器材。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3、其他辅助设备。（灭火器、消防水带、消防栓、应急照明灯、 安全出口指示牌、防烟面罩、逃生绳、灭火毯。）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51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025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r>
      <w:tr w14:paraId="0FBB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E54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8F0D">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正压式空气呼吸器</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A776">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6L碳纤维瓶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5415">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8E28">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r>
      <w:tr w14:paraId="257A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D5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E53D">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过滤式消防自救呼吸器</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C0F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防护对象：一氧化碳等有害气体，防护时长：不少于30分钟</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BBB1">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2CC8">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r>
      <w:tr w14:paraId="1A2B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977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DEC5">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充电式LED强光头灯</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9641">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射程范围：300m，防水等级：生活防水，续航时间：3-12h</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F7D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745F">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r>
      <w:tr w14:paraId="55AE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8CE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31E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救生漂浮绳</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773E">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材质：高强丙纶长丝线</w:t>
            </w:r>
          </w:p>
          <w:p w14:paraId="35F3A14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长度：25-35m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C60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2311">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r>
      <w:tr w14:paraId="0E99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30E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204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大浮力救生衣</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4DF6">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最大承重量：100kg</w:t>
            </w:r>
          </w:p>
          <w:p w14:paraId="4BB73B5D">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规格：450mm×300mm×50mm-550mm×400mm×70mm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9B2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5431">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r>
      <w:tr w14:paraId="031E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E63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235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大浮力救生圈</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53E3">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最大承重量：70-90kg</w:t>
            </w:r>
          </w:p>
          <w:p w14:paraId="5022A807">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外径：6900-7500mm</w:t>
            </w:r>
          </w:p>
          <w:p w14:paraId="6C96039E">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内径：4200-4600mm</w:t>
            </w:r>
          </w:p>
          <w:p w14:paraId="78F07340">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厚度：1800-2200mm</w:t>
            </w:r>
          </w:p>
          <w:p w14:paraId="1219A88D">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产品材质：不含邻苯二甲酸的pvc，填充物泡沫</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452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B695">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r>
      <w:tr w14:paraId="5C50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F3F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4D0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防汛防洪专用沙袋</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B71BF">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r>
              <w:rPr>
                <w:rStyle w:val="23"/>
                <w:color w:val="auto"/>
                <w:sz w:val="24"/>
                <w:szCs w:val="24"/>
                <w:lang w:val="en-US" w:eastAsia="zh-CN" w:bidi="ar"/>
              </w:rPr>
              <w:t>cm×70cm，加厚帆布抽绳款、可装沙15公斤</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FD2D">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49EF">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r>
      <w:tr w14:paraId="68C8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206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CA0F">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警戒线</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E890">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长度：90m-110m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54E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8BF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r>
      <w:tr w14:paraId="6AF7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4EE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464F">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防汛污水泵</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E84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额定扬程：10m-12m，额定流量：8-10m³/h，最大扬程：14m，最大流量：12m³/h。</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D971">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BBE6">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r>
      <w:tr w14:paraId="24B2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BF1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39B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防汛分体雨衣</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2E3F">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黑色，XL码5件，/2XL码5件、3XL码10件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5260">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AE13">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r>
      <w:tr w14:paraId="6163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21B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3967">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防汛雨靴</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B047">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高筒橡胶防滑成人款，42码8双、41码8双、40码2双、39码2双</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793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0713">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双</w:t>
            </w:r>
          </w:p>
        </w:tc>
      </w:tr>
      <w:tr w14:paraId="1D19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5FF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A771">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伸缩式救生杆</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5B3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玻璃钢材质，4.5-6.5m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C45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D2F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r>
      <w:tr w14:paraId="653B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C7E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26</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B49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断线钳</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0DAE">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24寸，总长：50-70cm，剪切范围：7-9mm</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B287">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7636">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把</w:t>
            </w:r>
          </w:p>
        </w:tc>
      </w:tr>
      <w:tr w14:paraId="06D3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7D5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C17E">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反光背心</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3ED0">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国标品质，针织布，荧光黄色，反光面积：0.12-0.14m³，反光条宽度：4-6cm，耐水洗次数：不少于25次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478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8FF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r>
      <w:tr w14:paraId="4060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A23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28</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64F3">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风力灭火机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3D7D">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40-50V无刷电机，锂电池，1200-</w:t>
            </w:r>
            <w:r>
              <w:rPr>
                <w:rStyle w:val="23"/>
                <w:color w:val="auto"/>
                <w:sz w:val="24"/>
                <w:szCs w:val="24"/>
                <w:lang w:val="en-US" w:eastAsia="zh-CN" w:bidi="ar"/>
              </w:rPr>
              <w:t>1</w:t>
            </w:r>
            <w:r>
              <w:rPr>
                <w:rStyle w:val="23"/>
                <w:rFonts w:hint="eastAsia"/>
                <w:color w:val="auto"/>
                <w:sz w:val="24"/>
                <w:szCs w:val="24"/>
                <w:lang w:val="en-US" w:eastAsia="zh-CN" w:bidi="ar"/>
              </w:rPr>
              <w:t>6</w:t>
            </w:r>
            <w:r>
              <w:rPr>
                <w:rStyle w:val="23"/>
                <w:color w:val="auto"/>
                <w:sz w:val="24"/>
                <w:szCs w:val="24"/>
                <w:lang w:val="en-US" w:eastAsia="zh-CN" w:bidi="ar"/>
              </w:rPr>
              <w:t>00W，风速</w:t>
            </w:r>
            <w:r>
              <w:rPr>
                <w:rStyle w:val="23"/>
                <w:rFonts w:hint="eastAsia"/>
                <w:color w:val="auto"/>
                <w:sz w:val="24"/>
                <w:szCs w:val="24"/>
                <w:lang w:val="en-US" w:eastAsia="zh-CN" w:bidi="ar"/>
              </w:rPr>
              <w:t>60-8</w:t>
            </w:r>
            <w:r>
              <w:rPr>
                <w:rStyle w:val="23"/>
                <w:color w:val="auto"/>
                <w:sz w:val="24"/>
                <w:szCs w:val="24"/>
                <w:lang w:val="en-US" w:eastAsia="zh-CN" w:bidi="ar"/>
              </w:rPr>
              <w:t>0m/s，</w:t>
            </w:r>
            <w:r>
              <w:rPr>
                <w:rStyle w:val="23"/>
                <w:color w:val="auto"/>
                <w:sz w:val="24"/>
                <w:szCs w:val="24"/>
                <w:lang w:val="en-US" w:eastAsia="zh-CN" w:bidi="ar"/>
              </w:rPr>
              <w:br w:type="textWrapping"/>
            </w:r>
            <w:r>
              <w:rPr>
                <w:rStyle w:val="23"/>
                <w:color w:val="auto"/>
                <w:sz w:val="24"/>
                <w:szCs w:val="24"/>
                <w:lang w:val="en-US" w:eastAsia="zh-CN" w:bidi="ar"/>
              </w:rPr>
              <w:t>风量1200m³/h</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13F9">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B8C4">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r>
      <w:tr w14:paraId="18BB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872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6F3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割灌机</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BA16">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40-50V无刷电机，锂电池，700-900W，切割直径14″/16″，线径1-3mm，打草割灌二合一</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DED1">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127B">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r>
      <w:tr w14:paraId="2816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039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AA8C">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链锯</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ACCE">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40-50V无刷电机，锂电池，1700-</w:t>
            </w:r>
            <w:r>
              <w:rPr>
                <w:rStyle w:val="23"/>
                <w:color w:val="auto"/>
                <w:sz w:val="24"/>
                <w:szCs w:val="24"/>
                <w:lang w:val="en-US" w:eastAsia="zh-CN" w:bidi="ar"/>
              </w:rPr>
              <w:t>1</w:t>
            </w:r>
            <w:r>
              <w:rPr>
                <w:rStyle w:val="23"/>
                <w:rFonts w:hint="eastAsia"/>
                <w:color w:val="auto"/>
                <w:sz w:val="24"/>
                <w:szCs w:val="24"/>
                <w:lang w:val="en-US" w:eastAsia="zh-CN" w:bidi="ar"/>
              </w:rPr>
              <w:t>9</w:t>
            </w:r>
            <w:r>
              <w:rPr>
                <w:rStyle w:val="23"/>
                <w:color w:val="auto"/>
                <w:sz w:val="24"/>
                <w:szCs w:val="24"/>
                <w:lang w:val="en-US" w:eastAsia="zh-CN" w:bidi="ar"/>
              </w:rPr>
              <w:t>00W，链条速度</w:t>
            </w:r>
            <w:r>
              <w:rPr>
                <w:rStyle w:val="23"/>
                <w:rFonts w:hint="eastAsia"/>
                <w:color w:val="auto"/>
                <w:sz w:val="24"/>
                <w:szCs w:val="24"/>
                <w:lang w:val="en-US" w:eastAsia="zh-CN" w:bidi="ar"/>
              </w:rPr>
              <w:t>15-</w:t>
            </w:r>
            <w:r>
              <w:rPr>
                <w:rStyle w:val="23"/>
                <w:color w:val="auto"/>
                <w:sz w:val="24"/>
                <w:szCs w:val="24"/>
                <w:lang w:val="en-US" w:eastAsia="zh-CN" w:bidi="ar"/>
              </w:rPr>
              <w:t>2</w:t>
            </w:r>
            <w:r>
              <w:rPr>
                <w:rStyle w:val="23"/>
                <w:rFonts w:hint="eastAsia"/>
                <w:color w:val="auto"/>
                <w:sz w:val="24"/>
                <w:szCs w:val="24"/>
                <w:lang w:val="en-US" w:eastAsia="zh-CN" w:bidi="ar"/>
              </w:rPr>
              <w:t>5</w:t>
            </w:r>
            <w:r>
              <w:rPr>
                <w:rStyle w:val="23"/>
                <w:color w:val="auto"/>
                <w:sz w:val="24"/>
                <w:szCs w:val="24"/>
                <w:lang w:val="en-US" w:eastAsia="zh-CN" w:bidi="ar"/>
              </w:rPr>
              <w:t>m/s</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8C65">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3280">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r>
    </w:tbl>
    <w:p w14:paraId="18714461"/>
    <w:p w14:paraId="062C0B8D"/>
    <w:p w14:paraId="5C131EF3">
      <w:pPr>
        <w:rPr>
          <w:rFonts w:hint="eastAsia"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标的物所属行业:</w:t>
      </w:r>
      <w:r>
        <w:rPr>
          <w:rFonts w:hint="eastAsia" w:cs="Times New Roman"/>
          <w:color w:val="0000FF"/>
          <w:sz w:val="28"/>
          <w:szCs w:val="32"/>
          <w:highlight w:val="none"/>
          <w:lang w:val="en-US" w:eastAsia="zh-CN"/>
        </w:rPr>
        <w:t>制造</w:t>
      </w:r>
      <w:r>
        <w:rPr>
          <w:rFonts w:hint="eastAsia" w:ascii="Times New Roman" w:hAnsi="Times New Roman" w:eastAsia="宋体" w:cs="Times New Roman"/>
          <w:color w:val="0000FF"/>
          <w:sz w:val="28"/>
          <w:szCs w:val="32"/>
          <w:highlight w:val="none"/>
          <w:lang w:val="en-US" w:eastAsia="zh-CN"/>
        </w:rPr>
        <w:t>业</w:t>
      </w:r>
    </w:p>
    <w:p w14:paraId="106CB318">
      <w:pPr>
        <w:rPr>
          <w:rFonts w:hint="eastAsia" w:ascii="Times New Roman" w:hAnsi="Times New Roman" w:eastAsia="宋体" w:cs="Times New Roman"/>
          <w:color w:val="0000FF"/>
          <w:sz w:val="28"/>
          <w:szCs w:val="32"/>
          <w:highlight w:val="none"/>
          <w:lang w:eastAsia="zh-CN"/>
        </w:rPr>
      </w:pPr>
      <w:r>
        <w:rPr>
          <w:rFonts w:hint="eastAsia" w:ascii="Times New Roman" w:hAnsi="Times New Roman" w:eastAsia="宋体" w:cs="Times New Roman"/>
          <w:color w:val="0000FF"/>
          <w:sz w:val="28"/>
          <w:szCs w:val="32"/>
          <w:highlight w:val="none"/>
        </w:rPr>
        <w:t>供货期</w:t>
      </w:r>
      <w:r>
        <w:rPr>
          <w:rFonts w:hint="eastAsia" w:ascii="Times New Roman" w:hAnsi="Times New Roman" w:eastAsia="宋体" w:cs="Times New Roman"/>
          <w:color w:val="0000FF"/>
          <w:sz w:val="28"/>
          <w:szCs w:val="32"/>
          <w:highlight w:val="none"/>
          <w:lang w:eastAsia="zh-CN"/>
        </w:rPr>
        <w:t>：</w:t>
      </w:r>
      <w:r>
        <w:rPr>
          <w:rFonts w:hint="eastAsia" w:cs="Times New Roman"/>
          <w:color w:val="0000FF"/>
          <w:sz w:val="28"/>
          <w:szCs w:val="32"/>
          <w:highlight w:val="none"/>
          <w:lang w:val="en-US" w:eastAsia="zh-CN"/>
        </w:rPr>
        <w:t>90</w:t>
      </w:r>
      <w:r>
        <w:rPr>
          <w:rFonts w:hint="eastAsia" w:ascii="Times New Roman" w:hAnsi="Times New Roman" w:eastAsia="宋体" w:cs="Times New Roman"/>
          <w:color w:val="0000FF"/>
          <w:sz w:val="28"/>
          <w:szCs w:val="32"/>
          <w:highlight w:val="none"/>
        </w:rPr>
        <w:t>个</w:t>
      </w:r>
      <w:r>
        <w:rPr>
          <w:rFonts w:hint="eastAsia" w:cs="Times New Roman"/>
          <w:color w:val="0000FF"/>
          <w:sz w:val="28"/>
          <w:szCs w:val="32"/>
          <w:highlight w:val="none"/>
          <w:lang w:val="en-US" w:eastAsia="zh-CN"/>
        </w:rPr>
        <w:t>自然日</w:t>
      </w:r>
    </w:p>
    <w:p w14:paraId="76D4060F"/>
    <w:p w14:paraId="44247B4C"/>
    <w:sectPr>
      <w:headerReference r:id="rId5" w:type="default"/>
      <w:footerReference r:id="rId6" w:type="default"/>
      <w:pgSz w:w="11906" w:h="16838"/>
      <w:pgMar w:top="1020" w:right="1134" w:bottom="1020" w:left="1020"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9"/>
      <w:ind w:firstLine="360"/>
      <w:jc w:val="center"/>
    </w:pPr>
    <w:r>
      <w:fldChar w:fldCharType="begin"/>
    </w:r>
    <w:r>
      <w:instrText xml:space="preserve">PAGE   \* MERGEFORMAT</w:instrText>
    </w:r>
    <w:r>
      <w:fldChar w:fldCharType="separate"/>
    </w:r>
    <w:r>
      <w:rPr>
        <w:lang w:val="zh-CN"/>
      </w:rPr>
      <w:t>2</w:t>
    </w:r>
    <w:r>
      <w:fldChar w:fldCharType="end"/>
    </w:r>
  </w:p>
  <w:p w14:paraId="7823B716">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0"/>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5C0C378E"/>
    <w:multiLevelType w:val="singleLevel"/>
    <w:tmpl w:val="5C0C378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B16EF"/>
    <w:rsid w:val="15CC2818"/>
    <w:rsid w:val="189B16EF"/>
    <w:rsid w:val="226E6690"/>
    <w:rsid w:val="324C1C1F"/>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rFonts w:ascii="Times New Roman" w:hAnsi="Times New Roman" w:eastAsia="仿宋_GB2312"/>
      <w:sz w:val="32"/>
      <w:szCs w:val="32"/>
    </w:rPr>
  </w:style>
  <w:style w:type="paragraph" w:styleId="5">
    <w:name w:val="Body Text First Indent 2"/>
    <w:basedOn w:val="6"/>
    <w:qFormat/>
    <w:uiPriority w:val="99"/>
    <w:pPr>
      <w:ind w:firstLine="420" w:firstLineChars="200"/>
    </w:pPr>
    <w:rPr>
      <w:rFonts w:ascii="宋体" w:hAnsi="宋体"/>
    </w:rPr>
  </w:style>
  <w:style w:type="paragraph" w:styleId="6">
    <w:name w:val="Body Text Indent"/>
    <w:basedOn w:val="1"/>
    <w:next w:val="1"/>
    <w:qFormat/>
    <w:uiPriority w:val="0"/>
    <w:pPr>
      <w:spacing w:after="120"/>
      <w:ind w:left="420" w:leftChars="200"/>
    </w:pPr>
    <w:rPr>
      <w:kern w:val="0"/>
      <w:sz w:val="20"/>
      <w:szCs w:val="24"/>
    </w:rPr>
  </w:style>
  <w:style w:type="paragraph" w:styleId="7">
    <w:name w:val="Body Text"/>
    <w:basedOn w:val="1"/>
    <w:unhideWhenUsed/>
    <w:qFormat/>
    <w:uiPriority w:val="0"/>
    <w:pPr>
      <w:spacing w:after="120" w:line="360" w:lineRule="auto"/>
      <w:ind w:firstLine="1440" w:firstLineChars="200"/>
    </w:pPr>
    <w:rPr>
      <w:sz w:val="24"/>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next w:val="1"/>
    <w:unhideWhenUsed/>
    <w:qFormat/>
    <w:uiPriority w:val="0"/>
    <w:pPr>
      <w:tabs>
        <w:tab w:val="center" w:pos="4153"/>
        <w:tab w:val="right" w:pos="8306"/>
      </w:tabs>
      <w:snapToGrid w:val="0"/>
      <w:jc w:val="left"/>
    </w:pPr>
    <w:rPr>
      <w:kern w:val="0"/>
      <w:sz w:val="18"/>
      <w:szCs w:val="18"/>
    </w:rPr>
  </w:style>
  <w:style w:type="paragraph" w:styleId="10">
    <w:name w:val="header"/>
    <w:basedOn w:val="1"/>
    <w:next w:val="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Title"/>
    <w:basedOn w:val="1"/>
    <w:next w:val="1"/>
    <w:qFormat/>
    <w:uiPriority w:val="0"/>
    <w:pPr>
      <w:spacing w:before="240" w:after="60"/>
      <w:jc w:val="center"/>
      <w:outlineLvl w:val="0"/>
    </w:pPr>
    <w:rPr>
      <w:rFonts w:ascii="Cambria" w:hAnsi="Cambria"/>
      <w:b/>
      <w:bCs/>
      <w:kern w:val="0"/>
      <w:sz w:val="36"/>
      <w:szCs w:val="32"/>
    </w:rPr>
  </w:style>
  <w:style w:type="table" w:styleId="14">
    <w:name w:val="Table Grid"/>
    <w:basedOn w:val="13"/>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正文缩进正文缩进2正文缩进 Char Char正文缩进 Char Char Char Char正文缩进 Char ..."/>
    <w:basedOn w:val="4"/>
    <w:qFormat/>
    <w:uiPriority w:val="99"/>
    <w:pPr>
      <w:spacing w:line="360" w:lineRule="auto"/>
      <w:ind w:firstLine="200"/>
    </w:pPr>
    <w:rPr>
      <w:rFonts w:cs="宋体"/>
      <w:sz w:val="24"/>
    </w:rPr>
  </w:style>
  <w:style w:type="paragraph" w:customStyle="1" w:styleId="17">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9">
    <w:name w:val="List Paragraph"/>
    <w:basedOn w:val="1"/>
    <w:qFormat/>
    <w:uiPriority w:val="34"/>
    <w:pPr>
      <w:ind w:firstLine="420" w:firstLineChars="200"/>
    </w:pPr>
    <w:rPr>
      <w:rFonts w:ascii="Calibri" w:hAnsi="Calibri" w:eastAsia="宋体" w:cs="Times New Roman"/>
      <w:sz w:val="24"/>
      <w:szCs w:val="24"/>
    </w:rPr>
  </w:style>
  <w:style w:type="paragraph" w:customStyle="1" w:styleId="20">
    <w:name w:val="表格文字"/>
    <w:basedOn w:val="1"/>
    <w:qFormat/>
    <w:uiPriority w:val="0"/>
    <w:pPr>
      <w:spacing w:before="25" w:after="25"/>
    </w:pPr>
    <w:rPr>
      <w:bCs/>
      <w:spacing w:val="10"/>
      <w:kern w:val="0"/>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2">
    <w:name w:val="font01"/>
    <w:basedOn w:val="15"/>
    <w:qFormat/>
    <w:uiPriority w:val="0"/>
    <w:rPr>
      <w:rFonts w:hint="eastAsia" w:ascii="宋体" w:hAnsi="宋体" w:eastAsia="宋体" w:cs="宋体"/>
      <w:color w:val="000000"/>
      <w:sz w:val="22"/>
      <w:szCs w:val="22"/>
      <w:u w:val="none"/>
    </w:rPr>
  </w:style>
  <w:style w:type="character" w:customStyle="1" w:styleId="23">
    <w:name w:val="font31"/>
    <w:basedOn w:val="1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275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2025-06-23T01:15:00Z</dcterms:created>
  <dc:creator>okok</dc:creator>
  <cp:lastModifiedBy>okok</cp:lastModifiedBy>
  <dcterms:modified xsi:type="dcterms:W3CDTF">2025-06-23T06:09:27Z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7F309850B6B24F18A43815C87F16F6A8_11</vt:lpwstr>
  </property>
  <property fmtid="{D5CDD505-2E9C-101B-9397-08002B2CF9AE}" pid="4" name="KSOTemplateDocerSaveRecord">
    <vt:lpwstr>eyJoZGlkIjoiYmY1NWVhYmY5ZDBjM2I5N2M4NWU1NzI5ZDM3MTI0YzUiLCJ1c2VySWQiOiIzMTQ0MTQ3ODQifQ==</vt:lpwstr>
  </property>
</Properties>
</file>