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4D62">
      <w:pPr>
        <w:rPr>
          <w:rFonts w:hint="eastAsia"/>
        </w:rPr>
      </w:pPr>
    </w:p>
    <w:p w14:paraId="7D88C45B">
      <w:pPr>
        <w:jc w:val="center"/>
        <w:rPr>
          <w:rFonts w:hint="eastAsia" w:ascii="宋体" w:hAnsi="宋体"/>
          <w:b/>
        </w:rPr>
      </w:pPr>
      <w:r>
        <w:rPr>
          <w:rFonts w:hint="eastAsia" w:ascii="宋体" w:hAnsi="宋体" w:cs="华文行楷"/>
          <w:b/>
          <w:sz w:val="52"/>
          <w:szCs w:val="52"/>
          <w:lang w:val="zh-CN"/>
        </w:rPr>
        <w:t>西宁市政府采购</w:t>
      </w:r>
    </w:p>
    <w:p w14:paraId="45EFFCB7">
      <w:pPr>
        <w:rPr>
          <w:rFonts w:hint="eastAsia" w:ascii="宋体" w:hAnsi="宋体"/>
          <w:b/>
        </w:rPr>
      </w:pPr>
    </w:p>
    <w:p w14:paraId="37E0AD9A">
      <w:pPr>
        <w:rPr>
          <w:b/>
        </w:rPr>
      </w:pPr>
    </w:p>
    <w:p w14:paraId="28141C4E">
      <w:pPr>
        <w:rPr>
          <w:b/>
        </w:rPr>
      </w:pPr>
    </w:p>
    <w:p w14:paraId="7D0B2877">
      <w:pPr>
        <w:rPr>
          <w:b/>
        </w:rPr>
      </w:pPr>
    </w:p>
    <w:p w14:paraId="5655CE04">
      <w:pPr>
        <w:rPr>
          <w:b/>
        </w:rPr>
      </w:pPr>
    </w:p>
    <w:p w14:paraId="47517283">
      <w:pPr>
        <w:rPr>
          <w:b/>
        </w:rPr>
      </w:pPr>
    </w:p>
    <w:p w14:paraId="59F65505">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6F19BEA4">
      <w:pPr>
        <w:pStyle w:val="3"/>
        <w:jc w:val="center"/>
        <w:rPr>
          <w:rFonts w:hint="eastAsia" w:ascii="宋体" w:hAnsi="宋体"/>
          <w:lang w:val="zh-CN"/>
        </w:rPr>
      </w:pPr>
      <w:r>
        <w:rPr>
          <w:rFonts w:hint="eastAsia" w:ascii="宋体" w:hAnsi="宋体" w:cs="华文行楷"/>
          <w:bCs w:val="0"/>
          <w:sz w:val="52"/>
          <w:szCs w:val="52"/>
          <w:lang w:val="zh-CN"/>
        </w:rPr>
        <w:t>（试行）</w:t>
      </w:r>
    </w:p>
    <w:p w14:paraId="49622E62">
      <w:pPr>
        <w:jc w:val="center"/>
        <w:rPr>
          <w:b/>
          <w:sz w:val="52"/>
          <w:szCs w:val="52"/>
        </w:rPr>
      </w:pPr>
    </w:p>
    <w:p w14:paraId="5F2E3956">
      <w:pPr>
        <w:rPr>
          <w:b/>
          <w:sz w:val="32"/>
          <w:szCs w:val="32"/>
        </w:rPr>
      </w:pPr>
    </w:p>
    <w:p w14:paraId="00088CE7">
      <w:pPr>
        <w:jc w:val="center"/>
        <w:rPr>
          <w:b/>
          <w:sz w:val="32"/>
          <w:szCs w:val="32"/>
        </w:rPr>
      </w:pPr>
    </w:p>
    <w:p w14:paraId="08921814">
      <w:pPr>
        <w:keepNext w:val="0"/>
        <w:keepLines w:val="0"/>
        <w:pageBreakBefore w:val="0"/>
        <w:kinsoku/>
        <w:wordWrap/>
        <w:overflowPunct/>
        <w:topLinePunct w:val="0"/>
        <w:autoSpaceDE/>
        <w:autoSpaceDN/>
        <w:bidi w:val="0"/>
        <w:adjustRightInd/>
        <w:snapToGrid/>
        <w:spacing w:line="360" w:lineRule="auto"/>
        <w:jc w:val="center"/>
        <w:textAlignment w:val="auto"/>
        <w:rPr>
          <w:b/>
          <w:sz w:val="32"/>
          <w:szCs w:val="32"/>
        </w:rPr>
      </w:pPr>
    </w:p>
    <w:p w14:paraId="0635CD67">
      <w:pPr>
        <w:keepNext w:val="0"/>
        <w:keepLines w:val="0"/>
        <w:pageBreakBefore w:val="0"/>
        <w:widowControl/>
        <w:kinsoku/>
        <w:wordWrap/>
        <w:overflowPunct/>
        <w:topLinePunct w:val="0"/>
        <w:autoSpaceDE/>
        <w:autoSpaceDN/>
        <w:bidi w:val="0"/>
        <w:adjustRightInd/>
        <w:snapToGrid/>
        <w:spacing w:line="360" w:lineRule="auto"/>
        <w:ind w:left="3207" w:leftChars="456" w:hanging="2249" w:hangingChars="700"/>
        <w:textAlignment w:val="auto"/>
        <w:rPr>
          <w:rFonts w:hint="eastAsia"/>
          <w:b/>
          <w:sz w:val="32"/>
          <w:szCs w:val="32"/>
          <w:lang w:eastAsia="zh-CN"/>
        </w:rPr>
      </w:pPr>
      <w:r>
        <w:rPr>
          <w:rFonts w:hint="eastAsia"/>
          <w:b/>
          <w:sz w:val="32"/>
          <w:szCs w:val="32"/>
        </w:rPr>
        <w:t>采购项目编号：</w:t>
      </w:r>
      <w:r>
        <w:rPr>
          <w:rFonts w:hint="eastAsia"/>
          <w:b/>
          <w:sz w:val="32"/>
          <w:szCs w:val="32"/>
          <w:lang w:eastAsia="zh-CN"/>
        </w:rPr>
        <w:t>宁政采磋商（货物）2025-034号</w:t>
      </w:r>
    </w:p>
    <w:p w14:paraId="1793F2C5">
      <w:pPr>
        <w:keepNext w:val="0"/>
        <w:keepLines w:val="0"/>
        <w:pageBreakBefore w:val="0"/>
        <w:kinsoku/>
        <w:wordWrap/>
        <w:overflowPunct/>
        <w:topLinePunct w:val="0"/>
        <w:autoSpaceDE/>
        <w:autoSpaceDN/>
        <w:bidi w:val="0"/>
        <w:adjustRightInd/>
        <w:snapToGrid/>
        <w:spacing w:line="360" w:lineRule="auto"/>
        <w:ind w:left="3207" w:leftChars="456" w:hanging="2249" w:hangingChars="700"/>
        <w:jc w:val="left"/>
        <w:textAlignment w:val="auto"/>
        <w:rPr>
          <w:rFonts w:hint="eastAsia"/>
          <w:b/>
          <w:sz w:val="32"/>
          <w:szCs w:val="32"/>
          <w:lang w:eastAsia="zh-CN"/>
        </w:rPr>
      </w:pPr>
      <w:r>
        <w:rPr>
          <w:rFonts w:hint="eastAsia"/>
          <w:b/>
          <w:sz w:val="32"/>
          <w:szCs w:val="32"/>
        </w:rPr>
        <w:t>采购项目名称：</w:t>
      </w:r>
      <w:r>
        <w:rPr>
          <w:rFonts w:hint="eastAsia"/>
          <w:b/>
          <w:sz w:val="32"/>
          <w:szCs w:val="32"/>
          <w:lang w:eastAsia="zh-CN"/>
        </w:rPr>
        <w:t>西宁市沈那中学室外宣传大屏及计算机教室建设项目</w:t>
      </w:r>
    </w:p>
    <w:p w14:paraId="7D8541A3">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default"/>
          <w:b/>
          <w:sz w:val="32"/>
          <w:szCs w:val="32"/>
          <w:lang w:val="en-US" w:eastAsia="zh-CN"/>
        </w:rPr>
      </w:pPr>
      <w:r>
        <w:rPr>
          <w:rFonts w:hint="eastAsia"/>
          <w:b/>
          <w:sz w:val="32"/>
          <w:szCs w:val="32"/>
        </w:rPr>
        <w:t>采</w:t>
      </w:r>
      <w:r>
        <w:rPr>
          <w:rFonts w:hint="eastAsia"/>
          <w:b/>
          <w:sz w:val="32"/>
          <w:szCs w:val="32"/>
          <w:lang w:val="en-US" w:eastAsia="zh-CN"/>
        </w:rPr>
        <w:t xml:space="preserve"> </w:t>
      </w:r>
      <w:r>
        <w:rPr>
          <w:rFonts w:hint="eastAsia"/>
          <w:b/>
          <w:sz w:val="32"/>
          <w:szCs w:val="32"/>
        </w:rPr>
        <w:t>购</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r>
        <w:rPr>
          <w:rFonts w:hint="eastAsia"/>
          <w:b/>
          <w:sz w:val="32"/>
          <w:szCs w:val="32"/>
          <w:lang w:eastAsia="zh-CN"/>
        </w:rPr>
        <w:t>西宁市沈那中学</w:t>
      </w:r>
    </w:p>
    <w:p w14:paraId="09E3C2C1">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ascii="宋体" w:hAnsi="宋体"/>
          <w:b/>
          <w:sz w:val="32"/>
          <w:szCs w:val="32"/>
        </w:rPr>
      </w:pPr>
      <w:r>
        <w:rPr>
          <w:rFonts w:hint="eastAsia" w:ascii="宋体" w:hAnsi="宋体"/>
          <w:b/>
          <w:sz w:val="32"/>
          <w:szCs w:val="32"/>
        </w:rPr>
        <w:t>集中采购机构：西宁市政府采购中心</w:t>
      </w:r>
    </w:p>
    <w:p w14:paraId="2D5E6129">
      <w:pPr>
        <w:keepNext w:val="0"/>
        <w:keepLines w:val="0"/>
        <w:pageBreakBefore w:val="0"/>
        <w:kinsoku/>
        <w:wordWrap/>
        <w:overflowPunct/>
        <w:topLinePunct w:val="0"/>
        <w:autoSpaceDE/>
        <w:autoSpaceDN/>
        <w:bidi w:val="0"/>
        <w:adjustRightInd/>
        <w:snapToGrid/>
        <w:spacing w:line="360" w:lineRule="auto"/>
        <w:ind w:firstLine="1275" w:firstLineChars="397"/>
        <w:jc w:val="left"/>
        <w:textAlignment w:val="auto"/>
        <w:rPr>
          <w:b/>
          <w:sz w:val="32"/>
          <w:szCs w:val="32"/>
        </w:rPr>
      </w:pPr>
      <w:r>
        <w:rPr>
          <w:rFonts w:hint="eastAsia"/>
          <w:b/>
          <w:sz w:val="32"/>
          <w:szCs w:val="32"/>
        </w:rPr>
        <w:t xml:space="preserve"> </w:t>
      </w:r>
    </w:p>
    <w:p w14:paraId="1366ED08">
      <w:pPr>
        <w:ind w:firstLine="1275" w:firstLineChars="397"/>
        <w:jc w:val="left"/>
        <w:rPr>
          <w:b/>
          <w:sz w:val="32"/>
          <w:szCs w:val="32"/>
        </w:rPr>
      </w:pPr>
    </w:p>
    <w:p w14:paraId="14F9DF9C">
      <w:pPr>
        <w:jc w:val="center"/>
        <w:rPr>
          <w:rFonts w:hint="eastAsia" w:ascii="宋体" w:hAnsi="宋体"/>
          <w:b/>
          <w:sz w:val="32"/>
          <w:szCs w:val="32"/>
        </w:rPr>
      </w:pPr>
    </w:p>
    <w:p w14:paraId="0DA679AE">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6</w:t>
      </w:r>
      <w:r>
        <w:rPr>
          <w:rFonts w:hint="eastAsia" w:ascii="宋体" w:hAnsi="宋体"/>
          <w:b/>
          <w:sz w:val="32"/>
          <w:szCs w:val="32"/>
        </w:rPr>
        <w:t>月</w:t>
      </w:r>
    </w:p>
    <w:p w14:paraId="2C3E51C0">
      <w:pPr>
        <w:rPr>
          <w:rFonts w:ascii="宋体" w:hAnsi="宋体"/>
          <w:b/>
          <w:sz w:val="32"/>
          <w:szCs w:val="32"/>
        </w:rPr>
      </w:pPr>
    </w:p>
    <w:p w14:paraId="557B6B47">
      <w:pPr>
        <w:pStyle w:val="3"/>
        <w:jc w:val="center"/>
        <w:rPr>
          <w:rFonts w:hint="eastAsia"/>
          <w:lang w:val="en-US" w:eastAsia="zh-CN"/>
        </w:rPr>
      </w:pPr>
    </w:p>
    <w:p w14:paraId="22A628FE">
      <w:pPr>
        <w:rPr>
          <w:rFonts w:hint="eastAsia"/>
          <w:lang w:val="en-US" w:eastAsia="zh-CN"/>
        </w:rPr>
      </w:pPr>
    </w:p>
    <w:p w14:paraId="33E085C7">
      <w:pPr>
        <w:pStyle w:val="17"/>
        <w:rPr>
          <w:rFonts w:hint="eastAsia"/>
          <w:lang w:val="en-US" w:eastAsia="zh-CN"/>
        </w:rPr>
      </w:pPr>
    </w:p>
    <w:p w14:paraId="117383AF">
      <w:pPr>
        <w:pStyle w:val="17"/>
        <w:rPr>
          <w:rFonts w:hint="eastAsia"/>
          <w:lang w:val="en-US" w:eastAsia="zh-CN"/>
        </w:rPr>
      </w:pPr>
    </w:p>
    <w:p w14:paraId="593370E0">
      <w:pPr>
        <w:pStyle w:val="17"/>
        <w:rPr>
          <w:rFonts w:hint="eastAsia"/>
          <w:lang w:val="en-US" w:eastAsia="zh-CN"/>
        </w:rPr>
      </w:pPr>
    </w:p>
    <w:p w14:paraId="5A34B27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b w:val="0"/>
        </w:rPr>
      </w:pPr>
      <w:r>
        <w:rPr>
          <w:rFonts w:hint="eastAsia"/>
          <w:lang w:val="en-US" w:eastAsia="zh-CN"/>
        </w:rPr>
        <w:t>目录</w:t>
      </w:r>
    </w:p>
    <w:p w14:paraId="09B968C5">
      <w:pPr>
        <w:pStyle w:val="11"/>
        <w:tabs>
          <w:tab w:val="right" w:leader="dot" w:pos="9752"/>
        </w:tabs>
        <w:ind w:left="0" w:leftChars="0" w:firstLine="643" w:firstLineChars="200"/>
        <w:jc w:val="left"/>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_Toc18531 </w:instrText>
      </w:r>
      <w:r>
        <w:rPr>
          <w:szCs w:val="24"/>
        </w:rPr>
        <w:fldChar w:fldCharType="separate"/>
      </w:r>
      <w:r>
        <w:rPr>
          <w:rFonts w:hint="eastAsia"/>
        </w:rPr>
        <w:t>第一部分  投标人须知前附表</w:t>
      </w:r>
      <w:r>
        <w:tab/>
      </w:r>
      <w:r>
        <w:fldChar w:fldCharType="begin"/>
      </w:r>
      <w:r>
        <w:instrText xml:space="preserve"> PAGEREF _Toc18531 \h </w:instrText>
      </w:r>
      <w:r>
        <w:fldChar w:fldCharType="separate"/>
      </w:r>
      <w:r>
        <w:t>3</w:t>
      </w:r>
      <w:r>
        <w:fldChar w:fldCharType="end"/>
      </w:r>
      <w:r>
        <w:rPr>
          <w:szCs w:val="24"/>
        </w:rPr>
        <w:fldChar w:fldCharType="end"/>
      </w:r>
    </w:p>
    <w:p w14:paraId="3E24C742">
      <w:pPr>
        <w:pStyle w:val="11"/>
        <w:tabs>
          <w:tab w:val="right" w:leader="dot" w:pos="9752"/>
        </w:tabs>
      </w:pPr>
      <w:r>
        <w:rPr>
          <w:szCs w:val="24"/>
        </w:rPr>
        <w:fldChar w:fldCharType="begin"/>
      </w:r>
      <w:r>
        <w:rPr>
          <w:szCs w:val="24"/>
        </w:rPr>
        <w:instrText xml:space="preserve"> HYPERLINK \l _Toc6762 </w:instrText>
      </w:r>
      <w:r>
        <w:rPr>
          <w:szCs w:val="24"/>
        </w:rPr>
        <w:fldChar w:fldCharType="separate"/>
      </w:r>
      <w:r>
        <w:rPr>
          <w:rFonts w:hint="eastAsia"/>
          <w:lang w:val="zh-CN"/>
        </w:rPr>
        <w:t>第二部分</w:t>
      </w:r>
      <w:r>
        <w:rPr>
          <w:rFonts w:cs="Calibri"/>
        </w:rPr>
        <w:t xml:space="preserve">  </w:t>
      </w:r>
      <w:r>
        <w:rPr>
          <w:rFonts w:hint="eastAsia"/>
          <w:lang w:val="zh-CN"/>
        </w:rPr>
        <w:t>投标人须知</w:t>
      </w:r>
      <w:r>
        <w:tab/>
      </w:r>
      <w:r>
        <w:fldChar w:fldCharType="begin"/>
      </w:r>
      <w:r>
        <w:instrText xml:space="preserve"> PAGEREF _Toc6762 \h </w:instrText>
      </w:r>
      <w:r>
        <w:fldChar w:fldCharType="separate"/>
      </w:r>
      <w:r>
        <w:t>5</w:t>
      </w:r>
      <w:r>
        <w:fldChar w:fldCharType="end"/>
      </w:r>
      <w:r>
        <w:rPr>
          <w:szCs w:val="24"/>
        </w:rPr>
        <w:fldChar w:fldCharType="end"/>
      </w:r>
    </w:p>
    <w:p w14:paraId="71C723CF">
      <w:pPr>
        <w:pStyle w:val="11"/>
        <w:tabs>
          <w:tab w:val="right" w:leader="dot" w:pos="9752"/>
        </w:tabs>
      </w:pPr>
      <w:r>
        <w:rPr>
          <w:szCs w:val="24"/>
        </w:rPr>
        <w:fldChar w:fldCharType="begin"/>
      </w:r>
      <w:r>
        <w:rPr>
          <w:szCs w:val="24"/>
        </w:rPr>
        <w:instrText xml:space="preserve"> HYPERLINK \l _Toc31588 </w:instrText>
      </w:r>
      <w:r>
        <w:rPr>
          <w:szCs w:val="24"/>
        </w:rPr>
        <w:fldChar w:fldCharType="separate"/>
      </w:r>
      <w:r>
        <w:rPr>
          <w:rFonts w:hint="eastAsia"/>
          <w:lang w:val="zh-CN"/>
        </w:rPr>
        <w:t>第三部分</w:t>
      </w:r>
      <w:r>
        <w:rPr>
          <w:rFonts w:ascii="Calibri" w:cs="Calibri"/>
        </w:rPr>
        <w:t xml:space="preserve"> </w:t>
      </w:r>
      <w:r>
        <w:rPr>
          <w:rFonts w:hint="eastAsia"/>
          <w:lang w:val="zh-CN"/>
        </w:rPr>
        <w:t>西宁市政府采购项目合同书范本</w:t>
      </w:r>
      <w:r>
        <w:tab/>
      </w:r>
      <w:r>
        <w:fldChar w:fldCharType="begin"/>
      </w:r>
      <w:r>
        <w:instrText xml:space="preserve"> PAGEREF _Toc31588 \h </w:instrText>
      </w:r>
      <w:r>
        <w:fldChar w:fldCharType="separate"/>
      </w:r>
      <w:r>
        <w:t>15</w:t>
      </w:r>
      <w:r>
        <w:fldChar w:fldCharType="end"/>
      </w:r>
      <w:r>
        <w:rPr>
          <w:szCs w:val="24"/>
        </w:rPr>
        <w:fldChar w:fldCharType="end"/>
      </w:r>
    </w:p>
    <w:p w14:paraId="200FFA6A">
      <w:pPr>
        <w:pStyle w:val="11"/>
        <w:tabs>
          <w:tab w:val="right" w:leader="dot" w:pos="9752"/>
        </w:tabs>
      </w:pPr>
      <w:r>
        <w:rPr>
          <w:szCs w:val="24"/>
        </w:rPr>
        <w:fldChar w:fldCharType="begin"/>
      </w:r>
      <w:r>
        <w:rPr>
          <w:szCs w:val="24"/>
        </w:rPr>
        <w:instrText xml:space="preserve"> HYPERLINK \l _Toc25655 </w:instrText>
      </w:r>
      <w:r>
        <w:rPr>
          <w:szCs w:val="24"/>
        </w:rPr>
        <w:fldChar w:fldCharType="separate"/>
      </w:r>
      <w:r>
        <w:rPr>
          <w:rFonts w:hint="eastAsia" w:ascii="宋体" w:hAnsi="宋体" w:cs="宋体"/>
          <w:szCs w:val="36"/>
          <w:lang w:val="zh-CN"/>
        </w:rPr>
        <w:t>西宁市政府采购项目合同书范本（货物）</w:t>
      </w:r>
      <w:r>
        <w:tab/>
      </w:r>
      <w:r>
        <w:fldChar w:fldCharType="begin"/>
      </w:r>
      <w:r>
        <w:instrText xml:space="preserve"> PAGEREF _Toc25655 \h </w:instrText>
      </w:r>
      <w:r>
        <w:fldChar w:fldCharType="separate"/>
      </w:r>
      <w:r>
        <w:t>15</w:t>
      </w:r>
      <w:r>
        <w:fldChar w:fldCharType="end"/>
      </w:r>
      <w:r>
        <w:rPr>
          <w:szCs w:val="24"/>
        </w:rPr>
        <w:fldChar w:fldCharType="end"/>
      </w:r>
    </w:p>
    <w:p w14:paraId="377C635D">
      <w:pPr>
        <w:pStyle w:val="11"/>
        <w:tabs>
          <w:tab w:val="right" w:leader="dot" w:pos="9752"/>
        </w:tabs>
      </w:pPr>
      <w:r>
        <w:rPr>
          <w:szCs w:val="24"/>
        </w:rPr>
        <w:fldChar w:fldCharType="begin"/>
      </w:r>
      <w:r>
        <w:rPr>
          <w:szCs w:val="24"/>
        </w:rPr>
        <w:instrText xml:space="preserve"> HYPERLINK \l _Toc5032 </w:instrText>
      </w:r>
      <w:r>
        <w:rPr>
          <w:szCs w:val="24"/>
        </w:rPr>
        <w:fldChar w:fldCharType="separate"/>
      </w:r>
      <w:r>
        <w:rPr>
          <w:rFonts w:hint="eastAsia"/>
          <w:szCs w:val="48"/>
        </w:rPr>
        <w:t>西宁市政府采购项目合同书</w:t>
      </w:r>
      <w:r>
        <w:tab/>
      </w:r>
      <w:r>
        <w:fldChar w:fldCharType="begin"/>
      </w:r>
      <w:r>
        <w:instrText xml:space="preserve"> PAGEREF _Toc5032 \h </w:instrText>
      </w:r>
      <w:r>
        <w:fldChar w:fldCharType="separate"/>
      </w:r>
      <w:r>
        <w:t>15</w:t>
      </w:r>
      <w:r>
        <w:fldChar w:fldCharType="end"/>
      </w:r>
      <w:r>
        <w:rPr>
          <w:szCs w:val="24"/>
        </w:rPr>
        <w:fldChar w:fldCharType="end"/>
      </w:r>
    </w:p>
    <w:p w14:paraId="1EDE46F5">
      <w:pPr>
        <w:pStyle w:val="11"/>
        <w:tabs>
          <w:tab w:val="right" w:leader="dot" w:pos="9752"/>
        </w:tabs>
      </w:pPr>
      <w:r>
        <w:rPr>
          <w:szCs w:val="24"/>
        </w:rPr>
        <w:fldChar w:fldCharType="begin"/>
      </w:r>
      <w:r>
        <w:rPr>
          <w:szCs w:val="24"/>
        </w:rPr>
        <w:instrText xml:space="preserve"> HYPERLINK \l _Toc24579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_Toc24579 \h </w:instrText>
      </w:r>
      <w:r>
        <w:fldChar w:fldCharType="separate"/>
      </w:r>
      <w:r>
        <w:t>24</w:t>
      </w:r>
      <w:r>
        <w:fldChar w:fldCharType="end"/>
      </w:r>
      <w:r>
        <w:rPr>
          <w:szCs w:val="24"/>
        </w:rPr>
        <w:fldChar w:fldCharType="end"/>
      </w:r>
    </w:p>
    <w:p w14:paraId="5399A351">
      <w:pPr>
        <w:pStyle w:val="11"/>
        <w:tabs>
          <w:tab w:val="right" w:leader="dot" w:pos="9752"/>
        </w:tabs>
      </w:pPr>
      <w:r>
        <w:rPr>
          <w:szCs w:val="24"/>
        </w:rPr>
        <w:fldChar w:fldCharType="begin"/>
      </w:r>
      <w:r>
        <w:rPr>
          <w:szCs w:val="24"/>
        </w:rPr>
        <w:instrText xml:space="preserve"> HYPERLINK \l _Toc1236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：投</w:t>
      </w:r>
      <w:r>
        <w:rPr>
          <w:rFonts w:ascii="宋体" w:hAnsi="宋体" w:cs="Cambria"/>
        </w:rPr>
        <w:t xml:space="preserve"> </w:t>
      </w:r>
      <w:r>
        <w:rPr>
          <w:rFonts w:hint="eastAsia" w:ascii="宋体" w:hAnsi="宋体"/>
          <w:lang w:val="zh-CN"/>
        </w:rPr>
        <w:t>标</w:t>
      </w:r>
      <w:r>
        <w:rPr>
          <w:rFonts w:ascii="宋体" w:hAnsi="宋体" w:cs="Cambria"/>
        </w:rPr>
        <w:t xml:space="preserve"> </w:t>
      </w:r>
      <w:r>
        <w:rPr>
          <w:rFonts w:hint="eastAsia" w:ascii="宋体" w:hAnsi="宋体"/>
          <w:lang w:val="zh-CN"/>
        </w:rPr>
        <w:t>函</w:t>
      </w:r>
      <w:r>
        <w:tab/>
      </w:r>
      <w:r>
        <w:fldChar w:fldCharType="begin"/>
      </w:r>
      <w:r>
        <w:instrText xml:space="preserve"> PAGEREF _Toc1236 \h </w:instrText>
      </w:r>
      <w:r>
        <w:fldChar w:fldCharType="separate"/>
      </w:r>
      <w:r>
        <w:t>26</w:t>
      </w:r>
      <w:r>
        <w:fldChar w:fldCharType="end"/>
      </w:r>
      <w:r>
        <w:rPr>
          <w:szCs w:val="24"/>
        </w:rPr>
        <w:fldChar w:fldCharType="end"/>
      </w:r>
    </w:p>
    <w:p w14:paraId="3FA1D6AE">
      <w:pPr>
        <w:pStyle w:val="11"/>
        <w:tabs>
          <w:tab w:val="right" w:leader="dot" w:pos="9752"/>
        </w:tabs>
      </w:pPr>
      <w:r>
        <w:rPr>
          <w:szCs w:val="24"/>
        </w:rPr>
        <w:fldChar w:fldCharType="begin"/>
      </w:r>
      <w:r>
        <w:rPr>
          <w:szCs w:val="24"/>
        </w:rPr>
        <w:instrText xml:space="preserve"> HYPERLINK \l _Toc20317 </w:instrText>
      </w:r>
      <w:r>
        <w:rPr>
          <w:szCs w:val="24"/>
        </w:rPr>
        <w:fldChar w:fldCharType="separate"/>
      </w:r>
      <w:r>
        <w:rPr>
          <w:rFonts w:hint="eastAsia" w:ascii="宋体" w:hAnsi="宋体"/>
          <w:lang w:val="zh-CN"/>
        </w:rPr>
        <w:t>格式3：法定代表人授权书</w:t>
      </w:r>
      <w:r>
        <w:tab/>
      </w:r>
      <w:r>
        <w:fldChar w:fldCharType="begin"/>
      </w:r>
      <w:r>
        <w:instrText xml:space="preserve"> PAGEREF _Toc20317 \h </w:instrText>
      </w:r>
      <w:r>
        <w:fldChar w:fldCharType="separate"/>
      </w:r>
      <w:r>
        <w:t>28</w:t>
      </w:r>
      <w:r>
        <w:fldChar w:fldCharType="end"/>
      </w:r>
      <w:r>
        <w:rPr>
          <w:szCs w:val="24"/>
        </w:rPr>
        <w:fldChar w:fldCharType="end"/>
      </w:r>
    </w:p>
    <w:p w14:paraId="1C4D8BD3">
      <w:pPr>
        <w:pStyle w:val="11"/>
        <w:tabs>
          <w:tab w:val="right" w:leader="dot" w:pos="9752"/>
        </w:tabs>
      </w:pPr>
      <w:r>
        <w:rPr>
          <w:szCs w:val="24"/>
        </w:rPr>
        <w:fldChar w:fldCharType="begin"/>
      </w:r>
      <w:r>
        <w:rPr>
          <w:szCs w:val="24"/>
        </w:rPr>
        <w:instrText xml:space="preserve"> HYPERLINK \l _Toc610 </w:instrText>
      </w:r>
      <w:r>
        <w:rPr>
          <w:szCs w:val="24"/>
        </w:rPr>
        <w:fldChar w:fldCharType="separate"/>
      </w:r>
      <w:r>
        <w:rPr>
          <w:rFonts w:hint="eastAsia" w:ascii="宋体" w:hAnsi="宋体"/>
          <w:lang w:val="zh-CN"/>
        </w:rPr>
        <w:t>格式4：投标人承诺函</w:t>
      </w:r>
      <w:r>
        <w:tab/>
      </w:r>
      <w:r>
        <w:fldChar w:fldCharType="begin"/>
      </w:r>
      <w:r>
        <w:instrText xml:space="preserve"> PAGEREF _Toc610 \h </w:instrText>
      </w:r>
      <w:r>
        <w:fldChar w:fldCharType="separate"/>
      </w:r>
      <w:r>
        <w:t>29</w:t>
      </w:r>
      <w:r>
        <w:fldChar w:fldCharType="end"/>
      </w:r>
      <w:r>
        <w:rPr>
          <w:szCs w:val="24"/>
        </w:rPr>
        <w:fldChar w:fldCharType="end"/>
      </w:r>
    </w:p>
    <w:p w14:paraId="7C91D3BB">
      <w:pPr>
        <w:pStyle w:val="11"/>
        <w:tabs>
          <w:tab w:val="right" w:leader="dot" w:pos="9752"/>
        </w:tabs>
      </w:pPr>
      <w:r>
        <w:rPr>
          <w:szCs w:val="24"/>
        </w:rPr>
        <w:fldChar w:fldCharType="begin"/>
      </w:r>
      <w:r>
        <w:rPr>
          <w:szCs w:val="24"/>
        </w:rPr>
        <w:instrText xml:space="preserve"> HYPERLINK \l _Toc10680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_Toc10680 \h </w:instrText>
      </w:r>
      <w:r>
        <w:fldChar w:fldCharType="separate"/>
      </w:r>
      <w:r>
        <w:t>30</w:t>
      </w:r>
      <w:r>
        <w:fldChar w:fldCharType="end"/>
      </w:r>
      <w:r>
        <w:rPr>
          <w:szCs w:val="24"/>
        </w:rPr>
        <w:fldChar w:fldCharType="end"/>
      </w:r>
    </w:p>
    <w:p w14:paraId="44D9E30D">
      <w:pPr>
        <w:pStyle w:val="11"/>
        <w:tabs>
          <w:tab w:val="right" w:leader="dot" w:pos="9752"/>
        </w:tabs>
      </w:pPr>
      <w:r>
        <w:rPr>
          <w:szCs w:val="24"/>
        </w:rPr>
        <w:fldChar w:fldCharType="begin"/>
      </w:r>
      <w:r>
        <w:rPr>
          <w:szCs w:val="24"/>
        </w:rPr>
        <w:instrText xml:space="preserve"> HYPERLINK \l _Toc9784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：投标人资格证明文件</w:t>
      </w:r>
      <w:r>
        <w:tab/>
      </w:r>
      <w:r>
        <w:fldChar w:fldCharType="begin"/>
      </w:r>
      <w:r>
        <w:instrText xml:space="preserve"> PAGEREF _Toc9784 \h </w:instrText>
      </w:r>
      <w:r>
        <w:fldChar w:fldCharType="separate"/>
      </w:r>
      <w:r>
        <w:t>31</w:t>
      </w:r>
      <w:r>
        <w:fldChar w:fldCharType="end"/>
      </w:r>
      <w:r>
        <w:rPr>
          <w:szCs w:val="24"/>
        </w:rPr>
        <w:fldChar w:fldCharType="end"/>
      </w:r>
    </w:p>
    <w:p w14:paraId="43666EAC">
      <w:pPr>
        <w:pStyle w:val="11"/>
        <w:tabs>
          <w:tab w:val="right" w:leader="dot" w:pos="9752"/>
        </w:tabs>
      </w:pPr>
      <w:r>
        <w:rPr>
          <w:szCs w:val="24"/>
        </w:rPr>
        <w:fldChar w:fldCharType="begin"/>
      </w:r>
      <w:r>
        <w:rPr>
          <w:szCs w:val="24"/>
        </w:rPr>
        <w:instrText xml:space="preserve"> HYPERLINK \l _Toc10149 </w:instrText>
      </w:r>
      <w:r>
        <w:rPr>
          <w:szCs w:val="24"/>
        </w:rPr>
        <w:fldChar w:fldCharType="separate"/>
      </w:r>
      <w:r>
        <w:rPr>
          <w:rFonts w:hint="eastAsia" w:ascii="宋体" w:hAnsi="宋体"/>
          <w:lang w:val="zh-CN"/>
        </w:rPr>
        <w:t>格式7：无重大违法记录声明</w:t>
      </w:r>
      <w:r>
        <w:tab/>
      </w:r>
      <w:r>
        <w:fldChar w:fldCharType="begin"/>
      </w:r>
      <w:r>
        <w:instrText xml:space="preserve"> PAGEREF _Toc10149 \h </w:instrText>
      </w:r>
      <w:r>
        <w:fldChar w:fldCharType="separate"/>
      </w:r>
      <w:r>
        <w:t>32</w:t>
      </w:r>
      <w:r>
        <w:fldChar w:fldCharType="end"/>
      </w:r>
      <w:r>
        <w:rPr>
          <w:szCs w:val="24"/>
        </w:rPr>
        <w:fldChar w:fldCharType="end"/>
      </w:r>
    </w:p>
    <w:p w14:paraId="3149D3CD">
      <w:pPr>
        <w:pStyle w:val="11"/>
        <w:tabs>
          <w:tab w:val="right" w:leader="dot" w:pos="9752"/>
        </w:tabs>
      </w:pPr>
      <w:r>
        <w:rPr>
          <w:szCs w:val="24"/>
        </w:rPr>
        <w:fldChar w:fldCharType="begin"/>
      </w:r>
      <w:r>
        <w:rPr>
          <w:szCs w:val="24"/>
        </w:rPr>
        <w:instrText xml:space="preserve"> HYPERLINK \l _Toc4933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_Toc4933 \h </w:instrText>
      </w:r>
      <w:r>
        <w:fldChar w:fldCharType="separate"/>
      </w:r>
      <w:r>
        <w:t>33</w:t>
      </w:r>
      <w:r>
        <w:fldChar w:fldCharType="end"/>
      </w:r>
      <w:r>
        <w:rPr>
          <w:szCs w:val="24"/>
        </w:rPr>
        <w:fldChar w:fldCharType="end"/>
      </w:r>
    </w:p>
    <w:p w14:paraId="54DF8283">
      <w:pPr>
        <w:pStyle w:val="11"/>
        <w:tabs>
          <w:tab w:val="right" w:leader="dot" w:pos="9752"/>
        </w:tabs>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格式9：</w:t>
      </w:r>
      <w:r>
        <w:rPr>
          <w:rFonts w:hint="eastAsia" w:ascii="宋体" w:hAnsi="宋体"/>
          <w:lang w:val="zh-CN" w:eastAsia="zh-CN"/>
        </w:rPr>
        <w:t>磋商最初</w:t>
      </w:r>
      <w:r>
        <w:rPr>
          <w:rFonts w:hint="eastAsia" w:ascii="宋体" w:hAnsi="宋体"/>
          <w:lang w:val="zh-CN"/>
        </w:rPr>
        <w:t>报价表</w:t>
      </w:r>
      <w:r>
        <w:rPr>
          <w:rFonts w:hint="eastAsia" w:ascii="宋体" w:hAnsi="宋体"/>
          <w:lang w:val="zh-CN" w:eastAsia="zh-CN"/>
        </w:rPr>
        <w:t>（第一轮）</w:t>
      </w:r>
      <w:r>
        <w:tab/>
      </w:r>
      <w:r>
        <w:fldChar w:fldCharType="begin"/>
      </w:r>
      <w:r>
        <w:instrText xml:space="preserve"> PAGEREF _Toc22558 \h </w:instrText>
      </w:r>
      <w:r>
        <w:fldChar w:fldCharType="separate"/>
      </w:r>
      <w:r>
        <w:t>35</w:t>
      </w:r>
      <w:r>
        <w:fldChar w:fldCharType="end"/>
      </w:r>
      <w:r>
        <w:rPr>
          <w:szCs w:val="24"/>
        </w:rPr>
        <w:fldChar w:fldCharType="end"/>
      </w:r>
    </w:p>
    <w:p w14:paraId="27E3E236">
      <w:pPr>
        <w:pStyle w:val="11"/>
        <w:tabs>
          <w:tab w:val="right" w:leader="dot" w:pos="9752"/>
        </w:tabs>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10</w:t>
      </w:r>
      <w:r>
        <w:rPr>
          <w:rFonts w:hint="eastAsia" w:ascii="宋体" w:hAnsi="宋体"/>
          <w:lang w:val="zh-CN"/>
        </w:rPr>
        <w:t>：分项报价表</w:t>
      </w:r>
      <w:r>
        <w:tab/>
      </w:r>
      <w:r>
        <w:fldChar w:fldCharType="begin"/>
      </w:r>
      <w:r>
        <w:instrText xml:space="preserve"> PAGEREF _Toc32375 \h </w:instrText>
      </w:r>
      <w:r>
        <w:fldChar w:fldCharType="separate"/>
      </w:r>
      <w:r>
        <w:t>36</w:t>
      </w:r>
      <w:r>
        <w:fldChar w:fldCharType="end"/>
      </w:r>
      <w:r>
        <w:rPr>
          <w:szCs w:val="24"/>
        </w:rPr>
        <w:fldChar w:fldCharType="end"/>
      </w:r>
    </w:p>
    <w:p w14:paraId="5FE30497">
      <w:pPr>
        <w:pStyle w:val="11"/>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格式11：</w:t>
      </w:r>
      <w:r>
        <w:rPr>
          <w:rFonts w:hint="eastAsia" w:ascii="宋体" w:hAnsi="宋体" w:cs="Times New Roman"/>
          <w:lang w:val="zh-CN"/>
        </w:rPr>
        <w:t>技术规格响应表</w:t>
      </w:r>
      <w:r>
        <w:tab/>
      </w:r>
      <w:r>
        <w:rPr>
          <w:rFonts w:hint="eastAsia"/>
          <w:lang w:val="en-US" w:eastAsia="zh-CN"/>
        </w:rPr>
        <w:t>37</w:t>
      </w:r>
    </w:p>
    <w:p w14:paraId="590940B6">
      <w:pPr>
        <w:pStyle w:val="11"/>
        <w:tabs>
          <w:tab w:val="right" w:leader="dot" w:pos="9752"/>
        </w:tabs>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12-1</w:t>
      </w:r>
      <w:r>
        <w:rPr>
          <w:rFonts w:hint="eastAsia" w:ascii="宋体" w:hAnsi="宋体"/>
          <w:lang w:val="zh-CN"/>
        </w:rPr>
        <w:t>：</w:t>
      </w:r>
      <w:r>
        <w:rPr>
          <w:rFonts w:hint="eastAsia" w:ascii="宋体" w:hAnsi="宋体"/>
          <w:lang w:val="zh-CN" w:eastAsia="zh-CN"/>
        </w:rPr>
        <w:t>磋商最终</w:t>
      </w:r>
      <w:r>
        <w:rPr>
          <w:rFonts w:hint="eastAsia" w:ascii="宋体" w:hAnsi="宋体"/>
          <w:lang w:val="zh-CN"/>
        </w:rPr>
        <w:t>报价表</w:t>
      </w:r>
      <w:r>
        <w:rPr>
          <w:rFonts w:hint="eastAsia" w:ascii="宋体" w:hAnsi="宋体"/>
          <w:lang w:val="zh-CN" w:eastAsia="zh-CN"/>
        </w:rPr>
        <w:t>（最终轮）</w:t>
      </w:r>
      <w:r>
        <w:tab/>
      </w:r>
      <w:r>
        <w:fldChar w:fldCharType="begin"/>
      </w:r>
      <w:r>
        <w:instrText xml:space="preserve"> PAGEREF _Toc8830 \h </w:instrText>
      </w:r>
      <w:r>
        <w:fldChar w:fldCharType="separate"/>
      </w:r>
      <w:r>
        <w:t>38</w:t>
      </w:r>
      <w:r>
        <w:fldChar w:fldCharType="end"/>
      </w:r>
      <w:r>
        <w:rPr>
          <w:szCs w:val="24"/>
        </w:rPr>
        <w:fldChar w:fldCharType="end"/>
      </w:r>
    </w:p>
    <w:p w14:paraId="7B91D241">
      <w:pPr>
        <w:pStyle w:val="11"/>
        <w:tabs>
          <w:tab w:val="right" w:leader="dot" w:pos="9752"/>
        </w:tabs>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12-2</w:t>
      </w:r>
      <w:r>
        <w:rPr>
          <w:rFonts w:hint="eastAsia" w:ascii="宋体" w:hAnsi="宋体"/>
          <w:lang w:val="zh-CN" w:eastAsia="zh-CN"/>
        </w:rPr>
        <w:t>磋商最终</w:t>
      </w:r>
      <w:r>
        <w:rPr>
          <w:rFonts w:hint="eastAsia" w:ascii="宋体" w:hAnsi="宋体"/>
          <w:lang w:val="zh-CN"/>
        </w:rPr>
        <w:t>报价表</w:t>
      </w:r>
      <w:r>
        <w:tab/>
      </w:r>
      <w:r>
        <w:fldChar w:fldCharType="begin"/>
      </w:r>
      <w:r>
        <w:instrText xml:space="preserve"> PAGEREF _Toc20003 \h </w:instrText>
      </w:r>
      <w:r>
        <w:fldChar w:fldCharType="separate"/>
      </w:r>
      <w:r>
        <w:t>39</w:t>
      </w:r>
      <w:r>
        <w:fldChar w:fldCharType="end"/>
      </w:r>
      <w:r>
        <w:rPr>
          <w:szCs w:val="24"/>
        </w:rPr>
        <w:fldChar w:fldCharType="end"/>
      </w:r>
    </w:p>
    <w:p w14:paraId="63B59724">
      <w:pPr>
        <w:pStyle w:val="11"/>
        <w:tabs>
          <w:tab w:val="right" w:leader="dot" w:pos="9752"/>
        </w:tabs>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3</w:t>
      </w:r>
      <w:r>
        <w:rPr>
          <w:rFonts w:hint="eastAsia" w:ascii="宋体" w:hAnsi="宋体"/>
          <w:lang w:val="zh-CN"/>
        </w:rPr>
        <w:t>：其他资格证明材料</w:t>
      </w:r>
      <w:r>
        <w:tab/>
      </w:r>
      <w:r>
        <w:fldChar w:fldCharType="begin"/>
      </w:r>
      <w:r>
        <w:instrText xml:space="preserve"> PAGEREF _Toc11855 \h </w:instrText>
      </w:r>
      <w:r>
        <w:fldChar w:fldCharType="separate"/>
      </w:r>
      <w:r>
        <w:t>40</w:t>
      </w:r>
      <w:r>
        <w:fldChar w:fldCharType="end"/>
      </w:r>
      <w:r>
        <w:rPr>
          <w:szCs w:val="24"/>
        </w:rPr>
        <w:fldChar w:fldCharType="end"/>
      </w:r>
    </w:p>
    <w:p w14:paraId="7B78E249">
      <w:pPr>
        <w:pStyle w:val="11"/>
        <w:tabs>
          <w:tab w:val="right" w:leader="dot" w:pos="9752"/>
        </w:tabs>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4</w:t>
      </w:r>
      <w:r>
        <w:rPr>
          <w:rFonts w:hint="eastAsia" w:ascii="宋体" w:hAnsi="宋体"/>
          <w:lang w:val="zh-CN"/>
        </w:rPr>
        <w:t>：投标产品相关资料</w:t>
      </w:r>
      <w:r>
        <w:tab/>
      </w:r>
      <w:r>
        <w:fldChar w:fldCharType="begin"/>
      </w:r>
      <w:r>
        <w:instrText xml:space="preserve"> PAGEREF _Toc17068 \h </w:instrText>
      </w:r>
      <w:r>
        <w:fldChar w:fldCharType="separate"/>
      </w:r>
      <w:r>
        <w:t>41</w:t>
      </w:r>
      <w:r>
        <w:fldChar w:fldCharType="end"/>
      </w:r>
      <w:r>
        <w:rPr>
          <w:szCs w:val="24"/>
        </w:rPr>
        <w:fldChar w:fldCharType="end"/>
      </w:r>
    </w:p>
    <w:p w14:paraId="42401DBB">
      <w:pPr>
        <w:pStyle w:val="11"/>
        <w:tabs>
          <w:tab w:val="right" w:leader="dot" w:pos="9752"/>
        </w:tabs>
      </w:pPr>
      <w:r>
        <w:rPr>
          <w:szCs w:val="24"/>
        </w:rPr>
        <w:fldChar w:fldCharType="begin"/>
      </w:r>
      <w:r>
        <w:rPr>
          <w:szCs w:val="24"/>
        </w:rPr>
        <w:instrText xml:space="preserve"> HYPERLINK \l _Toc9914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：投标人的类似业绩证明材料</w:t>
      </w:r>
      <w:r>
        <w:tab/>
      </w:r>
      <w:r>
        <w:fldChar w:fldCharType="begin"/>
      </w:r>
      <w:r>
        <w:instrText xml:space="preserve"> PAGEREF _Toc9914 \h </w:instrText>
      </w:r>
      <w:r>
        <w:fldChar w:fldCharType="separate"/>
      </w:r>
      <w:r>
        <w:t>42</w:t>
      </w:r>
      <w:r>
        <w:fldChar w:fldCharType="end"/>
      </w:r>
      <w:r>
        <w:rPr>
          <w:szCs w:val="24"/>
        </w:rPr>
        <w:fldChar w:fldCharType="end"/>
      </w:r>
    </w:p>
    <w:p w14:paraId="49992E06">
      <w:pPr>
        <w:pStyle w:val="11"/>
        <w:tabs>
          <w:tab w:val="right" w:leader="dot" w:pos="9752"/>
        </w:tabs>
        <w:rPr>
          <w:rFonts w:hint="default" w:ascii="宋体" w:hAnsi="宋体" w:eastAsia="宋体" w:cs="Times New Roman"/>
          <w:lang w:val="en-US" w:eastAsia="zh-CN"/>
        </w:rPr>
      </w:pPr>
      <w:r>
        <w:rPr>
          <w:rFonts w:hint="eastAsia"/>
          <w:szCs w:val="24"/>
          <w:lang w:val="en-US" w:eastAsia="zh-CN"/>
        </w:rPr>
        <w:t>格式16：</w:t>
      </w:r>
      <w:r>
        <w:rPr>
          <w:rFonts w:hint="eastAsia" w:ascii="宋体" w:hAnsi="宋体" w:cs="Times New Roman"/>
          <w:lang w:val="zh-CN"/>
        </w:rPr>
        <w:t>中小企业声明函（货物）</w:t>
      </w:r>
      <w:r>
        <w:tab/>
      </w:r>
      <w:r>
        <w:rPr>
          <w:rFonts w:hint="eastAsia"/>
          <w:lang w:val="en-US" w:eastAsia="zh-CN"/>
        </w:rPr>
        <w:t>43</w:t>
      </w:r>
    </w:p>
    <w:p w14:paraId="211FEAE7">
      <w:pPr>
        <w:pStyle w:val="11"/>
        <w:tabs>
          <w:tab w:val="right" w:leader="dot" w:pos="9752"/>
        </w:tabs>
        <w:rPr>
          <w:rFonts w:hint="default" w:eastAsia="宋体"/>
          <w:lang w:val="en-US" w:eastAsia="zh-CN"/>
        </w:rPr>
      </w:pPr>
      <w:r>
        <w:rPr>
          <w:rFonts w:hint="eastAsia" w:ascii="宋体" w:hAnsi="宋体" w:cs="Times New Roman"/>
          <w:lang w:val="en-US" w:eastAsia="zh-CN"/>
        </w:rPr>
        <w:t>格式17：</w:t>
      </w:r>
      <w:r>
        <w:rPr>
          <w:rFonts w:hint="eastAsia" w:ascii="宋体" w:hAnsi="宋体" w:cs="Times New Roman"/>
          <w:lang w:val="zh-CN"/>
        </w:rPr>
        <w:t>残疾人福利性单位声明函</w:t>
      </w:r>
      <w:r>
        <w:tab/>
      </w:r>
      <w:r>
        <w:rPr>
          <w:rFonts w:hint="eastAsia"/>
          <w:lang w:val="en-US" w:eastAsia="zh-CN"/>
        </w:rPr>
        <w:t>44</w:t>
      </w:r>
    </w:p>
    <w:p w14:paraId="4D5BB0B9">
      <w:pPr>
        <w:pStyle w:val="11"/>
        <w:tabs>
          <w:tab w:val="right" w:leader="dot" w:pos="9752"/>
        </w:tabs>
        <w:rPr>
          <w:rFonts w:hint="default" w:eastAsia="宋体"/>
          <w:lang w:val="en-US" w:eastAsia="zh-CN"/>
        </w:rPr>
      </w:pPr>
      <w:r>
        <w:rPr>
          <w:rFonts w:hint="eastAsia" w:ascii="宋体" w:hAnsi="宋体" w:eastAsia="宋体" w:cs="Times New Roman"/>
          <w:b/>
          <w:bCs/>
          <w:caps/>
          <w:kern w:val="2"/>
          <w:sz w:val="24"/>
          <w:szCs w:val="20"/>
          <w:lang w:val="en-US" w:eastAsia="zh-CN" w:bidi="ar-SA"/>
        </w:rPr>
        <w:t>格式18</w:t>
      </w:r>
      <w:r>
        <w:rPr>
          <w:rFonts w:hint="eastAsia" w:ascii="宋体" w:hAnsi="宋体" w:cs="Times New Roman"/>
          <w:b/>
          <w:bCs/>
          <w:caps/>
          <w:kern w:val="2"/>
          <w:sz w:val="24"/>
          <w:szCs w:val="20"/>
          <w:lang w:val="en-US" w:eastAsia="zh-CN" w:bidi="ar-SA"/>
        </w:rPr>
        <w:t>：</w:t>
      </w:r>
      <w:r>
        <w:rPr>
          <w:rFonts w:hint="eastAsia" w:ascii="宋体" w:hAnsi="宋体" w:eastAsia="宋体" w:cs="Times New Roman"/>
          <w:b/>
          <w:bCs/>
          <w:caps/>
          <w:kern w:val="2"/>
          <w:sz w:val="24"/>
          <w:szCs w:val="20"/>
          <w:lang w:val="zh-CN" w:eastAsia="zh-CN" w:bidi="ar-SA"/>
        </w:rPr>
        <w:t>销售及服务相关内容</w:t>
      </w:r>
      <w:r>
        <w:tab/>
      </w:r>
      <w:r>
        <w:rPr>
          <w:rFonts w:hint="eastAsia"/>
          <w:lang w:val="en-US" w:eastAsia="zh-CN"/>
        </w:rPr>
        <w:t>45</w:t>
      </w:r>
    </w:p>
    <w:p w14:paraId="74A19459">
      <w:pPr>
        <w:pStyle w:val="11"/>
        <w:tabs>
          <w:tab w:val="right" w:leader="dot" w:pos="9752"/>
        </w:tabs>
        <w:rPr>
          <w:rFonts w:hint="eastAsia" w:eastAsia="宋体"/>
          <w:lang w:val="en-US" w:eastAsia="zh-CN"/>
        </w:rPr>
      </w:pPr>
      <w:r>
        <w:rPr>
          <w:szCs w:val="24"/>
        </w:rPr>
        <w:fldChar w:fldCharType="begin"/>
      </w:r>
      <w:r>
        <w:rPr>
          <w:szCs w:val="24"/>
        </w:rPr>
        <w:instrText xml:space="preserve"> HYPERLINK \l _Toc8017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9</w:t>
      </w:r>
      <w:r>
        <w:rPr>
          <w:rFonts w:hint="eastAsia" w:ascii="宋体" w:hAnsi="宋体"/>
          <w:lang w:val="zh-CN"/>
        </w:rPr>
        <w:t>：投标人认为在其他方面有必要说明的事项</w:t>
      </w:r>
      <w:r>
        <w:tab/>
      </w:r>
      <w:r>
        <w:rPr>
          <w:rFonts w:hint="eastAsia"/>
          <w:lang w:val="en-US" w:eastAsia="zh-CN"/>
        </w:rPr>
        <w:t>4</w:t>
      </w:r>
      <w:r>
        <w:rPr>
          <w:szCs w:val="24"/>
        </w:rPr>
        <w:fldChar w:fldCharType="end"/>
      </w:r>
      <w:r>
        <w:rPr>
          <w:rFonts w:hint="eastAsia"/>
          <w:szCs w:val="24"/>
          <w:lang w:val="en-US" w:eastAsia="zh-CN"/>
        </w:rPr>
        <w:t>6</w:t>
      </w:r>
    </w:p>
    <w:p w14:paraId="2EE2CA7C">
      <w:pPr>
        <w:pStyle w:val="11"/>
        <w:tabs>
          <w:tab w:val="right" w:leader="dot" w:pos="9752"/>
        </w:tabs>
      </w:pPr>
      <w:r>
        <w:rPr>
          <w:szCs w:val="24"/>
        </w:rPr>
        <w:fldChar w:fldCharType="begin"/>
      </w:r>
      <w:r>
        <w:rPr>
          <w:szCs w:val="24"/>
        </w:rPr>
        <w:instrText xml:space="preserve"> HYPERLINK \l _Toc28339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fldChar w:fldCharType="begin"/>
      </w:r>
      <w:r>
        <w:instrText xml:space="preserve"> PAGEREF _Toc28339 \h </w:instrText>
      </w:r>
      <w:r>
        <w:fldChar w:fldCharType="separate"/>
      </w:r>
      <w:r>
        <w:t>50</w:t>
      </w:r>
      <w:r>
        <w:fldChar w:fldCharType="end"/>
      </w:r>
      <w:r>
        <w:rPr>
          <w:szCs w:val="24"/>
        </w:rPr>
        <w:fldChar w:fldCharType="end"/>
      </w:r>
    </w:p>
    <w:p w14:paraId="7982131A">
      <w:pPr>
        <w:spacing w:line="400" w:lineRule="exact"/>
        <w:jc w:val="distribute"/>
        <w:rPr>
          <w:szCs w:val="24"/>
        </w:rPr>
        <w:sectPr>
          <w:headerReference r:id="rId3" w:type="default"/>
          <w:footerReference r:id="rId4" w:type="default"/>
          <w:pgSz w:w="11906" w:h="16838"/>
          <w:pgMar w:top="1020" w:right="1134" w:bottom="1020" w:left="1020" w:header="851" w:footer="850" w:gutter="0"/>
          <w:cols w:space="720" w:num="1"/>
          <w:rtlGutter w:val="0"/>
          <w:docGrid w:linePitch="312" w:charSpace="0"/>
        </w:sectPr>
      </w:pPr>
      <w:r>
        <w:rPr>
          <w:szCs w:val="24"/>
        </w:rPr>
        <w:fldChar w:fldCharType="end"/>
      </w:r>
    </w:p>
    <w:p w14:paraId="72944640">
      <w:pPr>
        <w:jc w:val="center"/>
        <w:outlineLvl w:val="0"/>
        <w:rPr>
          <w:b/>
          <w:sz w:val="28"/>
        </w:rPr>
      </w:pPr>
      <w:bookmarkStart w:id="0" w:name="_Toc18531"/>
      <w:bookmarkStart w:id="1" w:name="_Toc10230"/>
      <w:bookmarkStart w:id="2" w:name="_Toc29350"/>
      <w:bookmarkStart w:id="3" w:name="_Toc440276621"/>
      <w:bookmarkStart w:id="4" w:name="_Toc428180536"/>
      <w:r>
        <w:rPr>
          <w:rFonts w:hint="eastAsia"/>
          <w:b/>
          <w:sz w:val="28"/>
        </w:rPr>
        <w:t>第一部分  投标人须知前附表</w:t>
      </w:r>
      <w:bookmarkEnd w:id="0"/>
      <w:bookmarkEnd w:id="1"/>
      <w:bookmarkEnd w:id="2"/>
      <w:bookmarkEnd w:id="3"/>
    </w:p>
    <w:p w14:paraId="51B96116">
      <w:pPr>
        <w:jc w:val="left"/>
      </w:pPr>
    </w:p>
    <w:p w14:paraId="696E57F6">
      <w:pPr>
        <w:jc w:val="center"/>
        <w:rPr>
          <w:rFonts w:hint="eastAsia"/>
          <w:sz w:val="44"/>
        </w:rPr>
      </w:pPr>
      <w:r>
        <w:rPr>
          <w:rFonts w:hint="eastAsia"/>
          <w:sz w:val="44"/>
        </w:rPr>
        <w:t>竞争性磋商公告</w:t>
      </w:r>
    </w:p>
    <w:p w14:paraId="11F4AE16">
      <w:pPr>
        <w:rPr>
          <w:rFonts w:hint="eastAsia"/>
        </w:rPr>
      </w:pPr>
    </w:p>
    <w:tbl>
      <w:tblPr>
        <w:tblStyle w:val="1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51E8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6821099C">
            <w:pPr>
              <w:widowControl/>
              <w:spacing w:line="320" w:lineRule="exact"/>
              <w:rPr>
                <w:rFonts w:ascii="宋体" w:hAnsi="宋体" w:cs="宋体"/>
                <w:kern w:val="0"/>
                <w:sz w:val="24"/>
                <w:szCs w:val="24"/>
              </w:rPr>
            </w:pPr>
            <w:bookmarkStart w:id="5" w:name="OLE_LINK1"/>
            <w:r>
              <w:rPr>
                <w:rFonts w:ascii="宋体" w:hAnsi="宋体" w:cs="宋体"/>
                <w:kern w:val="0"/>
                <w:sz w:val="24"/>
                <w:szCs w:val="24"/>
              </w:rPr>
              <w:t>采购项目编号</w:t>
            </w:r>
          </w:p>
        </w:tc>
        <w:tc>
          <w:tcPr>
            <w:tcW w:w="7620" w:type="dxa"/>
            <w:noWrap w:val="0"/>
            <w:vAlign w:val="center"/>
          </w:tcPr>
          <w:p w14:paraId="36A39D02">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宁政采磋商（货物）2025-034号</w:t>
            </w:r>
          </w:p>
        </w:tc>
      </w:tr>
      <w:tr w14:paraId="334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13F1B343">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6E5077F">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西宁市沈那中学室外宣传大屏及计算机教室建设项目</w:t>
            </w:r>
          </w:p>
        </w:tc>
      </w:tr>
      <w:tr w14:paraId="73C7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0BCF2D28">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78013686">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0632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168603BE">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62EE5923">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80</w:t>
            </w:r>
            <w:r>
              <w:rPr>
                <w:rFonts w:hint="eastAsia" w:ascii="宋体" w:hAnsi="宋体" w:cs="方正小标宋简体"/>
                <w:kern w:val="0"/>
                <w:sz w:val="24"/>
                <w:szCs w:val="24"/>
              </w:rPr>
              <w:t>万元</w:t>
            </w:r>
          </w:p>
        </w:tc>
      </w:tr>
      <w:tr w14:paraId="3BAF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24A9691E">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0565BD53">
            <w:pPr>
              <w:keepNext w:val="0"/>
              <w:keepLines w:val="0"/>
              <w:widowControl/>
              <w:suppressLineNumbers w:val="0"/>
              <w:jc w:val="both"/>
              <w:textAlignment w:val="center"/>
              <w:rPr>
                <w:rFonts w:hint="eastAsia" w:ascii="宋体" w:hAnsi="宋体" w:eastAsia="宋体" w:cs="方正小标宋简体"/>
                <w:kern w:val="0"/>
                <w:sz w:val="24"/>
                <w:szCs w:val="24"/>
                <w:lang w:val="en-US" w:eastAsia="zh-CN"/>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4C4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4AEB8132">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134303D9">
            <w:pPr>
              <w:pStyle w:val="18"/>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1AB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2694" w:type="dxa"/>
            <w:noWrap w:val="0"/>
            <w:vAlign w:val="center"/>
          </w:tcPr>
          <w:p w14:paraId="3006A078">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4385F86E">
            <w:pPr>
              <w:widowControl/>
              <w:spacing w:line="320" w:lineRule="exact"/>
              <w:jc w:val="left"/>
              <w:rPr>
                <w:rFonts w:hint="eastAsia"/>
              </w:rPr>
            </w:pPr>
            <w:r>
              <w:rPr>
                <w:rFonts w:hint="eastAsia"/>
              </w:rPr>
              <w:t>1、应具备《政府采购法》第22条所规定的条件：</w:t>
            </w:r>
          </w:p>
          <w:p w14:paraId="2F6F7C25">
            <w:pPr>
              <w:widowControl/>
              <w:spacing w:line="320" w:lineRule="exact"/>
              <w:jc w:val="left"/>
              <w:rPr>
                <w:rFonts w:hint="eastAsia"/>
              </w:rPr>
            </w:pPr>
            <w:r>
              <w:rPr>
                <w:rFonts w:hint="eastAsia"/>
              </w:rPr>
              <w:t>（1）投标人的营业执照等证明文件，自然人的身份证明；</w:t>
            </w:r>
          </w:p>
          <w:p w14:paraId="77CE094A">
            <w:pPr>
              <w:widowControl/>
              <w:spacing w:line="320" w:lineRule="exact"/>
              <w:jc w:val="left"/>
              <w:rPr>
                <w:rFonts w:hint="eastAsia"/>
              </w:rPr>
            </w:pPr>
            <w:r>
              <w:rPr>
                <w:rFonts w:hint="eastAsia"/>
              </w:rPr>
              <w:t>（2）参加政府采购活动前3年内在经营活动中没有重大违法记录的书面声明；</w:t>
            </w:r>
          </w:p>
          <w:p w14:paraId="775D1DAF">
            <w:pPr>
              <w:widowControl/>
              <w:spacing w:line="320" w:lineRule="exact"/>
              <w:jc w:val="left"/>
              <w:rPr>
                <w:rFonts w:hint="eastAsia"/>
              </w:rPr>
            </w:pPr>
            <w:r>
              <w:rPr>
                <w:rFonts w:hint="eastAsia"/>
              </w:rPr>
              <w:t>（3）具备法律、行政法规规定的其他条件的证明材料。</w:t>
            </w:r>
          </w:p>
          <w:p w14:paraId="17959FF2">
            <w:pPr>
              <w:widowControl/>
              <w:spacing w:line="320" w:lineRule="exact"/>
              <w:jc w:val="left"/>
              <w:rPr>
                <w:rFonts w:hint="eastAsia" w:eastAsia="宋体"/>
                <w:lang w:eastAsia="zh-CN"/>
              </w:rPr>
            </w:pPr>
            <w:r>
              <w:rPr>
                <w:rFonts w:hint="eastAsia"/>
              </w:rPr>
              <w:t>2、经信用中国（www.creditchina.gov.cn）、中国政府采购网（www.ccgp.gov.cn）等渠道查询后，列入失信被执行人、重大税收违法案件当事人名单、政府采购严重违法失信行为记录名单的，取消投标资格。（</w:t>
            </w:r>
            <w:r>
              <w:rPr>
                <w:rFonts w:hint="eastAsia"/>
                <w:lang w:eastAsia="zh-CN"/>
              </w:rPr>
              <w:t>以现场实际查验为准</w:t>
            </w:r>
            <w:r>
              <w:rPr>
                <w:rFonts w:hint="eastAsia"/>
              </w:rPr>
              <w:t>）</w:t>
            </w:r>
            <w:r>
              <w:rPr>
                <w:rFonts w:hint="eastAsia"/>
                <w:lang w:eastAsia="zh-CN"/>
              </w:rPr>
              <w:t>；</w:t>
            </w:r>
          </w:p>
          <w:p w14:paraId="1BFBF056">
            <w:pPr>
              <w:widowControl/>
              <w:spacing w:line="320" w:lineRule="exact"/>
              <w:jc w:val="left"/>
              <w:rPr>
                <w:rFonts w:hint="eastAsia" w:eastAsia="宋体"/>
                <w:lang w:eastAsia="zh-CN"/>
              </w:rPr>
            </w:pPr>
            <w:r>
              <w:rPr>
                <w:rFonts w:hint="eastAsia"/>
              </w:rPr>
              <w:t>3、单位负责人为同一人或者存在直接控股、管理关系的不同供应商，不得参加同一合同项下的政府采购活动。否则，皆取消投标资格</w:t>
            </w:r>
            <w:r>
              <w:rPr>
                <w:rFonts w:hint="eastAsia"/>
                <w:lang w:eastAsia="zh-CN"/>
              </w:rPr>
              <w:t>；</w:t>
            </w:r>
          </w:p>
          <w:p w14:paraId="04007CAF">
            <w:pPr>
              <w:widowControl/>
              <w:spacing w:line="320" w:lineRule="exact"/>
              <w:jc w:val="left"/>
              <w:rPr>
                <w:rFonts w:hint="eastAsia" w:eastAsia="宋体"/>
                <w:lang w:eastAsia="zh-CN"/>
              </w:rPr>
            </w:pPr>
            <w:r>
              <w:rPr>
                <w:rFonts w:hint="eastAsia"/>
              </w:rPr>
              <w:t>4、为本采购项目提供整体设计、规范编制或者项目管理、监理、检测等服务的供应商，不得再参加该采购项目的其他采购活动</w:t>
            </w:r>
            <w:r>
              <w:rPr>
                <w:rFonts w:hint="eastAsia"/>
                <w:lang w:eastAsia="zh-CN"/>
              </w:rPr>
              <w:t>；</w:t>
            </w:r>
          </w:p>
          <w:p w14:paraId="710160AD">
            <w:pPr>
              <w:widowControl/>
              <w:spacing w:line="320" w:lineRule="exact"/>
              <w:jc w:val="left"/>
              <w:rPr>
                <w:rFonts w:hint="eastAsia" w:eastAsia="宋体"/>
                <w:lang w:eastAsia="zh-CN"/>
              </w:rPr>
            </w:pPr>
            <w:r>
              <w:rPr>
                <w:rFonts w:hint="eastAsia"/>
              </w:rPr>
              <w:t>5、本项目不接受供应商以联合体方式进行投标</w:t>
            </w:r>
            <w:r>
              <w:rPr>
                <w:rFonts w:hint="eastAsia"/>
                <w:lang w:eastAsia="zh-CN"/>
              </w:rPr>
              <w:t>；</w:t>
            </w:r>
          </w:p>
          <w:p w14:paraId="690245CA">
            <w:pPr>
              <w:widowControl/>
              <w:spacing w:line="320" w:lineRule="exact"/>
              <w:jc w:val="left"/>
              <w:rPr>
                <w:rFonts w:hint="eastAsia"/>
                <w:lang w:eastAsia="zh-CN"/>
              </w:rPr>
            </w:pPr>
            <w:r>
              <w:rPr>
                <w:rFonts w:hint="eastAsia"/>
              </w:rPr>
              <w:t>6、招标文件中规定的其他资质条件</w:t>
            </w:r>
            <w:r>
              <w:rPr>
                <w:rFonts w:hint="eastAsia"/>
                <w:lang w:eastAsia="zh-CN"/>
              </w:rPr>
              <w:t>；</w:t>
            </w:r>
          </w:p>
        </w:tc>
      </w:tr>
      <w:tr w14:paraId="6CB8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4B6F30E8">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6EB64FC2">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26</w:t>
            </w:r>
            <w:r>
              <w:rPr>
                <w:rFonts w:hint="eastAsia" w:ascii="宋体" w:hAnsi="宋体" w:cs="Tahoma"/>
                <w:color w:val="0000FF"/>
                <w:kern w:val="0"/>
                <w:sz w:val="24"/>
                <w:szCs w:val="24"/>
              </w:rPr>
              <w:t>日</w:t>
            </w:r>
          </w:p>
        </w:tc>
      </w:tr>
      <w:tr w14:paraId="7572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5268DC5D">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56ABD348">
            <w:pPr>
              <w:pStyle w:val="19"/>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6</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26</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3</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5466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38C6C93E">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2FBF0D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。《青海政府采购网》免费下载招标文件。（提示：请潜在供应商报名前务必完成网上企业注册等手续；具体操作详见附件操作指南）</w:t>
            </w:r>
          </w:p>
        </w:tc>
      </w:tr>
      <w:tr w14:paraId="197E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7631B5E7">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26D6B5B4">
            <w:pPr>
              <w:widowControl/>
              <w:spacing w:line="320" w:lineRule="exact"/>
              <w:rPr>
                <w:rFonts w:ascii="宋体" w:hAnsi="宋体"/>
                <w:sz w:val="24"/>
                <w:szCs w:val="24"/>
              </w:rPr>
            </w:pPr>
            <w:r>
              <w:rPr>
                <w:rFonts w:hint="eastAsia" w:ascii="宋体" w:hAnsi="宋体" w:cs="Tahoma"/>
                <w:kern w:val="0"/>
                <w:sz w:val="24"/>
                <w:szCs w:val="24"/>
              </w:rPr>
              <w:t>《青海政府采购网》免费下载招标文件。</w:t>
            </w:r>
          </w:p>
        </w:tc>
      </w:tr>
      <w:tr w14:paraId="3844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77FB944E">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78904914">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8</w:t>
            </w:r>
            <w:r>
              <w:rPr>
                <w:rFonts w:hint="eastAsia" w:ascii="宋体" w:hAnsi="宋体" w:cs="Tahoma"/>
                <w:color w:val="0000FF"/>
                <w:kern w:val="0"/>
                <w:sz w:val="24"/>
                <w:szCs w:val="24"/>
              </w:rPr>
              <w:t>日上午 9:15:00时</w:t>
            </w:r>
          </w:p>
        </w:tc>
      </w:tr>
      <w:tr w14:paraId="537B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94" w:type="dxa"/>
            <w:noWrap w:val="0"/>
            <w:vAlign w:val="center"/>
          </w:tcPr>
          <w:p w14:paraId="2A40CEB2">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投标及开标地点</w:t>
            </w:r>
          </w:p>
        </w:tc>
        <w:tc>
          <w:tcPr>
            <w:tcW w:w="7620" w:type="dxa"/>
            <w:noWrap w:val="0"/>
            <w:vAlign w:val="center"/>
          </w:tcPr>
          <w:p w14:paraId="67793D5F">
            <w:pPr>
              <w:widowControl/>
              <w:spacing w:before="100" w:beforeAutospacing="1" w:after="100" w:afterAutospacing="1"/>
              <w:jc w:val="left"/>
              <w:rPr>
                <w:rFonts w:hint="eastAsia"/>
                <w:sz w:val="24"/>
                <w:szCs w:val="24"/>
              </w:rPr>
            </w:pPr>
            <w:r>
              <w:rPr>
                <w:rFonts w:hint="eastAsia"/>
                <w:sz w:val="24"/>
                <w:szCs w:val="24"/>
              </w:rPr>
              <w:t>政采云平台（www.zcygov.cn）</w:t>
            </w:r>
          </w:p>
          <w:p w14:paraId="1E32AB0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如非系统原因造成无法解密的或非系统原因加密文件上传不成功的或没办理CA锁而造成加密文件无法解密、加密文件无法上传的视为无效投标。</w:t>
            </w:r>
            <w:r>
              <w:rPr>
                <w:rFonts w:hint="eastAsia"/>
                <w:b/>
                <w:color w:val="0000FF"/>
                <w:sz w:val="24"/>
                <w:szCs w:val="24"/>
                <w:lang w:eastAsia="zh-CN"/>
              </w:rPr>
              <w:t>（提示：请供应商开启解密后随时关注政采云系统短信，及时完成后续操作）</w:t>
            </w:r>
          </w:p>
        </w:tc>
      </w:tr>
      <w:tr w14:paraId="0494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06E830AF">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7EABA152">
            <w:pPr>
              <w:rPr>
                <w:rFonts w:hint="eastAsia" w:ascii="宋体" w:hAnsi="宋体" w:cs="Tahoma"/>
                <w:kern w:val="0"/>
                <w:sz w:val="24"/>
                <w:szCs w:val="24"/>
              </w:rPr>
            </w:pPr>
            <w:r>
              <w:rPr>
                <w:rFonts w:hint="eastAsia" w:ascii="宋体" w:hAnsi="Cambria" w:cs="宋体"/>
                <w:color w:val="auto"/>
                <w:kern w:val="0"/>
                <w:sz w:val="24"/>
                <w:szCs w:val="24"/>
                <w:lang w:val="zh-CN"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不接受答疑或澄清按无效投标处理</w:t>
            </w:r>
            <w:r>
              <w:rPr>
                <w:rFonts w:hint="eastAsia" w:ascii="宋体" w:hAnsi="Cambria" w:eastAsia="宋体" w:cs="宋体"/>
                <w:color w:val="auto"/>
                <w:kern w:val="0"/>
                <w:sz w:val="24"/>
                <w:szCs w:val="24"/>
                <w:lang w:val="zh-CN"/>
              </w:rPr>
              <w:t>。</w:t>
            </w:r>
          </w:p>
        </w:tc>
      </w:tr>
      <w:tr w14:paraId="711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75EB61D0">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1C6E082C">
            <w:pPr>
              <w:rPr>
                <w:rFonts w:hint="eastAsia" w:ascii="宋体" w:hAnsi="宋体" w:cs="宋体"/>
                <w:kern w:val="0"/>
                <w:sz w:val="24"/>
                <w:szCs w:val="24"/>
              </w:rPr>
            </w:pPr>
            <w:r>
              <w:rPr>
                <w:rFonts w:hint="eastAsia" w:ascii="宋体" w:hAnsi="宋体" w:cs="宋体"/>
                <w:kern w:val="0"/>
                <w:sz w:val="24"/>
                <w:szCs w:val="24"/>
                <w:lang w:eastAsia="zh-CN"/>
              </w:rPr>
              <w:t>西宁市沈那中学</w:t>
            </w:r>
            <w:r>
              <w:rPr>
                <w:rFonts w:hint="eastAsia" w:ascii="宋体" w:hAnsi="宋体" w:cs="宋体"/>
                <w:kern w:val="0"/>
                <w:sz w:val="24"/>
                <w:szCs w:val="24"/>
              </w:rPr>
              <w:t xml:space="preserve">        </w:t>
            </w:r>
          </w:p>
          <w:p w14:paraId="3A528E74">
            <w:pPr>
              <w:rPr>
                <w:rFonts w:hint="default" w:ascii="宋体" w:hAnsi="宋体" w:eastAsia="宋体" w:cs="宋体"/>
                <w:kern w:val="0"/>
                <w:sz w:val="24"/>
                <w:szCs w:val="24"/>
                <w:lang w:val="en-US" w:eastAsia="zh-CN"/>
              </w:rPr>
            </w:pPr>
            <w:r>
              <w:rPr>
                <w:rFonts w:hint="eastAsia" w:ascii="宋体" w:hAnsi="宋体" w:cs="Tahoma"/>
                <w:kern w:val="0"/>
                <w:sz w:val="24"/>
                <w:szCs w:val="24"/>
              </w:rPr>
              <w:t>联系人：</w:t>
            </w:r>
            <w:r>
              <w:rPr>
                <w:rFonts w:hint="eastAsia" w:ascii="宋体" w:hAnsi="宋体" w:cs="Tahoma"/>
                <w:kern w:val="0"/>
                <w:sz w:val="24"/>
                <w:szCs w:val="24"/>
                <w:lang w:val="en-US" w:eastAsia="zh-CN"/>
              </w:rPr>
              <w:t>赵先生</w:t>
            </w:r>
            <w:r>
              <w:rPr>
                <w:rFonts w:hint="eastAsia" w:ascii="宋体" w:hAnsi="宋体" w:cs="Tahoma"/>
                <w:kern w:val="0"/>
                <w:sz w:val="24"/>
                <w:szCs w:val="24"/>
              </w:rPr>
              <w:t xml:space="preserve">             </w:t>
            </w:r>
            <w:r>
              <w:rPr>
                <w:rFonts w:hint="eastAsia" w:ascii="宋体" w:hAnsi="宋体" w:cs="Tahoma"/>
                <w:kern w:val="0"/>
                <w:sz w:val="24"/>
                <w:szCs w:val="24"/>
                <w:lang w:val="en-US" w:eastAsia="zh-CN"/>
              </w:rPr>
              <w:t xml:space="preserve"> </w:t>
            </w:r>
            <w:r>
              <w:rPr>
                <w:rFonts w:hint="eastAsia" w:ascii="宋体" w:hAnsi="宋体" w:cs="Tahoma"/>
                <w:kern w:val="0"/>
                <w:sz w:val="24"/>
                <w:szCs w:val="24"/>
              </w:rPr>
              <w:t>联系电话：</w:t>
            </w:r>
            <w:r>
              <w:rPr>
                <w:rFonts w:hint="eastAsia" w:ascii="宋体" w:hAnsi="宋体" w:cs="Tahoma"/>
                <w:kern w:val="0"/>
                <w:sz w:val="24"/>
                <w:szCs w:val="24"/>
                <w:lang w:val="en-US" w:eastAsia="zh-CN"/>
              </w:rPr>
              <w:t>0971-</w:t>
            </w:r>
            <w:r>
              <w:rPr>
                <w:rFonts w:hint="eastAsia" w:ascii="宋体" w:hAnsi="宋体"/>
                <w:color w:val="auto"/>
                <w:kern w:val="0"/>
                <w:sz w:val="24"/>
                <w:szCs w:val="24"/>
              </w:rPr>
              <w:t>4290360</w:t>
            </w:r>
          </w:p>
        </w:tc>
      </w:tr>
      <w:tr w14:paraId="53E2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747C899F">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37EF88CB">
            <w:pPr>
              <w:widowControl/>
              <w:spacing w:line="320" w:lineRule="exact"/>
              <w:jc w:val="left"/>
              <w:rPr>
                <w:rFonts w:hint="eastAsia" w:ascii="宋体" w:hAnsi="宋体"/>
                <w:sz w:val="24"/>
                <w:szCs w:val="24"/>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rPr>
              <w:t>西宁市政府采购中心</w:t>
            </w:r>
          </w:p>
          <w:p w14:paraId="47FD40BE">
            <w:pPr>
              <w:widowControl/>
              <w:spacing w:line="320" w:lineRule="exact"/>
              <w:jc w:val="left"/>
              <w:rPr>
                <w:rFonts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lang w:eastAsia="zh-CN"/>
              </w:rPr>
              <w:t>高女士</w:t>
            </w:r>
            <w:r>
              <w:rPr>
                <w:rFonts w:hint="eastAsia" w:ascii="宋体" w:hAnsi="宋体" w:cs="宋体"/>
                <w:kern w:val="0"/>
                <w:sz w:val="24"/>
                <w:szCs w:val="24"/>
              </w:rPr>
              <w:t xml:space="preserve">              联系电话：0971-7661369</w:t>
            </w:r>
            <w:r>
              <w:rPr>
                <w:rFonts w:hint="eastAsia" w:ascii="宋体" w:hAnsi="宋体"/>
                <w:kern w:val="16"/>
                <w:sz w:val="24"/>
                <w:szCs w:val="24"/>
              </w:rPr>
              <w:t xml:space="preserve"> </w:t>
            </w:r>
          </w:p>
        </w:tc>
      </w:tr>
      <w:tr w14:paraId="2EA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2694" w:type="dxa"/>
            <w:noWrap w:val="0"/>
            <w:vAlign w:val="center"/>
          </w:tcPr>
          <w:p w14:paraId="115E7C33">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其他事项</w:t>
            </w:r>
          </w:p>
        </w:tc>
        <w:tc>
          <w:tcPr>
            <w:tcW w:w="7620" w:type="dxa"/>
            <w:noWrap w:val="0"/>
            <w:vAlign w:val="top"/>
          </w:tcPr>
          <w:p w14:paraId="51CD5B3D">
            <w:pPr>
              <w:widowControl/>
              <w:spacing w:line="320" w:lineRule="exact"/>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cs="Times New Roman"/>
                <w:lang w:eastAsia="zh-CN"/>
              </w:rPr>
              <w:t>；</w:t>
            </w:r>
          </w:p>
          <w:p w14:paraId="13B106EB">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2、线上电子化开评标系统操作及办理CA锁等相关事宜请咨询政采云：咨询电话：</w:t>
            </w:r>
            <w:r>
              <w:rPr>
                <w:rFonts w:hint="eastAsia" w:ascii="Times New Roman" w:hAnsi="Times New Roman" w:eastAsia="宋体" w:cs="Times New Roman"/>
                <w:lang w:val="en-US" w:eastAsia="zh-CN"/>
              </w:rPr>
              <w:t>95763</w:t>
            </w:r>
            <w:r>
              <w:rPr>
                <w:rFonts w:hint="eastAsia" w:cs="Times New Roman"/>
                <w:lang w:val="en-US" w:eastAsia="zh-CN"/>
              </w:rPr>
              <w:t>；</w:t>
            </w:r>
          </w:p>
          <w:p w14:paraId="1E545856">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3、线上CA：</w:t>
            </w:r>
          </w:p>
          <w:p w14:paraId="1FE4136A">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PC咨询网址（可及时反馈问题截图，让客服快速定位问题）:http://tseal.cn/k.html，咨询电话：</w:t>
            </w:r>
            <w:r>
              <w:rPr>
                <w:rFonts w:hint="eastAsia" w:ascii="Times New Roman" w:hAnsi="Times New Roman" w:eastAsia="宋体" w:cs="Times New Roman"/>
                <w:lang w:val="en-US" w:eastAsia="zh-CN"/>
              </w:rPr>
              <w:t>95763</w:t>
            </w:r>
            <w:r>
              <w:rPr>
                <w:rFonts w:hint="eastAsia" w:cs="Times New Roman"/>
                <w:lang w:val="en-US" w:eastAsia="zh-CN"/>
              </w:rPr>
              <w:t>；</w:t>
            </w:r>
          </w:p>
          <w:p w14:paraId="0C8E849A">
            <w:pPr>
              <w:widowControl/>
              <w:spacing w:line="320" w:lineRule="exact"/>
              <w:jc w:val="left"/>
              <w:rPr>
                <w:rFonts w:hint="eastAsia" w:cs="Times New Roman"/>
                <w:color w:val="0000FF"/>
                <w:lang w:val="en-US" w:eastAsia="zh-CN"/>
              </w:rPr>
            </w:pPr>
            <w:r>
              <w:rPr>
                <w:rFonts w:hint="eastAsia" w:cs="Times New Roman"/>
                <w:color w:val="0000FF"/>
                <w:lang w:val="en-US" w:eastAsia="zh-CN"/>
              </w:rPr>
              <w:t>4、供货期：50个日历天；</w:t>
            </w:r>
          </w:p>
          <w:p w14:paraId="37B03ADC">
            <w:pPr>
              <w:widowControl/>
              <w:spacing w:line="320" w:lineRule="exact"/>
              <w:jc w:val="left"/>
              <w:rPr>
                <w:rFonts w:hint="default" w:cs="Times New Roman"/>
                <w:color w:val="0000FF"/>
                <w:lang w:val="en-US" w:eastAsia="zh-CN"/>
              </w:rPr>
            </w:pPr>
            <w:r>
              <w:rPr>
                <w:rFonts w:hint="eastAsia" w:cs="Times New Roman"/>
                <w:color w:val="0000FF"/>
                <w:lang w:val="en-US" w:eastAsia="zh-CN"/>
              </w:rPr>
              <w:t>5、履约保证金：无；</w:t>
            </w:r>
          </w:p>
          <w:p w14:paraId="2088F835">
            <w:pPr>
              <w:widowControl/>
              <w:spacing w:line="320" w:lineRule="exact"/>
              <w:jc w:val="left"/>
              <w:rPr>
                <w:rFonts w:hint="default" w:cs="Times New Roman"/>
                <w:color w:val="0000FF"/>
                <w:lang w:val="en-US" w:eastAsia="zh-CN"/>
              </w:rPr>
            </w:pPr>
            <w:r>
              <w:rPr>
                <w:rFonts w:hint="eastAsia" w:cs="Times New Roman"/>
                <w:color w:val="0000FF"/>
                <w:lang w:val="en-US" w:eastAsia="zh-CN"/>
              </w:rPr>
              <w:t>6、合同预付款：合同签订后15日内甲方支付合同金额的30%作为预付款；</w:t>
            </w:r>
          </w:p>
          <w:p w14:paraId="73933E4C">
            <w:pPr>
              <w:widowControl/>
              <w:spacing w:line="320" w:lineRule="exact"/>
              <w:jc w:val="left"/>
              <w:rPr>
                <w:rFonts w:hint="default" w:ascii="Times New Roman" w:hAnsi="Times New Roman" w:eastAsia="宋体" w:cs="Times New Roman"/>
                <w:lang w:val="en-US" w:eastAsia="zh-CN"/>
              </w:rPr>
            </w:pPr>
            <w:r>
              <w:rPr>
                <w:rFonts w:hint="eastAsia" w:cs="Times New Roman"/>
                <w:color w:val="0000FF"/>
                <w:lang w:val="en-US" w:eastAsia="zh-CN"/>
              </w:rPr>
              <w:t>7、采购标的物所属行业:制造业。</w:t>
            </w:r>
          </w:p>
        </w:tc>
      </w:tr>
      <w:tr w14:paraId="7B47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0D70421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66D1182B">
            <w:pPr>
              <w:widowControl/>
              <w:spacing w:line="320" w:lineRule="exact"/>
              <w:jc w:val="left"/>
              <w:rPr>
                <w:rFonts w:ascii="宋体" w:hAnsi="宋体" w:cs="宋体"/>
                <w:kern w:val="0"/>
                <w:sz w:val="24"/>
                <w:szCs w:val="24"/>
              </w:rPr>
            </w:pPr>
            <w:r>
              <w:rPr>
                <w:rFonts w:hint="eastAsia" w:ascii="宋体" w:hAnsi="宋体" w:cs="宋体"/>
                <w:kern w:val="0"/>
                <w:sz w:val="24"/>
                <w:szCs w:val="24"/>
              </w:rPr>
              <w:t>西宁市财政局   联系电话：</w:t>
            </w:r>
            <w:r>
              <w:rPr>
                <w:rFonts w:ascii="宋体" w:hAnsi="宋体" w:cs="宋体"/>
                <w:kern w:val="0"/>
                <w:sz w:val="24"/>
                <w:szCs w:val="24"/>
              </w:rPr>
              <w:t>0971-</w:t>
            </w:r>
            <w:r>
              <w:rPr>
                <w:rFonts w:hint="eastAsia" w:ascii="宋体" w:hAnsi="宋体" w:cs="宋体"/>
                <w:kern w:val="0"/>
                <w:sz w:val="24"/>
                <w:szCs w:val="24"/>
              </w:rPr>
              <w:t>6304026</w:t>
            </w:r>
          </w:p>
        </w:tc>
      </w:tr>
      <w:bookmarkEnd w:id="5"/>
    </w:tbl>
    <w:p w14:paraId="0FE77C1B">
      <w:pPr>
        <w:rPr>
          <w:rFonts w:hint="eastAsia"/>
        </w:rPr>
      </w:pPr>
    </w:p>
    <w:p w14:paraId="4C4899E7">
      <w:pPr>
        <w:rPr>
          <w:rFonts w:hint="eastAsia"/>
        </w:rPr>
      </w:pPr>
    </w:p>
    <w:p w14:paraId="1E118731">
      <w:pPr>
        <w:jc w:val="left"/>
        <w:rPr>
          <w:rFonts w:ascii="宋体" w:hAnsi="宋体"/>
          <w:b/>
          <w:sz w:val="24"/>
          <w:szCs w:val="32"/>
        </w:rPr>
      </w:pPr>
    </w:p>
    <w:p w14:paraId="5B24665D">
      <w:pPr>
        <w:jc w:val="center"/>
        <w:rPr>
          <w:rFonts w:hint="eastAsia"/>
          <w:b/>
          <w:sz w:val="28"/>
          <w:lang w:val="zh-CN"/>
        </w:rPr>
      </w:pPr>
    </w:p>
    <w:p w14:paraId="3A0D1B71">
      <w:pPr>
        <w:jc w:val="center"/>
        <w:rPr>
          <w:rFonts w:hint="eastAsia"/>
          <w:b/>
          <w:sz w:val="28"/>
          <w:lang w:val="zh-CN"/>
        </w:rPr>
      </w:pPr>
    </w:p>
    <w:p w14:paraId="05E4EC13">
      <w:pPr>
        <w:jc w:val="center"/>
        <w:rPr>
          <w:rFonts w:hint="eastAsia"/>
          <w:b/>
          <w:sz w:val="28"/>
          <w:lang w:val="zh-CN"/>
        </w:rPr>
      </w:pPr>
    </w:p>
    <w:p w14:paraId="66A9D3BC">
      <w:pPr>
        <w:jc w:val="center"/>
        <w:rPr>
          <w:rFonts w:hint="eastAsia"/>
          <w:b/>
          <w:sz w:val="28"/>
          <w:lang w:val="zh-CN"/>
        </w:rPr>
      </w:pPr>
    </w:p>
    <w:p w14:paraId="5C074706">
      <w:pPr>
        <w:pStyle w:val="3"/>
        <w:rPr>
          <w:rFonts w:hint="eastAsia"/>
          <w:lang w:val="zh-CN" w:eastAsia="zh-CN"/>
        </w:rPr>
      </w:pPr>
    </w:p>
    <w:p w14:paraId="19854F77">
      <w:pPr>
        <w:rPr>
          <w:rFonts w:hint="eastAsia"/>
          <w:lang w:val="zh-CN"/>
        </w:rPr>
      </w:pPr>
    </w:p>
    <w:p w14:paraId="46A20B87">
      <w:pPr>
        <w:pStyle w:val="13"/>
        <w:rPr>
          <w:rFonts w:hint="eastAsia"/>
          <w:lang w:val="zh-CN" w:eastAsia="zh-CN"/>
        </w:rPr>
      </w:pPr>
    </w:p>
    <w:p w14:paraId="6C6D4557">
      <w:pPr>
        <w:rPr>
          <w:rFonts w:hint="eastAsia"/>
          <w:lang w:val="zh-CN" w:eastAsia="zh-CN"/>
        </w:rPr>
      </w:pPr>
    </w:p>
    <w:p w14:paraId="70F8687D">
      <w:pPr>
        <w:rPr>
          <w:rFonts w:hint="eastAsia"/>
          <w:lang w:val="zh-CN" w:eastAsia="zh-CN"/>
        </w:rPr>
      </w:pPr>
    </w:p>
    <w:p w14:paraId="5C69CC3A">
      <w:pPr>
        <w:rPr>
          <w:rFonts w:hint="eastAsia"/>
          <w:lang w:val="zh-CN" w:eastAsia="zh-CN"/>
        </w:rPr>
      </w:pPr>
    </w:p>
    <w:p w14:paraId="508A2B95">
      <w:pPr>
        <w:rPr>
          <w:rFonts w:hint="eastAsia"/>
          <w:lang w:val="zh-CN" w:eastAsia="zh-CN"/>
        </w:rPr>
      </w:pPr>
    </w:p>
    <w:p w14:paraId="66A0A8A5">
      <w:pPr>
        <w:rPr>
          <w:rFonts w:hint="eastAsia"/>
          <w:lang w:val="zh-CN" w:eastAsia="zh-CN"/>
        </w:rPr>
      </w:pPr>
    </w:p>
    <w:p w14:paraId="13EA7972">
      <w:pPr>
        <w:rPr>
          <w:rFonts w:hint="eastAsia"/>
          <w:lang w:val="zh-CN" w:eastAsia="zh-CN"/>
        </w:rPr>
      </w:pPr>
    </w:p>
    <w:p w14:paraId="2BAC6498">
      <w:pPr>
        <w:rPr>
          <w:rFonts w:hint="eastAsia"/>
          <w:lang w:val="zh-CN" w:eastAsia="zh-CN"/>
        </w:rPr>
      </w:pPr>
    </w:p>
    <w:p w14:paraId="06916608">
      <w:pPr>
        <w:rPr>
          <w:rFonts w:hint="eastAsia"/>
          <w:lang w:val="zh-CN" w:eastAsia="zh-CN"/>
        </w:rPr>
      </w:pPr>
    </w:p>
    <w:p w14:paraId="3BDEDBF1">
      <w:pPr>
        <w:rPr>
          <w:rFonts w:hint="eastAsia"/>
          <w:lang w:val="zh-CN" w:eastAsia="zh-CN"/>
        </w:rPr>
      </w:pPr>
    </w:p>
    <w:p w14:paraId="1199B7FC">
      <w:pPr>
        <w:rPr>
          <w:rFonts w:hint="eastAsia"/>
          <w:lang w:val="zh-CN"/>
        </w:rPr>
      </w:pPr>
    </w:p>
    <w:p w14:paraId="7AA8B61E">
      <w:pPr>
        <w:jc w:val="center"/>
        <w:outlineLvl w:val="0"/>
        <w:rPr>
          <w:rFonts w:hint="eastAsia"/>
          <w:b/>
          <w:sz w:val="28"/>
          <w:lang w:val="zh-CN"/>
        </w:rPr>
      </w:pPr>
      <w:bookmarkStart w:id="6" w:name="_Toc32533"/>
    </w:p>
    <w:p w14:paraId="34DE052A">
      <w:pPr>
        <w:jc w:val="center"/>
        <w:outlineLvl w:val="0"/>
        <w:rPr>
          <w:rFonts w:cs="Calibri"/>
          <w:b/>
          <w:sz w:val="28"/>
        </w:rPr>
      </w:pPr>
      <w:bookmarkStart w:id="7" w:name="_Toc6762"/>
      <w:r>
        <w:rPr>
          <w:rFonts w:hint="eastAsia"/>
          <w:b/>
          <w:sz w:val="28"/>
          <w:lang w:val="zh-CN"/>
        </w:rPr>
        <w:t>第二部分</w:t>
      </w:r>
      <w:r>
        <w:rPr>
          <w:rFonts w:cs="Calibri"/>
          <w:b/>
          <w:sz w:val="28"/>
        </w:rPr>
        <w:t xml:space="preserve">  </w:t>
      </w:r>
      <w:r>
        <w:rPr>
          <w:rFonts w:hint="eastAsia"/>
          <w:b/>
          <w:sz w:val="28"/>
          <w:lang w:val="zh-CN"/>
        </w:rPr>
        <w:t>投标人须知</w:t>
      </w:r>
      <w:bookmarkEnd w:id="4"/>
      <w:bookmarkEnd w:id="6"/>
      <w:bookmarkEnd w:id="7"/>
    </w:p>
    <w:p w14:paraId="479DD7BF">
      <w:pPr>
        <w:spacing w:line="400" w:lineRule="exact"/>
        <w:ind w:firstLine="566" w:firstLineChars="235"/>
        <w:rPr>
          <w:rFonts w:cs="Cambria"/>
          <w:b/>
          <w:sz w:val="24"/>
          <w:szCs w:val="24"/>
        </w:rPr>
      </w:pPr>
      <w:bookmarkStart w:id="8"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8"/>
    </w:p>
    <w:p w14:paraId="2C318CC2">
      <w:pPr>
        <w:spacing w:line="400" w:lineRule="exact"/>
        <w:ind w:firstLine="566" w:firstLineChars="235"/>
        <w:rPr>
          <w:rFonts w:hint="eastAsia" w:ascii="宋体" w:hAnsi="宋体"/>
          <w:b/>
          <w:sz w:val="24"/>
          <w:szCs w:val="24"/>
          <w:lang w:val="zh-CN"/>
        </w:rPr>
      </w:pPr>
      <w:bookmarkStart w:id="9" w:name="_Toc428180538"/>
    </w:p>
    <w:p w14:paraId="7C1DF7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9"/>
    </w:p>
    <w:p w14:paraId="32891D4C">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10" w:name="_Toc428180539"/>
    </w:p>
    <w:p w14:paraId="7D7B2F67">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采购方式、合格的投标人</w:t>
      </w:r>
      <w:bookmarkEnd w:id="10"/>
    </w:p>
    <w:p w14:paraId="1FCEB212">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40BF5C">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合格的投标人：详见第一部分投标人须知前列表“</w:t>
      </w:r>
      <w:r>
        <w:rPr>
          <w:rFonts w:ascii="宋体" w:hAnsi="宋体" w:cs="宋体"/>
          <w:kern w:val="0"/>
          <w:sz w:val="24"/>
          <w:szCs w:val="24"/>
        </w:rPr>
        <w:t>供应商资格条件</w:t>
      </w:r>
      <w:r>
        <w:rPr>
          <w:rFonts w:hint="eastAsia" w:ascii="宋体" w:hAnsi="宋体" w:cs="宋体"/>
          <w:kern w:val="0"/>
          <w:sz w:val="24"/>
          <w:szCs w:val="24"/>
        </w:rPr>
        <w:t>”。</w:t>
      </w:r>
    </w:p>
    <w:p w14:paraId="447BAA42">
      <w:pPr>
        <w:spacing w:line="400" w:lineRule="exact"/>
        <w:ind w:firstLine="566" w:firstLineChars="235"/>
        <w:rPr>
          <w:b/>
          <w:sz w:val="24"/>
          <w:szCs w:val="24"/>
          <w:lang w:val="zh-CN"/>
        </w:rPr>
      </w:pPr>
      <w:bookmarkStart w:id="11" w:name="_Toc428180540"/>
      <w:r>
        <w:rPr>
          <w:b/>
          <w:sz w:val="24"/>
          <w:szCs w:val="24"/>
          <w:lang w:val="zh-CN"/>
        </w:rPr>
        <w:t>3.</w:t>
      </w:r>
      <w:r>
        <w:rPr>
          <w:rFonts w:hint="eastAsia"/>
          <w:b/>
          <w:sz w:val="24"/>
          <w:szCs w:val="24"/>
          <w:lang w:val="zh-CN"/>
        </w:rPr>
        <w:t>投标费用</w:t>
      </w:r>
      <w:bookmarkEnd w:id="11"/>
    </w:p>
    <w:p w14:paraId="6923FB2B">
      <w:pPr>
        <w:tabs>
          <w:tab w:val="left" w:pos="840"/>
        </w:tabs>
        <w:spacing w:line="400" w:lineRule="exact"/>
        <w:ind w:firstLine="564" w:firstLineChars="235"/>
        <w:rPr>
          <w:rFonts w:ascii="宋体" w:hAnsi="Cambria" w:cs="宋体"/>
          <w:kern w:val="0"/>
          <w:sz w:val="24"/>
          <w:lang w:val="zh-CN"/>
        </w:rPr>
      </w:pPr>
      <w:bookmarkStart w:id="12" w:name="_Toc428180541"/>
      <w:r>
        <w:rPr>
          <w:rFonts w:hint="eastAsia" w:ascii="宋体" w:hAnsi="Cambria" w:cs="宋体"/>
          <w:kern w:val="0"/>
          <w:sz w:val="24"/>
          <w:lang w:val="zh-CN"/>
        </w:rPr>
        <w:t>投标人应承担准备和与参加本次投标有关的费用。集中采购机构对投标人发生的费用不承担任何责任。</w:t>
      </w:r>
    </w:p>
    <w:p w14:paraId="52A91111">
      <w:pPr>
        <w:spacing w:line="400" w:lineRule="exact"/>
        <w:ind w:firstLine="566" w:firstLineChars="235"/>
        <w:rPr>
          <w:rFonts w:hint="eastAsia"/>
          <w:b/>
          <w:sz w:val="24"/>
          <w:szCs w:val="24"/>
          <w:lang w:val="zh-CN"/>
        </w:rPr>
      </w:pPr>
    </w:p>
    <w:p w14:paraId="53866AC7">
      <w:pPr>
        <w:spacing w:line="400" w:lineRule="exact"/>
        <w:ind w:firstLine="566" w:firstLineChars="235"/>
        <w:rPr>
          <w:rFonts w:cs="Cambria"/>
          <w:b/>
          <w:sz w:val="24"/>
          <w:szCs w:val="24"/>
        </w:rPr>
      </w:pPr>
      <w:r>
        <w:rPr>
          <w:rFonts w:hint="eastAsia"/>
          <w:b/>
          <w:sz w:val="24"/>
          <w:szCs w:val="24"/>
          <w:lang w:val="zh-CN"/>
        </w:rPr>
        <w:t>二、竞争性磋商文件说明</w:t>
      </w:r>
      <w:bookmarkEnd w:id="12"/>
    </w:p>
    <w:p w14:paraId="02106F57">
      <w:pPr>
        <w:spacing w:line="400" w:lineRule="exact"/>
        <w:ind w:firstLine="566" w:firstLineChars="235"/>
        <w:rPr>
          <w:rFonts w:hint="eastAsia"/>
          <w:b/>
          <w:sz w:val="24"/>
          <w:szCs w:val="24"/>
          <w:lang w:val="zh-CN"/>
        </w:rPr>
      </w:pPr>
      <w:bookmarkStart w:id="13" w:name="_Toc428180542"/>
    </w:p>
    <w:p w14:paraId="35B50D0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3"/>
    </w:p>
    <w:p w14:paraId="065CAEE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7466A29E">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（1）投标人须知前附表</w:t>
      </w:r>
    </w:p>
    <w:p w14:paraId="7894A0A8">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（2）投标人须知</w:t>
      </w:r>
    </w:p>
    <w:p w14:paraId="6FAF42C0">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7C07357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2DE5640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1BD4E68C">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3633AACC">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4.2投标人应当按照竞争性磋商文件的要求编制磋商响应文件。磋商响应文件应当对竞争性磋商文件提出的要求和条件作出明确响应。</w:t>
      </w:r>
    </w:p>
    <w:p w14:paraId="3FF853A9">
      <w:pPr>
        <w:spacing w:line="400" w:lineRule="exact"/>
        <w:ind w:firstLine="566" w:firstLineChars="235"/>
        <w:rPr>
          <w:rFonts w:hint="eastAsia" w:ascii="宋体" w:hAnsi="宋体"/>
          <w:b/>
          <w:sz w:val="24"/>
          <w:szCs w:val="24"/>
          <w:lang w:val="zh-CN"/>
        </w:rPr>
      </w:pPr>
      <w:bookmarkStart w:id="14" w:name="_Toc428180543"/>
    </w:p>
    <w:p w14:paraId="3DB968E9">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4"/>
    </w:p>
    <w:p w14:paraId="34C55E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投标人认为竞争性磋商文件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，应在获取竞争性磋商文件之日或者招标文件公告期限届满之日起3日内</w:t>
      </w:r>
      <w:r>
        <w:rPr>
          <w:rFonts w:hint="eastAsia" w:ascii="宋体" w:hAnsi="Cambria" w:cs="宋体"/>
          <w:kern w:val="0"/>
          <w:sz w:val="24"/>
          <w:lang w:val="en-US" w:eastAsia="zh-CN"/>
        </w:rPr>
        <w:t>通过政采云平台提出质疑</w:t>
      </w:r>
      <w:r>
        <w:rPr>
          <w:rFonts w:hint="eastAsia" w:ascii="宋体" w:hAnsi="Cambria" w:cs="宋体"/>
          <w:kern w:val="0"/>
          <w:sz w:val="24"/>
          <w:lang w:val="zh-CN"/>
        </w:rPr>
        <w:t>，集中采购机构在收到投标人的质疑后3日内予以答复，并将变更事宜在青海政府采购网上发布公告，告知本项目的所有潜在投标人。</w:t>
      </w:r>
    </w:p>
    <w:p w14:paraId="58D467FF">
      <w:pPr>
        <w:spacing w:line="400" w:lineRule="exact"/>
        <w:ind w:firstLine="566" w:firstLineChars="235"/>
        <w:rPr>
          <w:rFonts w:hint="eastAsia" w:ascii="宋体" w:hAnsi="宋体"/>
          <w:b/>
          <w:sz w:val="24"/>
          <w:szCs w:val="24"/>
          <w:lang w:val="zh-CN"/>
        </w:rPr>
      </w:pPr>
      <w:bookmarkStart w:id="15" w:name="_Toc428180544"/>
    </w:p>
    <w:p w14:paraId="5B4489E7">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5"/>
    </w:p>
    <w:p w14:paraId="33495A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在投标截止期前，采购人、集中采购机构可对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5C239CF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日的，顺延提交磋商响应文件的截止时间。该澄清或者修改的内容为招标文件的组成部分。</w:t>
      </w:r>
    </w:p>
    <w:p w14:paraId="050AFC7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在提交磋商响应文件截止时间前，采购人、集中采购机构可以视采购具体情况，延长投标截止时间和开标时间，并在招标文件中要求的投标截止时间和开标时间的3日前，将变更公告发布在青海政府采购网上。</w:t>
      </w:r>
    </w:p>
    <w:p w14:paraId="11AA8468">
      <w:pPr>
        <w:spacing w:line="400" w:lineRule="exact"/>
        <w:ind w:firstLine="566" w:firstLineChars="235"/>
        <w:rPr>
          <w:rFonts w:hint="eastAsia"/>
          <w:b/>
          <w:sz w:val="24"/>
          <w:szCs w:val="24"/>
          <w:lang w:val="zh-CN"/>
        </w:rPr>
      </w:pPr>
      <w:bookmarkStart w:id="16" w:name="_Toc428180545"/>
    </w:p>
    <w:p w14:paraId="40E7E296">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6"/>
    </w:p>
    <w:p w14:paraId="7724A7CD">
      <w:pPr>
        <w:spacing w:line="400" w:lineRule="exact"/>
        <w:ind w:firstLine="566" w:firstLineChars="235"/>
        <w:rPr>
          <w:rFonts w:hint="eastAsia" w:ascii="宋体" w:hAnsi="Cambria" w:cs="宋体"/>
          <w:b/>
          <w:kern w:val="0"/>
          <w:sz w:val="24"/>
          <w:szCs w:val="24"/>
          <w:lang w:val="zh-CN"/>
        </w:rPr>
      </w:pPr>
      <w:bookmarkStart w:id="17" w:name="_Toc428180546"/>
    </w:p>
    <w:p w14:paraId="14ED9E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7"/>
    </w:p>
    <w:p w14:paraId="6C83354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7.1投标人提交的磋商响应文件以及投标人与集中采购机构就此投标发生的所有来往函电均应使用简体中文。除签名、盖章、专用名称等特殊情形外，以中文汉语以外的文字表述的投标文件视同未提供。</w:t>
      </w:r>
    </w:p>
    <w:p w14:paraId="148B36C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4528B1F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附有外文资料的，须翻译成中文并加盖投标人公章，如果翻译的中文资料与外文资料存在差异和矛盾时，以中文资料为准。其准确性由投标人负责。</w:t>
      </w:r>
    </w:p>
    <w:p w14:paraId="678E2A53">
      <w:pPr>
        <w:spacing w:line="400" w:lineRule="exact"/>
        <w:ind w:firstLine="566" w:firstLineChars="235"/>
        <w:rPr>
          <w:rFonts w:hint="eastAsia" w:ascii="宋体" w:hAnsi="宋体"/>
          <w:b/>
          <w:sz w:val="24"/>
          <w:szCs w:val="24"/>
          <w:lang w:val="zh-CN"/>
        </w:rPr>
      </w:pPr>
      <w:bookmarkStart w:id="18" w:name="_Toc428180547"/>
    </w:p>
    <w:p w14:paraId="65FBD355">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8"/>
    </w:p>
    <w:p w14:paraId="7D9986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检验费、手续费、包装费、运输费、保险费、系统集成费、安装调试费、税金及其他不可预见费等全部费用。投标人须按“磋商报价表”格式填写投标总报价，不得出现两个或两个以上的报价方案。</w:t>
      </w:r>
    </w:p>
    <w:p w14:paraId="1A057B2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15C311C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投标人应根据招标文件规定的格式完整填写所有内容，并保证所提供的全部资料真实可信，自愿承担相应责任。</w:t>
      </w:r>
    </w:p>
    <w:p w14:paraId="2253150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投标币种为人民币。</w:t>
      </w:r>
    </w:p>
    <w:p w14:paraId="4175EADE">
      <w:pPr>
        <w:spacing w:line="400" w:lineRule="exact"/>
        <w:rPr>
          <w:rFonts w:hint="eastAsia" w:ascii="宋体" w:hAnsi="宋体"/>
          <w:b/>
          <w:sz w:val="24"/>
          <w:szCs w:val="24"/>
          <w:lang w:val="zh-CN"/>
        </w:rPr>
      </w:pPr>
      <w:bookmarkStart w:id="19" w:name="_Toc428180549"/>
    </w:p>
    <w:p w14:paraId="5CEC332E">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9"/>
    </w:p>
    <w:p w14:paraId="4E1F2D8C">
      <w:pPr>
        <w:spacing w:line="400" w:lineRule="exact"/>
        <w:ind w:firstLine="564" w:firstLineChars="235"/>
        <w:rPr>
          <w:rFonts w:ascii="宋体" w:hAnsi="Cambria" w:cs="宋体"/>
          <w:kern w:val="0"/>
          <w:sz w:val="24"/>
          <w:szCs w:val="24"/>
          <w:lang w:val="zh-CN"/>
        </w:rPr>
      </w:pPr>
      <w:bookmarkStart w:id="20" w:name="_Toc428180550"/>
      <w:r>
        <w:rPr>
          <w:rFonts w:hint="eastAsia" w:ascii="宋体" w:hAnsi="Cambria" w:cs="宋体"/>
          <w:kern w:val="0"/>
          <w:sz w:val="24"/>
          <w:szCs w:val="24"/>
          <w:lang w:val="zh-CN"/>
        </w:rPr>
        <w:t>投标有效期为自开标之日起60天。</w:t>
      </w:r>
    </w:p>
    <w:p w14:paraId="1BD3C825">
      <w:pPr>
        <w:spacing w:line="400" w:lineRule="exact"/>
        <w:ind w:firstLine="566" w:firstLineChars="235"/>
        <w:rPr>
          <w:rFonts w:hint="eastAsia" w:ascii="宋体" w:hAnsi="宋体"/>
          <w:b/>
          <w:sz w:val="24"/>
          <w:szCs w:val="24"/>
          <w:lang w:val="zh-CN"/>
        </w:rPr>
      </w:pPr>
    </w:p>
    <w:p w14:paraId="1293C90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20"/>
    </w:p>
    <w:p w14:paraId="40E8575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投标人应提交相关证明材料，作为其参加投标和中标后有能力履行合同的证明。编写的磋商响应文件须包括以下内容（格式见招标文件第四部分）：</w:t>
      </w:r>
    </w:p>
    <w:p w14:paraId="239AD18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703DDFE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4A5DE2F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41272A4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55547E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6C3C9AB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79EC1D3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08F5F42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0735EC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04DDBC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）磋商报价表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1</w:t>
      </w:r>
      <w:r>
        <w:rPr>
          <w:rFonts w:hint="eastAsia" w:ascii="宋体" w:hAnsi="Cambria" w:cs="宋体"/>
          <w:kern w:val="0"/>
          <w:sz w:val="24"/>
          <w:szCs w:val="24"/>
          <w:lang w:val="zh-CN"/>
        </w:rPr>
        <w:t>）技术规格响应表</w:t>
      </w:r>
    </w:p>
    <w:p w14:paraId="5567377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573DFA1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）投标产品相关资料</w:t>
      </w:r>
    </w:p>
    <w:p w14:paraId="555649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）投标人的类似业绩证明材料</w:t>
      </w:r>
    </w:p>
    <w:p w14:paraId="49E596B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w:t>
      </w:r>
      <w:r>
        <w:rPr>
          <w:rFonts w:ascii="宋体" w:hAnsi="Cambria" w:cs="宋体"/>
          <w:kern w:val="0"/>
          <w:sz w:val="24"/>
          <w:szCs w:val="24"/>
          <w:lang w:val="zh-CN"/>
        </w:rPr>
        <w:t>中小企业声明函</w:t>
      </w:r>
    </w:p>
    <w:p w14:paraId="7C04C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16</w:t>
      </w:r>
      <w:r>
        <w:rPr>
          <w:rFonts w:hint="eastAsia" w:ascii="宋体" w:hAnsi="Cambria" w:cs="宋体"/>
          <w:kern w:val="0"/>
          <w:sz w:val="24"/>
          <w:szCs w:val="24"/>
          <w:lang w:val="zh-CN"/>
        </w:rPr>
        <w:t>）残疾人福利性单位声明函</w:t>
      </w:r>
    </w:p>
    <w:p w14:paraId="285DD7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）销售及服务相关内容</w:t>
      </w:r>
    </w:p>
    <w:p w14:paraId="7DB6268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）投标人在其他方面有必要说明的事项</w:t>
      </w:r>
    </w:p>
    <w:p w14:paraId="13A6619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注：竞争性磋商文件要求签字、盖章的地方必须由投标人的法定代表人或委托代理人按要求签字或盖章；投标人提供的扫描（或复印）件均需加盖公章。投标人须按上述内容、顺序和格式编制投标文件。</w:t>
      </w:r>
    </w:p>
    <w:p w14:paraId="6B5DE29C">
      <w:pPr>
        <w:spacing w:line="400" w:lineRule="exact"/>
        <w:ind w:firstLine="566" w:firstLineChars="235"/>
        <w:rPr>
          <w:rFonts w:hint="eastAsia" w:ascii="宋体" w:hAnsi="宋体"/>
          <w:b/>
          <w:sz w:val="24"/>
          <w:szCs w:val="24"/>
          <w:lang w:val="zh-CN"/>
        </w:rPr>
      </w:pPr>
      <w:bookmarkStart w:id="21" w:name="_Toc428180551"/>
    </w:p>
    <w:p w14:paraId="025C84E0">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1"/>
    </w:p>
    <w:p w14:paraId="0613ACC2">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4D4D65AA">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393FAD36">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0D908282">
      <w:pPr>
        <w:spacing w:line="400" w:lineRule="exact"/>
        <w:ind w:firstLine="566" w:firstLineChars="235"/>
        <w:rPr>
          <w:rFonts w:hint="eastAsia"/>
          <w:b/>
          <w:sz w:val="24"/>
          <w:szCs w:val="24"/>
          <w:lang w:val="zh-CN"/>
        </w:rPr>
      </w:pPr>
      <w:bookmarkStart w:id="22" w:name="_Toc428180552"/>
    </w:p>
    <w:p w14:paraId="71C68CDE">
      <w:pPr>
        <w:spacing w:line="400" w:lineRule="exact"/>
        <w:ind w:firstLine="566" w:firstLineChars="235"/>
        <w:rPr>
          <w:rFonts w:cs="Cambria"/>
          <w:b/>
          <w:sz w:val="24"/>
          <w:szCs w:val="24"/>
        </w:rPr>
      </w:pPr>
      <w:r>
        <w:rPr>
          <w:rFonts w:hint="eastAsia"/>
          <w:b/>
          <w:sz w:val="24"/>
          <w:szCs w:val="24"/>
          <w:lang w:val="zh-CN"/>
        </w:rPr>
        <w:t>四、磋商响应文件的递交</w:t>
      </w:r>
      <w:bookmarkEnd w:id="22"/>
      <w:r>
        <w:rPr>
          <w:rFonts w:hint="eastAsia"/>
          <w:b/>
          <w:sz w:val="24"/>
          <w:szCs w:val="24"/>
          <w:lang w:val="zh-CN"/>
        </w:rPr>
        <w:t>（供应商无需到现场提交纸质响应文件）</w:t>
      </w:r>
    </w:p>
    <w:p w14:paraId="7CB9F934">
      <w:pPr>
        <w:spacing w:line="400" w:lineRule="exact"/>
        <w:ind w:firstLine="566" w:firstLineChars="235"/>
        <w:rPr>
          <w:rFonts w:hint="eastAsia" w:ascii="宋体" w:hAnsi="宋体"/>
          <w:b/>
          <w:sz w:val="24"/>
          <w:szCs w:val="24"/>
          <w:lang w:val="zh-CN"/>
        </w:rPr>
      </w:pPr>
      <w:bookmarkStart w:id="23" w:name="_Toc428180553"/>
    </w:p>
    <w:p w14:paraId="272F147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3"/>
    </w:p>
    <w:p w14:paraId="071F11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加密电子投标文件需供应商线上填写最终报价表及</w:t>
      </w:r>
      <w:r>
        <w:rPr>
          <w:rFonts w:hint="eastAsia" w:ascii="宋体" w:hAnsi="Cambria" w:cs="宋体"/>
          <w:kern w:val="0"/>
          <w:sz w:val="24"/>
          <w:szCs w:val="24"/>
          <w:lang w:val="zh-CN" w:eastAsia="zh-CN"/>
        </w:rPr>
        <w:t>最终分项报价表</w:t>
      </w:r>
      <w:r>
        <w:rPr>
          <w:rFonts w:hint="eastAsia" w:ascii="宋体" w:hAnsi="Cambria" w:cs="宋体"/>
          <w:kern w:val="0"/>
          <w:sz w:val="24"/>
          <w:szCs w:val="24"/>
          <w:lang w:val="zh-CN"/>
        </w:rPr>
        <w:t>。</w:t>
      </w:r>
    </w:p>
    <w:p w14:paraId="344F10AA">
      <w:pPr>
        <w:spacing w:line="400" w:lineRule="exact"/>
        <w:ind w:firstLine="566" w:firstLineChars="235"/>
        <w:rPr>
          <w:rFonts w:hint="eastAsia" w:ascii="宋体" w:hAnsi="宋体"/>
          <w:b/>
          <w:sz w:val="24"/>
          <w:szCs w:val="24"/>
          <w:lang w:val="zh-CN"/>
        </w:rPr>
      </w:pPr>
      <w:bookmarkStart w:id="24" w:name="_Toc428180554"/>
    </w:p>
    <w:p w14:paraId="399214C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4"/>
    </w:p>
    <w:p w14:paraId="274F0A47">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1BB3551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条规定，通过修改竞争性磋商文件自行决定酌情延长投标截止期，在此情况下，采购人与集中采购机构和投标人受投标截止时间制约的所有权利和义务均延长至新的截止日期。</w:t>
      </w:r>
    </w:p>
    <w:p w14:paraId="0BEC9D22">
      <w:pPr>
        <w:spacing w:line="400" w:lineRule="exact"/>
        <w:ind w:firstLine="566" w:firstLineChars="235"/>
        <w:rPr>
          <w:rFonts w:ascii="宋体" w:hAnsi="宋体"/>
          <w:b/>
          <w:sz w:val="24"/>
          <w:szCs w:val="24"/>
          <w:lang w:val="zh-CN"/>
        </w:rPr>
      </w:pPr>
      <w:bookmarkStart w:id="25"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5"/>
    </w:p>
    <w:p w14:paraId="7755B72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55D4C794">
      <w:pPr>
        <w:spacing w:line="400" w:lineRule="exact"/>
        <w:ind w:firstLine="566" w:firstLineChars="235"/>
        <w:rPr>
          <w:rFonts w:hint="eastAsia"/>
          <w:b/>
          <w:sz w:val="24"/>
          <w:szCs w:val="24"/>
          <w:lang w:val="zh-CN"/>
        </w:rPr>
      </w:pPr>
      <w:bookmarkStart w:id="26" w:name="_Toc428180556"/>
    </w:p>
    <w:p w14:paraId="722693AF">
      <w:pPr>
        <w:spacing w:line="400" w:lineRule="exact"/>
        <w:ind w:firstLine="566" w:firstLineChars="235"/>
        <w:rPr>
          <w:rFonts w:cs="Cambria"/>
          <w:b/>
          <w:sz w:val="24"/>
          <w:szCs w:val="24"/>
        </w:rPr>
      </w:pPr>
      <w:r>
        <w:rPr>
          <w:rFonts w:hint="eastAsia"/>
          <w:b/>
          <w:sz w:val="24"/>
          <w:szCs w:val="24"/>
          <w:lang w:val="zh-CN"/>
        </w:rPr>
        <w:t>五、评标</w:t>
      </w:r>
      <w:bookmarkEnd w:id="26"/>
    </w:p>
    <w:p w14:paraId="70A053FB">
      <w:pPr>
        <w:spacing w:line="400" w:lineRule="exact"/>
        <w:ind w:firstLine="566" w:firstLineChars="235"/>
        <w:rPr>
          <w:rFonts w:hint="eastAsia" w:ascii="宋体" w:hAnsi="宋体"/>
          <w:b/>
          <w:sz w:val="24"/>
          <w:szCs w:val="24"/>
          <w:lang w:val="zh-CN"/>
        </w:rPr>
      </w:pPr>
      <w:bookmarkStart w:id="27" w:name="_Toc428180557"/>
    </w:p>
    <w:p w14:paraId="58F0E49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7"/>
    </w:p>
    <w:p w14:paraId="018DECB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0151143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12B60A0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0FDE99C1">
      <w:pPr>
        <w:spacing w:line="400" w:lineRule="exact"/>
        <w:ind w:firstLine="566" w:firstLineChars="235"/>
        <w:rPr>
          <w:rFonts w:hint="eastAsia"/>
          <w:b/>
          <w:sz w:val="24"/>
          <w:szCs w:val="24"/>
          <w:lang w:val="zh-CN"/>
        </w:rPr>
      </w:pPr>
      <w:bookmarkStart w:id="28" w:name="_Toc428180558"/>
    </w:p>
    <w:p w14:paraId="494FC8D8">
      <w:pPr>
        <w:spacing w:line="400" w:lineRule="exact"/>
        <w:ind w:firstLine="566" w:firstLineChars="235"/>
        <w:rPr>
          <w:rFonts w:cs="Cambria"/>
          <w:b/>
          <w:sz w:val="24"/>
          <w:szCs w:val="24"/>
        </w:rPr>
      </w:pPr>
      <w:r>
        <w:rPr>
          <w:rFonts w:hint="eastAsia"/>
          <w:b/>
          <w:sz w:val="24"/>
          <w:szCs w:val="24"/>
          <w:lang w:val="zh-CN"/>
        </w:rPr>
        <w:t>六、资格审查程序及方法</w:t>
      </w:r>
      <w:bookmarkEnd w:id="28"/>
    </w:p>
    <w:p w14:paraId="48E8B932">
      <w:pPr>
        <w:spacing w:line="400" w:lineRule="exact"/>
        <w:ind w:firstLine="566" w:firstLineChars="235"/>
        <w:rPr>
          <w:rFonts w:hint="eastAsia" w:ascii="宋体" w:hAnsi="宋体"/>
          <w:b/>
          <w:sz w:val="24"/>
          <w:szCs w:val="24"/>
        </w:rPr>
      </w:pPr>
      <w:bookmarkStart w:id="29" w:name="_Toc428180559"/>
    </w:p>
    <w:p w14:paraId="73331147">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5CED4F6B">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由磋商小组对投标人的资格进行审查。</w:t>
      </w:r>
    </w:p>
    <w:p w14:paraId="3E17A4D0">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合格投标人不足3家的，不得评标。</w:t>
      </w:r>
    </w:p>
    <w:p w14:paraId="51F39625">
      <w:pPr>
        <w:spacing w:line="400" w:lineRule="exact"/>
        <w:ind w:firstLine="566" w:firstLineChars="235"/>
        <w:rPr>
          <w:rFonts w:hint="eastAsia"/>
          <w:b/>
          <w:sz w:val="24"/>
          <w:szCs w:val="24"/>
          <w:lang w:val="zh-CN"/>
        </w:rPr>
      </w:pPr>
      <w:bookmarkStart w:id="30" w:name="_Toc500493778"/>
    </w:p>
    <w:p w14:paraId="382A2869">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30"/>
    </w:p>
    <w:p w14:paraId="4E0113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0458A38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不符合招标文件第一部分投标人须知前附表“供应商资格条件”的；</w:t>
      </w:r>
    </w:p>
    <w:p w14:paraId="5286A11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14E804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10B77DB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擅自修改招标文件规定的投标文件格式以及编制要求的；</w:t>
      </w:r>
    </w:p>
    <w:p w14:paraId="0BF27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7037A6EA">
      <w:pPr>
        <w:spacing w:line="400" w:lineRule="exact"/>
        <w:ind w:firstLine="566" w:firstLineChars="235"/>
        <w:rPr>
          <w:rFonts w:hint="eastAsia"/>
          <w:b/>
          <w:sz w:val="24"/>
          <w:szCs w:val="24"/>
          <w:lang w:val="zh-CN"/>
        </w:rPr>
      </w:pPr>
    </w:p>
    <w:p w14:paraId="7A6BD393">
      <w:pPr>
        <w:spacing w:line="400" w:lineRule="exact"/>
        <w:ind w:firstLine="566" w:firstLineChars="235"/>
        <w:rPr>
          <w:rFonts w:cs="Cambria"/>
          <w:b/>
          <w:sz w:val="24"/>
          <w:szCs w:val="24"/>
        </w:rPr>
      </w:pPr>
      <w:r>
        <w:rPr>
          <w:rFonts w:hint="eastAsia"/>
          <w:b/>
          <w:sz w:val="24"/>
          <w:szCs w:val="24"/>
          <w:lang w:val="zh-CN"/>
        </w:rPr>
        <w:t>七、评标程序及方法</w:t>
      </w:r>
    </w:p>
    <w:p w14:paraId="2D87F91F">
      <w:pPr>
        <w:spacing w:line="400" w:lineRule="exact"/>
        <w:ind w:firstLine="566" w:firstLineChars="235"/>
        <w:rPr>
          <w:rFonts w:hint="eastAsia" w:ascii="宋体" w:hAnsi="Cambria" w:cs="宋体"/>
          <w:b/>
          <w:kern w:val="0"/>
          <w:sz w:val="24"/>
          <w:szCs w:val="24"/>
          <w:lang w:val="zh-CN"/>
        </w:rPr>
      </w:pPr>
    </w:p>
    <w:p w14:paraId="6C5BB1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9"/>
    </w:p>
    <w:p w14:paraId="5EBC9C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由采购人熟悉相关业务的代表以及技术方面的专家组成</w:t>
      </w:r>
      <w:r>
        <w:rPr>
          <w:rFonts w:hint="eastAsia" w:ascii="宋体" w:hAnsi="Cambria" w:cs="宋体"/>
          <w:kern w:val="0"/>
          <w:sz w:val="24"/>
          <w:szCs w:val="24"/>
          <w:lang w:val="zh-CN"/>
        </w:rPr>
        <w:t>；人数为三人及三人以上组成。</w:t>
      </w:r>
    </w:p>
    <w:p w14:paraId="55F81ED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DA8610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0A397EE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513512E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7B4339E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65C3076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（5）向采购人、集中采购机构或者有关部门报告评标中发现的违法行为。</w:t>
      </w:r>
    </w:p>
    <w:p w14:paraId="015A4442">
      <w:pPr>
        <w:spacing w:line="400" w:lineRule="exact"/>
        <w:ind w:firstLine="564" w:firstLineChars="235"/>
        <w:rPr>
          <w:rFonts w:hint="eastAsia" w:ascii="宋体" w:hAnsi="Cambria" w:cs="宋体"/>
          <w:kern w:val="0"/>
          <w:sz w:val="24"/>
          <w:szCs w:val="24"/>
          <w:lang w:val="zh-CN"/>
        </w:rPr>
      </w:pPr>
      <w:bookmarkStart w:id="31"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428D64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4E3BB2B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5BC8A5D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72458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64BC606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40A4E9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333F142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bookmarkEnd w:id="31"/>
      <w:bookmarkStart w:id="32" w:name="_Toc376936754"/>
      <w:bookmarkStart w:id="33" w:name="_Toc500493781"/>
      <w:bookmarkStart w:id="34" w:name="_Toc325726023"/>
      <w:bookmarkStart w:id="35" w:name="_Toc428180561"/>
    </w:p>
    <w:p w14:paraId="015553B7">
      <w:pPr>
        <w:spacing w:line="400" w:lineRule="exact"/>
        <w:ind w:firstLine="637" w:firstLineChars="235"/>
        <w:rPr>
          <w:rFonts w:hint="eastAsia" w:ascii="宋体" w:hAnsi="宋体"/>
          <w:b/>
          <w:bCs/>
          <w:kern w:val="0"/>
          <w:sz w:val="27"/>
          <w:szCs w:val="27"/>
        </w:rPr>
      </w:pPr>
    </w:p>
    <w:p w14:paraId="7F848206">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2"/>
      <w:bookmarkEnd w:id="33"/>
      <w:bookmarkEnd w:id="34"/>
    </w:p>
    <w:p w14:paraId="1E5B777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102B8DB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7FD8341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）要求提供相关资料的；</w:t>
      </w:r>
    </w:p>
    <w:p w14:paraId="6980F80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40509E1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3929F89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6E4C0D1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161EB2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36542A9E">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4DC32E42">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46E3460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5BDF4A72">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418E9D76">
      <w:pPr>
        <w:spacing w:line="400" w:lineRule="exact"/>
        <w:ind w:firstLine="480"/>
        <w:jc w:val="left"/>
        <w:rPr>
          <w:rFonts w:hint="eastAsia" w:ascii="宋体" w:hAnsi="宋体"/>
          <w:b/>
          <w:bCs/>
          <w:kern w:val="0"/>
          <w:sz w:val="27"/>
          <w:szCs w:val="27"/>
        </w:rPr>
      </w:pPr>
      <w:bookmarkStart w:id="36" w:name="_Toc500493782"/>
    </w:p>
    <w:p w14:paraId="71F66AA0">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6"/>
    </w:p>
    <w:p w14:paraId="76ED69F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7F6AFAD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51B91EF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3A80E77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CA119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3B632DE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41CAEB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4118FB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7" w:name="_Toc500493783"/>
      <w:bookmarkStart w:id="38" w:name="_Toc325726024"/>
      <w:bookmarkStart w:id="39" w:name="_Toc376936755"/>
    </w:p>
    <w:p w14:paraId="3988C0EF">
      <w:pPr>
        <w:spacing w:line="400" w:lineRule="exact"/>
        <w:ind w:firstLine="480"/>
        <w:jc w:val="left"/>
        <w:rPr>
          <w:rFonts w:hint="eastAsia" w:ascii="宋体" w:hAnsi="宋体"/>
          <w:b/>
          <w:bCs/>
          <w:kern w:val="0"/>
          <w:sz w:val="27"/>
          <w:szCs w:val="27"/>
        </w:rPr>
      </w:pPr>
    </w:p>
    <w:p w14:paraId="3789A558">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7"/>
      <w:bookmarkEnd w:id="38"/>
      <w:bookmarkEnd w:id="39"/>
    </w:p>
    <w:p w14:paraId="063BF50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22D275D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本次综合评分的主要因素是：投标报价、技术质量、销售及服务、类似业绩等。评标过程中，在同等条件下，优先采购具有环境标志、节能、自主创新的产品。</w:t>
      </w:r>
    </w:p>
    <w:p w14:paraId="441496B6">
      <w:pPr>
        <w:spacing w:line="400" w:lineRule="exact"/>
        <w:ind w:firstLine="480"/>
        <w:jc w:val="left"/>
        <w:rPr>
          <w:rFonts w:hint="eastAsia" w:ascii="宋体" w:hAnsi="Cambria" w:cs="宋体"/>
          <w:kern w:val="0"/>
          <w:sz w:val="24"/>
          <w:szCs w:val="24"/>
          <w:lang w:val="zh-CN"/>
        </w:rPr>
      </w:pPr>
      <w:r>
        <w:rPr>
          <w:rFonts w:ascii="宋体" w:hAnsi="Cambria" w:cs="宋体"/>
          <w:kern w:val="0"/>
          <w:sz w:val="24"/>
          <w:szCs w:val="24"/>
          <w:lang w:val="zh-CN"/>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6768C69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w:t>
      </w:r>
    </w:p>
    <w:p w14:paraId="57CBF7F3">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须真实，否则，按照有关规定予以处理。</w:t>
      </w:r>
    </w:p>
    <w:p w14:paraId="239F9539">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3F076D62">
      <w:pPr>
        <w:autoSpaceDE w:val="0"/>
        <w:autoSpaceDN w:val="0"/>
        <w:adjustRightInd w:val="0"/>
        <w:spacing w:line="360" w:lineRule="auto"/>
        <w:jc w:val="left"/>
        <w:rPr>
          <w:rFonts w:hint="eastAsia" w:ascii="宋体" w:hAnsi="Cambria" w:cs="宋体"/>
          <w:b/>
          <w:bCs/>
          <w:kern w:val="0"/>
          <w:sz w:val="24"/>
          <w:szCs w:val="24"/>
          <w:lang w:val="zh-CN"/>
        </w:rPr>
      </w:pPr>
      <w:r>
        <w:rPr>
          <w:rFonts w:hint="eastAsia" w:ascii="宋体" w:cs="宋体"/>
          <w:b/>
          <w:bCs/>
          <w:sz w:val="24"/>
          <w:szCs w:val="24"/>
          <w:lang w:val="zh-CN"/>
        </w:rPr>
        <w:t>评标标准和分值分配：</w:t>
      </w:r>
    </w:p>
    <w:bookmarkEnd w:id="35"/>
    <w:tbl>
      <w:tblPr>
        <w:tblStyle w:val="14"/>
        <w:tblW w:w="9074" w:type="dxa"/>
        <w:jc w:val="center"/>
        <w:tblLayout w:type="fixed"/>
        <w:tblCellMar>
          <w:top w:w="0" w:type="dxa"/>
          <w:left w:w="28" w:type="dxa"/>
          <w:bottom w:w="0" w:type="dxa"/>
          <w:right w:w="28" w:type="dxa"/>
        </w:tblCellMar>
      </w:tblPr>
      <w:tblGrid>
        <w:gridCol w:w="627"/>
        <w:gridCol w:w="1128"/>
        <w:gridCol w:w="7319"/>
      </w:tblGrid>
      <w:tr w14:paraId="457F6A3C">
        <w:tblPrEx>
          <w:tblCellMar>
            <w:top w:w="0" w:type="dxa"/>
            <w:left w:w="28" w:type="dxa"/>
            <w:bottom w:w="0" w:type="dxa"/>
            <w:right w:w="28" w:type="dxa"/>
          </w:tblCellMar>
        </w:tblPrEx>
        <w:trPr>
          <w:trHeight w:val="562" w:hRule="atLeast"/>
          <w:jc w:val="center"/>
        </w:trPr>
        <w:tc>
          <w:tcPr>
            <w:tcW w:w="627" w:type="dxa"/>
            <w:tcBorders>
              <w:top w:val="single" w:color="000000" w:sz="6" w:space="0"/>
              <w:left w:val="single" w:color="000000" w:sz="6" w:space="0"/>
              <w:bottom w:val="single" w:color="000000" w:sz="6" w:space="0"/>
              <w:right w:val="single" w:color="000000" w:sz="6" w:space="0"/>
            </w:tcBorders>
            <w:vAlign w:val="center"/>
          </w:tcPr>
          <w:p w14:paraId="5D20F70C">
            <w:pPr>
              <w:autoSpaceDE w:val="0"/>
              <w:autoSpaceDN w:val="0"/>
              <w:spacing w:line="360" w:lineRule="auto"/>
              <w:jc w:val="center"/>
              <w:rPr>
                <w:rFonts w:ascii="宋体" w:hAnsi="宋体" w:eastAsia="宋体"/>
                <w:sz w:val="24"/>
                <w:szCs w:val="24"/>
              </w:rPr>
            </w:pPr>
            <w:bookmarkStart w:id="40" w:name="_Toc325726025"/>
            <w:bookmarkStart w:id="41" w:name="_Toc376936756"/>
            <w:bookmarkStart w:id="42" w:name="_Toc428180562"/>
            <w:bookmarkStart w:id="43" w:name="_Toc500493784"/>
            <w:r>
              <w:rPr>
                <w:rFonts w:hint="eastAsia" w:ascii="宋体" w:hAnsi="宋体"/>
                <w:sz w:val="24"/>
                <w:szCs w:val="24"/>
              </w:rPr>
              <w:t>序号</w:t>
            </w:r>
          </w:p>
        </w:tc>
        <w:tc>
          <w:tcPr>
            <w:tcW w:w="1128" w:type="dxa"/>
            <w:tcBorders>
              <w:top w:val="single" w:color="000000" w:sz="6" w:space="0"/>
              <w:left w:val="nil"/>
              <w:bottom w:val="single" w:color="000000" w:sz="6" w:space="0"/>
              <w:right w:val="single" w:color="000000" w:sz="6" w:space="0"/>
            </w:tcBorders>
            <w:vAlign w:val="center"/>
          </w:tcPr>
          <w:p w14:paraId="73C8A0CB">
            <w:pPr>
              <w:pStyle w:val="12"/>
              <w:widowControl/>
              <w:spacing w:before="0" w:beforeAutospacing="0" w:after="0" w:afterAutospacing="0" w:line="360" w:lineRule="auto"/>
              <w:jc w:val="center"/>
              <w:rPr>
                <w:rFonts w:ascii="宋体" w:hAnsi="宋体"/>
                <w:sz w:val="24"/>
                <w:szCs w:val="24"/>
              </w:rPr>
            </w:pPr>
            <w:r>
              <w:rPr>
                <w:rFonts w:hint="eastAsia" w:ascii="宋体" w:hAnsi="宋体"/>
                <w:sz w:val="24"/>
                <w:szCs w:val="24"/>
              </w:rPr>
              <w:t>评审因素</w:t>
            </w:r>
          </w:p>
        </w:tc>
        <w:tc>
          <w:tcPr>
            <w:tcW w:w="7319" w:type="dxa"/>
            <w:tcBorders>
              <w:top w:val="single" w:color="000000" w:sz="6" w:space="0"/>
              <w:left w:val="nil"/>
              <w:bottom w:val="single" w:color="000000" w:sz="6" w:space="0"/>
              <w:right w:val="single" w:color="000000" w:sz="6" w:space="0"/>
            </w:tcBorders>
            <w:vAlign w:val="center"/>
          </w:tcPr>
          <w:p w14:paraId="3C89D798">
            <w:pPr>
              <w:pStyle w:val="12"/>
              <w:widowControl/>
              <w:spacing w:before="0" w:beforeAutospacing="0" w:after="0" w:afterAutospacing="0" w:line="360" w:lineRule="auto"/>
              <w:jc w:val="center"/>
              <w:rPr>
                <w:rFonts w:ascii="宋体" w:hAnsi="宋体"/>
                <w:sz w:val="24"/>
                <w:szCs w:val="24"/>
              </w:rPr>
            </w:pPr>
            <w:r>
              <w:rPr>
                <w:rFonts w:hint="eastAsia" w:ascii="宋体" w:hAnsi="宋体"/>
                <w:sz w:val="24"/>
                <w:szCs w:val="24"/>
              </w:rPr>
              <w:t>评审标准</w:t>
            </w:r>
          </w:p>
        </w:tc>
      </w:tr>
      <w:tr w14:paraId="1FD823DA">
        <w:tblPrEx>
          <w:tblCellMar>
            <w:top w:w="0" w:type="dxa"/>
            <w:left w:w="28" w:type="dxa"/>
            <w:bottom w:w="0" w:type="dxa"/>
            <w:right w:w="28" w:type="dxa"/>
          </w:tblCellMar>
        </w:tblPrEx>
        <w:trPr>
          <w:trHeight w:val="2447" w:hRule="atLeast"/>
          <w:jc w:val="center"/>
        </w:trPr>
        <w:tc>
          <w:tcPr>
            <w:tcW w:w="627" w:type="dxa"/>
            <w:tcBorders>
              <w:top w:val="single" w:color="000000" w:sz="6" w:space="0"/>
              <w:left w:val="single" w:color="000000" w:sz="6" w:space="0"/>
              <w:bottom w:val="single" w:color="000000" w:sz="6" w:space="0"/>
              <w:right w:val="single" w:color="000000" w:sz="6" w:space="0"/>
            </w:tcBorders>
            <w:vAlign w:val="center"/>
          </w:tcPr>
          <w:p w14:paraId="6A2CFDDE">
            <w:pPr>
              <w:pStyle w:val="12"/>
              <w:widowControl/>
              <w:spacing w:before="0" w:beforeAutospacing="0" w:after="0" w:afterAutospacing="0" w:line="360" w:lineRule="auto"/>
              <w:jc w:val="center"/>
              <w:rPr>
                <w:rFonts w:ascii="宋体" w:hAnsi="宋体"/>
                <w:b/>
                <w:bCs/>
                <w:sz w:val="24"/>
                <w:szCs w:val="24"/>
              </w:rPr>
            </w:pPr>
            <w:r>
              <w:rPr>
                <w:rFonts w:hint="eastAsia" w:ascii="宋体" w:hAnsi="宋体"/>
                <w:b/>
                <w:bCs/>
                <w:sz w:val="24"/>
                <w:szCs w:val="24"/>
              </w:rPr>
              <w:t>1</w:t>
            </w:r>
          </w:p>
        </w:tc>
        <w:tc>
          <w:tcPr>
            <w:tcW w:w="1128" w:type="dxa"/>
            <w:tcBorders>
              <w:top w:val="single" w:color="000000" w:sz="6" w:space="0"/>
              <w:left w:val="nil"/>
              <w:bottom w:val="single" w:color="000000" w:sz="6" w:space="0"/>
              <w:right w:val="single" w:color="000000" w:sz="6" w:space="0"/>
            </w:tcBorders>
            <w:vAlign w:val="center"/>
          </w:tcPr>
          <w:p w14:paraId="38CD1785">
            <w:pPr>
              <w:pStyle w:val="12"/>
              <w:widowControl/>
              <w:spacing w:before="0" w:beforeAutospacing="0" w:after="0" w:afterAutospacing="0" w:line="360" w:lineRule="auto"/>
              <w:jc w:val="center"/>
              <w:rPr>
                <w:rFonts w:ascii="宋体" w:hAnsi="宋体"/>
                <w:b/>
                <w:bCs/>
                <w:sz w:val="24"/>
                <w:szCs w:val="24"/>
                <w:shd w:val="clear" w:color="auto" w:fill="FFFFFF"/>
              </w:rPr>
            </w:pPr>
            <w:r>
              <w:rPr>
                <w:rFonts w:hint="eastAsia" w:ascii="宋体" w:hAnsi="宋体"/>
                <w:b/>
                <w:bCs/>
                <w:sz w:val="24"/>
                <w:szCs w:val="24"/>
                <w:shd w:val="clear" w:color="auto" w:fill="FFFFFF"/>
              </w:rPr>
              <w:t>投标报价</w:t>
            </w:r>
          </w:p>
          <w:p w14:paraId="473866E2">
            <w:pPr>
              <w:pStyle w:val="12"/>
              <w:widowControl/>
              <w:spacing w:before="0" w:beforeAutospacing="0" w:after="0" w:afterAutospacing="0" w:line="360" w:lineRule="auto"/>
              <w:jc w:val="center"/>
              <w:rPr>
                <w:rFonts w:ascii="宋体" w:hAnsi="宋体"/>
                <w:b/>
                <w:bCs/>
                <w:sz w:val="24"/>
                <w:szCs w:val="24"/>
              </w:rPr>
            </w:pPr>
            <w:r>
              <w:rPr>
                <w:rFonts w:hint="eastAsia" w:ascii="宋体" w:hAnsi="宋体"/>
                <w:b/>
                <w:bCs/>
                <w:sz w:val="24"/>
                <w:szCs w:val="24"/>
                <w:shd w:val="clear" w:color="auto" w:fill="FFFFFF"/>
              </w:rPr>
              <w:t>(</w:t>
            </w:r>
            <w:r>
              <w:rPr>
                <w:rFonts w:hint="eastAsia" w:ascii="宋体" w:hAnsi="宋体"/>
                <w:b/>
                <w:bCs/>
                <w:sz w:val="24"/>
                <w:szCs w:val="24"/>
              </w:rPr>
              <w:t>30分</w:t>
            </w:r>
            <w:r>
              <w:rPr>
                <w:rFonts w:hint="eastAsia" w:ascii="宋体" w:hAnsi="宋体"/>
                <w:b/>
                <w:bCs/>
                <w:sz w:val="24"/>
                <w:szCs w:val="24"/>
                <w:shd w:val="clear" w:color="auto" w:fill="FFFFFF"/>
              </w:rPr>
              <w:t>)</w:t>
            </w:r>
          </w:p>
        </w:tc>
        <w:tc>
          <w:tcPr>
            <w:tcW w:w="7319" w:type="dxa"/>
            <w:tcBorders>
              <w:top w:val="single" w:color="000000" w:sz="6" w:space="0"/>
              <w:left w:val="nil"/>
              <w:bottom w:val="single" w:color="000000" w:sz="6" w:space="0"/>
              <w:right w:val="single" w:color="000000" w:sz="6" w:space="0"/>
            </w:tcBorders>
            <w:vAlign w:val="center"/>
          </w:tcPr>
          <w:p w14:paraId="73E4A35F">
            <w:pPr>
              <w:pStyle w:val="12"/>
              <w:widowControl/>
              <w:spacing w:before="0" w:beforeAutospacing="0" w:after="0" w:afterAutospacing="0" w:line="360" w:lineRule="auto"/>
              <w:jc w:val="both"/>
              <w:rPr>
                <w:rFonts w:ascii="宋体" w:hAnsi="宋体"/>
                <w:sz w:val="24"/>
                <w:szCs w:val="24"/>
              </w:rPr>
            </w:pPr>
            <w:r>
              <w:rPr>
                <w:rFonts w:hint="eastAsia" w:ascii="宋体" w:hAnsi="宋体"/>
                <w:sz w:val="24"/>
                <w:szCs w:val="24"/>
              </w:rPr>
              <w:t>（1）在所有的有效投标报价中，以最低投标报价为基准价，其价格分为满分。其他投标人的价格分统一按照下列公式计算：投标报价得分=（评标基准价/投标报价）×价格权值（30%）×100（四舍五入后保留小数点后两位）。</w:t>
            </w:r>
          </w:p>
          <w:p w14:paraId="5899FB89">
            <w:pPr>
              <w:pStyle w:val="12"/>
              <w:widowControl/>
              <w:spacing w:before="0" w:beforeAutospacing="0" w:after="0" w:afterAutospacing="0" w:line="360" w:lineRule="auto"/>
              <w:jc w:val="both"/>
              <w:rPr>
                <w:rFonts w:ascii="宋体" w:hAnsi="宋体"/>
                <w:sz w:val="24"/>
                <w:szCs w:val="24"/>
              </w:rPr>
            </w:pPr>
            <w:r>
              <w:rPr>
                <w:rFonts w:hint="eastAsia" w:ascii="宋体" w:hAnsi="宋体"/>
                <w:bCs/>
                <w:sz w:val="24"/>
                <w:szCs w:val="24"/>
              </w:rPr>
              <w:t>（2）因落实政府采购政策进行价格调整的，以调整后的价格计算评标基准价和投标报价，政策性价格给予10%的扣除。（残疾人福利性单位及监狱企业属于小型、微型企业，不重复性享受政策。）</w:t>
            </w:r>
          </w:p>
        </w:tc>
      </w:tr>
      <w:tr w14:paraId="20AAFF7A">
        <w:tblPrEx>
          <w:tblCellMar>
            <w:top w:w="0" w:type="dxa"/>
            <w:left w:w="28" w:type="dxa"/>
            <w:bottom w:w="0" w:type="dxa"/>
            <w:right w:w="28" w:type="dxa"/>
          </w:tblCellMar>
        </w:tblPrEx>
        <w:trPr>
          <w:trHeight w:val="90" w:hRule="atLeast"/>
          <w:jc w:val="center"/>
        </w:trPr>
        <w:tc>
          <w:tcPr>
            <w:tcW w:w="627" w:type="dxa"/>
            <w:tcBorders>
              <w:top w:val="single" w:color="000000" w:sz="6" w:space="0"/>
              <w:left w:val="single" w:color="000000" w:sz="6" w:space="0"/>
              <w:bottom w:val="single" w:color="000000" w:sz="6" w:space="0"/>
              <w:right w:val="single" w:color="000000" w:sz="6" w:space="0"/>
            </w:tcBorders>
            <w:vAlign w:val="center"/>
          </w:tcPr>
          <w:p w14:paraId="6965B432">
            <w:pPr>
              <w:pStyle w:val="12"/>
              <w:widowControl/>
              <w:spacing w:before="0" w:beforeAutospacing="0" w:after="0" w:afterAutospacing="0" w:line="360" w:lineRule="auto"/>
              <w:jc w:val="center"/>
              <w:rPr>
                <w:rFonts w:ascii="宋体" w:hAnsi="宋体"/>
                <w:b/>
                <w:bCs/>
                <w:sz w:val="24"/>
                <w:szCs w:val="24"/>
              </w:rPr>
            </w:pPr>
            <w:r>
              <w:rPr>
                <w:rFonts w:hint="eastAsia" w:ascii="宋体" w:hAnsi="宋体"/>
                <w:b/>
                <w:bCs/>
                <w:sz w:val="24"/>
                <w:szCs w:val="24"/>
              </w:rPr>
              <w:t>2</w:t>
            </w:r>
          </w:p>
        </w:tc>
        <w:tc>
          <w:tcPr>
            <w:tcW w:w="1128" w:type="dxa"/>
            <w:tcBorders>
              <w:top w:val="single" w:color="000000" w:sz="6" w:space="0"/>
              <w:left w:val="nil"/>
              <w:bottom w:val="single" w:color="000000" w:sz="6" w:space="0"/>
              <w:right w:val="single" w:color="000000" w:sz="6" w:space="0"/>
            </w:tcBorders>
            <w:vAlign w:val="center"/>
          </w:tcPr>
          <w:p w14:paraId="01E48EA5">
            <w:pPr>
              <w:pStyle w:val="12"/>
              <w:widowControl/>
              <w:spacing w:before="0" w:beforeAutospacing="0" w:after="0" w:afterAutospacing="0" w:line="360" w:lineRule="auto"/>
              <w:jc w:val="center"/>
              <w:rPr>
                <w:rFonts w:ascii="宋体" w:hAnsi="宋体"/>
                <w:b/>
                <w:bCs/>
                <w:sz w:val="24"/>
                <w:szCs w:val="24"/>
              </w:rPr>
            </w:pPr>
            <w:r>
              <w:rPr>
                <w:rFonts w:hint="eastAsia" w:ascii="宋体" w:hAnsi="宋体"/>
                <w:b/>
                <w:bCs/>
                <w:sz w:val="24"/>
                <w:szCs w:val="24"/>
              </w:rPr>
              <w:t>技术水平</w:t>
            </w:r>
          </w:p>
          <w:p w14:paraId="19E8CFF0">
            <w:pPr>
              <w:pStyle w:val="12"/>
              <w:widowControl/>
              <w:spacing w:before="0" w:beforeAutospacing="0" w:after="0" w:afterAutospacing="0" w:line="360" w:lineRule="auto"/>
              <w:jc w:val="center"/>
              <w:rPr>
                <w:rFonts w:ascii="宋体" w:hAnsi="宋体"/>
                <w:b/>
                <w:bCs/>
                <w:sz w:val="24"/>
                <w:szCs w:val="24"/>
              </w:rPr>
            </w:pPr>
            <w:r>
              <w:rPr>
                <w:rFonts w:hint="eastAsia" w:ascii="宋体" w:hAnsi="宋体"/>
                <w:b/>
                <w:bCs/>
                <w:sz w:val="24"/>
                <w:szCs w:val="24"/>
              </w:rPr>
              <w:t>（37分）</w:t>
            </w:r>
          </w:p>
        </w:tc>
        <w:tc>
          <w:tcPr>
            <w:tcW w:w="7319" w:type="dxa"/>
            <w:tcBorders>
              <w:top w:val="single" w:color="000000" w:sz="6" w:space="0"/>
              <w:left w:val="nil"/>
              <w:bottom w:val="single" w:color="000000" w:sz="6" w:space="0"/>
              <w:right w:val="single" w:color="000000" w:sz="6" w:space="0"/>
            </w:tcBorders>
            <w:vAlign w:val="center"/>
          </w:tcPr>
          <w:p w14:paraId="74D22F51">
            <w:pPr>
              <w:pStyle w:val="23"/>
              <w:spacing w:before="5" w:line="360" w:lineRule="auto"/>
              <w:ind w:right="89"/>
              <w:rPr>
                <w:rFonts w:cs="Times New Roman"/>
                <w:color w:val="FF0000"/>
                <w:sz w:val="24"/>
                <w:szCs w:val="24"/>
              </w:rPr>
            </w:pPr>
            <w:r>
              <w:rPr>
                <w:rFonts w:hint="eastAsia" w:cs="Times New Roman"/>
                <w:b/>
                <w:sz w:val="24"/>
                <w:szCs w:val="24"/>
              </w:rPr>
              <w:t>技术参数：</w:t>
            </w:r>
            <w:r>
              <w:rPr>
                <w:rFonts w:hint="eastAsia" w:cs="Times New Roman"/>
                <w:spacing w:val="-1"/>
                <w:sz w:val="24"/>
                <w:szCs w:val="24"/>
              </w:rPr>
              <w:t>投标产品技术参数和配置完全满足或高于招标文件要求的，</w:t>
            </w:r>
            <w:r>
              <w:rPr>
                <w:rFonts w:hint="eastAsia" w:cs="Times New Roman"/>
                <w:spacing w:val="-30"/>
                <w:sz w:val="24"/>
                <w:szCs w:val="24"/>
              </w:rPr>
              <w:t>得35</w:t>
            </w:r>
            <w:r>
              <w:rPr>
                <w:rFonts w:hint="eastAsia" w:cs="Times New Roman"/>
                <w:spacing w:val="-7"/>
                <w:sz w:val="24"/>
                <w:szCs w:val="24"/>
              </w:rPr>
              <w:t xml:space="preserve">分；技术参数中每有一项扣 </w:t>
            </w:r>
            <w:r>
              <w:rPr>
                <w:rFonts w:hint="eastAsia" w:cs="Times New Roman"/>
                <w:spacing w:val="-6"/>
                <w:sz w:val="24"/>
                <w:szCs w:val="24"/>
              </w:rPr>
              <w:t>3分，</w:t>
            </w:r>
            <w:r>
              <w:rPr>
                <w:rFonts w:hint="eastAsia" w:cs="Times New Roman"/>
                <w:sz w:val="24"/>
                <w:szCs w:val="24"/>
              </w:rPr>
              <w:t>扣完为止。此项评分以生产厂商出具的证明文件或产品彩页或检测报告等为依据。</w:t>
            </w:r>
          </w:p>
          <w:p w14:paraId="0592825D">
            <w:pPr>
              <w:pStyle w:val="23"/>
              <w:spacing w:before="5" w:line="360" w:lineRule="auto"/>
              <w:ind w:right="89"/>
              <w:rPr>
                <w:rFonts w:cs="Times New Roman"/>
                <w:sz w:val="24"/>
                <w:szCs w:val="24"/>
              </w:rPr>
            </w:pPr>
            <w:r>
              <w:rPr>
                <w:rFonts w:hint="eastAsia" w:cs="Times New Roman"/>
                <w:b/>
                <w:bCs/>
                <w:sz w:val="24"/>
                <w:szCs w:val="24"/>
              </w:rPr>
              <w:t>节能和环保：</w:t>
            </w:r>
            <w:r>
              <w:rPr>
                <w:rFonts w:hint="eastAsia" w:cs="Times New Roman"/>
                <w:sz w:val="24"/>
                <w:szCs w:val="24"/>
              </w:rPr>
              <w:t>所投产品为节能产品，得 1 分，所投产品为环保产品，得1 分，共 2 分；未提供不得分。该项得分的认定以《国家节能产品认证证书》《中国环境标志产品认证证书》复印件为准。</w:t>
            </w:r>
          </w:p>
        </w:tc>
      </w:tr>
      <w:tr w14:paraId="7F132F9F">
        <w:tblPrEx>
          <w:tblCellMar>
            <w:top w:w="0" w:type="dxa"/>
            <w:left w:w="28" w:type="dxa"/>
            <w:bottom w:w="0" w:type="dxa"/>
            <w:right w:w="28" w:type="dxa"/>
          </w:tblCellMar>
        </w:tblPrEx>
        <w:trPr>
          <w:trHeight w:val="90" w:hRule="atLeast"/>
          <w:jc w:val="center"/>
        </w:trPr>
        <w:tc>
          <w:tcPr>
            <w:tcW w:w="627" w:type="dxa"/>
            <w:tcBorders>
              <w:top w:val="single" w:color="000000" w:sz="6" w:space="0"/>
              <w:left w:val="single" w:color="000000" w:sz="6" w:space="0"/>
              <w:bottom w:val="single" w:color="000000" w:sz="6" w:space="0"/>
              <w:right w:val="single" w:color="000000" w:sz="6" w:space="0"/>
            </w:tcBorders>
            <w:vAlign w:val="center"/>
          </w:tcPr>
          <w:p w14:paraId="4DCFBC82">
            <w:pPr>
              <w:pStyle w:val="12"/>
              <w:widowControl/>
              <w:spacing w:before="0" w:beforeAutospacing="0" w:after="0" w:afterAutospacing="0" w:line="360" w:lineRule="auto"/>
              <w:jc w:val="center"/>
              <w:rPr>
                <w:rFonts w:ascii="宋体" w:hAnsi="宋体"/>
                <w:b/>
                <w:bCs/>
                <w:sz w:val="24"/>
                <w:szCs w:val="24"/>
              </w:rPr>
            </w:pPr>
            <w:r>
              <w:rPr>
                <w:rFonts w:hint="eastAsia" w:ascii="宋体" w:hAnsi="宋体"/>
                <w:b/>
                <w:bCs/>
                <w:sz w:val="24"/>
                <w:szCs w:val="24"/>
              </w:rPr>
              <w:t>3</w:t>
            </w:r>
          </w:p>
        </w:tc>
        <w:tc>
          <w:tcPr>
            <w:tcW w:w="1128" w:type="dxa"/>
            <w:tcBorders>
              <w:top w:val="single" w:color="000000" w:sz="6" w:space="0"/>
              <w:left w:val="nil"/>
              <w:bottom w:val="single" w:color="000000" w:sz="6" w:space="0"/>
              <w:right w:val="single" w:color="000000" w:sz="6" w:space="0"/>
            </w:tcBorders>
            <w:vAlign w:val="center"/>
          </w:tcPr>
          <w:p w14:paraId="64E8D0B0">
            <w:pPr>
              <w:pStyle w:val="12"/>
              <w:widowControl/>
              <w:spacing w:before="0" w:beforeAutospacing="0" w:after="0" w:afterAutospacing="0" w:line="360" w:lineRule="auto"/>
              <w:jc w:val="both"/>
              <w:rPr>
                <w:rFonts w:ascii="宋体" w:hAnsi="宋体"/>
                <w:b/>
                <w:bCs/>
                <w:sz w:val="24"/>
                <w:szCs w:val="24"/>
              </w:rPr>
            </w:pPr>
            <w:r>
              <w:rPr>
                <w:rFonts w:hint="eastAsia" w:ascii="宋体" w:hAnsi="宋体"/>
                <w:b/>
                <w:bCs/>
                <w:sz w:val="24"/>
                <w:szCs w:val="24"/>
              </w:rPr>
              <w:t>履约能力</w:t>
            </w:r>
          </w:p>
          <w:p w14:paraId="264A9CEB">
            <w:pPr>
              <w:pStyle w:val="12"/>
              <w:widowControl/>
              <w:spacing w:before="0" w:beforeAutospacing="0" w:after="0" w:afterAutospacing="0" w:line="360" w:lineRule="auto"/>
              <w:jc w:val="center"/>
              <w:rPr>
                <w:rFonts w:ascii="宋体" w:hAnsi="宋体"/>
                <w:b/>
                <w:bCs/>
                <w:sz w:val="24"/>
                <w:szCs w:val="24"/>
              </w:rPr>
            </w:pPr>
            <w:r>
              <w:rPr>
                <w:rFonts w:hint="eastAsia" w:ascii="宋体" w:hAnsi="宋体"/>
                <w:b/>
                <w:bCs/>
                <w:sz w:val="24"/>
                <w:szCs w:val="24"/>
                <w:shd w:val="clear" w:color="auto" w:fill="FFFFFF"/>
              </w:rPr>
              <w:t>(</w:t>
            </w:r>
            <w:r>
              <w:rPr>
                <w:rFonts w:hint="eastAsia" w:ascii="宋体" w:hAnsi="宋体"/>
                <w:b/>
                <w:bCs/>
                <w:sz w:val="24"/>
                <w:szCs w:val="24"/>
              </w:rPr>
              <w:t>3分</w:t>
            </w:r>
            <w:r>
              <w:rPr>
                <w:rFonts w:hint="eastAsia" w:ascii="宋体" w:hAnsi="宋体"/>
                <w:b/>
                <w:bCs/>
                <w:sz w:val="24"/>
                <w:szCs w:val="24"/>
                <w:shd w:val="clear" w:color="auto" w:fill="FFFFFF"/>
              </w:rPr>
              <w:t>)</w:t>
            </w:r>
          </w:p>
        </w:tc>
        <w:tc>
          <w:tcPr>
            <w:tcW w:w="7319" w:type="dxa"/>
            <w:tcBorders>
              <w:top w:val="single" w:color="000000" w:sz="6" w:space="0"/>
              <w:left w:val="nil"/>
              <w:bottom w:val="single" w:color="000000" w:sz="6" w:space="0"/>
              <w:right w:val="single" w:color="000000" w:sz="6" w:space="0"/>
            </w:tcBorders>
            <w:vAlign w:val="center"/>
          </w:tcPr>
          <w:p w14:paraId="7E937308">
            <w:pPr>
              <w:pStyle w:val="23"/>
              <w:spacing w:before="5" w:line="360" w:lineRule="auto"/>
              <w:ind w:right="89"/>
              <w:rPr>
                <w:rFonts w:cs="Times New Roman"/>
                <w:b/>
                <w:bCs/>
                <w:sz w:val="24"/>
                <w:szCs w:val="24"/>
              </w:rPr>
            </w:pPr>
            <w:r>
              <w:rPr>
                <w:rFonts w:hint="eastAsia" w:cs="Times New Roman"/>
                <w:sz w:val="24"/>
                <w:szCs w:val="24"/>
              </w:rPr>
              <w:t>类似业绩情况（3分）：提供近 3 年（2022年6月20日-2025年6月20日）的供应商类似业绩证明材料，须提供包含合同首页、标的及金额所在页、签字盖章页的合同复印件并加盖投标供应商公章，每提供 1 项得 1 分,满分3分；不提供不得分。</w:t>
            </w:r>
          </w:p>
        </w:tc>
      </w:tr>
      <w:tr w14:paraId="2C5A81D4">
        <w:tblPrEx>
          <w:tblCellMar>
            <w:top w:w="0" w:type="dxa"/>
            <w:left w:w="28" w:type="dxa"/>
            <w:bottom w:w="0" w:type="dxa"/>
            <w:right w:w="28" w:type="dxa"/>
          </w:tblCellMar>
        </w:tblPrEx>
        <w:trPr>
          <w:trHeight w:val="90" w:hRule="atLeast"/>
          <w:jc w:val="center"/>
        </w:trPr>
        <w:tc>
          <w:tcPr>
            <w:tcW w:w="627" w:type="dxa"/>
            <w:tcBorders>
              <w:top w:val="single" w:color="000000" w:sz="6" w:space="0"/>
              <w:left w:val="single" w:color="000000" w:sz="6" w:space="0"/>
              <w:bottom w:val="single" w:color="auto" w:sz="4" w:space="0"/>
              <w:right w:val="single" w:color="000000" w:sz="6" w:space="0"/>
            </w:tcBorders>
            <w:vAlign w:val="center"/>
          </w:tcPr>
          <w:p w14:paraId="32E24788">
            <w:pPr>
              <w:pStyle w:val="12"/>
              <w:widowControl/>
              <w:spacing w:before="0" w:beforeAutospacing="0" w:after="0" w:afterAutospacing="0" w:line="360" w:lineRule="auto"/>
              <w:jc w:val="center"/>
              <w:rPr>
                <w:rFonts w:ascii="宋体" w:hAnsi="宋体"/>
                <w:b/>
                <w:bCs/>
                <w:sz w:val="24"/>
                <w:szCs w:val="24"/>
              </w:rPr>
            </w:pPr>
            <w:r>
              <w:rPr>
                <w:rFonts w:hint="eastAsia" w:ascii="宋体" w:hAnsi="宋体"/>
                <w:b/>
                <w:bCs/>
                <w:sz w:val="24"/>
                <w:szCs w:val="24"/>
              </w:rPr>
              <w:t>4</w:t>
            </w:r>
          </w:p>
        </w:tc>
        <w:tc>
          <w:tcPr>
            <w:tcW w:w="1128" w:type="dxa"/>
            <w:tcBorders>
              <w:top w:val="single" w:color="000000" w:sz="6" w:space="0"/>
              <w:left w:val="nil"/>
              <w:bottom w:val="single" w:color="auto" w:sz="4" w:space="0"/>
              <w:right w:val="single" w:color="000000" w:sz="6" w:space="0"/>
            </w:tcBorders>
            <w:vAlign w:val="center"/>
          </w:tcPr>
          <w:p w14:paraId="6653FA9D">
            <w:pPr>
              <w:pStyle w:val="12"/>
              <w:widowControl/>
              <w:spacing w:before="0" w:beforeAutospacing="0" w:after="0" w:afterAutospacing="0" w:line="360" w:lineRule="auto"/>
              <w:jc w:val="center"/>
              <w:rPr>
                <w:rFonts w:ascii="宋体" w:hAnsi="宋体"/>
                <w:b/>
                <w:bCs/>
                <w:sz w:val="24"/>
                <w:szCs w:val="24"/>
              </w:rPr>
            </w:pPr>
            <w:r>
              <w:rPr>
                <w:rFonts w:hint="eastAsia" w:ascii="宋体" w:hAnsi="宋体"/>
                <w:b/>
                <w:bCs/>
                <w:sz w:val="24"/>
                <w:szCs w:val="24"/>
              </w:rPr>
              <w:t>实施方案</w:t>
            </w:r>
            <w:r>
              <w:rPr>
                <w:rFonts w:hint="eastAsia" w:ascii="宋体" w:hAnsi="宋体"/>
                <w:b/>
                <w:bCs/>
                <w:sz w:val="24"/>
                <w:szCs w:val="24"/>
                <w:shd w:val="clear" w:color="auto" w:fill="FFFFFF"/>
              </w:rPr>
              <w:t>(</w:t>
            </w:r>
            <w:r>
              <w:rPr>
                <w:rFonts w:hint="eastAsia" w:ascii="宋体" w:hAnsi="宋体"/>
                <w:b/>
                <w:bCs/>
                <w:sz w:val="24"/>
                <w:szCs w:val="24"/>
              </w:rPr>
              <w:t>10分</w:t>
            </w:r>
            <w:r>
              <w:rPr>
                <w:rFonts w:hint="eastAsia" w:ascii="宋体" w:hAnsi="宋体"/>
                <w:b/>
                <w:bCs/>
                <w:sz w:val="24"/>
                <w:szCs w:val="24"/>
                <w:shd w:val="clear" w:color="auto" w:fill="FFFFFF"/>
              </w:rPr>
              <w:t>)</w:t>
            </w:r>
          </w:p>
        </w:tc>
        <w:tc>
          <w:tcPr>
            <w:tcW w:w="7319" w:type="dxa"/>
            <w:tcBorders>
              <w:top w:val="single" w:color="000000" w:sz="6" w:space="0"/>
              <w:left w:val="nil"/>
              <w:bottom w:val="single" w:color="auto" w:sz="4" w:space="0"/>
              <w:right w:val="single" w:color="000000" w:sz="6" w:space="0"/>
            </w:tcBorders>
            <w:vAlign w:val="center"/>
          </w:tcPr>
          <w:p w14:paraId="72619569">
            <w:pPr>
              <w:pStyle w:val="23"/>
              <w:spacing w:before="5" w:line="360" w:lineRule="auto"/>
              <w:ind w:right="89"/>
              <w:rPr>
                <w:rFonts w:cs="Times New Roman"/>
                <w:sz w:val="24"/>
                <w:szCs w:val="24"/>
              </w:rPr>
            </w:pPr>
            <w:r>
              <w:rPr>
                <w:rFonts w:hint="eastAsia" w:cs="Times New Roman"/>
                <w:b/>
                <w:bCs/>
                <w:sz w:val="24"/>
                <w:szCs w:val="24"/>
              </w:rPr>
              <w:t>项目管理及实施方案（10分）：</w:t>
            </w:r>
            <w:r>
              <w:rPr>
                <w:rFonts w:hint="eastAsia" w:cs="Times New Roman"/>
                <w:sz w:val="24"/>
                <w:szCs w:val="24"/>
              </w:rPr>
              <w:t>针对本项目的产品和配套设施供货、运输、产品安装调试以及售后服务中应包含的人员培训、定期回访、设备检修等服务环节设置了项目管理机构，并且对所投产品的定期维护、易损件更换有着详细的计划措施，能够结合项目特点制定技术方案和实施方案的得10分。针对本项目的产品和配套设施供货、运输、产品安装调试,设置了项目管理机构有计划措施，能够结合项目特点制定技术方案和实施方案得7分。针对本项目作出计划措施，制定技术、实施方案简单的得4分；其他情况不得分。</w:t>
            </w:r>
          </w:p>
        </w:tc>
      </w:tr>
      <w:tr w14:paraId="7A3F2409">
        <w:tblPrEx>
          <w:tblCellMar>
            <w:top w:w="0" w:type="dxa"/>
            <w:left w:w="28" w:type="dxa"/>
            <w:bottom w:w="0" w:type="dxa"/>
            <w:right w:w="28" w:type="dxa"/>
          </w:tblCellMar>
        </w:tblPrEx>
        <w:trPr>
          <w:trHeight w:val="602" w:hRule="atLeast"/>
          <w:jc w:val="center"/>
        </w:trPr>
        <w:tc>
          <w:tcPr>
            <w:tcW w:w="627" w:type="dxa"/>
            <w:tcBorders>
              <w:top w:val="single" w:color="000000" w:sz="6" w:space="0"/>
              <w:left w:val="single" w:color="000000" w:sz="6" w:space="0"/>
              <w:bottom w:val="single" w:color="auto" w:sz="4" w:space="0"/>
              <w:right w:val="single" w:color="000000" w:sz="6" w:space="0"/>
            </w:tcBorders>
            <w:vAlign w:val="center"/>
          </w:tcPr>
          <w:p w14:paraId="5CA64894">
            <w:pPr>
              <w:pStyle w:val="12"/>
              <w:widowControl/>
              <w:spacing w:before="0" w:beforeAutospacing="0" w:after="0" w:afterAutospacing="0" w:line="360" w:lineRule="auto"/>
              <w:jc w:val="center"/>
              <w:rPr>
                <w:rFonts w:ascii="宋体" w:hAnsi="宋体"/>
                <w:b/>
                <w:bCs/>
                <w:sz w:val="24"/>
                <w:szCs w:val="24"/>
              </w:rPr>
            </w:pPr>
            <w:r>
              <w:rPr>
                <w:rFonts w:hint="eastAsia" w:ascii="宋体" w:hAnsi="宋体"/>
                <w:b/>
                <w:bCs/>
                <w:sz w:val="24"/>
                <w:szCs w:val="24"/>
              </w:rPr>
              <w:t>5</w:t>
            </w:r>
          </w:p>
        </w:tc>
        <w:tc>
          <w:tcPr>
            <w:tcW w:w="1128" w:type="dxa"/>
            <w:tcBorders>
              <w:top w:val="single" w:color="000000" w:sz="6" w:space="0"/>
              <w:left w:val="nil"/>
              <w:bottom w:val="single" w:color="auto" w:sz="4" w:space="0"/>
              <w:right w:val="single" w:color="000000" w:sz="6" w:space="0"/>
            </w:tcBorders>
            <w:vAlign w:val="center"/>
          </w:tcPr>
          <w:p w14:paraId="3712FD56">
            <w:pPr>
              <w:pStyle w:val="12"/>
              <w:widowControl/>
              <w:spacing w:before="0" w:beforeAutospacing="0" w:after="0" w:afterAutospacing="0" w:line="360" w:lineRule="auto"/>
              <w:jc w:val="center"/>
              <w:rPr>
                <w:rFonts w:ascii="宋体" w:hAnsi="宋体"/>
                <w:b/>
                <w:bCs/>
                <w:sz w:val="24"/>
                <w:szCs w:val="24"/>
              </w:rPr>
            </w:pPr>
            <w:r>
              <w:rPr>
                <w:rFonts w:hint="eastAsia" w:ascii="宋体" w:hAnsi="宋体"/>
                <w:b/>
                <w:bCs/>
                <w:sz w:val="24"/>
                <w:szCs w:val="24"/>
              </w:rPr>
              <w:t>售后服务</w:t>
            </w:r>
          </w:p>
          <w:p w14:paraId="75E2E7E4">
            <w:pPr>
              <w:pStyle w:val="12"/>
              <w:widowControl/>
              <w:spacing w:before="0" w:beforeAutospacing="0" w:after="0" w:afterAutospacing="0" w:line="360" w:lineRule="auto"/>
              <w:jc w:val="center"/>
              <w:rPr>
                <w:rFonts w:ascii="宋体" w:hAnsi="宋体"/>
                <w:b/>
                <w:bCs/>
                <w:sz w:val="24"/>
                <w:szCs w:val="24"/>
                <w:shd w:val="clear" w:color="auto" w:fill="FFFFFF"/>
              </w:rPr>
            </w:pPr>
            <w:r>
              <w:rPr>
                <w:rFonts w:hint="eastAsia" w:ascii="宋体" w:hAnsi="宋体"/>
                <w:b/>
                <w:bCs/>
                <w:sz w:val="24"/>
                <w:szCs w:val="24"/>
                <w:shd w:val="clear" w:color="auto" w:fill="FFFFFF"/>
              </w:rPr>
              <w:t>(</w:t>
            </w:r>
            <w:r>
              <w:rPr>
                <w:rFonts w:hint="eastAsia" w:ascii="宋体" w:hAnsi="宋体"/>
                <w:b/>
                <w:bCs/>
                <w:sz w:val="24"/>
                <w:szCs w:val="24"/>
              </w:rPr>
              <w:t>20分</w:t>
            </w:r>
            <w:r>
              <w:rPr>
                <w:rFonts w:hint="eastAsia" w:ascii="宋体" w:hAnsi="宋体"/>
                <w:b/>
                <w:bCs/>
                <w:sz w:val="24"/>
                <w:szCs w:val="24"/>
                <w:shd w:val="clear" w:color="auto" w:fill="FFFFFF"/>
              </w:rPr>
              <w:t>)</w:t>
            </w:r>
          </w:p>
        </w:tc>
        <w:tc>
          <w:tcPr>
            <w:tcW w:w="7319" w:type="dxa"/>
            <w:tcBorders>
              <w:top w:val="single" w:color="000000" w:sz="6" w:space="0"/>
              <w:left w:val="nil"/>
              <w:bottom w:val="single" w:color="auto" w:sz="4" w:space="0"/>
              <w:right w:val="single" w:color="000000" w:sz="6" w:space="0"/>
            </w:tcBorders>
            <w:vAlign w:val="center"/>
          </w:tcPr>
          <w:p w14:paraId="294D58D2">
            <w:pPr>
              <w:numPr>
                <w:ilvl w:val="0"/>
                <w:numId w:val="3"/>
              </w:numPr>
              <w:spacing w:line="360" w:lineRule="auto"/>
              <w:rPr>
                <w:rFonts w:ascii="宋体" w:hAnsi="宋体"/>
                <w:sz w:val="24"/>
                <w:szCs w:val="24"/>
              </w:rPr>
            </w:pPr>
            <w:r>
              <w:rPr>
                <w:rFonts w:hint="eastAsia" w:ascii="宋体" w:hAnsi="宋体"/>
                <w:b/>
                <w:bCs/>
                <w:sz w:val="24"/>
                <w:szCs w:val="24"/>
              </w:rPr>
              <w:t>售后服务计划、服务承诺及人员配置（7分）：</w:t>
            </w:r>
            <w:r>
              <w:rPr>
                <w:rFonts w:hint="eastAsia" w:ascii="宋体" w:hAnsi="宋体"/>
                <w:sz w:val="24"/>
                <w:szCs w:val="24"/>
              </w:rPr>
              <w:t>根据投标供应商及投标供应商所投产品的生产厂家提供的售后服务方案、服务承诺以及积极响应时间、售后服务网点分布情况、在质保期内，对于产品质量问题造成的损坏，免费提供咨询、部件更换、维修服务等，方案内容合理、准确、详尽、完善得7分；根据投标供应商及投标供应商所投产品的生产厂家提供的售后服务方案、承诺以及响应时间、售后服务网点分布情况对于产品质量问题造成的损坏，免费提供咨询、维修服务的方案内容合理的得5分；根据投标供应商及投标供应商所投产品的生产厂家提供的售后服务方案、对于产品质量问题造成的损坏，提供维修服务等方案得3分；未提供的不得分。</w:t>
            </w:r>
          </w:p>
          <w:p w14:paraId="55FFE623">
            <w:pPr>
              <w:numPr>
                <w:ilvl w:val="0"/>
                <w:numId w:val="3"/>
              </w:numPr>
              <w:spacing w:line="360" w:lineRule="auto"/>
              <w:rPr>
                <w:rFonts w:hint="eastAsia" w:ascii="宋体" w:hAnsi="宋体"/>
                <w:sz w:val="24"/>
                <w:szCs w:val="24"/>
              </w:rPr>
            </w:pPr>
            <w:r>
              <w:rPr>
                <w:rFonts w:hint="eastAsia" w:ascii="宋体" w:hAnsi="宋体"/>
                <w:b/>
                <w:bCs/>
                <w:sz w:val="24"/>
                <w:szCs w:val="24"/>
              </w:rPr>
              <w:t>总体设计（5分）</w:t>
            </w:r>
            <w:r>
              <w:rPr>
                <w:rFonts w:hint="eastAsia" w:ascii="宋体" w:hAnsi="宋体"/>
                <w:sz w:val="24"/>
                <w:szCs w:val="24"/>
              </w:rPr>
              <w:t>供应商需提供针对具体建设要求进行的项目总体设计方案：方案设计科学合理，易用性强，能完全满足采购文件需求的得5分；方案设计合理，人性化，能满足采购文件需求的得3分；方案设计针对性不强，有偏离，无法有效满足采购文件需求的得1分；其他情况不得分。</w:t>
            </w:r>
          </w:p>
          <w:p w14:paraId="2D7F89C8">
            <w:pPr>
              <w:numPr>
                <w:ilvl w:val="0"/>
                <w:numId w:val="3"/>
              </w:numPr>
              <w:spacing w:line="360" w:lineRule="auto"/>
              <w:rPr>
                <w:rFonts w:hint="eastAsia" w:ascii="宋体" w:hAnsi="宋体"/>
                <w:sz w:val="24"/>
                <w:szCs w:val="24"/>
              </w:rPr>
            </w:pPr>
            <w:r>
              <w:rPr>
                <w:rFonts w:hint="eastAsia" w:ascii="宋体" w:hAnsi="宋体"/>
                <w:b/>
                <w:bCs/>
                <w:sz w:val="24"/>
                <w:szCs w:val="24"/>
              </w:rPr>
              <w:t>质量控制及保证措施（5分）：</w:t>
            </w:r>
            <w:r>
              <w:rPr>
                <w:rFonts w:hint="eastAsia" w:ascii="宋体" w:hAnsi="宋体"/>
                <w:sz w:val="24"/>
                <w:szCs w:val="24"/>
              </w:rPr>
              <w:t>控制及措施明确、周密、针对性强得 5分；控制及措施符合采购要求的得 3分；控制及措施不符合采购要求的得1分，其他情况不得分。</w:t>
            </w:r>
          </w:p>
          <w:p w14:paraId="5DC96150">
            <w:pPr>
              <w:pStyle w:val="23"/>
              <w:spacing w:before="5" w:line="360" w:lineRule="auto"/>
              <w:ind w:right="89"/>
              <w:rPr>
                <w:rFonts w:cs="Times New Roman"/>
                <w:b/>
                <w:sz w:val="24"/>
                <w:szCs w:val="24"/>
              </w:rPr>
            </w:pPr>
            <w:r>
              <w:rPr>
                <w:rFonts w:hint="eastAsia" w:cs="Times New Roman"/>
                <w:sz w:val="24"/>
                <w:szCs w:val="24"/>
              </w:rPr>
              <w:t>（4）</w:t>
            </w:r>
            <w:r>
              <w:rPr>
                <w:rFonts w:hint="eastAsia" w:cs="Times New Roman"/>
                <w:b/>
                <w:bCs/>
                <w:sz w:val="24"/>
                <w:szCs w:val="24"/>
              </w:rPr>
              <w:t>应急措施（3分）：</w:t>
            </w:r>
            <w:r>
              <w:rPr>
                <w:rFonts w:hint="eastAsia" w:cs="Times New Roman"/>
                <w:sz w:val="24"/>
                <w:szCs w:val="24"/>
              </w:rPr>
              <w:t>供应商针对本项目提供的应急保障措施，包括但不限于应急预案、应急措施等方面，考虑全面、针对性强、措施完善、方法科学合理的，得 3分；方案、措施合理、内容完善可行的得2分；方案、措施针对性不强、内容有偏离的得1分；其他情况不得分。</w:t>
            </w:r>
          </w:p>
        </w:tc>
      </w:tr>
    </w:tbl>
    <w:p w14:paraId="3342DA6E">
      <w:pPr>
        <w:autoSpaceDE w:val="0"/>
        <w:autoSpaceDN w:val="0"/>
        <w:adjustRightInd w:val="0"/>
        <w:spacing w:line="360" w:lineRule="auto"/>
        <w:jc w:val="left"/>
        <w:rPr>
          <w:rFonts w:hint="eastAsia" w:ascii="宋体" w:cs="宋体"/>
          <w:sz w:val="24"/>
          <w:szCs w:val="24"/>
          <w:lang w:val="zh-CN"/>
        </w:rPr>
      </w:pPr>
    </w:p>
    <w:p w14:paraId="090A7F47">
      <w:pPr>
        <w:autoSpaceDE w:val="0"/>
        <w:autoSpaceDN w:val="0"/>
        <w:adjustRightInd w:val="0"/>
        <w:spacing w:line="360" w:lineRule="auto"/>
        <w:jc w:val="left"/>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5CCBF709">
      <w:pPr>
        <w:autoSpaceDE w:val="0"/>
        <w:autoSpaceDN w:val="0"/>
        <w:adjustRightInd w:val="0"/>
        <w:spacing w:line="360" w:lineRule="auto"/>
        <w:jc w:val="left"/>
        <w:rPr>
          <w:rFonts w:ascii="Arial" w:hAnsi="Arial" w:cs="Arial"/>
          <w:sz w:val="24"/>
        </w:rPr>
      </w:pPr>
    </w:p>
    <w:p w14:paraId="5D4103C6">
      <w:pPr>
        <w:pStyle w:val="19"/>
        <w:ind w:firstLine="424" w:firstLineChars="176"/>
        <w:rPr>
          <w:rFonts w:hint="eastAsia"/>
          <w:b/>
          <w:kern w:val="0"/>
          <w:sz w:val="24"/>
        </w:rPr>
      </w:pPr>
      <w:r>
        <w:rPr>
          <w:rFonts w:hint="eastAsia"/>
          <w:b/>
          <w:kern w:val="0"/>
          <w:sz w:val="24"/>
        </w:rPr>
        <w:t>八、评审</w:t>
      </w:r>
      <w:r>
        <w:rPr>
          <w:b/>
          <w:kern w:val="0"/>
          <w:sz w:val="24"/>
        </w:rPr>
        <w:t>结果</w:t>
      </w:r>
      <w:bookmarkEnd w:id="40"/>
      <w:bookmarkEnd w:id="41"/>
      <w:bookmarkEnd w:id="42"/>
      <w:bookmarkEnd w:id="43"/>
      <w:bookmarkStart w:id="44" w:name="_Toc376936757"/>
      <w:bookmarkStart w:id="45" w:name="_Toc500493785"/>
      <w:bookmarkStart w:id="46" w:name="_Toc325726026"/>
    </w:p>
    <w:p w14:paraId="28656D4A">
      <w:pPr>
        <w:pStyle w:val="19"/>
        <w:ind w:firstLine="424" w:firstLineChars="176"/>
        <w:rPr>
          <w:rFonts w:hint="eastAsia"/>
          <w:b/>
          <w:kern w:val="0"/>
          <w:sz w:val="24"/>
        </w:rPr>
      </w:pPr>
    </w:p>
    <w:p w14:paraId="125F4F8B">
      <w:pPr>
        <w:pStyle w:val="19"/>
        <w:ind w:firstLine="424" w:firstLineChars="176"/>
        <w:rPr>
          <w:rFonts w:hint="eastAsia"/>
          <w:b/>
          <w:kern w:val="0"/>
          <w:sz w:val="24"/>
        </w:rPr>
      </w:pPr>
      <w:r>
        <w:rPr>
          <w:rFonts w:hint="eastAsia"/>
          <w:b/>
          <w:kern w:val="0"/>
          <w:sz w:val="24"/>
        </w:rPr>
        <w:t>22.确定第一</w:t>
      </w:r>
      <w:r>
        <w:rPr>
          <w:b/>
          <w:kern w:val="0"/>
          <w:sz w:val="24"/>
        </w:rPr>
        <w:t>候选人</w:t>
      </w:r>
      <w:bookmarkEnd w:id="44"/>
      <w:bookmarkEnd w:id="45"/>
      <w:bookmarkEnd w:id="46"/>
    </w:p>
    <w:p w14:paraId="5977405B">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2A06C029">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7" w:name="_Toc325726027"/>
      <w:r>
        <w:rPr>
          <w:rFonts w:hint="eastAsia"/>
          <w:sz w:val="24"/>
          <w:szCs w:val="24"/>
        </w:rPr>
        <w:t>完成评审</w:t>
      </w:r>
      <w:r>
        <w:rPr>
          <w:sz w:val="24"/>
          <w:szCs w:val="24"/>
        </w:rPr>
        <w:t>后应当向采购人提交书面评审报告。</w:t>
      </w:r>
    </w:p>
    <w:p w14:paraId="15F45BC0">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8" w:name="_Toc376936759"/>
      <w:bookmarkStart w:id="49" w:name="_Toc500493786"/>
      <w:bookmarkStart w:id="50" w:name="_Toc325726028"/>
      <w:r>
        <w:rPr>
          <w:rFonts w:hint="eastAsia" w:ascii="宋体" w:hAnsi="宋体"/>
          <w:b/>
          <w:bCs/>
          <w:kern w:val="0"/>
          <w:sz w:val="24"/>
          <w:szCs w:val="24"/>
        </w:rPr>
        <w:t>23.中标通知</w:t>
      </w:r>
      <w:bookmarkEnd w:id="48"/>
      <w:bookmarkEnd w:id="49"/>
      <w:bookmarkEnd w:id="50"/>
    </w:p>
    <w:p w14:paraId="25C8E10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投标人，告知其未通过的原因；告知未中标人本人的评审得分与排序。</w:t>
      </w:r>
    </w:p>
    <w:p w14:paraId="2D2966C3">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60668868">
      <w:pPr>
        <w:pStyle w:val="19"/>
        <w:ind w:firstLine="282" w:firstLineChars="117"/>
        <w:rPr>
          <w:rFonts w:hint="eastAsia"/>
          <w:b/>
          <w:kern w:val="0"/>
          <w:sz w:val="24"/>
        </w:rPr>
      </w:pPr>
      <w:bookmarkStart w:id="51" w:name="_Toc500493787"/>
      <w:bookmarkStart w:id="52" w:name="_Toc376936758"/>
    </w:p>
    <w:p w14:paraId="546C62DA">
      <w:pPr>
        <w:pStyle w:val="19"/>
        <w:ind w:firstLine="282" w:firstLineChars="117"/>
        <w:rPr>
          <w:rFonts w:hint="eastAsia"/>
          <w:b/>
          <w:kern w:val="0"/>
          <w:sz w:val="24"/>
        </w:rPr>
      </w:pPr>
      <w:r>
        <w:rPr>
          <w:rFonts w:hint="eastAsia"/>
          <w:b/>
          <w:kern w:val="0"/>
          <w:sz w:val="24"/>
        </w:rPr>
        <w:t>九、授予合同</w:t>
      </w:r>
      <w:bookmarkEnd w:id="47"/>
      <w:bookmarkEnd w:id="51"/>
      <w:bookmarkEnd w:id="52"/>
    </w:p>
    <w:p w14:paraId="00DF6F3F">
      <w:pPr>
        <w:pStyle w:val="19"/>
        <w:ind w:firstLine="282" w:firstLineChars="117"/>
        <w:rPr>
          <w:rFonts w:hint="eastAsia"/>
          <w:b/>
          <w:kern w:val="0"/>
          <w:sz w:val="24"/>
        </w:rPr>
      </w:pPr>
      <w:bookmarkStart w:id="53" w:name="_Toc500493788"/>
      <w:bookmarkStart w:id="54" w:name="_Toc376936760"/>
      <w:bookmarkStart w:id="55" w:name="_Toc325726029"/>
    </w:p>
    <w:p w14:paraId="3BC65597">
      <w:pPr>
        <w:pStyle w:val="19"/>
        <w:ind w:firstLine="282" w:firstLineChars="117"/>
        <w:rPr>
          <w:rFonts w:hint="eastAsia"/>
          <w:b/>
          <w:kern w:val="0"/>
          <w:sz w:val="24"/>
        </w:rPr>
      </w:pPr>
      <w:r>
        <w:rPr>
          <w:rFonts w:hint="eastAsia"/>
          <w:b/>
          <w:kern w:val="0"/>
          <w:sz w:val="24"/>
        </w:rPr>
        <w:t>24.签订合同</w:t>
      </w:r>
      <w:bookmarkEnd w:id="53"/>
      <w:bookmarkEnd w:id="54"/>
      <w:bookmarkEnd w:id="55"/>
    </w:p>
    <w:p w14:paraId="0A947BC4">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中标通知书》发出之日起30日内，按照招标文件确定的合同文本以及采购标的、规格型号、采购金额、采购数量、技术和服务要求等事项签订采购合同，并报西宁市政府采购中心审核备案。</w:t>
      </w:r>
    </w:p>
    <w:p w14:paraId="00B1B431">
      <w:pPr>
        <w:spacing w:line="400" w:lineRule="exact"/>
        <w:ind w:firstLine="480"/>
        <w:rPr>
          <w:rFonts w:hint="eastAsia" w:ascii="宋体" w:hAnsi="宋体"/>
          <w:sz w:val="24"/>
          <w:szCs w:val="24"/>
        </w:rPr>
      </w:pPr>
      <w:r>
        <w:rPr>
          <w:rFonts w:hint="eastAsia" w:ascii="宋体" w:hAnsi="宋体"/>
          <w:sz w:val="24"/>
          <w:szCs w:val="24"/>
        </w:rPr>
        <w:t>24.2签订合同时，中标供应商应按规定向采购人提交履约保证金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4B1D4F4F">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26590DD9">
      <w:pPr>
        <w:spacing w:line="400" w:lineRule="exact"/>
        <w:ind w:firstLine="480"/>
        <w:jc w:val="left"/>
        <w:rPr>
          <w:rFonts w:hint="eastAsia" w:ascii="宋体" w:hAnsi="宋体"/>
          <w:sz w:val="24"/>
          <w:szCs w:val="24"/>
        </w:rPr>
      </w:pPr>
      <w:r>
        <w:rPr>
          <w:rFonts w:hint="eastAsia" w:ascii="宋体" w:hAnsi="宋体"/>
          <w:sz w:val="24"/>
          <w:szCs w:val="24"/>
        </w:rPr>
        <w:t>24.4采购人不得向中标供应商提出任何不合理的要求作为订立合同的条件，采购人和中标供应商不得私下订立背离合同实质性内容的协议。</w:t>
      </w:r>
    </w:p>
    <w:p w14:paraId="16C159AB">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bookmarkStart w:id="56" w:name="_Toc325726030"/>
      <w:bookmarkStart w:id="57" w:name="_Toc376936761"/>
    </w:p>
    <w:p w14:paraId="3971D62F">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0B8F34B5">
      <w:pPr>
        <w:pStyle w:val="19"/>
        <w:ind w:firstLine="424" w:firstLineChars="176"/>
        <w:rPr>
          <w:rFonts w:hint="eastAsia"/>
          <w:b/>
          <w:kern w:val="0"/>
          <w:sz w:val="24"/>
        </w:rPr>
      </w:pPr>
      <w:bookmarkStart w:id="58" w:name="_Toc500493789"/>
    </w:p>
    <w:p w14:paraId="0B6D3D5E">
      <w:pPr>
        <w:pStyle w:val="19"/>
        <w:ind w:firstLine="424" w:firstLineChars="176"/>
        <w:rPr>
          <w:rFonts w:hint="eastAsia"/>
          <w:b/>
          <w:kern w:val="0"/>
          <w:sz w:val="24"/>
        </w:rPr>
      </w:pPr>
      <w:r>
        <w:rPr>
          <w:rFonts w:hint="eastAsia"/>
          <w:b/>
          <w:kern w:val="0"/>
          <w:sz w:val="24"/>
        </w:rPr>
        <w:t>十、串通投标的认定及处理办法</w:t>
      </w:r>
      <w:bookmarkEnd w:id="58"/>
    </w:p>
    <w:p w14:paraId="2F6F5620">
      <w:pPr>
        <w:pStyle w:val="19"/>
        <w:ind w:firstLine="424" w:firstLineChars="176"/>
        <w:rPr>
          <w:rFonts w:hint="eastAsia"/>
          <w:b/>
          <w:kern w:val="0"/>
          <w:sz w:val="24"/>
        </w:rPr>
      </w:pPr>
      <w:bookmarkStart w:id="59" w:name="_Toc500493790"/>
    </w:p>
    <w:p w14:paraId="7FBE9CB7">
      <w:pPr>
        <w:pStyle w:val="19"/>
        <w:ind w:firstLine="424" w:firstLineChars="176"/>
        <w:rPr>
          <w:rFonts w:hint="eastAsia"/>
          <w:b/>
          <w:kern w:val="0"/>
          <w:sz w:val="24"/>
        </w:rPr>
      </w:pPr>
      <w:r>
        <w:rPr>
          <w:rFonts w:hint="eastAsia"/>
          <w:b/>
          <w:kern w:val="0"/>
          <w:sz w:val="24"/>
        </w:rPr>
        <w:t>25.串通投标的情形</w:t>
      </w:r>
      <w:bookmarkEnd w:id="59"/>
    </w:p>
    <w:p w14:paraId="44A981DD">
      <w:pPr>
        <w:spacing w:line="400" w:lineRule="exact"/>
        <w:ind w:firstLine="480"/>
        <w:jc w:val="left"/>
        <w:rPr>
          <w:rFonts w:ascii="宋体" w:hAnsi="宋体"/>
          <w:sz w:val="24"/>
          <w:szCs w:val="24"/>
        </w:rPr>
      </w:pPr>
      <w:r>
        <w:rPr>
          <w:rFonts w:hint="eastAsia" w:ascii="宋体" w:hAnsi="宋体"/>
          <w:sz w:val="24"/>
          <w:szCs w:val="24"/>
        </w:rPr>
        <w:t>25.1</w:t>
      </w:r>
      <w:r>
        <w:rPr>
          <w:rFonts w:ascii="宋体" w:hAnsi="宋体"/>
          <w:sz w:val="24"/>
          <w:szCs w:val="24"/>
        </w:rPr>
        <w:t>投标人应当遵循公平竞争的原则，不得恶意串通，不得妨碍其他投标人的竞争行为，不得损害采购人或者其他投标人的合法权益。</w:t>
      </w:r>
    </w:p>
    <w:p w14:paraId="12A37AEB">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有下列情形之一的，视为投标人串通投标，其投标无效：</w:t>
      </w:r>
    </w:p>
    <w:p w14:paraId="6D7E5D26">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响应文件由同一单位或者个人编制；</w:t>
      </w:r>
    </w:p>
    <w:p w14:paraId="44454A9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不同投标人委托同一单位或者个人办理投标事宜；</w:t>
      </w:r>
    </w:p>
    <w:p w14:paraId="2DD6F6A3">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响应文件载明的项目管理成员或者联系人员为同一人；</w:t>
      </w:r>
    </w:p>
    <w:p w14:paraId="07940B3F">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响应文件异常一致或者投标报价呈规律性差异；</w:t>
      </w:r>
    </w:p>
    <w:p w14:paraId="7A26CCE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响应文件相互混装。</w:t>
      </w:r>
    </w:p>
    <w:p w14:paraId="5C9D672B">
      <w:pPr>
        <w:pStyle w:val="19"/>
        <w:ind w:firstLine="424" w:firstLineChars="176"/>
        <w:rPr>
          <w:rFonts w:hint="eastAsia"/>
          <w:b/>
          <w:kern w:val="0"/>
          <w:sz w:val="24"/>
        </w:rPr>
      </w:pPr>
      <w:bookmarkStart w:id="60" w:name="_Toc500493791"/>
    </w:p>
    <w:p w14:paraId="3A0DBE37">
      <w:pPr>
        <w:pStyle w:val="19"/>
        <w:ind w:firstLine="424" w:firstLineChars="176"/>
        <w:rPr>
          <w:rFonts w:hint="eastAsia"/>
          <w:b/>
          <w:kern w:val="0"/>
          <w:sz w:val="24"/>
        </w:rPr>
      </w:pPr>
      <w:r>
        <w:rPr>
          <w:rFonts w:hint="eastAsia"/>
          <w:b/>
          <w:kern w:val="0"/>
          <w:sz w:val="24"/>
        </w:rPr>
        <w:t>十一、废标</w:t>
      </w:r>
      <w:bookmarkEnd w:id="56"/>
      <w:bookmarkEnd w:id="57"/>
      <w:bookmarkEnd w:id="60"/>
    </w:p>
    <w:p w14:paraId="6A882DA9">
      <w:pPr>
        <w:pStyle w:val="19"/>
        <w:ind w:firstLine="424" w:firstLineChars="176"/>
        <w:rPr>
          <w:rFonts w:hint="eastAsia"/>
          <w:b/>
          <w:kern w:val="0"/>
          <w:sz w:val="24"/>
        </w:rPr>
      </w:pPr>
      <w:bookmarkStart w:id="61" w:name="_Toc500493792"/>
      <w:bookmarkStart w:id="62" w:name="_Toc376936762"/>
      <w:bookmarkStart w:id="63" w:name="_Toc325726031"/>
    </w:p>
    <w:p w14:paraId="032CE5DA">
      <w:pPr>
        <w:pStyle w:val="19"/>
        <w:ind w:firstLine="424" w:firstLineChars="176"/>
        <w:rPr>
          <w:rFonts w:hint="eastAsia"/>
          <w:b/>
          <w:kern w:val="0"/>
          <w:sz w:val="24"/>
        </w:rPr>
      </w:pPr>
      <w:r>
        <w:rPr>
          <w:rFonts w:hint="eastAsia"/>
          <w:b/>
          <w:kern w:val="0"/>
          <w:sz w:val="24"/>
        </w:rPr>
        <w:t>26. 废标情形</w:t>
      </w:r>
      <w:bookmarkEnd w:id="61"/>
    </w:p>
    <w:p w14:paraId="151BBD67">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2"/>
      <w:bookmarkEnd w:id="63"/>
    </w:p>
    <w:p w14:paraId="337661E3">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3E296B54">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4F3AF35A">
      <w:pPr>
        <w:spacing w:line="400"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4B65BFF9">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74883217">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4" w:name="_Toc325726032"/>
    </w:p>
    <w:p w14:paraId="7287B887">
      <w:pPr>
        <w:pStyle w:val="19"/>
        <w:ind w:firstLine="424" w:firstLineChars="176"/>
        <w:rPr>
          <w:rFonts w:hint="eastAsia"/>
          <w:b/>
          <w:kern w:val="0"/>
          <w:sz w:val="24"/>
        </w:rPr>
      </w:pPr>
      <w:bookmarkStart w:id="65" w:name="_Toc376936763"/>
      <w:bookmarkStart w:id="66" w:name="_Toc500493793"/>
    </w:p>
    <w:p w14:paraId="016B0672">
      <w:pPr>
        <w:pStyle w:val="19"/>
        <w:ind w:firstLine="424" w:firstLineChars="176"/>
        <w:rPr>
          <w:rFonts w:hint="eastAsia"/>
          <w:b/>
          <w:kern w:val="0"/>
          <w:sz w:val="24"/>
        </w:rPr>
      </w:pPr>
      <w:r>
        <w:rPr>
          <w:rFonts w:hint="eastAsia"/>
          <w:b/>
          <w:kern w:val="0"/>
          <w:sz w:val="24"/>
        </w:rPr>
        <w:t>十二、处罚</w:t>
      </w:r>
      <w:bookmarkEnd w:id="64"/>
      <w:bookmarkEnd w:id="65"/>
      <w:bookmarkEnd w:id="66"/>
    </w:p>
    <w:p w14:paraId="6A229A53">
      <w:pPr>
        <w:pStyle w:val="19"/>
        <w:ind w:firstLine="424" w:firstLineChars="176"/>
        <w:rPr>
          <w:rFonts w:hint="eastAsia"/>
          <w:b/>
          <w:kern w:val="0"/>
          <w:sz w:val="24"/>
        </w:rPr>
      </w:pPr>
      <w:bookmarkStart w:id="67" w:name="_Toc500493794"/>
      <w:bookmarkStart w:id="68" w:name="_Toc376936764"/>
      <w:bookmarkStart w:id="69" w:name="_Toc325726033"/>
    </w:p>
    <w:p w14:paraId="4F14F5FE">
      <w:pPr>
        <w:pStyle w:val="19"/>
        <w:ind w:firstLine="424" w:firstLineChars="176"/>
        <w:rPr>
          <w:rFonts w:hint="eastAsia"/>
          <w:b/>
          <w:kern w:val="0"/>
          <w:sz w:val="24"/>
        </w:rPr>
      </w:pPr>
      <w:r>
        <w:rPr>
          <w:rFonts w:hint="eastAsia"/>
          <w:b/>
          <w:kern w:val="0"/>
          <w:sz w:val="24"/>
        </w:rPr>
        <w:t>27.处罚情形</w:t>
      </w:r>
      <w:bookmarkEnd w:id="67"/>
      <w:bookmarkEnd w:id="68"/>
      <w:bookmarkEnd w:id="69"/>
    </w:p>
    <w:p w14:paraId="6C48C547">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53B849E0">
      <w:pPr>
        <w:spacing w:line="400" w:lineRule="exact"/>
        <w:ind w:firstLine="480"/>
        <w:jc w:val="left"/>
        <w:rPr>
          <w:rFonts w:hint="eastAsia" w:ascii="宋体" w:hAnsi="宋体"/>
          <w:sz w:val="24"/>
          <w:szCs w:val="24"/>
        </w:rPr>
      </w:pPr>
      <w:r>
        <w:rPr>
          <w:rFonts w:hint="eastAsia" w:ascii="宋体" w:hAnsi="宋体"/>
          <w:sz w:val="24"/>
          <w:szCs w:val="24"/>
        </w:rPr>
        <w:t>（1）投标人在投标截止期后撤回其投标的；</w:t>
      </w:r>
    </w:p>
    <w:p w14:paraId="53E3DF00">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028C271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6D25D63B">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2D9C2C59">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0ED741CC">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7A1FEEBD">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C7EF3D3">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B1FA7C7">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2F46A3D8">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337E29CD">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42CC626C">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27.2出现上述情况，情节严重的，报省财政厅依法进行处理。</w:t>
      </w:r>
    </w:p>
    <w:p w14:paraId="19A52FCA">
      <w:pPr>
        <w:widowControl/>
        <w:spacing w:before="360" w:beforeLines="150" w:after="360" w:afterLines="150" w:line="300" w:lineRule="exact"/>
        <w:ind w:firstLine="482" w:firstLineChars="200"/>
        <w:jc w:val="left"/>
        <w:outlineLvl w:val="1"/>
        <w:rPr>
          <w:rFonts w:hint="eastAsia" w:ascii="宋体" w:hAnsi="宋体"/>
          <w:b/>
          <w:bCs/>
          <w:kern w:val="0"/>
          <w:sz w:val="24"/>
          <w:szCs w:val="24"/>
        </w:rPr>
      </w:pPr>
      <w:bookmarkStart w:id="70" w:name="_Toc500493795"/>
      <w:bookmarkStart w:id="71" w:name="_Toc376936765"/>
      <w:bookmarkStart w:id="72" w:name="_Toc325726034"/>
      <w:r>
        <w:rPr>
          <w:rFonts w:hint="eastAsia" w:ascii="宋体" w:hAnsi="宋体"/>
          <w:b/>
          <w:bCs/>
          <w:kern w:val="0"/>
          <w:sz w:val="24"/>
          <w:szCs w:val="24"/>
        </w:rPr>
        <w:t>十三、其他</w:t>
      </w:r>
      <w:bookmarkEnd w:id="70"/>
      <w:bookmarkEnd w:id="71"/>
      <w:bookmarkEnd w:id="72"/>
    </w:p>
    <w:p w14:paraId="67D5CC7E">
      <w:pPr>
        <w:spacing w:line="400" w:lineRule="exact"/>
        <w:ind w:firstLine="480"/>
        <w:jc w:val="left"/>
        <w:rPr>
          <w:rFonts w:hint="eastAsia" w:ascii="宋体" w:hAnsi="宋体"/>
          <w:sz w:val="24"/>
          <w:szCs w:val="24"/>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4284CF40">
      <w:pPr>
        <w:rPr>
          <w:lang w:val="zh-CN"/>
        </w:rPr>
      </w:pPr>
    </w:p>
    <w:p w14:paraId="7A7B68A2">
      <w:pPr>
        <w:pStyle w:val="13"/>
        <w:jc w:val="center"/>
        <w:rPr>
          <w:rFonts w:hint="eastAsia"/>
          <w:sz w:val="28"/>
          <w:lang w:val="zh-CN"/>
        </w:rPr>
      </w:pPr>
      <w:bookmarkStart w:id="73" w:name="_Toc21328"/>
      <w:bookmarkStart w:id="74" w:name="_Toc428180573"/>
    </w:p>
    <w:p w14:paraId="0319C9B1">
      <w:pPr>
        <w:rPr>
          <w:rFonts w:hint="eastAsia"/>
          <w:sz w:val="28"/>
          <w:lang w:val="zh-CN"/>
        </w:rPr>
      </w:pPr>
    </w:p>
    <w:p w14:paraId="25178DB8">
      <w:pPr>
        <w:rPr>
          <w:rFonts w:hint="eastAsia"/>
          <w:sz w:val="28"/>
          <w:lang w:val="zh-CN"/>
        </w:rPr>
      </w:pPr>
    </w:p>
    <w:bookmarkEnd w:id="73"/>
    <w:bookmarkEnd w:id="74"/>
    <w:p w14:paraId="5A8DE2D8">
      <w:pPr>
        <w:pStyle w:val="13"/>
        <w:jc w:val="center"/>
        <w:rPr>
          <w:rFonts w:ascii="Calibri" w:cs="Calibri"/>
          <w:sz w:val="21"/>
        </w:rPr>
      </w:pPr>
      <w:bookmarkStart w:id="75" w:name="_Toc31588"/>
      <w:bookmarkStart w:id="76" w:name="_Toc24579"/>
      <w:bookmarkStart w:id="77" w:name="_Toc428180574"/>
      <w:bookmarkStart w:id="78" w:name="_Toc6724"/>
      <w:r>
        <w:rPr>
          <w:rFonts w:hint="eastAsia"/>
          <w:sz w:val="28"/>
          <w:lang w:val="zh-CN"/>
        </w:rPr>
        <w:t>第三部分</w:t>
      </w:r>
      <w:r>
        <w:rPr>
          <w:rFonts w:ascii="Calibri" w:cs="Calibri"/>
          <w:sz w:val="28"/>
        </w:rPr>
        <w:t xml:space="preserve"> </w:t>
      </w:r>
      <w:r>
        <w:rPr>
          <w:rFonts w:hint="eastAsia"/>
          <w:sz w:val="28"/>
          <w:lang w:val="zh-CN"/>
        </w:rPr>
        <w:t>西宁市政府采购项目合同书范本</w:t>
      </w:r>
      <w:bookmarkEnd w:id="75"/>
    </w:p>
    <w:p w14:paraId="6891B7D4">
      <w:pPr>
        <w:spacing w:line="400" w:lineRule="exact"/>
        <w:ind w:firstLine="564" w:firstLineChars="235"/>
        <w:rPr>
          <w:rFonts w:cs="Calibri"/>
          <w:kern w:val="0"/>
          <w:sz w:val="24"/>
          <w:szCs w:val="24"/>
        </w:rPr>
      </w:pPr>
    </w:p>
    <w:p w14:paraId="5839CB60">
      <w:pPr>
        <w:jc w:val="center"/>
        <w:rPr>
          <w:b/>
          <w:kern w:val="28"/>
          <w:sz w:val="72"/>
        </w:rPr>
      </w:pPr>
    </w:p>
    <w:p w14:paraId="67C36B5B">
      <w:pPr>
        <w:pStyle w:val="13"/>
        <w:spacing w:before="0" w:after="0" w:line="360" w:lineRule="auto"/>
        <w:jc w:val="center"/>
        <w:rPr>
          <w:color w:val="000000"/>
          <w:sz w:val="32"/>
        </w:rPr>
      </w:pPr>
      <w:bookmarkStart w:id="79" w:name="_Toc102745854"/>
      <w:bookmarkStart w:id="80" w:name="_Toc25655"/>
      <w:r>
        <w:rPr>
          <w:rFonts w:hint="eastAsia" w:ascii="宋体" w:hAnsi="宋体" w:cs="宋体"/>
          <w:color w:val="000000"/>
          <w:szCs w:val="36"/>
          <w:lang w:val="zh-CN"/>
        </w:rPr>
        <w:t>西宁市政府采购项目合同书范本</w:t>
      </w:r>
      <w:bookmarkEnd w:id="79"/>
      <w:r>
        <w:rPr>
          <w:rFonts w:hint="eastAsia" w:ascii="宋体" w:hAnsi="宋体" w:cs="宋体"/>
          <w:color w:val="000000"/>
          <w:szCs w:val="36"/>
          <w:lang w:val="zh-CN"/>
        </w:rPr>
        <w:t>（货物）</w:t>
      </w:r>
      <w:bookmarkEnd w:id="80"/>
    </w:p>
    <w:p w14:paraId="596F36F8">
      <w:pPr>
        <w:snapToGrid w:val="0"/>
        <w:spacing w:after="120" w:line="560" w:lineRule="exact"/>
        <w:jc w:val="center"/>
        <w:rPr>
          <w:rFonts w:ascii="宋体" w:hAnsi="宋体"/>
          <w:b/>
          <w:bCs/>
          <w:color w:val="000000"/>
          <w:kern w:val="28"/>
          <w:sz w:val="36"/>
          <w:szCs w:val="36"/>
        </w:rPr>
      </w:pPr>
    </w:p>
    <w:p w14:paraId="61D83080">
      <w:pPr>
        <w:spacing w:line="560" w:lineRule="exact"/>
        <w:rPr>
          <w:rFonts w:ascii="宋体"/>
          <w:color w:val="000000"/>
        </w:rPr>
      </w:pPr>
    </w:p>
    <w:p w14:paraId="4DDFE729">
      <w:pPr>
        <w:spacing w:line="560" w:lineRule="exact"/>
        <w:rPr>
          <w:rFonts w:ascii="宋体"/>
          <w:color w:val="000000"/>
        </w:rPr>
      </w:pPr>
    </w:p>
    <w:p w14:paraId="519B84F2">
      <w:pPr>
        <w:spacing w:line="560" w:lineRule="exact"/>
        <w:rPr>
          <w:rFonts w:ascii="宋体"/>
          <w:color w:val="000000"/>
        </w:rPr>
      </w:pPr>
    </w:p>
    <w:p w14:paraId="03D1B31C">
      <w:pPr>
        <w:autoSpaceDE w:val="0"/>
        <w:autoSpaceDN w:val="0"/>
        <w:spacing w:line="560" w:lineRule="exact"/>
        <w:rPr>
          <w:rFonts w:ascii="宋体" w:hAnsi="宋体"/>
          <w:b/>
          <w:bCs/>
          <w:color w:val="000000"/>
          <w:sz w:val="48"/>
          <w:szCs w:val="48"/>
        </w:rPr>
      </w:pPr>
    </w:p>
    <w:p w14:paraId="6520C769">
      <w:pPr>
        <w:pStyle w:val="2"/>
        <w:ind w:firstLine="1928" w:firstLineChars="400"/>
        <w:jc w:val="both"/>
        <w:rPr>
          <w:sz w:val="48"/>
          <w:szCs w:val="48"/>
        </w:rPr>
      </w:pPr>
      <w:bookmarkStart w:id="81" w:name="_Toc102745855"/>
      <w:bookmarkStart w:id="82" w:name="_Toc29232"/>
      <w:bookmarkStart w:id="83" w:name="_Toc5032"/>
      <w:bookmarkStart w:id="84" w:name="_Toc3367909"/>
      <w:r>
        <w:rPr>
          <w:rFonts w:hint="eastAsia"/>
          <w:sz w:val="48"/>
          <w:szCs w:val="48"/>
        </w:rPr>
        <w:t>西宁市政府采购项目合同书</w:t>
      </w:r>
      <w:bookmarkEnd w:id="81"/>
      <w:bookmarkEnd w:id="82"/>
      <w:bookmarkEnd w:id="83"/>
      <w:bookmarkEnd w:id="84"/>
    </w:p>
    <w:p w14:paraId="4F1252FF">
      <w:pPr>
        <w:ind w:firstLine="480"/>
      </w:pPr>
    </w:p>
    <w:p w14:paraId="3760B931">
      <w:pPr>
        <w:ind w:firstLine="480"/>
      </w:pPr>
    </w:p>
    <w:p w14:paraId="2076DDFA">
      <w:pPr>
        <w:ind w:firstLine="480"/>
      </w:pPr>
    </w:p>
    <w:p w14:paraId="541FC563">
      <w:pPr>
        <w:ind w:firstLine="480"/>
      </w:pPr>
    </w:p>
    <w:p w14:paraId="37E9E787">
      <w:pPr>
        <w:ind w:firstLine="480"/>
      </w:pPr>
    </w:p>
    <w:p w14:paraId="50323433">
      <w:pPr>
        <w:ind w:firstLine="480"/>
      </w:pPr>
    </w:p>
    <w:p w14:paraId="3D2752E9">
      <w:pPr>
        <w:ind w:firstLine="480"/>
      </w:pPr>
    </w:p>
    <w:p w14:paraId="70F559E2">
      <w:pPr>
        <w:ind w:firstLine="480"/>
      </w:pPr>
    </w:p>
    <w:p w14:paraId="1BC35F8A">
      <w:pPr>
        <w:ind w:firstLine="480"/>
      </w:pPr>
    </w:p>
    <w:p w14:paraId="28AB9EC3">
      <w:pPr>
        <w:ind w:firstLine="480"/>
      </w:pPr>
    </w:p>
    <w:p w14:paraId="43EBEAF2">
      <w:pPr>
        <w:ind w:firstLine="480"/>
      </w:pPr>
    </w:p>
    <w:p w14:paraId="30F85D4A">
      <w:pPr>
        <w:ind w:firstLine="480"/>
      </w:pPr>
    </w:p>
    <w:p w14:paraId="088272A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68492C3F">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60432C9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2440706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733C9086">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57D82B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1343CE4E">
      <w:pPr>
        <w:spacing w:line="360" w:lineRule="auto"/>
        <w:ind w:firstLine="602"/>
        <w:rPr>
          <w:b/>
          <w:sz w:val="30"/>
          <w:szCs w:val="30"/>
        </w:rPr>
      </w:pPr>
      <w:r>
        <w:rPr>
          <w:rFonts w:hint="eastAsia"/>
          <w:b/>
          <w:sz w:val="30"/>
          <w:szCs w:val="30"/>
        </w:rPr>
        <w:t>招标日期：</w:t>
      </w:r>
      <w:r>
        <w:rPr>
          <w:rFonts w:hint="eastAsia"/>
          <w:b/>
          <w:sz w:val="30"/>
          <w:szCs w:val="30"/>
          <w:u w:val="single"/>
        </w:rPr>
        <w:t xml:space="preserve">                                      </w:t>
      </w:r>
    </w:p>
    <w:p w14:paraId="412F598E">
      <w:pPr>
        <w:ind w:firstLine="482"/>
        <w:rPr>
          <w:rFonts w:hint="eastAsia" w:ascii="宋体" w:hAnsi="宋体"/>
          <w:b/>
          <w:bCs/>
        </w:rPr>
      </w:pPr>
    </w:p>
    <w:p w14:paraId="65A00E60">
      <w:pPr>
        <w:pStyle w:val="27"/>
        <w:rPr>
          <w:rFonts w:hint="eastAsia"/>
        </w:rPr>
      </w:pPr>
    </w:p>
    <w:p w14:paraId="713F71A5">
      <w:pPr>
        <w:autoSpaceDE w:val="0"/>
        <w:autoSpaceDN w:val="0"/>
        <w:adjustRightInd w:val="0"/>
        <w:spacing w:line="360" w:lineRule="auto"/>
        <w:jc w:val="left"/>
        <w:rPr>
          <w:rFonts w:hint="eastAsia" w:ascii="宋体" w:hAnsi="宋体" w:cs="宋体"/>
          <w:b/>
          <w:bCs/>
          <w:color w:val="000000"/>
          <w:kern w:val="0"/>
          <w:sz w:val="28"/>
          <w:szCs w:val="28"/>
          <w:lang w:val="zh-CN"/>
        </w:rPr>
      </w:pPr>
    </w:p>
    <w:p w14:paraId="4541ABD1">
      <w:pPr>
        <w:autoSpaceDE w:val="0"/>
        <w:autoSpaceDN w:val="0"/>
        <w:adjustRightInd w:val="0"/>
        <w:spacing w:line="360" w:lineRule="auto"/>
        <w:jc w:val="left"/>
        <w:rPr>
          <w:rFonts w:hint="eastAsia" w:ascii="宋体" w:hAnsi="宋体" w:cs="宋体"/>
          <w:b/>
          <w:bCs/>
          <w:color w:val="000000"/>
          <w:kern w:val="0"/>
          <w:sz w:val="28"/>
          <w:szCs w:val="28"/>
          <w:lang w:val="zh-CN"/>
        </w:rPr>
      </w:pPr>
    </w:p>
    <w:p w14:paraId="415C3416">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5ED3C7F4">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2746E576">
      <w:pPr>
        <w:pStyle w:val="6"/>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）的招标文件要求和采购中心出具的《中标通知书》，并经双方协商一致，签订本合同协议书。</w:t>
      </w:r>
    </w:p>
    <w:p w14:paraId="14244EA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48370FA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43AB2FF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14:paraId="1B8EB19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6D78893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334F735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2A5C8BD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14F9E07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4"/>
        <w:tblW w:w="0" w:type="auto"/>
        <w:jc w:val="center"/>
        <w:tblLayout w:type="fixed"/>
        <w:tblCellMar>
          <w:top w:w="0" w:type="dxa"/>
          <w:left w:w="108" w:type="dxa"/>
          <w:bottom w:w="0" w:type="dxa"/>
          <w:right w:w="108" w:type="dxa"/>
        </w:tblCellMar>
      </w:tblPr>
      <w:tblGrid>
        <w:gridCol w:w="1896"/>
        <w:gridCol w:w="2271"/>
        <w:gridCol w:w="990"/>
        <w:gridCol w:w="945"/>
        <w:gridCol w:w="1020"/>
        <w:gridCol w:w="1226"/>
      </w:tblGrid>
      <w:tr w14:paraId="24389512">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95B75D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D265E0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CF64E6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EA720A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5328C5">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A09F8D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7F4E1607">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6AFBDD73">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BEAFCC8">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11F123">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9259B1">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77BFCD">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58BAE47">
            <w:pPr>
              <w:autoSpaceDE w:val="0"/>
              <w:autoSpaceDN w:val="0"/>
              <w:spacing w:line="360" w:lineRule="auto"/>
              <w:jc w:val="center"/>
              <w:rPr>
                <w:rFonts w:hint="eastAsia" w:ascii="宋体" w:hAnsi="宋体" w:cs="宋体"/>
                <w:color w:val="000000"/>
                <w:kern w:val="0"/>
                <w:lang w:val="zh-CN"/>
              </w:rPr>
            </w:pPr>
          </w:p>
        </w:tc>
      </w:tr>
      <w:tr w14:paraId="5DEB9DE5">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C634A95">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6B1E0CC">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65DCDF">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9FB7FD3">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1696554">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230E35D">
            <w:pPr>
              <w:autoSpaceDE w:val="0"/>
              <w:autoSpaceDN w:val="0"/>
              <w:spacing w:line="360" w:lineRule="auto"/>
              <w:jc w:val="center"/>
              <w:rPr>
                <w:rFonts w:hint="eastAsia" w:ascii="宋体" w:hAnsi="宋体" w:cs="宋体"/>
                <w:color w:val="000000"/>
                <w:kern w:val="0"/>
                <w:lang w:val="zh-CN"/>
              </w:rPr>
            </w:pPr>
          </w:p>
        </w:tc>
      </w:tr>
      <w:tr w14:paraId="673009D3">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356E2C18">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7ABB41A">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6FF932">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82763D">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D5FB509">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4AFF5BB">
            <w:pPr>
              <w:autoSpaceDE w:val="0"/>
              <w:autoSpaceDN w:val="0"/>
              <w:spacing w:line="360" w:lineRule="auto"/>
              <w:jc w:val="center"/>
              <w:rPr>
                <w:rFonts w:hint="eastAsia" w:ascii="宋体" w:hAnsi="宋体" w:cs="宋体"/>
                <w:color w:val="000000"/>
                <w:kern w:val="0"/>
                <w:lang w:val="zh-CN"/>
              </w:rPr>
            </w:pPr>
          </w:p>
        </w:tc>
      </w:tr>
    </w:tbl>
    <w:p w14:paraId="43A5A354">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20BC82A2">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76D1336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本合同以人民币进行结算，合同总价包括保险费、培训费、服务费、税金及不可预见费等全部费用。</w:t>
      </w:r>
    </w:p>
    <w:p w14:paraId="1C53709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三、服务时间、地点和要求</w:t>
      </w:r>
    </w:p>
    <w:p w14:paraId="58B68884">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14:paraId="0868627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14:paraId="3C41E31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1187CE45">
      <w:pPr>
        <w:autoSpaceDE w:val="0"/>
        <w:autoSpaceDN w:val="0"/>
        <w:spacing w:line="360" w:lineRule="auto"/>
        <w:ind w:firstLine="420" w:firstLineChars="200"/>
        <w:rPr>
          <w:rFonts w:hint="eastAsia" w:ascii="宋体" w:hAnsi="宋体" w:cs="宋体"/>
          <w:color w:val="FF0000"/>
          <w:kern w:val="0"/>
          <w:lang w:val="zh-CN" w:eastAsia="zh-CN"/>
        </w:rPr>
      </w:pPr>
      <w:r>
        <w:rPr>
          <w:rFonts w:hint="eastAsia" w:ascii="宋体" w:hAnsi="宋体" w:cs="宋体"/>
          <w:color w:val="FF0000"/>
          <w:kern w:val="0"/>
          <w:lang w:val="zh-CN" w:eastAsia="zh-CN"/>
        </w:rPr>
        <w:t>签订合同时商定</w:t>
      </w:r>
    </w:p>
    <w:p w14:paraId="17BA85B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713F0C2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06D66F7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05B834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47DD3AC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14:paraId="21DA2BB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4DA307B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02111A7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052538A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187C6A3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78A2037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1394965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7AF29D7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7578C0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14:paraId="30A374B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5E858F5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本合同一式六份，经双方签字，并加盖公章即为生效。</w:t>
      </w:r>
    </w:p>
    <w:p w14:paraId="15159A5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0B0E1B1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39ED3DE3">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2BC1CC8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5C73CB21">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23149C3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09C008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372F16A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33DDC98A">
      <w:pPr>
        <w:autoSpaceDE w:val="0"/>
        <w:autoSpaceDN w:val="0"/>
        <w:spacing w:line="360" w:lineRule="auto"/>
        <w:ind w:firstLine="1155" w:firstLineChars="550"/>
        <w:rPr>
          <w:rFonts w:hint="eastAsia" w:ascii="宋体" w:hAnsi="宋体" w:cs="宋体"/>
          <w:color w:val="000000"/>
          <w:kern w:val="0"/>
        </w:rPr>
      </w:pPr>
      <w:r>
        <w:rPr>
          <w:rFonts w:hint="eastAsia" w:ascii="宋体" w:hAnsi="宋体" w:cs="宋体"/>
          <w:color w:val="000000"/>
          <w:kern w:val="0"/>
          <w:lang w:val="zh-CN"/>
        </w:rPr>
        <w:t xml:space="preserve">                  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07B46406">
      <w:pPr>
        <w:autoSpaceDE w:val="0"/>
        <w:autoSpaceDN w:val="0"/>
        <w:spacing w:after="156" w:afterLines="50" w:line="360" w:lineRule="auto"/>
        <w:jc w:val="center"/>
        <w:rPr>
          <w:rFonts w:hint="eastAsia" w:ascii="宋体" w:hAnsi="宋体" w:cs="Arial"/>
          <w:bCs/>
          <w:color w:val="000000"/>
        </w:rPr>
      </w:pPr>
    </w:p>
    <w:p w14:paraId="4FE0AE37">
      <w:pPr>
        <w:autoSpaceDE w:val="0"/>
        <w:autoSpaceDN w:val="0"/>
        <w:spacing w:after="156" w:afterLines="50" w:line="360" w:lineRule="auto"/>
        <w:jc w:val="center"/>
        <w:rPr>
          <w:rFonts w:hint="eastAsia" w:ascii="宋体" w:hAnsi="宋体" w:cs="Arial"/>
          <w:bCs/>
          <w:color w:val="000000"/>
          <w:lang w:val="zh-CN"/>
        </w:rPr>
      </w:pPr>
    </w:p>
    <w:p w14:paraId="0B534FC6">
      <w:pPr>
        <w:autoSpaceDE w:val="0"/>
        <w:autoSpaceDN w:val="0"/>
        <w:spacing w:after="156" w:afterLines="50" w:line="360" w:lineRule="auto"/>
        <w:jc w:val="center"/>
        <w:rPr>
          <w:rFonts w:hint="eastAsia" w:ascii="宋体" w:hAnsi="宋体" w:cs="Arial"/>
          <w:bCs/>
          <w:color w:val="000000"/>
          <w:lang w:val="zh-CN"/>
        </w:rPr>
      </w:pPr>
    </w:p>
    <w:p w14:paraId="60A45746">
      <w:pPr>
        <w:autoSpaceDE w:val="0"/>
        <w:autoSpaceDN w:val="0"/>
        <w:spacing w:after="156" w:afterLines="50" w:line="360" w:lineRule="auto"/>
        <w:jc w:val="center"/>
        <w:rPr>
          <w:rFonts w:hint="eastAsia" w:ascii="宋体" w:hAnsi="宋体" w:cs="Arial"/>
          <w:bCs/>
          <w:color w:val="000000"/>
          <w:lang w:val="zh-CN"/>
        </w:rPr>
      </w:pPr>
    </w:p>
    <w:p w14:paraId="21B65EC6">
      <w:pPr>
        <w:autoSpaceDE w:val="0"/>
        <w:autoSpaceDN w:val="0"/>
        <w:spacing w:after="156" w:afterLines="50" w:line="360" w:lineRule="auto"/>
        <w:jc w:val="center"/>
        <w:rPr>
          <w:rFonts w:hint="eastAsia" w:ascii="宋体" w:hAnsi="宋体" w:cs="Arial"/>
          <w:bCs/>
          <w:color w:val="000000"/>
          <w:lang w:val="zh-CN"/>
        </w:rPr>
      </w:pPr>
    </w:p>
    <w:p w14:paraId="63E8473F">
      <w:pPr>
        <w:autoSpaceDE w:val="0"/>
        <w:autoSpaceDN w:val="0"/>
        <w:spacing w:after="156" w:afterLines="50" w:line="360" w:lineRule="auto"/>
        <w:jc w:val="center"/>
        <w:rPr>
          <w:rFonts w:hint="eastAsia" w:ascii="宋体" w:hAnsi="宋体" w:cs="Arial"/>
          <w:bCs/>
          <w:color w:val="000000"/>
          <w:lang w:val="zh-CN"/>
        </w:rPr>
      </w:pPr>
    </w:p>
    <w:p w14:paraId="3B09C9E2">
      <w:pPr>
        <w:autoSpaceDE w:val="0"/>
        <w:autoSpaceDN w:val="0"/>
        <w:spacing w:after="156" w:afterLines="50" w:line="360" w:lineRule="auto"/>
        <w:jc w:val="center"/>
        <w:rPr>
          <w:rFonts w:hint="eastAsia" w:ascii="宋体" w:hAnsi="宋体" w:cs="Arial"/>
          <w:bCs/>
          <w:color w:val="000000"/>
          <w:lang w:val="zh-CN"/>
        </w:rPr>
      </w:pPr>
    </w:p>
    <w:p w14:paraId="1F7929DC">
      <w:pPr>
        <w:autoSpaceDE w:val="0"/>
        <w:autoSpaceDN w:val="0"/>
        <w:spacing w:after="156" w:afterLines="50" w:line="360" w:lineRule="auto"/>
        <w:jc w:val="center"/>
        <w:rPr>
          <w:rFonts w:hint="eastAsia" w:ascii="宋体" w:hAnsi="宋体" w:cs="Arial"/>
          <w:bCs/>
          <w:color w:val="000000"/>
          <w:lang w:val="zh-CN"/>
        </w:rPr>
      </w:pPr>
    </w:p>
    <w:p w14:paraId="54232920">
      <w:pPr>
        <w:autoSpaceDE w:val="0"/>
        <w:autoSpaceDN w:val="0"/>
        <w:spacing w:after="156" w:afterLines="50" w:line="360" w:lineRule="auto"/>
        <w:jc w:val="center"/>
        <w:rPr>
          <w:rFonts w:hint="eastAsia" w:ascii="宋体" w:hAnsi="宋体" w:cs="Arial"/>
          <w:bCs/>
          <w:color w:val="000000"/>
          <w:lang w:val="zh-CN"/>
        </w:rPr>
      </w:pPr>
    </w:p>
    <w:p w14:paraId="5E15C2F4">
      <w:pPr>
        <w:autoSpaceDE w:val="0"/>
        <w:autoSpaceDN w:val="0"/>
        <w:spacing w:after="156" w:afterLines="50" w:line="360" w:lineRule="auto"/>
        <w:jc w:val="center"/>
        <w:rPr>
          <w:rFonts w:hint="eastAsia" w:ascii="宋体" w:hAnsi="宋体" w:cs="Arial"/>
          <w:bCs/>
          <w:color w:val="000000"/>
          <w:lang w:val="zh-CN"/>
        </w:rPr>
      </w:pPr>
    </w:p>
    <w:p w14:paraId="34A25F5E">
      <w:pPr>
        <w:autoSpaceDE w:val="0"/>
        <w:autoSpaceDN w:val="0"/>
        <w:spacing w:after="156" w:afterLines="50" w:line="360" w:lineRule="auto"/>
        <w:jc w:val="center"/>
        <w:rPr>
          <w:rFonts w:hint="eastAsia" w:ascii="宋体" w:hAnsi="宋体" w:cs="Arial"/>
          <w:bCs/>
          <w:color w:val="000000"/>
          <w:lang w:val="zh-CN"/>
        </w:rPr>
      </w:pPr>
    </w:p>
    <w:p w14:paraId="6E81A0F9">
      <w:pPr>
        <w:autoSpaceDE w:val="0"/>
        <w:autoSpaceDN w:val="0"/>
        <w:spacing w:after="156" w:afterLines="50" w:line="360" w:lineRule="auto"/>
        <w:jc w:val="center"/>
        <w:rPr>
          <w:rFonts w:hint="eastAsia" w:ascii="宋体" w:hAnsi="宋体" w:cs="Arial"/>
          <w:bCs/>
          <w:color w:val="000000"/>
          <w:lang w:val="zh-CN"/>
        </w:rPr>
      </w:pPr>
    </w:p>
    <w:p w14:paraId="0418A632">
      <w:pPr>
        <w:autoSpaceDE w:val="0"/>
        <w:autoSpaceDN w:val="0"/>
        <w:spacing w:after="156" w:afterLines="50" w:line="360" w:lineRule="auto"/>
        <w:jc w:val="center"/>
        <w:rPr>
          <w:rFonts w:hint="eastAsia" w:ascii="宋体" w:hAnsi="宋体" w:cs="Arial"/>
          <w:bCs/>
          <w:color w:val="000000"/>
          <w:lang w:val="zh-CN"/>
        </w:rPr>
      </w:pPr>
    </w:p>
    <w:p w14:paraId="64336D45">
      <w:pPr>
        <w:autoSpaceDE w:val="0"/>
        <w:autoSpaceDN w:val="0"/>
        <w:spacing w:after="156" w:afterLines="50" w:line="360" w:lineRule="auto"/>
        <w:jc w:val="center"/>
        <w:rPr>
          <w:rFonts w:ascii="宋体" w:hAnsi="宋体" w:cs="Arial"/>
          <w:bCs/>
          <w:color w:val="000000"/>
        </w:rPr>
      </w:pPr>
      <w:r>
        <w:rPr>
          <w:rFonts w:hint="eastAsia" w:ascii="宋体" w:hAnsi="宋体" w:cs="Arial"/>
          <w:bCs/>
          <w:color w:val="000000"/>
          <w:lang w:val="zh-CN"/>
        </w:rPr>
        <w:t>合同通用条款</w:t>
      </w:r>
    </w:p>
    <w:p w14:paraId="48757AB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43F34BD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2DF37BD3">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本合同中的下列术语应解释为：</w:t>
      </w:r>
    </w:p>
    <w:p w14:paraId="61717C8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77B79C5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015F22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4AE3690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031EA4A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5E93857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268C9DC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72DCC7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03554A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0CDA72E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4B09F5B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35926CE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4F773315">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0EC7A7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664ECF2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52DF3D1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2D3D4463">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62BB98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7E58A0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67D3040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793668E">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37F811B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36F5BF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E686A24">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43D675C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357856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5079EF2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48A1C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762F118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4A2548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6E6E0A8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66BA92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1AE7EC2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7294786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1CF232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40A31E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14C1FC21">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5EB15BB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701D0B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25BCFAE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46AFD1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64EF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2CFA2C0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48FD6F6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6F8C66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B9A674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69FEE06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lang w:val="zh-CN"/>
        </w:rPr>
        <w:t>八、包装要求</w:t>
      </w:r>
    </w:p>
    <w:p w14:paraId="35033D0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6994544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6EDB45A7">
      <w:pPr>
        <w:autoSpaceDE w:val="0"/>
        <w:autoSpaceDN w:val="0"/>
        <w:spacing w:line="360" w:lineRule="auto"/>
        <w:ind w:firstLine="420" w:firstLineChars="20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25C107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33C82A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054FD0B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5BC147C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2E7AF58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5B6B88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73BB00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1E3B69F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44D9048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53C4221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4BBE4AB3">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7A25DB8B">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525A23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交货期应根据产品的特点实事求是填写，进口产品90个工作日内，国产产品60个工作日内。特殊产品交货期需说明（以磋商文件第五部分需求中规定的交货期为准）。</w:t>
      </w:r>
    </w:p>
    <w:p w14:paraId="33879A5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交货日期：所有货物运抵现场并经双方开箱验收合格之日。</w:t>
      </w:r>
    </w:p>
    <w:p w14:paraId="01A5A529">
      <w:pPr>
        <w:autoSpaceDE w:val="0"/>
        <w:autoSpaceDN w:val="0"/>
        <w:spacing w:line="360" w:lineRule="auto"/>
        <w:ind w:firstLine="422" w:firstLineChars="200"/>
        <w:rPr>
          <w:rFonts w:ascii="宋体" w:hAnsi="宋体" w:cs="Arial"/>
          <w:color w:val="000000"/>
        </w:rPr>
      </w:pPr>
      <w:r>
        <w:rPr>
          <w:rFonts w:hint="eastAsia" w:ascii="宋体" w:hAnsi="宋体" w:cs="Arial"/>
          <w:b/>
          <w:color w:val="000000"/>
          <w:lang w:val="zh-CN"/>
        </w:rPr>
        <w:t>十一.检验和验收</w:t>
      </w:r>
    </w:p>
    <w:p w14:paraId="6D9B3E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03181D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202180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D60B24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145183E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3F46969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6D1DB5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70E9E5A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5286C4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3E8C470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22F1A07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69F19D0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60508FB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00AF532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C7C02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25BDE0B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6F7D51C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29D68C21">
      <w:pPr>
        <w:autoSpaceDE w:val="0"/>
        <w:autoSpaceDN w:val="0"/>
        <w:spacing w:line="360" w:lineRule="auto"/>
        <w:ind w:firstLine="422" w:firstLineChars="200"/>
        <w:rPr>
          <w:rFonts w:ascii="宋体" w:hAnsi="宋体" w:cs="Arial"/>
          <w:color w:val="000000"/>
        </w:rPr>
      </w:pPr>
      <w:r>
        <w:rPr>
          <w:rFonts w:hint="eastAsia" w:ascii="宋体" w:hAnsi="宋体" w:cs="宋体"/>
          <w:b/>
          <w:bCs/>
          <w:color w:val="000000"/>
          <w:lang w:val="zh-CN"/>
        </w:rPr>
        <w:t>十三、履约保证金</w:t>
      </w:r>
    </w:p>
    <w:p w14:paraId="7AF9E36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1、乙方应在合同签订前，按约定提交履约保证金。</w:t>
      </w:r>
    </w:p>
    <w:p w14:paraId="4232EBBB">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1FB4F4F1">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27D6A39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7AD46560">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5、支票或汇票。</w:t>
      </w:r>
    </w:p>
    <w:p w14:paraId="56E790C6">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7A00481C">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660AA5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B5118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49A05DE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6231BA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165B5EC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7B1474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177B59AB">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27460DD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5C9C4AA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75FAB4D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E4F1686">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397B3A8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除不可抗力因素外，乙方没有按照合同规定的时间交货和提供服务，甲方可要求乙方支付违约金。违约金每日按合同总价款的千分之五计收。</w:t>
      </w:r>
    </w:p>
    <w:p w14:paraId="60590C05">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62A7A41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3CD5E70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219CED3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7727ED0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72701238">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与本合同有关的一切税费均由乙方承担。</w:t>
      </w:r>
    </w:p>
    <w:p w14:paraId="10A5F5F7">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000B1DB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2BE6B87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07A5CC4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48E7D97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02F023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321B04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乙方未能履行合同规定的其它主要义务的；</w:t>
      </w:r>
    </w:p>
    <w:p w14:paraId="4D5462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51245B3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EE813CB">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08C79EB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70822CC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二十二、</w:t>
      </w:r>
      <w:r>
        <w:rPr>
          <w:rFonts w:hint="eastAsia" w:ascii="宋体" w:hAnsi="宋体" w:cs="Arial"/>
          <w:b/>
          <w:bCs/>
          <w:color w:val="000000"/>
          <w:lang w:val="zh-CN"/>
        </w:rPr>
        <w:t>转让和分包</w:t>
      </w:r>
    </w:p>
    <w:p w14:paraId="304C49D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政府采购合同不能转让。</w:t>
      </w:r>
    </w:p>
    <w:p w14:paraId="1A993EB4">
      <w:pPr>
        <w:autoSpaceDE w:val="0"/>
        <w:autoSpaceDN w:val="0"/>
        <w:spacing w:before="156" w:beforeLines="50"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25B7D59">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492BC06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甲方和乙方都不得擅自变更本合同，但合同继续履行将损害国家和社会公共利益的除外。如必须对合同条款进行改动时，当事人双方须共同签署书面文件，做为合同的补充。</w:t>
      </w:r>
    </w:p>
    <w:p w14:paraId="7F33984A">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1A290D1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6FB89B0F">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0BC29DD4">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除技术规范中另有规定外</w:t>
      </w:r>
      <w:r>
        <w:rPr>
          <w:rFonts w:hint="eastAsia" w:ascii="宋体" w:hAnsi="宋体" w:cs="Arial"/>
          <w:color w:val="000000"/>
        </w:rPr>
        <w:t>,</w:t>
      </w:r>
      <w:r>
        <w:rPr>
          <w:rFonts w:hint="eastAsia" w:ascii="宋体" w:hAnsi="宋体" w:cs="Arial"/>
          <w:color w:val="000000"/>
          <w:lang w:val="zh-CN"/>
        </w:rPr>
        <w:t>计量单位均使用国家法定计量单位。</w:t>
      </w:r>
    </w:p>
    <w:p w14:paraId="4BE1DEDE">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5505E96F">
      <w:pPr>
        <w:spacing w:line="360" w:lineRule="auto"/>
        <w:ind w:firstLine="420" w:firstLineChars="200"/>
        <w:rPr>
          <w:rFonts w:ascii="宋体" w:hAnsi="宋体" w:cs="Courier New"/>
          <w:b/>
          <w:color w:val="000000"/>
        </w:rPr>
      </w:pPr>
      <w:r>
        <w:rPr>
          <w:rFonts w:hint="eastAsia" w:ascii="宋体" w:hAnsi="宋体" w:cs="Arial"/>
          <w:color w:val="000000"/>
          <w:lang w:val="zh-CN"/>
        </w:rPr>
        <w:t>本合同按照中华人民共和国的相关法律进行解释</w:t>
      </w:r>
    </w:p>
    <w:p w14:paraId="477B6EC1">
      <w:pPr>
        <w:jc w:val="center"/>
        <w:rPr>
          <w:b/>
          <w:kern w:val="28"/>
          <w:sz w:val="72"/>
        </w:rPr>
      </w:pPr>
    </w:p>
    <w:p w14:paraId="5777DC77"/>
    <w:p w14:paraId="33AE3305">
      <w:pPr>
        <w:autoSpaceDE w:val="0"/>
        <w:autoSpaceDN w:val="0"/>
        <w:adjustRightInd w:val="0"/>
        <w:spacing w:line="400" w:lineRule="exact"/>
        <w:jc w:val="left"/>
        <w:rPr>
          <w:rFonts w:hint="eastAsia" w:cs="Calibri"/>
          <w:kern w:val="0"/>
          <w:sz w:val="28"/>
          <w:szCs w:val="28"/>
        </w:rPr>
      </w:pPr>
    </w:p>
    <w:p w14:paraId="290425F5">
      <w:pPr>
        <w:pStyle w:val="13"/>
        <w:jc w:val="center"/>
        <w:rPr>
          <w:rFonts w:hint="eastAsia"/>
          <w:lang w:val="zh-CN"/>
        </w:rPr>
      </w:pPr>
    </w:p>
    <w:p w14:paraId="780A9CC3">
      <w:pPr>
        <w:rPr>
          <w:rFonts w:hint="eastAsia"/>
          <w:lang w:val="zh-CN"/>
        </w:rPr>
      </w:pPr>
    </w:p>
    <w:p w14:paraId="6B885E32">
      <w:pPr>
        <w:rPr>
          <w:rFonts w:hint="eastAsia"/>
          <w:lang w:val="zh-CN"/>
        </w:rPr>
      </w:pPr>
    </w:p>
    <w:p w14:paraId="0280CAB1">
      <w:pPr>
        <w:rPr>
          <w:rFonts w:hint="eastAsia"/>
          <w:lang w:val="zh-CN"/>
        </w:rPr>
      </w:pPr>
    </w:p>
    <w:p w14:paraId="67B3F348">
      <w:pPr>
        <w:rPr>
          <w:rFonts w:hint="eastAsia"/>
          <w:lang w:val="zh-CN"/>
        </w:rPr>
      </w:pPr>
    </w:p>
    <w:p w14:paraId="68386A6D">
      <w:pPr>
        <w:rPr>
          <w:rFonts w:hint="eastAsia"/>
          <w:lang w:val="zh-CN"/>
        </w:rPr>
      </w:pPr>
    </w:p>
    <w:p w14:paraId="763AFD5B">
      <w:pPr>
        <w:rPr>
          <w:rFonts w:hint="eastAsia"/>
          <w:lang w:val="zh-CN"/>
        </w:rPr>
      </w:pPr>
    </w:p>
    <w:p w14:paraId="549169DC">
      <w:pPr>
        <w:rPr>
          <w:rFonts w:hint="eastAsia"/>
          <w:lang w:val="zh-CN"/>
        </w:rPr>
      </w:pPr>
    </w:p>
    <w:p w14:paraId="2217BB3E">
      <w:pPr>
        <w:rPr>
          <w:rFonts w:hint="eastAsia"/>
          <w:lang w:val="zh-CN"/>
        </w:rPr>
      </w:pPr>
    </w:p>
    <w:p w14:paraId="54D4A42B">
      <w:pPr>
        <w:rPr>
          <w:rFonts w:hint="eastAsia"/>
          <w:lang w:val="zh-CN"/>
        </w:rPr>
      </w:pPr>
    </w:p>
    <w:p w14:paraId="38B304F1">
      <w:pPr>
        <w:rPr>
          <w:rFonts w:hint="eastAsia"/>
          <w:lang w:val="zh-CN"/>
        </w:rPr>
      </w:pPr>
    </w:p>
    <w:p w14:paraId="093AAD3F">
      <w:pPr>
        <w:autoSpaceDE w:val="0"/>
        <w:autoSpaceDN w:val="0"/>
        <w:adjustRightInd w:val="0"/>
        <w:spacing w:line="400" w:lineRule="exact"/>
        <w:jc w:val="left"/>
        <w:rPr>
          <w:rFonts w:hint="eastAsia" w:cs="Calibri"/>
          <w:kern w:val="0"/>
          <w:sz w:val="28"/>
          <w:szCs w:val="28"/>
        </w:rPr>
      </w:pPr>
    </w:p>
    <w:p w14:paraId="69075FE6">
      <w:pPr>
        <w:autoSpaceDE w:val="0"/>
        <w:autoSpaceDN w:val="0"/>
        <w:adjustRightInd w:val="0"/>
        <w:spacing w:line="400" w:lineRule="exact"/>
        <w:jc w:val="left"/>
        <w:rPr>
          <w:rFonts w:hint="eastAsia" w:cs="Calibri"/>
          <w:kern w:val="0"/>
          <w:sz w:val="28"/>
          <w:szCs w:val="28"/>
        </w:rPr>
      </w:pPr>
    </w:p>
    <w:p w14:paraId="446419BF">
      <w:pPr>
        <w:pStyle w:val="13"/>
        <w:jc w:val="center"/>
        <w:rPr>
          <w:rFonts w:hint="eastAsia"/>
          <w:lang w:val="zh-CN"/>
        </w:rPr>
      </w:pPr>
    </w:p>
    <w:p w14:paraId="68AFF286">
      <w:pPr>
        <w:pStyle w:val="7"/>
        <w:rPr>
          <w:rFonts w:hint="eastAsia"/>
          <w:lang w:val="zh-CN"/>
        </w:rPr>
      </w:pPr>
    </w:p>
    <w:p w14:paraId="788C79D4">
      <w:pPr>
        <w:pStyle w:val="8"/>
        <w:rPr>
          <w:rFonts w:hint="eastAsia"/>
          <w:lang w:val="zh-CN"/>
        </w:rPr>
      </w:pPr>
    </w:p>
    <w:p w14:paraId="7D66541D">
      <w:pPr>
        <w:pStyle w:val="8"/>
        <w:rPr>
          <w:rFonts w:hint="eastAsia"/>
          <w:lang w:val="zh-CN"/>
        </w:rPr>
      </w:pPr>
    </w:p>
    <w:p w14:paraId="2217F825">
      <w:pPr>
        <w:pStyle w:val="8"/>
        <w:rPr>
          <w:rFonts w:hint="eastAsia"/>
          <w:lang w:val="zh-CN"/>
        </w:rPr>
      </w:pPr>
    </w:p>
    <w:p w14:paraId="392B74E5">
      <w:pPr>
        <w:pStyle w:val="8"/>
        <w:rPr>
          <w:rFonts w:hint="eastAsia"/>
          <w:lang w:val="zh-CN"/>
        </w:rPr>
      </w:pPr>
    </w:p>
    <w:p w14:paraId="3A565CD9">
      <w:pPr>
        <w:pStyle w:val="8"/>
        <w:rPr>
          <w:rFonts w:hint="eastAsia"/>
          <w:lang w:val="zh-CN"/>
        </w:rPr>
      </w:pPr>
    </w:p>
    <w:p w14:paraId="62EE7488">
      <w:pPr>
        <w:pStyle w:val="8"/>
        <w:rPr>
          <w:rFonts w:hint="eastAsia"/>
          <w:lang w:val="zh-CN"/>
        </w:rPr>
      </w:pPr>
    </w:p>
    <w:p w14:paraId="4843264A">
      <w:pPr>
        <w:pStyle w:val="8"/>
        <w:rPr>
          <w:rFonts w:hint="eastAsia"/>
          <w:lang w:val="zh-CN"/>
        </w:rPr>
      </w:pPr>
    </w:p>
    <w:p w14:paraId="0C850048">
      <w:pPr>
        <w:pStyle w:val="8"/>
        <w:rPr>
          <w:rFonts w:hint="eastAsia"/>
          <w:lang w:val="zh-CN"/>
        </w:rPr>
      </w:pPr>
    </w:p>
    <w:p w14:paraId="34F621A4">
      <w:pPr>
        <w:pStyle w:val="8"/>
        <w:rPr>
          <w:rFonts w:hint="eastAsia"/>
          <w:lang w:val="zh-CN"/>
        </w:rPr>
      </w:pPr>
    </w:p>
    <w:p w14:paraId="1BF61B4D">
      <w:pPr>
        <w:rPr>
          <w:rFonts w:hint="eastAsia"/>
          <w:lang w:val="zh-CN"/>
        </w:rPr>
      </w:pPr>
    </w:p>
    <w:p w14:paraId="387CD5D7">
      <w:pPr>
        <w:pStyle w:val="8"/>
        <w:rPr>
          <w:rFonts w:hint="eastAsia"/>
          <w:lang w:val="zh-CN"/>
        </w:rPr>
      </w:pPr>
    </w:p>
    <w:p w14:paraId="041E9168">
      <w:pPr>
        <w:rPr>
          <w:rFonts w:hint="eastAsia"/>
          <w:lang w:val="zh-CN"/>
        </w:rPr>
      </w:pPr>
    </w:p>
    <w:p w14:paraId="7D7ADA0E">
      <w:pPr>
        <w:pStyle w:val="8"/>
        <w:rPr>
          <w:rFonts w:hint="eastAsia"/>
          <w:lang w:val="zh-CN"/>
        </w:rPr>
      </w:pPr>
    </w:p>
    <w:p w14:paraId="18259285">
      <w:pPr>
        <w:rPr>
          <w:rFonts w:hint="eastAsia"/>
          <w:lang w:val="zh-CN"/>
        </w:rPr>
      </w:pPr>
    </w:p>
    <w:p w14:paraId="588BD6E5">
      <w:pPr>
        <w:pStyle w:val="8"/>
        <w:rPr>
          <w:rFonts w:hint="eastAsia"/>
          <w:lang w:val="zh-CN"/>
        </w:rPr>
      </w:pPr>
    </w:p>
    <w:p w14:paraId="27C920CB">
      <w:pPr>
        <w:rPr>
          <w:rFonts w:hint="eastAsia"/>
          <w:lang w:val="zh-CN"/>
        </w:rPr>
      </w:pPr>
    </w:p>
    <w:p w14:paraId="7A118A80">
      <w:pPr>
        <w:pStyle w:val="8"/>
        <w:rPr>
          <w:rFonts w:hint="eastAsia"/>
          <w:lang w:val="zh-CN"/>
        </w:rPr>
      </w:pPr>
    </w:p>
    <w:p w14:paraId="060C85AE">
      <w:pPr>
        <w:rPr>
          <w:rFonts w:hint="eastAsia"/>
          <w:lang w:val="zh-CN"/>
        </w:rPr>
      </w:pPr>
    </w:p>
    <w:p w14:paraId="218E0201">
      <w:pPr>
        <w:pStyle w:val="8"/>
        <w:rPr>
          <w:rFonts w:hint="eastAsia"/>
          <w:lang w:val="zh-CN"/>
        </w:rPr>
      </w:pPr>
    </w:p>
    <w:p w14:paraId="7776A8A5">
      <w:pPr>
        <w:pStyle w:val="13"/>
        <w:jc w:val="center"/>
        <w:rPr>
          <w:rFonts w:hint="eastAsia"/>
          <w:lang w:val="zh-CN"/>
        </w:rPr>
      </w:pPr>
    </w:p>
    <w:p w14:paraId="31565988">
      <w:pPr>
        <w:rPr>
          <w:rFonts w:hint="eastAsia"/>
          <w:lang w:val="zh-CN"/>
        </w:rPr>
      </w:pPr>
    </w:p>
    <w:p w14:paraId="376FA781">
      <w:pPr>
        <w:rPr>
          <w:rFonts w:hint="eastAsia"/>
          <w:lang w:val="zh-CN"/>
        </w:rPr>
      </w:pPr>
    </w:p>
    <w:p w14:paraId="637E15B0">
      <w:pPr>
        <w:rPr>
          <w:rFonts w:hint="eastAsia"/>
          <w:lang w:val="zh-CN"/>
        </w:rPr>
      </w:pPr>
    </w:p>
    <w:p w14:paraId="677FD821">
      <w:pPr>
        <w:rPr>
          <w:rFonts w:hint="eastAsia"/>
          <w:lang w:val="zh-CN"/>
        </w:rPr>
      </w:pPr>
    </w:p>
    <w:p w14:paraId="7EE20B3C">
      <w:pPr>
        <w:pStyle w:val="13"/>
        <w:jc w:val="center"/>
        <w:rPr>
          <w:lang w:val="zh-CN"/>
        </w:rPr>
      </w:pPr>
      <w:r>
        <w:rPr>
          <w:rFonts w:hint="eastAsia"/>
          <w:lang w:val="zh-CN"/>
        </w:rPr>
        <w:br w:type="textWrapping"/>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76"/>
      <w:bookmarkEnd w:id="77"/>
      <w:bookmarkEnd w:id="78"/>
    </w:p>
    <w:p w14:paraId="5F5E595C">
      <w:pPr>
        <w:pStyle w:val="19"/>
        <w:jc w:val="center"/>
        <w:rPr>
          <w:rFonts w:hint="eastAsia"/>
          <w:kern w:val="28"/>
          <w:sz w:val="40"/>
        </w:rPr>
      </w:pPr>
      <w:bookmarkStart w:id="85" w:name="_Toc500493799"/>
      <w:r>
        <w:rPr>
          <w:rFonts w:hint="eastAsia"/>
          <w:kern w:val="28"/>
          <w:sz w:val="40"/>
        </w:rPr>
        <w:t>文件的组成</w:t>
      </w:r>
      <w:bookmarkEnd w:id="85"/>
    </w:p>
    <w:p w14:paraId="5A19C2C1">
      <w:pPr>
        <w:spacing w:line="500" w:lineRule="exact"/>
        <w:ind w:firstLine="480"/>
        <w:rPr>
          <w:rFonts w:hint="eastAsia" w:ascii="宋体" w:hAnsi="宋体"/>
        </w:rPr>
      </w:pPr>
      <w:r>
        <w:rPr>
          <w:rFonts w:hint="eastAsia" w:ascii="宋体" w:hAnsi="宋体"/>
        </w:rPr>
        <w:t>（一）资格审查文件</w:t>
      </w:r>
    </w:p>
    <w:p w14:paraId="0C81CB0E">
      <w:pPr>
        <w:spacing w:line="500" w:lineRule="exact"/>
        <w:ind w:firstLine="480"/>
        <w:rPr>
          <w:rFonts w:hint="eastAsia" w:ascii="宋体" w:hAnsi="宋体"/>
        </w:rPr>
      </w:pPr>
      <w:r>
        <w:rPr>
          <w:rFonts w:hint="eastAsia" w:ascii="宋体" w:hAnsi="宋体"/>
        </w:rPr>
        <w:t>1、投标函…………………………………………………………………（附件1）</w:t>
      </w:r>
    </w:p>
    <w:p w14:paraId="3DB31EB2">
      <w:pPr>
        <w:spacing w:line="500" w:lineRule="exact"/>
        <w:ind w:firstLine="480"/>
        <w:rPr>
          <w:rFonts w:hint="eastAsia" w:ascii="宋体" w:hAnsi="宋体"/>
        </w:rPr>
      </w:pPr>
      <w:r>
        <w:rPr>
          <w:rFonts w:hint="eastAsia" w:ascii="宋体" w:hAnsi="宋体"/>
        </w:rPr>
        <w:t>2、法定代表人证明书……………………………………………………（附件2）</w:t>
      </w:r>
    </w:p>
    <w:p w14:paraId="0A74252D">
      <w:pPr>
        <w:spacing w:line="500" w:lineRule="exact"/>
        <w:ind w:firstLine="480"/>
        <w:rPr>
          <w:rFonts w:hint="eastAsia" w:ascii="宋体" w:hAnsi="宋体"/>
        </w:rPr>
      </w:pPr>
      <w:r>
        <w:rPr>
          <w:rFonts w:hint="eastAsia" w:ascii="宋体" w:hAnsi="宋体"/>
        </w:rPr>
        <w:t>3、法定代表人授权书……………………………………………………（附件3）</w:t>
      </w:r>
    </w:p>
    <w:p w14:paraId="614B2749">
      <w:pPr>
        <w:spacing w:line="500" w:lineRule="exact"/>
        <w:ind w:firstLine="480"/>
        <w:rPr>
          <w:rFonts w:hint="eastAsia" w:ascii="宋体" w:hAnsi="宋体"/>
        </w:rPr>
      </w:pPr>
      <w:r>
        <w:rPr>
          <w:rFonts w:hint="eastAsia" w:ascii="宋体" w:hAnsi="宋体"/>
        </w:rPr>
        <w:t>4、投标人承诺函…………………………………………………………（附件4）</w:t>
      </w:r>
    </w:p>
    <w:p w14:paraId="4C655ED3">
      <w:pPr>
        <w:spacing w:line="500" w:lineRule="exact"/>
        <w:ind w:firstLine="480"/>
        <w:rPr>
          <w:rFonts w:hint="eastAsia" w:ascii="宋体" w:hAnsi="宋体"/>
        </w:rPr>
      </w:pPr>
      <w:r>
        <w:rPr>
          <w:rFonts w:hint="eastAsia" w:ascii="宋体" w:hAnsi="宋体"/>
        </w:rPr>
        <w:t>5、供应商诚信承诺书……………………………………………………（附件5）</w:t>
      </w:r>
    </w:p>
    <w:p w14:paraId="574DC9F6">
      <w:pPr>
        <w:spacing w:line="500" w:lineRule="exact"/>
        <w:ind w:firstLine="480"/>
        <w:rPr>
          <w:rFonts w:hint="eastAsia" w:ascii="宋体" w:hAnsi="宋体"/>
        </w:rPr>
      </w:pPr>
      <w:r>
        <w:rPr>
          <w:rFonts w:hint="eastAsia" w:ascii="宋体" w:hAnsi="宋体"/>
        </w:rPr>
        <w:t>6、投标人资格证明文件…………………………………………………（附件6）</w:t>
      </w:r>
    </w:p>
    <w:p w14:paraId="4A4C554A">
      <w:pPr>
        <w:spacing w:line="500" w:lineRule="exact"/>
        <w:ind w:firstLine="480"/>
        <w:rPr>
          <w:rFonts w:hint="eastAsia" w:ascii="宋体" w:hAnsi="宋体"/>
        </w:rPr>
      </w:pPr>
      <w:r>
        <w:rPr>
          <w:rFonts w:hint="eastAsia" w:ascii="宋体" w:hAnsi="宋体"/>
        </w:rPr>
        <w:t>7、无重大违法记录声明…………………………………………………（附件7）</w:t>
      </w:r>
    </w:p>
    <w:p w14:paraId="3B25ABF1">
      <w:pPr>
        <w:widowControl/>
        <w:snapToGrid w:val="0"/>
        <w:spacing w:line="500" w:lineRule="exact"/>
        <w:ind w:firstLine="525" w:firstLineChars="250"/>
        <w:outlineLvl w:val="1"/>
        <w:rPr>
          <w:rFonts w:hint="eastAsia" w:ascii="宋体" w:hAnsi="宋体"/>
        </w:rPr>
      </w:pPr>
      <w:r>
        <w:rPr>
          <w:rFonts w:hint="eastAsia" w:ascii="宋体" w:hAnsi="宋体"/>
        </w:rPr>
        <w:t>8、财务状况、缴纳税收和社会保障资金证明…………………………（附件8）</w:t>
      </w:r>
    </w:p>
    <w:p w14:paraId="0F981988">
      <w:pPr>
        <w:spacing w:line="500" w:lineRule="exact"/>
        <w:ind w:firstLine="480"/>
        <w:rPr>
          <w:rFonts w:hint="eastAsia" w:ascii="宋体" w:hAnsi="宋体"/>
        </w:rPr>
      </w:pPr>
      <w:r>
        <w:rPr>
          <w:rFonts w:hint="eastAsia" w:ascii="宋体" w:hAnsi="宋体"/>
        </w:rPr>
        <w:t>（二）符合性审查文件</w:t>
      </w:r>
    </w:p>
    <w:p w14:paraId="0477277D">
      <w:pPr>
        <w:spacing w:line="500" w:lineRule="exact"/>
        <w:ind w:firstLine="480"/>
        <w:rPr>
          <w:rFonts w:hint="eastAsia" w:ascii="宋体" w:hAnsi="宋体" w:cs="Times New Roman"/>
        </w:rPr>
      </w:pPr>
      <w:r>
        <w:rPr>
          <w:rFonts w:hint="eastAsia" w:ascii="宋体" w:hAnsi="宋体" w:cs="Times New Roman"/>
        </w:rPr>
        <w:t>1、磋商报价表……………………………………………………………（附件9）</w:t>
      </w:r>
    </w:p>
    <w:p w14:paraId="1D937B54">
      <w:pPr>
        <w:spacing w:line="500" w:lineRule="exact"/>
        <w:ind w:firstLine="480"/>
        <w:rPr>
          <w:rFonts w:hint="eastAsia" w:ascii="宋体" w:hAnsi="宋体" w:cs="Times New Roman"/>
        </w:rPr>
      </w:pPr>
      <w:r>
        <w:rPr>
          <w:rFonts w:hint="eastAsia" w:ascii="宋体" w:hAnsi="宋体" w:cs="Times New Roman"/>
        </w:rPr>
        <w:t>2、分项报价表……………………………………………………………（附件10）</w:t>
      </w:r>
    </w:p>
    <w:p w14:paraId="3CC4AAE7">
      <w:pPr>
        <w:spacing w:line="500" w:lineRule="exact"/>
        <w:ind w:firstLine="480"/>
        <w:rPr>
          <w:rFonts w:hint="eastAsia" w:ascii="宋体" w:hAnsi="宋体" w:cs="Times New Roman"/>
        </w:rPr>
      </w:pPr>
      <w:r>
        <w:rPr>
          <w:rFonts w:hint="eastAsia" w:ascii="宋体" w:hAnsi="宋体" w:cs="Times New Roman"/>
        </w:rPr>
        <w:t>3、技术规格响应表………………………………………………………（附件11）</w:t>
      </w:r>
    </w:p>
    <w:p w14:paraId="6D737793">
      <w:pPr>
        <w:spacing w:line="500" w:lineRule="exact"/>
        <w:ind w:firstLine="480"/>
        <w:rPr>
          <w:rFonts w:hint="eastAsia" w:ascii="宋体" w:hAnsi="宋体" w:cs="Times New Roman"/>
        </w:rPr>
      </w:pPr>
      <w:r>
        <w:rPr>
          <w:rFonts w:hint="eastAsia" w:ascii="宋体" w:hAnsi="宋体" w:cs="Times New Roman"/>
          <w:lang w:val="en-US" w:eastAsia="zh-CN"/>
        </w:rPr>
        <w:t>4、磋商最终报价表（最终轮）</w:t>
      </w:r>
      <w:r>
        <w:rPr>
          <w:rFonts w:hint="eastAsia" w:ascii="宋体" w:hAnsi="宋体" w:cs="Times New Roman"/>
        </w:rPr>
        <w:t>……………………</w:t>
      </w:r>
      <w:r>
        <w:rPr>
          <w:rFonts w:hint="eastAsia" w:ascii="宋体" w:hAnsi="宋体"/>
        </w:rPr>
        <w:t>…………………</w:t>
      </w:r>
      <w:r>
        <w:rPr>
          <w:rFonts w:hint="eastAsia" w:ascii="宋体" w:hAnsi="宋体" w:cs="Times New Roman"/>
        </w:rPr>
        <w:t>…（附件1</w:t>
      </w:r>
      <w:r>
        <w:rPr>
          <w:rFonts w:hint="eastAsia" w:ascii="宋体" w:hAnsi="宋体" w:cs="Times New Roman"/>
          <w:lang w:val="en-US" w:eastAsia="zh-CN"/>
        </w:rPr>
        <w:t>2-1</w:t>
      </w:r>
      <w:r>
        <w:rPr>
          <w:rFonts w:hint="eastAsia" w:ascii="宋体" w:hAnsi="宋体" w:cs="Times New Roman"/>
        </w:rPr>
        <w:t>）</w:t>
      </w:r>
    </w:p>
    <w:p w14:paraId="40C82C1A">
      <w:pPr>
        <w:spacing w:line="500" w:lineRule="exact"/>
        <w:ind w:firstLine="480"/>
        <w:rPr>
          <w:rFonts w:hint="eastAsia" w:ascii="宋体" w:hAnsi="宋体" w:eastAsia="宋体" w:cs="Times New Roman"/>
          <w:lang w:eastAsia="zh-CN"/>
        </w:rPr>
      </w:pPr>
      <w:r>
        <w:rPr>
          <w:rFonts w:hint="eastAsia" w:ascii="宋体" w:hAnsi="宋体" w:cs="Times New Roman"/>
        </w:rPr>
        <w:fldChar w:fldCharType="begin"/>
      </w:r>
      <w:r>
        <w:rPr>
          <w:rFonts w:hint="eastAsia" w:ascii="宋体" w:hAnsi="宋体" w:cs="Times New Roman"/>
        </w:rPr>
        <w:instrText xml:space="preserve"> HYPERLINK \l _Toc20003 </w:instrText>
      </w:r>
      <w:r>
        <w:rPr>
          <w:rFonts w:hint="eastAsia" w:ascii="宋体" w:hAnsi="宋体" w:cs="Times New Roman"/>
        </w:rPr>
        <w:fldChar w:fldCharType="separate"/>
      </w:r>
      <w:r>
        <w:rPr>
          <w:rFonts w:hint="eastAsia" w:ascii="宋体" w:hAnsi="宋体" w:cs="Times New Roman"/>
          <w:lang w:val="en-US" w:eastAsia="zh-CN"/>
        </w:rPr>
        <w:t>5.</w:t>
      </w:r>
      <w:r>
        <w:rPr>
          <w:rFonts w:hint="eastAsia" w:ascii="宋体" w:hAnsi="宋体" w:cs="Times New Roman"/>
          <w:lang w:val="zh-CN" w:eastAsia="zh-CN"/>
        </w:rPr>
        <w:t>磋商最终</w:t>
      </w:r>
      <w:r>
        <w:rPr>
          <w:rFonts w:hint="eastAsia" w:ascii="宋体" w:hAnsi="宋体" w:cs="Times New Roman"/>
          <w:lang w:val="zh-CN"/>
        </w:rPr>
        <w:t>报价表</w:t>
      </w:r>
      <w:r>
        <w:rPr>
          <w:rFonts w:hint="eastAsia" w:ascii="宋体" w:hAnsi="宋体" w:cs="Times New Roman"/>
          <w:lang w:val="zh-CN" w:eastAsia="zh-CN"/>
        </w:rPr>
        <w:t>附件</w:t>
      </w:r>
      <w:r>
        <w:rPr>
          <w:rFonts w:hint="eastAsia" w:ascii="宋体" w:hAnsi="宋体" w:cs="Times New Roman"/>
        </w:rPr>
        <w:fldChar w:fldCharType="end"/>
      </w:r>
      <w:r>
        <w:rPr>
          <w:rFonts w:hint="eastAsia" w:ascii="宋体" w:hAnsi="宋体"/>
        </w:rPr>
        <w:t>…………………………………………………</w:t>
      </w:r>
      <w:r>
        <w:rPr>
          <w:rFonts w:hint="eastAsia" w:ascii="宋体" w:hAnsi="宋体"/>
          <w:lang w:eastAsia="zh-CN"/>
        </w:rPr>
        <w:t>（</w:t>
      </w:r>
      <w:r>
        <w:rPr>
          <w:rFonts w:hint="eastAsia" w:ascii="宋体" w:hAnsi="宋体"/>
          <w:lang w:val="en-US" w:eastAsia="zh-CN"/>
        </w:rPr>
        <w:t>附件12-2</w:t>
      </w:r>
      <w:r>
        <w:rPr>
          <w:rFonts w:hint="eastAsia" w:ascii="宋体" w:hAnsi="宋体"/>
          <w:lang w:eastAsia="zh-CN"/>
        </w:rPr>
        <w:t>）</w:t>
      </w:r>
    </w:p>
    <w:p w14:paraId="11D594E2">
      <w:pPr>
        <w:spacing w:line="500" w:lineRule="exact"/>
        <w:ind w:firstLine="480"/>
        <w:rPr>
          <w:rFonts w:hint="eastAsia" w:ascii="宋体" w:hAnsi="宋体" w:cs="Times New Roman"/>
        </w:rPr>
      </w:pPr>
      <w:r>
        <w:rPr>
          <w:rFonts w:hint="eastAsia" w:ascii="宋体" w:hAnsi="宋体" w:cs="Times New Roman"/>
        </w:rPr>
        <w:fldChar w:fldCharType="begin"/>
      </w:r>
      <w:r>
        <w:rPr>
          <w:rFonts w:hint="eastAsia" w:ascii="宋体" w:hAnsi="宋体" w:cs="Times New Roman"/>
        </w:rPr>
        <w:instrText xml:space="preserve"> HYPERLINK \l _Toc11855 </w:instrText>
      </w:r>
      <w:r>
        <w:rPr>
          <w:rFonts w:hint="eastAsia" w:ascii="宋体" w:hAnsi="宋体" w:cs="Times New Roman"/>
        </w:rPr>
        <w:fldChar w:fldCharType="separate"/>
      </w:r>
      <w:r>
        <w:rPr>
          <w:rFonts w:hint="eastAsia" w:ascii="宋体" w:hAnsi="宋体" w:cs="Times New Roman"/>
          <w:lang w:val="en-US" w:eastAsia="zh-CN"/>
        </w:rPr>
        <w:t>6.</w:t>
      </w:r>
      <w:r>
        <w:rPr>
          <w:rFonts w:hint="eastAsia" w:ascii="宋体" w:hAnsi="宋体" w:cs="Times New Roman"/>
          <w:lang w:val="zh-CN"/>
        </w:rPr>
        <w:t>其他资格证明材料</w:t>
      </w:r>
      <w:r>
        <w:rPr>
          <w:rFonts w:hint="eastAsia" w:ascii="宋体" w:hAnsi="宋体" w:cs="Times New Roman"/>
        </w:rPr>
        <w:tab/>
      </w:r>
      <w:r>
        <w:rPr>
          <w:rFonts w:hint="eastAsia" w:ascii="宋体" w:hAnsi="宋体"/>
        </w:rPr>
        <w:t>……………………</w:t>
      </w:r>
      <w:r>
        <w:rPr>
          <w:rFonts w:hint="eastAsia" w:ascii="宋体" w:hAnsi="宋体" w:cs="Times New Roman"/>
        </w:rPr>
        <w:fldChar w:fldCharType="end"/>
      </w:r>
      <w:r>
        <w:rPr>
          <w:rFonts w:hint="eastAsia" w:ascii="宋体" w:hAnsi="宋体"/>
        </w:rPr>
        <w:t>………………………………</w:t>
      </w:r>
      <w:r>
        <w:rPr>
          <w:rFonts w:hint="eastAsia" w:ascii="宋体" w:hAnsi="宋体" w:cs="Times New Roman"/>
        </w:rPr>
        <w:t>（附件13）</w:t>
      </w:r>
    </w:p>
    <w:p w14:paraId="7BEC4ABA">
      <w:pPr>
        <w:spacing w:line="500" w:lineRule="exact"/>
        <w:ind w:firstLine="480"/>
        <w:rPr>
          <w:rFonts w:hint="eastAsia" w:ascii="宋体" w:hAnsi="宋体" w:cs="Times New Roman"/>
        </w:rPr>
      </w:pPr>
      <w:r>
        <w:rPr>
          <w:rFonts w:hint="eastAsia" w:ascii="宋体" w:hAnsi="宋体" w:cs="Times New Roman"/>
          <w:lang w:val="en-US" w:eastAsia="zh-CN"/>
        </w:rPr>
        <w:t>7</w:t>
      </w:r>
      <w:r>
        <w:rPr>
          <w:rFonts w:hint="eastAsia" w:ascii="宋体" w:hAnsi="宋体" w:cs="Times New Roman"/>
        </w:rPr>
        <w:t>、投标产品相关资料……………………………………………………（附件1</w:t>
      </w:r>
      <w:r>
        <w:rPr>
          <w:rFonts w:hint="eastAsia" w:ascii="宋体" w:hAnsi="宋体" w:cs="Times New Roman"/>
          <w:lang w:val="en-US" w:eastAsia="zh-CN"/>
        </w:rPr>
        <w:t>4</w:t>
      </w:r>
      <w:r>
        <w:rPr>
          <w:rFonts w:hint="eastAsia" w:ascii="宋体" w:hAnsi="宋体" w:cs="Times New Roman"/>
        </w:rPr>
        <w:t>）</w:t>
      </w:r>
    </w:p>
    <w:p w14:paraId="78E1D9CC">
      <w:pPr>
        <w:spacing w:line="500" w:lineRule="exact"/>
        <w:ind w:firstLine="480"/>
        <w:rPr>
          <w:rFonts w:hint="eastAsia" w:ascii="宋体" w:hAnsi="宋体" w:cs="Times New Roman"/>
        </w:rPr>
      </w:pPr>
      <w:r>
        <w:rPr>
          <w:rFonts w:hint="eastAsia" w:ascii="宋体" w:hAnsi="宋体" w:cs="Times New Roman"/>
          <w:lang w:val="en-US" w:eastAsia="zh-CN"/>
        </w:rPr>
        <w:t>8</w:t>
      </w:r>
      <w:r>
        <w:rPr>
          <w:rFonts w:hint="eastAsia" w:ascii="宋体" w:hAnsi="宋体" w:cs="Times New Roman"/>
        </w:rPr>
        <w:t>、投标人类似业绩证明材料……………………………………………（附件1</w:t>
      </w:r>
      <w:r>
        <w:rPr>
          <w:rFonts w:hint="eastAsia" w:ascii="宋体" w:hAnsi="宋体" w:cs="Times New Roman"/>
          <w:lang w:val="en-US" w:eastAsia="zh-CN"/>
        </w:rPr>
        <w:t>5</w:t>
      </w:r>
      <w:r>
        <w:rPr>
          <w:rFonts w:hint="eastAsia" w:ascii="宋体" w:hAnsi="宋体" w:cs="Times New Roman"/>
        </w:rPr>
        <w:t>）</w:t>
      </w:r>
    </w:p>
    <w:p w14:paraId="4E4815C5">
      <w:pPr>
        <w:spacing w:line="500" w:lineRule="exact"/>
        <w:ind w:firstLine="480"/>
        <w:rPr>
          <w:rFonts w:hint="eastAsia" w:ascii="宋体" w:hAnsi="宋体" w:cs="Times New Roman"/>
        </w:rPr>
      </w:pPr>
      <w:r>
        <w:rPr>
          <w:rFonts w:hint="eastAsia" w:ascii="宋体" w:hAnsi="宋体" w:cs="Times New Roman"/>
          <w:lang w:val="en-US" w:eastAsia="zh-CN"/>
        </w:rPr>
        <w:t>9</w:t>
      </w:r>
      <w:r>
        <w:rPr>
          <w:rFonts w:hint="eastAsia" w:ascii="宋体" w:hAnsi="宋体" w:cs="Times New Roman"/>
        </w:rPr>
        <w:t>、中小企业声明函（货物）……………………………………………（附件1</w:t>
      </w:r>
      <w:r>
        <w:rPr>
          <w:rFonts w:hint="eastAsia" w:ascii="宋体" w:hAnsi="宋体" w:cs="Times New Roman"/>
          <w:lang w:val="en-US" w:eastAsia="zh-CN"/>
        </w:rPr>
        <w:t>6</w:t>
      </w:r>
      <w:r>
        <w:rPr>
          <w:rFonts w:hint="eastAsia" w:ascii="宋体" w:hAnsi="宋体" w:cs="Times New Roman"/>
        </w:rPr>
        <w:t>）</w:t>
      </w:r>
    </w:p>
    <w:p w14:paraId="7C7BB6FD">
      <w:pPr>
        <w:spacing w:line="500" w:lineRule="exact"/>
        <w:ind w:firstLine="480"/>
        <w:rPr>
          <w:rFonts w:hint="eastAsia" w:ascii="宋体" w:hAnsi="宋体" w:cs="Times New Roman"/>
        </w:rPr>
      </w:pPr>
      <w:r>
        <w:rPr>
          <w:rFonts w:hint="eastAsia" w:ascii="宋体" w:hAnsi="宋体" w:cs="Times New Roman"/>
          <w:lang w:val="en-US" w:eastAsia="zh-CN"/>
        </w:rPr>
        <w:t>10</w:t>
      </w:r>
      <w:r>
        <w:rPr>
          <w:rFonts w:hint="eastAsia" w:ascii="宋体" w:hAnsi="宋体" w:cs="Times New Roman"/>
        </w:rPr>
        <w:t>、残疾人福利性单位声明函……………………………………………（附件1</w:t>
      </w:r>
      <w:r>
        <w:rPr>
          <w:rFonts w:hint="eastAsia" w:ascii="宋体" w:hAnsi="宋体" w:cs="Times New Roman"/>
          <w:lang w:val="en-US" w:eastAsia="zh-CN"/>
        </w:rPr>
        <w:t>7</w:t>
      </w:r>
      <w:r>
        <w:rPr>
          <w:rFonts w:hint="eastAsia" w:ascii="宋体" w:hAnsi="宋体" w:cs="Times New Roman"/>
        </w:rPr>
        <w:t>）</w:t>
      </w:r>
    </w:p>
    <w:p w14:paraId="2C8658AD">
      <w:pPr>
        <w:spacing w:line="500" w:lineRule="exact"/>
        <w:ind w:firstLine="480"/>
        <w:rPr>
          <w:rFonts w:hint="eastAsia" w:ascii="宋体" w:hAnsi="宋体" w:cs="Times New Roman"/>
        </w:rPr>
      </w:pPr>
      <w:r>
        <w:rPr>
          <w:rFonts w:hint="eastAsia" w:ascii="宋体" w:hAnsi="宋体" w:cs="Times New Roman"/>
          <w:lang w:val="en-US" w:eastAsia="zh-CN"/>
        </w:rPr>
        <w:t>11</w:t>
      </w:r>
      <w:r>
        <w:rPr>
          <w:rFonts w:hint="eastAsia" w:ascii="宋体" w:hAnsi="宋体" w:cs="Times New Roman"/>
        </w:rPr>
        <w:t>、销售及服务相关内容  ………………………………………………（附件1</w:t>
      </w:r>
      <w:r>
        <w:rPr>
          <w:rFonts w:hint="eastAsia" w:ascii="宋体" w:hAnsi="宋体" w:cs="Times New Roman"/>
          <w:lang w:val="en-US" w:eastAsia="zh-CN"/>
        </w:rPr>
        <w:t>8</w:t>
      </w:r>
      <w:r>
        <w:rPr>
          <w:rFonts w:hint="eastAsia" w:ascii="宋体" w:hAnsi="宋体" w:cs="Times New Roman"/>
        </w:rPr>
        <w:t>）</w:t>
      </w:r>
    </w:p>
    <w:p w14:paraId="46FAEE62">
      <w:pPr>
        <w:spacing w:line="500" w:lineRule="exact"/>
        <w:ind w:firstLine="480"/>
        <w:rPr>
          <w:rFonts w:hint="eastAsia" w:ascii="宋体" w:hAnsi="宋体" w:cs="Times New Roman"/>
        </w:rPr>
      </w:pPr>
      <w:r>
        <w:rPr>
          <w:rFonts w:hint="eastAsia" w:ascii="宋体" w:hAnsi="宋体" w:cs="Times New Roman"/>
        </w:rPr>
        <w:t>1</w:t>
      </w:r>
      <w:r>
        <w:rPr>
          <w:rFonts w:hint="eastAsia" w:ascii="宋体" w:hAnsi="宋体" w:cs="Times New Roman"/>
          <w:lang w:val="en-US" w:eastAsia="zh-CN"/>
        </w:rPr>
        <w:t>2</w:t>
      </w:r>
      <w:r>
        <w:rPr>
          <w:rFonts w:hint="eastAsia" w:ascii="宋体" w:hAnsi="宋体" w:cs="Times New Roman"/>
        </w:rPr>
        <w:t>、投标人认为在其他方面有必要说明的事项 …………………………（附件1</w:t>
      </w:r>
      <w:r>
        <w:rPr>
          <w:rFonts w:hint="eastAsia" w:ascii="宋体" w:hAnsi="宋体" w:cs="Times New Roman"/>
          <w:lang w:val="en-US" w:eastAsia="zh-CN"/>
        </w:rPr>
        <w:t>9</w:t>
      </w:r>
      <w:r>
        <w:rPr>
          <w:rFonts w:hint="eastAsia" w:ascii="宋体" w:hAnsi="宋体" w:cs="Times New Roman"/>
        </w:rPr>
        <w:t>）</w:t>
      </w:r>
    </w:p>
    <w:p w14:paraId="7DC1F6C0">
      <w:pPr>
        <w:spacing w:line="500" w:lineRule="exact"/>
        <w:ind w:firstLine="480"/>
        <w:rPr>
          <w:rFonts w:hint="eastAsia" w:ascii="宋体" w:hAnsi="宋体" w:cs="Times New Roman"/>
          <w:lang w:val="zh-CN"/>
        </w:rPr>
      </w:pPr>
    </w:p>
    <w:p w14:paraId="7317484C">
      <w:pPr>
        <w:pStyle w:val="9"/>
        <w:rPr>
          <w:rFonts w:hint="eastAsia"/>
          <w:lang w:val="zh-CN" w:eastAsia="zh-CN"/>
        </w:rPr>
      </w:pPr>
    </w:p>
    <w:p w14:paraId="12C10C6F">
      <w:pPr>
        <w:pStyle w:val="13"/>
        <w:jc w:val="left"/>
        <w:rPr>
          <w:rFonts w:hint="eastAsia" w:ascii="宋体" w:hAnsi="宋体"/>
          <w:sz w:val="28"/>
          <w:lang w:val="zh-CN"/>
        </w:rPr>
      </w:pPr>
      <w:bookmarkStart w:id="86" w:name="_Toc428180575"/>
      <w:bookmarkStart w:id="87" w:name="_Toc9251"/>
      <w:bookmarkStart w:id="88" w:name="_Toc18734"/>
    </w:p>
    <w:p w14:paraId="30301E49">
      <w:pPr>
        <w:pStyle w:val="13"/>
        <w:jc w:val="left"/>
        <w:rPr>
          <w:rFonts w:hint="eastAsia" w:ascii="宋体" w:hAnsi="宋体"/>
          <w:sz w:val="28"/>
          <w:lang w:val="zh-CN"/>
        </w:rPr>
      </w:pPr>
    </w:p>
    <w:p w14:paraId="6215C28D">
      <w:pPr>
        <w:pStyle w:val="13"/>
        <w:jc w:val="left"/>
        <w:rPr>
          <w:rFonts w:ascii="宋体" w:hAnsi="宋体"/>
          <w:sz w:val="28"/>
          <w:lang w:val="zh-CN"/>
        </w:rPr>
      </w:pPr>
      <w:bookmarkStart w:id="89" w:name="_Toc24985"/>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6"/>
      <w:r>
        <w:rPr>
          <w:rFonts w:hint="eastAsia" w:ascii="宋体" w:hAnsi="宋体"/>
          <w:sz w:val="28"/>
          <w:lang w:val="zh-CN"/>
        </w:rPr>
        <w:t>）</w:t>
      </w:r>
      <w:bookmarkEnd w:id="87"/>
      <w:bookmarkEnd w:id="88"/>
      <w:bookmarkEnd w:id="89"/>
    </w:p>
    <w:p w14:paraId="2BF0551F">
      <w:pPr>
        <w:widowControl/>
        <w:spacing w:line="480" w:lineRule="exact"/>
        <w:ind w:firstLine="630" w:firstLineChars="224"/>
        <w:rPr>
          <w:rFonts w:hint="eastAsia" w:ascii="宋体" w:cs="宋体"/>
          <w:b/>
          <w:bCs/>
          <w:kern w:val="0"/>
          <w:sz w:val="28"/>
          <w:szCs w:val="28"/>
          <w:lang w:val="zh-CN"/>
        </w:rPr>
      </w:pPr>
    </w:p>
    <w:p w14:paraId="06EF5909">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6EA4558B">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70FE6C6">
      <w:pPr>
        <w:autoSpaceDE w:val="0"/>
        <w:autoSpaceDN w:val="0"/>
        <w:adjustRightInd w:val="0"/>
        <w:rPr>
          <w:rFonts w:eastAsia="仿宋" w:cs="Calibri"/>
          <w:kern w:val="0"/>
          <w:sz w:val="28"/>
          <w:szCs w:val="28"/>
        </w:rPr>
      </w:pPr>
      <w:r>
        <w:rPr>
          <w:rFonts w:eastAsia="仿宋" w:cs="Calibri"/>
          <w:kern w:val="0"/>
          <w:sz w:val="28"/>
          <w:szCs w:val="28"/>
        </w:rPr>
        <w:t xml:space="preserve"> </w:t>
      </w:r>
    </w:p>
    <w:p w14:paraId="3971BBF6">
      <w:pPr>
        <w:autoSpaceDE w:val="0"/>
        <w:autoSpaceDN w:val="0"/>
        <w:adjustRightInd w:val="0"/>
        <w:rPr>
          <w:rFonts w:eastAsia="仿宋" w:cs="Calibri"/>
          <w:kern w:val="0"/>
          <w:sz w:val="28"/>
          <w:szCs w:val="28"/>
        </w:rPr>
      </w:pPr>
      <w:r>
        <w:rPr>
          <w:rFonts w:eastAsia="仿宋" w:cs="Calibri"/>
          <w:kern w:val="0"/>
          <w:sz w:val="28"/>
          <w:szCs w:val="28"/>
        </w:rPr>
        <w:t xml:space="preserve"> </w:t>
      </w:r>
    </w:p>
    <w:p w14:paraId="7F1C960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D13EEC4">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5C105F02">
      <w:pPr>
        <w:autoSpaceDE w:val="0"/>
        <w:autoSpaceDN w:val="0"/>
        <w:adjustRightInd w:val="0"/>
        <w:rPr>
          <w:rFonts w:cs="Calibri"/>
          <w:kern w:val="0"/>
          <w:sz w:val="28"/>
          <w:szCs w:val="28"/>
        </w:rPr>
      </w:pPr>
    </w:p>
    <w:p w14:paraId="3CBE4C83">
      <w:pPr>
        <w:autoSpaceDE w:val="0"/>
        <w:autoSpaceDN w:val="0"/>
        <w:adjustRightInd w:val="0"/>
        <w:rPr>
          <w:rFonts w:cs="Calibri"/>
          <w:kern w:val="0"/>
          <w:sz w:val="28"/>
          <w:szCs w:val="28"/>
        </w:rPr>
      </w:pPr>
    </w:p>
    <w:p w14:paraId="3B638F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72459204">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49A59FC6">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10D7947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4C07179">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zh-CN"/>
        </w:rPr>
        <w:t>投标单位：</w:t>
      </w:r>
    </w:p>
    <w:p w14:paraId="1DF0337E">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A507163">
      <w:pPr>
        <w:pStyle w:val="13"/>
        <w:jc w:val="left"/>
        <w:rPr>
          <w:rFonts w:hint="eastAsia" w:ascii="宋体" w:hAnsi="宋体"/>
          <w:sz w:val="28"/>
          <w:lang w:val="zh-CN"/>
        </w:rPr>
      </w:pPr>
      <w:bookmarkStart w:id="90" w:name="_Toc428180576"/>
      <w:bookmarkStart w:id="91" w:name="_Toc1298"/>
    </w:p>
    <w:p w14:paraId="2A8EDE02">
      <w:pPr>
        <w:pStyle w:val="13"/>
        <w:jc w:val="left"/>
        <w:rPr>
          <w:rFonts w:hint="eastAsia" w:ascii="宋体" w:hAnsi="宋体"/>
          <w:sz w:val="28"/>
          <w:lang w:val="zh-CN"/>
        </w:rPr>
      </w:pPr>
    </w:p>
    <w:p w14:paraId="2E8CAF97">
      <w:pPr>
        <w:rPr>
          <w:rFonts w:hint="eastAsia" w:ascii="宋体" w:hAnsi="宋体"/>
          <w:sz w:val="28"/>
          <w:lang w:val="zh-CN"/>
        </w:rPr>
      </w:pPr>
    </w:p>
    <w:p w14:paraId="5F2B5894">
      <w:pPr>
        <w:pStyle w:val="13"/>
        <w:rPr>
          <w:rFonts w:hint="eastAsia"/>
          <w:lang w:val="zh-CN" w:eastAsia="zh-CN"/>
        </w:rPr>
      </w:pPr>
    </w:p>
    <w:p w14:paraId="135B3C58">
      <w:pPr>
        <w:rPr>
          <w:rFonts w:hint="eastAsia"/>
          <w:lang w:val="zh-CN"/>
        </w:rPr>
      </w:pPr>
    </w:p>
    <w:p w14:paraId="70EB72FD">
      <w:pPr>
        <w:pStyle w:val="13"/>
        <w:jc w:val="left"/>
        <w:rPr>
          <w:rFonts w:hint="eastAsia" w:ascii="宋体" w:hAnsi="宋体"/>
          <w:sz w:val="28"/>
          <w:lang w:val="zh-CN"/>
        </w:rPr>
      </w:pPr>
    </w:p>
    <w:p w14:paraId="7FB77D0D">
      <w:pPr>
        <w:pStyle w:val="13"/>
        <w:jc w:val="left"/>
        <w:rPr>
          <w:rFonts w:hint="eastAsia" w:ascii="宋体" w:hAnsi="宋体"/>
          <w:sz w:val="28"/>
          <w:lang w:val="zh-CN"/>
        </w:rPr>
      </w:pPr>
    </w:p>
    <w:p w14:paraId="53EF5CF0">
      <w:pPr>
        <w:pStyle w:val="13"/>
        <w:jc w:val="left"/>
        <w:rPr>
          <w:rFonts w:hint="eastAsia" w:ascii="宋体" w:hAnsi="宋体"/>
          <w:sz w:val="28"/>
          <w:lang w:val="zh-CN"/>
        </w:rPr>
      </w:pPr>
    </w:p>
    <w:p w14:paraId="109668AA">
      <w:pPr>
        <w:rPr>
          <w:rFonts w:hint="eastAsia" w:ascii="宋体" w:hAnsi="宋体"/>
          <w:sz w:val="28"/>
          <w:lang w:val="zh-CN"/>
        </w:rPr>
      </w:pPr>
      <w:bookmarkStart w:id="155" w:name="_GoBack"/>
      <w:bookmarkEnd w:id="155"/>
    </w:p>
    <w:p w14:paraId="311D8DF8">
      <w:pPr>
        <w:pStyle w:val="13"/>
        <w:jc w:val="left"/>
        <w:rPr>
          <w:lang w:val="zh-CN"/>
        </w:rPr>
      </w:pPr>
      <w:bookmarkStart w:id="92" w:name="_Toc1236"/>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90"/>
      <w:r>
        <w:rPr>
          <w:rFonts w:hint="eastAsia" w:ascii="宋体" w:hAnsi="宋体"/>
          <w:sz w:val="28"/>
          <w:lang w:val="zh-CN"/>
        </w:rPr>
        <w:t>投</w:t>
      </w:r>
      <w:r>
        <w:rPr>
          <w:rFonts w:ascii="宋体" w:hAnsi="宋体" w:cs="Cambria"/>
          <w:sz w:val="28"/>
        </w:rPr>
        <w:t xml:space="preserve"> </w:t>
      </w:r>
      <w:r>
        <w:rPr>
          <w:rFonts w:hint="eastAsia" w:ascii="宋体" w:hAnsi="宋体"/>
          <w:sz w:val="28"/>
          <w:lang w:val="zh-CN"/>
        </w:rPr>
        <w:t>标</w:t>
      </w:r>
      <w:r>
        <w:rPr>
          <w:rFonts w:ascii="宋体" w:hAnsi="宋体" w:cs="Cambria"/>
          <w:sz w:val="28"/>
        </w:rPr>
        <w:t xml:space="preserve"> </w:t>
      </w:r>
      <w:r>
        <w:rPr>
          <w:rFonts w:hint="eastAsia" w:ascii="宋体" w:hAnsi="宋体"/>
          <w:sz w:val="28"/>
          <w:lang w:val="zh-CN"/>
        </w:rPr>
        <w:t>函</w:t>
      </w:r>
      <w:bookmarkEnd w:id="91"/>
      <w:bookmarkEnd w:id="92"/>
    </w:p>
    <w:p w14:paraId="38D79259">
      <w:pPr>
        <w:pStyle w:val="13"/>
        <w:jc w:val="left"/>
        <w:outlineLvl w:val="9"/>
        <w:rPr>
          <w:rFonts w:ascii="宋体" w:hAnsi="宋体" w:cs="Cambria"/>
          <w:sz w:val="28"/>
        </w:rPr>
      </w:pPr>
    </w:p>
    <w:p w14:paraId="643EA56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14:paraId="2108707A">
      <w:pPr>
        <w:autoSpaceDE w:val="0"/>
        <w:autoSpaceDN w:val="0"/>
        <w:adjustRightInd w:val="0"/>
        <w:spacing w:line="400" w:lineRule="exact"/>
        <w:rPr>
          <w:rFonts w:hint="eastAsia" w:ascii="宋体" w:hAnsi="Cambria" w:cs="宋体"/>
          <w:b/>
          <w:kern w:val="0"/>
          <w:sz w:val="24"/>
          <w:lang w:val="zh-CN"/>
        </w:rPr>
      </w:pPr>
    </w:p>
    <w:p w14:paraId="090D744C">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致：西宁市政府采购中心：</w:t>
      </w:r>
    </w:p>
    <w:p w14:paraId="672D540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FE2431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招标文件，经研究，法定代表人（姓名、职务）正式授权（委托代理人姓名、职务）代表投标人（投标人名称、地址）提交投标文件。</w:t>
      </w:r>
      <w:r>
        <w:rPr>
          <w:rFonts w:ascii="宋体" w:hAnsi="Cambria" w:cs="宋体"/>
          <w:kern w:val="0"/>
          <w:sz w:val="24"/>
          <w:lang w:val="zh-CN"/>
        </w:rPr>
        <w:t xml:space="preserve">   </w:t>
      </w:r>
    </w:p>
    <w:p w14:paraId="682CB74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EB697AC">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我方已详阅招标文件的全部内容，包括澄清、修改条款等有关附件，承诺对其完全理解并接受。</w:t>
      </w:r>
    </w:p>
    <w:p w14:paraId="5648C1E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投标有效期自开标之日起60天内有效。</w:t>
      </w:r>
    </w:p>
    <w:p w14:paraId="4C4D649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14:paraId="7A9D96C7">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14:paraId="12457F38">
      <w:pPr>
        <w:autoSpaceDE w:val="0"/>
        <w:autoSpaceDN w:val="0"/>
        <w:adjustRightInd w:val="0"/>
        <w:spacing w:line="400" w:lineRule="exact"/>
        <w:ind w:firstLine="480"/>
        <w:rPr>
          <w:rFonts w:ascii="宋体" w:hAnsi="Cambria" w:cs="宋体"/>
          <w:kern w:val="0"/>
          <w:sz w:val="24"/>
          <w:lang w:val="zh-CN"/>
        </w:rPr>
      </w:pPr>
    </w:p>
    <w:p w14:paraId="0B2513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0881EFD8">
      <w:pPr>
        <w:autoSpaceDE w:val="0"/>
        <w:autoSpaceDN w:val="0"/>
        <w:adjustRightInd w:val="0"/>
        <w:spacing w:line="400" w:lineRule="exact"/>
        <w:rPr>
          <w:rFonts w:ascii="宋体" w:hAnsi="Cambria" w:cs="宋体"/>
          <w:kern w:val="0"/>
          <w:sz w:val="24"/>
          <w:lang w:val="zh-CN"/>
        </w:rPr>
      </w:pPr>
    </w:p>
    <w:p w14:paraId="5CA2095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28ED2B59">
      <w:pPr>
        <w:autoSpaceDE w:val="0"/>
        <w:autoSpaceDN w:val="0"/>
        <w:adjustRightInd w:val="0"/>
        <w:spacing w:line="400" w:lineRule="exact"/>
        <w:rPr>
          <w:rFonts w:ascii="宋体" w:hAnsi="Cambria" w:cs="宋体"/>
          <w:kern w:val="0"/>
          <w:sz w:val="24"/>
          <w:lang w:val="zh-CN"/>
        </w:rPr>
      </w:pPr>
    </w:p>
    <w:p w14:paraId="11F6DE5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686ABA9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A6483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6FF31C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85ECEAB">
      <w:pPr>
        <w:autoSpaceDE w:val="0"/>
        <w:autoSpaceDN w:val="0"/>
        <w:adjustRightInd w:val="0"/>
        <w:spacing w:line="400" w:lineRule="exact"/>
        <w:rPr>
          <w:rFonts w:ascii="宋体" w:hAnsi="Cambria" w:cs="宋体"/>
          <w:kern w:val="0"/>
          <w:sz w:val="24"/>
          <w:lang w:val="zh-CN"/>
        </w:rPr>
      </w:pPr>
    </w:p>
    <w:p w14:paraId="1A8D890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EA305C">
      <w:pPr>
        <w:autoSpaceDE w:val="0"/>
        <w:autoSpaceDN w:val="0"/>
        <w:adjustRightInd w:val="0"/>
        <w:spacing w:line="400" w:lineRule="exact"/>
        <w:rPr>
          <w:rFonts w:ascii="宋体" w:hAnsi="Cambria" w:cs="宋体"/>
          <w:kern w:val="0"/>
          <w:sz w:val="24"/>
          <w:lang w:val="zh-CN"/>
        </w:rPr>
      </w:pPr>
    </w:p>
    <w:p w14:paraId="1AB4426D">
      <w:pPr>
        <w:autoSpaceDE w:val="0"/>
        <w:autoSpaceDN w:val="0"/>
        <w:adjustRightInd w:val="0"/>
        <w:spacing w:line="400" w:lineRule="exact"/>
        <w:rPr>
          <w:rFonts w:ascii="宋体" w:hAnsi="Cambria" w:cs="宋体"/>
          <w:kern w:val="0"/>
          <w:sz w:val="24"/>
          <w:lang w:val="zh-CN"/>
        </w:rPr>
      </w:pPr>
    </w:p>
    <w:p w14:paraId="286652E1">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投标单位：</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6E4209E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4A50C6B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2A49F7">
      <w:pPr>
        <w:autoSpaceDE w:val="0"/>
        <w:autoSpaceDN w:val="0"/>
        <w:adjustRightInd w:val="0"/>
        <w:spacing w:line="400" w:lineRule="exact"/>
        <w:rPr>
          <w:rFonts w:ascii="宋体" w:hAnsi="Cambria" w:cs="宋体"/>
          <w:kern w:val="0"/>
          <w:sz w:val="24"/>
          <w:lang w:val="zh-CN"/>
        </w:rPr>
      </w:pPr>
    </w:p>
    <w:p w14:paraId="7DF0C4F3">
      <w:pPr>
        <w:autoSpaceDE w:val="0"/>
        <w:autoSpaceDN w:val="0"/>
        <w:adjustRightInd w:val="0"/>
        <w:spacing w:line="400" w:lineRule="exact"/>
        <w:rPr>
          <w:rFonts w:hint="eastAsia" w:ascii="宋体" w:hAnsi="Cambria" w:cs="宋体"/>
          <w:kern w:val="0"/>
          <w:sz w:val="24"/>
          <w:lang w:val="zh-CN"/>
        </w:rPr>
      </w:pPr>
    </w:p>
    <w:p w14:paraId="5F5FFEE6">
      <w:pPr>
        <w:autoSpaceDE w:val="0"/>
        <w:autoSpaceDN w:val="0"/>
        <w:adjustRightInd w:val="0"/>
        <w:spacing w:line="400" w:lineRule="exact"/>
        <w:rPr>
          <w:rFonts w:hint="eastAsia" w:ascii="宋体" w:hAnsi="Cambria" w:cs="宋体"/>
          <w:kern w:val="0"/>
          <w:sz w:val="24"/>
          <w:lang w:val="zh-CN"/>
        </w:rPr>
      </w:pPr>
    </w:p>
    <w:p w14:paraId="316620B7">
      <w:pPr>
        <w:autoSpaceDE w:val="0"/>
        <w:autoSpaceDN w:val="0"/>
        <w:adjustRightInd w:val="0"/>
        <w:spacing w:line="400" w:lineRule="exact"/>
        <w:rPr>
          <w:rFonts w:hint="eastAsia" w:ascii="宋体"/>
          <w:b/>
          <w:sz w:val="28"/>
          <w:szCs w:val="28"/>
        </w:rPr>
      </w:pPr>
      <w:bookmarkStart w:id="93" w:name="_Toc376936774"/>
      <w:bookmarkStart w:id="94" w:name="_Toc325726043"/>
      <w:bookmarkStart w:id="95" w:name="_Toc500493801"/>
    </w:p>
    <w:p w14:paraId="632EA426">
      <w:pPr>
        <w:autoSpaceDE w:val="0"/>
        <w:autoSpaceDN w:val="0"/>
        <w:adjustRightInd w:val="0"/>
        <w:spacing w:line="400" w:lineRule="exact"/>
        <w:rPr>
          <w:rFonts w:hint="eastAsia" w:ascii="宋体"/>
          <w:b/>
          <w:sz w:val="28"/>
          <w:szCs w:val="28"/>
        </w:rPr>
      </w:pPr>
    </w:p>
    <w:p w14:paraId="256A6581">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93"/>
      <w:bookmarkEnd w:id="94"/>
      <w:bookmarkEnd w:id="95"/>
    </w:p>
    <w:p w14:paraId="11EE258D">
      <w:pPr>
        <w:autoSpaceDE w:val="0"/>
        <w:autoSpaceDN w:val="0"/>
        <w:adjustRightInd w:val="0"/>
        <w:spacing w:line="400" w:lineRule="exact"/>
        <w:rPr>
          <w:rFonts w:hint="eastAsia" w:ascii="宋体"/>
          <w:b/>
          <w:sz w:val="28"/>
          <w:szCs w:val="28"/>
        </w:rPr>
      </w:pPr>
    </w:p>
    <w:p w14:paraId="4593298A">
      <w:pPr>
        <w:ind w:firstLine="723"/>
        <w:jc w:val="center"/>
        <w:rPr>
          <w:rFonts w:hint="eastAsia" w:ascii="宋体" w:hAnsi="宋体"/>
          <w:b/>
          <w:bCs/>
          <w:sz w:val="36"/>
          <w:szCs w:val="36"/>
        </w:rPr>
      </w:pPr>
      <w:r>
        <w:rPr>
          <w:rFonts w:hint="eastAsia" w:ascii="宋体" w:hAnsi="宋体"/>
          <w:b/>
          <w:bCs/>
          <w:sz w:val="36"/>
          <w:szCs w:val="36"/>
        </w:rPr>
        <w:t>法定代表人证明书</w:t>
      </w:r>
    </w:p>
    <w:p w14:paraId="360A010E">
      <w:pPr>
        <w:rPr>
          <w:rFonts w:hint="eastAsia" w:ascii="宋体" w:hAnsi="宋体"/>
          <w:b/>
          <w:bCs/>
        </w:rPr>
      </w:pPr>
    </w:p>
    <w:p w14:paraId="7CA3F499">
      <w:pPr>
        <w:ind w:firstLine="413" w:firstLineChars="147"/>
        <w:rPr>
          <w:rFonts w:hint="eastAsia" w:ascii="宋体" w:hAnsi="宋体"/>
          <w:b/>
          <w:bCs/>
          <w:sz w:val="28"/>
        </w:rPr>
      </w:pPr>
      <w:r>
        <w:rPr>
          <w:rFonts w:hint="eastAsia" w:ascii="宋体" w:hAnsi="宋体"/>
          <w:b/>
          <w:bCs/>
          <w:sz w:val="28"/>
        </w:rPr>
        <w:t>致：西宁市政府采购中心</w:t>
      </w:r>
    </w:p>
    <w:p w14:paraId="59C14A4D">
      <w:pPr>
        <w:autoSpaceDE w:val="0"/>
        <w:autoSpaceDN w:val="0"/>
        <w:adjustRightInd w:val="0"/>
        <w:ind w:firstLine="480"/>
        <w:jc w:val="left"/>
        <w:rPr>
          <w:rFonts w:hint="eastAsia" w:ascii="宋体" w:hAnsi="宋体" w:cs="宋体"/>
          <w:kern w:val="0"/>
          <w:sz w:val="28"/>
        </w:rPr>
      </w:pPr>
    </w:p>
    <w:p w14:paraId="16AEE389">
      <w:pPr>
        <w:autoSpaceDE w:val="0"/>
        <w:autoSpaceDN w:val="0"/>
        <w:adjustRightInd w:val="0"/>
        <w:ind w:firstLine="480"/>
        <w:jc w:val="left"/>
        <w:rPr>
          <w:rFonts w:hint="eastAsia" w:ascii="宋体" w:hAnsi="宋体"/>
          <w:sz w:val="28"/>
        </w:rPr>
      </w:pPr>
      <w:r>
        <w:rPr>
          <w:rFonts w:hint="eastAsia" w:ascii="宋体" w:hAnsi="宋体"/>
          <w:sz w:val="28"/>
          <w:u w:val="single"/>
        </w:rPr>
        <w:t xml:space="preserve">  （法定代表人姓名）  </w:t>
      </w:r>
      <w:r>
        <w:rPr>
          <w:rFonts w:hint="eastAsia" w:ascii="宋体" w:hAnsi="宋体" w:cs="宋体"/>
          <w:kern w:val="0"/>
          <w:sz w:val="28"/>
        </w:rPr>
        <w:t>现任我单位</w:t>
      </w:r>
      <w:r>
        <w:rPr>
          <w:rFonts w:hint="eastAsia" w:ascii="宋体" w:hAnsi="宋体"/>
          <w:sz w:val="28"/>
          <w:u w:val="single"/>
        </w:rPr>
        <w:t xml:space="preserve">              </w:t>
      </w:r>
      <w:r>
        <w:rPr>
          <w:rFonts w:hint="eastAsia" w:ascii="宋体" w:hAnsi="宋体"/>
          <w:sz w:val="28"/>
        </w:rPr>
        <w:t>职务，为法定代表人，特此证明。</w:t>
      </w:r>
    </w:p>
    <w:p w14:paraId="0E8FF0A2">
      <w:pPr>
        <w:autoSpaceDE w:val="0"/>
        <w:autoSpaceDN w:val="0"/>
        <w:adjustRightInd w:val="0"/>
        <w:ind w:firstLine="480"/>
        <w:jc w:val="left"/>
        <w:rPr>
          <w:rFonts w:hint="eastAsia" w:ascii="宋体" w:hAnsi="宋体"/>
          <w:sz w:val="28"/>
        </w:rPr>
      </w:pPr>
    </w:p>
    <w:p w14:paraId="1F92272A">
      <w:pPr>
        <w:autoSpaceDE w:val="0"/>
        <w:autoSpaceDN w:val="0"/>
        <w:adjustRightInd w:val="0"/>
        <w:ind w:firstLine="480"/>
        <w:jc w:val="left"/>
        <w:rPr>
          <w:rFonts w:hint="eastAsia" w:ascii="宋体" w:hAnsi="宋体" w:cs="宋体"/>
          <w:kern w:val="0"/>
          <w:sz w:val="28"/>
        </w:rPr>
      </w:pPr>
      <w:r>
        <w:rPr>
          <w:rFonts w:hint="eastAsia" w:ascii="宋体" w:hAnsi="宋体"/>
          <w:sz w:val="28"/>
        </w:rPr>
        <w:t>法定代表人基本情况：</w:t>
      </w:r>
    </w:p>
    <w:p w14:paraId="3ADD5DA8">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性别：</w:t>
      </w:r>
      <w:r>
        <w:rPr>
          <w:rFonts w:hint="eastAsia" w:ascii="宋体" w:hAnsi="宋体" w:cs="宋体"/>
          <w:kern w:val="0"/>
          <w:sz w:val="28"/>
          <w:u w:val="single"/>
        </w:rPr>
        <w:t xml:space="preserve">      </w:t>
      </w:r>
      <w:r>
        <w:rPr>
          <w:rFonts w:hint="eastAsia" w:ascii="宋体" w:hAnsi="宋体" w:cs="宋体"/>
          <w:kern w:val="0"/>
          <w:sz w:val="28"/>
        </w:rPr>
        <w:t>年龄：</w:t>
      </w:r>
      <w:r>
        <w:rPr>
          <w:rFonts w:hint="eastAsia" w:ascii="宋体" w:hAnsi="宋体" w:cs="宋体"/>
          <w:kern w:val="0"/>
          <w:sz w:val="28"/>
          <w:u w:val="single"/>
        </w:rPr>
        <w:t xml:space="preserve">       </w:t>
      </w:r>
      <w:r>
        <w:rPr>
          <w:rFonts w:hint="eastAsia" w:ascii="宋体" w:hAnsi="宋体" w:cs="宋体"/>
          <w:kern w:val="0"/>
          <w:sz w:val="28"/>
        </w:rPr>
        <w:t>民族：</w:t>
      </w:r>
      <w:r>
        <w:rPr>
          <w:rFonts w:hint="eastAsia" w:ascii="宋体" w:hAnsi="宋体" w:cs="宋体"/>
          <w:kern w:val="0"/>
          <w:sz w:val="28"/>
          <w:u w:val="single"/>
        </w:rPr>
        <w:t xml:space="preserve">     </w:t>
      </w:r>
    </w:p>
    <w:p w14:paraId="1C5A3601">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地址：</w:t>
      </w:r>
      <w:r>
        <w:rPr>
          <w:rFonts w:hint="eastAsia" w:ascii="宋体" w:hAnsi="宋体"/>
          <w:sz w:val="28"/>
          <w:u w:val="single"/>
        </w:rPr>
        <w:t xml:space="preserve">                 </w:t>
      </w:r>
    </w:p>
    <w:p w14:paraId="1098C01E">
      <w:pPr>
        <w:autoSpaceDE w:val="0"/>
        <w:autoSpaceDN w:val="0"/>
        <w:adjustRightInd w:val="0"/>
        <w:ind w:firstLine="480"/>
        <w:jc w:val="left"/>
        <w:rPr>
          <w:rFonts w:hint="eastAsia" w:ascii="宋体" w:hAnsi="宋体"/>
          <w:sz w:val="28"/>
          <w:u w:val="single"/>
        </w:rPr>
      </w:pPr>
      <w:r>
        <w:rPr>
          <w:rFonts w:hint="eastAsia" w:ascii="宋体" w:hAnsi="宋体" w:cs="宋体"/>
          <w:kern w:val="0"/>
          <w:sz w:val="28"/>
        </w:rPr>
        <w:t>身份证号码：</w:t>
      </w:r>
      <w:r>
        <w:rPr>
          <w:rFonts w:hint="eastAsia" w:ascii="宋体" w:hAnsi="宋体"/>
          <w:sz w:val="28"/>
          <w:u w:val="single"/>
        </w:rPr>
        <w:t xml:space="preserve">                 </w:t>
      </w:r>
    </w:p>
    <w:p w14:paraId="0FFBC16E">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附法定代表人第二代身份证双面扫描（或复印）件</w:t>
      </w:r>
    </w:p>
    <w:p w14:paraId="3DF94789">
      <w:pPr>
        <w:autoSpaceDE w:val="0"/>
        <w:autoSpaceDN w:val="0"/>
        <w:adjustRightInd w:val="0"/>
        <w:ind w:firstLine="480"/>
        <w:jc w:val="left"/>
        <w:rPr>
          <w:rFonts w:hint="eastAsia" w:ascii="宋体" w:hAnsi="宋体" w:cs="宋体"/>
          <w:kern w:val="0"/>
          <w:sz w:val="28"/>
        </w:rPr>
      </w:pPr>
    </w:p>
    <w:p w14:paraId="05FD6899">
      <w:pPr>
        <w:autoSpaceDE w:val="0"/>
        <w:autoSpaceDN w:val="0"/>
        <w:adjustRightInd w:val="0"/>
        <w:ind w:firstLine="480"/>
        <w:jc w:val="left"/>
        <w:rPr>
          <w:rFonts w:hint="eastAsia" w:ascii="宋体" w:hAnsi="宋体" w:cs="宋体"/>
          <w:kern w:val="0"/>
        </w:rPr>
      </w:pPr>
    </w:p>
    <w:p w14:paraId="03941C6B">
      <w:pPr>
        <w:autoSpaceDE w:val="0"/>
        <w:autoSpaceDN w:val="0"/>
        <w:adjustRightInd w:val="0"/>
        <w:ind w:firstLine="480"/>
        <w:jc w:val="left"/>
        <w:rPr>
          <w:rFonts w:hint="eastAsia" w:ascii="宋体" w:hAnsi="宋体" w:cs="宋体"/>
          <w:kern w:val="0"/>
        </w:rPr>
      </w:pPr>
    </w:p>
    <w:p w14:paraId="17E08AE9">
      <w:pPr>
        <w:autoSpaceDE w:val="0"/>
        <w:autoSpaceDN w:val="0"/>
        <w:adjustRightInd w:val="0"/>
        <w:ind w:firstLine="480"/>
        <w:jc w:val="left"/>
        <w:rPr>
          <w:rFonts w:hint="eastAsia" w:ascii="宋体" w:hAnsi="宋体" w:cs="宋体"/>
          <w:kern w:val="0"/>
        </w:rPr>
      </w:pPr>
    </w:p>
    <w:p w14:paraId="2EA31527">
      <w:pPr>
        <w:autoSpaceDE w:val="0"/>
        <w:autoSpaceDN w:val="0"/>
        <w:adjustRightInd w:val="0"/>
        <w:ind w:firstLine="480"/>
        <w:jc w:val="left"/>
        <w:rPr>
          <w:rFonts w:hint="eastAsia" w:ascii="宋体" w:hAnsi="宋体" w:cs="宋体"/>
          <w:kern w:val="0"/>
        </w:rPr>
      </w:pPr>
    </w:p>
    <w:p w14:paraId="74CDC572">
      <w:pPr>
        <w:autoSpaceDE w:val="0"/>
        <w:autoSpaceDN w:val="0"/>
        <w:adjustRightInd w:val="0"/>
        <w:ind w:firstLine="480"/>
        <w:jc w:val="left"/>
        <w:rPr>
          <w:rFonts w:hint="eastAsia" w:ascii="宋体" w:hAnsi="宋体" w:cs="宋体"/>
          <w:kern w:val="0"/>
        </w:rPr>
      </w:pPr>
    </w:p>
    <w:p w14:paraId="3DF5A060">
      <w:pPr>
        <w:autoSpaceDE w:val="0"/>
        <w:autoSpaceDN w:val="0"/>
        <w:adjustRightInd w:val="0"/>
        <w:ind w:firstLine="480"/>
        <w:jc w:val="left"/>
        <w:rPr>
          <w:rFonts w:hint="eastAsia" w:ascii="宋体" w:hAnsi="宋体" w:cs="宋体"/>
          <w:kern w:val="0"/>
        </w:rPr>
      </w:pPr>
    </w:p>
    <w:p w14:paraId="549655CC">
      <w:pPr>
        <w:autoSpaceDE w:val="0"/>
        <w:autoSpaceDN w:val="0"/>
        <w:adjustRightInd w:val="0"/>
        <w:ind w:firstLine="480"/>
        <w:jc w:val="left"/>
        <w:rPr>
          <w:rFonts w:hint="eastAsia" w:ascii="宋体" w:hAnsi="宋体" w:cs="宋体"/>
          <w:kern w:val="0"/>
        </w:rPr>
      </w:pPr>
    </w:p>
    <w:p w14:paraId="7E4EEC27">
      <w:pPr>
        <w:autoSpaceDE w:val="0"/>
        <w:autoSpaceDN w:val="0"/>
        <w:adjustRightInd w:val="0"/>
        <w:ind w:firstLine="480"/>
        <w:jc w:val="left"/>
        <w:rPr>
          <w:rFonts w:hint="eastAsia" w:ascii="宋体" w:hAnsi="宋体" w:cs="宋体"/>
          <w:kern w:val="0"/>
        </w:rPr>
      </w:pPr>
    </w:p>
    <w:p w14:paraId="6F5EAAEC">
      <w:pPr>
        <w:autoSpaceDE w:val="0"/>
        <w:autoSpaceDN w:val="0"/>
        <w:adjustRightInd w:val="0"/>
        <w:ind w:firstLine="480"/>
        <w:jc w:val="left"/>
        <w:rPr>
          <w:rFonts w:hint="eastAsia" w:ascii="宋体" w:hAnsi="宋体" w:cs="宋体"/>
          <w:kern w:val="0"/>
        </w:rPr>
      </w:pPr>
    </w:p>
    <w:p w14:paraId="0BD755FC">
      <w:pPr>
        <w:autoSpaceDE w:val="0"/>
        <w:autoSpaceDN w:val="0"/>
        <w:adjustRightInd w:val="0"/>
        <w:ind w:firstLine="480"/>
        <w:jc w:val="left"/>
        <w:rPr>
          <w:rFonts w:hint="eastAsia" w:ascii="宋体" w:hAnsi="宋体" w:cs="宋体"/>
          <w:kern w:val="0"/>
        </w:rPr>
      </w:pPr>
    </w:p>
    <w:p w14:paraId="3FD18904">
      <w:pPr>
        <w:autoSpaceDE w:val="0"/>
        <w:autoSpaceDN w:val="0"/>
        <w:adjustRightInd w:val="0"/>
        <w:ind w:firstLine="480"/>
        <w:jc w:val="left"/>
        <w:rPr>
          <w:rFonts w:hint="eastAsia" w:ascii="宋体" w:hAnsi="宋体" w:cs="宋体"/>
          <w:kern w:val="0"/>
        </w:rPr>
      </w:pPr>
    </w:p>
    <w:p w14:paraId="64F09482">
      <w:pPr>
        <w:autoSpaceDE w:val="0"/>
        <w:autoSpaceDN w:val="0"/>
        <w:adjustRightInd w:val="0"/>
        <w:jc w:val="left"/>
        <w:rPr>
          <w:rFonts w:hint="eastAsia" w:ascii="宋体" w:hAnsi="宋体" w:cs="宋体"/>
          <w:kern w:val="0"/>
        </w:rPr>
      </w:pPr>
    </w:p>
    <w:p w14:paraId="4DF49FCF">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154A8E2E">
      <w:pPr>
        <w:ind w:firstLine="482"/>
        <w:jc w:val="center"/>
        <w:rPr>
          <w:rFonts w:hint="eastAsia" w:ascii="宋体" w:hAnsi="宋体"/>
          <w:b/>
          <w:sz w:val="24"/>
        </w:rPr>
      </w:pPr>
      <w:r>
        <w:rPr>
          <w:rFonts w:hint="eastAsia" w:ascii="宋体" w:hAnsi="宋体"/>
          <w:b/>
          <w:sz w:val="24"/>
        </w:rPr>
        <w:t xml:space="preserve">  </w:t>
      </w:r>
    </w:p>
    <w:p w14:paraId="133EB89C">
      <w:pPr>
        <w:ind w:firstLine="482"/>
        <w:jc w:val="center"/>
        <w:rPr>
          <w:rFonts w:hint="eastAsia" w:ascii="宋体" w:hAnsi="宋体"/>
          <w:b/>
          <w:sz w:val="24"/>
        </w:rPr>
      </w:pPr>
      <w:r>
        <w:rPr>
          <w:rFonts w:hint="eastAsia" w:ascii="宋体" w:hAnsi="宋体"/>
          <w:b/>
          <w:sz w:val="24"/>
        </w:rPr>
        <w:t xml:space="preserve">               年   月   日</w:t>
      </w:r>
    </w:p>
    <w:p w14:paraId="74A459FF">
      <w:pPr>
        <w:rPr>
          <w:rFonts w:hint="eastAsia" w:ascii="宋体"/>
          <w:b/>
          <w:sz w:val="36"/>
          <w:szCs w:val="36"/>
        </w:rPr>
      </w:pPr>
    </w:p>
    <w:p w14:paraId="4206E056">
      <w:pPr>
        <w:pStyle w:val="13"/>
        <w:rPr>
          <w:rFonts w:hint="eastAsia"/>
          <w:lang w:val="en-US" w:eastAsia="zh-CN"/>
        </w:rPr>
      </w:pPr>
    </w:p>
    <w:p w14:paraId="26062D8E">
      <w:pPr>
        <w:rPr>
          <w:rFonts w:hint="eastAsia"/>
        </w:rPr>
      </w:pPr>
    </w:p>
    <w:p w14:paraId="2B679CF0">
      <w:pPr>
        <w:pStyle w:val="13"/>
        <w:rPr>
          <w:rFonts w:hint="eastAsia"/>
          <w:lang w:val="en-US" w:eastAsia="zh-CN"/>
        </w:rPr>
      </w:pPr>
    </w:p>
    <w:p w14:paraId="752F5A94">
      <w:pPr>
        <w:rPr>
          <w:rFonts w:hint="eastAsia"/>
        </w:rPr>
      </w:pPr>
    </w:p>
    <w:p w14:paraId="79D44397">
      <w:pPr>
        <w:pStyle w:val="13"/>
        <w:rPr>
          <w:rFonts w:hint="eastAsia"/>
          <w:lang w:val="en-US" w:eastAsia="zh-CN"/>
        </w:rPr>
      </w:pPr>
    </w:p>
    <w:p w14:paraId="7A5E098C">
      <w:pPr>
        <w:rPr>
          <w:rFonts w:hint="eastAsia"/>
          <w:lang w:val="en-US" w:eastAsia="zh-CN"/>
        </w:rPr>
      </w:pPr>
    </w:p>
    <w:p w14:paraId="602FFC6F">
      <w:pPr>
        <w:pStyle w:val="13"/>
        <w:jc w:val="left"/>
        <w:rPr>
          <w:rFonts w:hint="eastAsia" w:ascii="宋体" w:hAnsi="宋体"/>
          <w:sz w:val="28"/>
          <w:lang w:val="zh-CN"/>
        </w:rPr>
      </w:pPr>
      <w:bookmarkStart w:id="96" w:name="_Toc428180582"/>
      <w:bookmarkStart w:id="97" w:name="_Toc20317"/>
      <w:bookmarkStart w:id="98" w:name="_Toc15276"/>
    </w:p>
    <w:p w14:paraId="23705CB7">
      <w:pPr>
        <w:pStyle w:val="13"/>
        <w:jc w:val="left"/>
        <w:rPr>
          <w:rFonts w:ascii="宋体" w:hAnsi="宋体"/>
          <w:sz w:val="28"/>
          <w:lang w:val="zh-CN"/>
        </w:rPr>
      </w:pPr>
      <w:r>
        <w:rPr>
          <w:rFonts w:hint="eastAsia" w:ascii="宋体" w:hAnsi="宋体"/>
          <w:sz w:val="28"/>
          <w:lang w:val="zh-CN"/>
        </w:rPr>
        <w:t>格式3：法定代表人授权书</w:t>
      </w:r>
      <w:bookmarkEnd w:id="96"/>
      <w:bookmarkEnd w:id="97"/>
      <w:bookmarkEnd w:id="98"/>
    </w:p>
    <w:p w14:paraId="0A6BBB98">
      <w:pPr>
        <w:rPr>
          <w:lang w:val="zh-CN"/>
        </w:rPr>
      </w:pPr>
    </w:p>
    <w:p w14:paraId="6FB8190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641A420">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3E8C82F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A4123B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（投标人名称）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05D0FED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项目的投标、答疑等具体工作，并签署全部有关的文件、资料。</w:t>
      </w:r>
    </w:p>
    <w:p w14:paraId="1CDE4720">
      <w:pPr>
        <w:autoSpaceDE w:val="0"/>
        <w:autoSpaceDN w:val="0"/>
        <w:adjustRightInd w:val="0"/>
        <w:spacing w:line="400" w:lineRule="exact"/>
        <w:rPr>
          <w:rFonts w:ascii="宋体" w:hAnsi="Cambria" w:cs="宋体"/>
          <w:kern w:val="0"/>
          <w:sz w:val="24"/>
          <w:lang w:val="zh-CN"/>
        </w:rPr>
      </w:pPr>
    </w:p>
    <w:p w14:paraId="2D14F46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2D11D88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32AA899C">
      <w:pPr>
        <w:autoSpaceDE w:val="0"/>
        <w:autoSpaceDN w:val="0"/>
        <w:adjustRightInd w:val="0"/>
        <w:spacing w:line="400" w:lineRule="exact"/>
        <w:rPr>
          <w:rFonts w:ascii="宋体" w:hAnsi="Cambria" w:cs="宋体"/>
          <w:kern w:val="0"/>
          <w:sz w:val="24"/>
          <w:lang w:val="zh-CN"/>
        </w:rPr>
      </w:pPr>
    </w:p>
    <w:p w14:paraId="5652793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0EF0B08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6F930BD3">
      <w:pPr>
        <w:autoSpaceDE w:val="0"/>
        <w:autoSpaceDN w:val="0"/>
        <w:adjustRightInd w:val="0"/>
        <w:spacing w:line="400" w:lineRule="exact"/>
        <w:rPr>
          <w:rFonts w:hint="eastAsia" w:ascii="宋体" w:hAnsi="Cambria" w:cs="宋体"/>
          <w:kern w:val="0"/>
          <w:sz w:val="24"/>
          <w:lang w:val="zh-CN"/>
        </w:rPr>
      </w:pPr>
    </w:p>
    <w:p w14:paraId="5CD558D2">
      <w:pPr>
        <w:autoSpaceDE w:val="0"/>
        <w:autoSpaceDN w:val="0"/>
        <w:adjustRightInd w:val="0"/>
        <w:spacing w:line="400" w:lineRule="exact"/>
        <w:rPr>
          <w:rFonts w:hint="eastAsia" w:ascii="宋体" w:hAnsi="Cambria" w:cs="宋体"/>
          <w:kern w:val="0"/>
          <w:sz w:val="24"/>
          <w:lang w:val="zh-CN"/>
        </w:rPr>
      </w:pPr>
    </w:p>
    <w:p w14:paraId="03AAA731">
      <w:pPr>
        <w:autoSpaceDE w:val="0"/>
        <w:autoSpaceDN w:val="0"/>
        <w:adjustRightInd w:val="0"/>
        <w:spacing w:line="400" w:lineRule="exact"/>
        <w:rPr>
          <w:rFonts w:hint="eastAsia" w:ascii="宋体" w:hAnsi="Cambria" w:cs="宋体"/>
          <w:kern w:val="0"/>
          <w:sz w:val="24"/>
          <w:lang w:val="zh-CN"/>
        </w:rPr>
      </w:pPr>
    </w:p>
    <w:p w14:paraId="4762191A">
      <w:pPr>
        <w:autoSpaceDE w:val="0"/>
        <w:autoSpaceDN w:val="0"/>
        <w:adjustRightInd w:val="0"/>
        <w:spacing w:line="400" w:lineRule="exact"/>
        <w:rPr>
          <w:rFonts w:hint="eastAsia" w:ascii="宋体" w:hAnsi="Cambria" w:cs="宋体"/>
          <w:kern w:val="0"/>
          <w:sz w:val="24"/>
          <w:lang w:val="zh-CN"/>
        </w:rPr>
      </w:pPr>
    </w:p>
    <w:p w14:paraId="6BD8300E">
      <w:pPr>
        <w:autoSpaceDE w:val="0"/>
        <w:autoSpaceDN w:val="0"/>
        <w:adjustRightInd w:val="0"/>
        <w:spacing w:line="400" w:lineRule="exact"/>
        <w:rPr>
          <w:rFonts w:hint="eastAsia" w:ascii="宋体" w:hAnsi="Cambria" w:cs="宋体"/>
          <w:kern w:val="0"/>
          <w:sz w:val="24"/>
          <w:lang w:val="zh-CN"/>
        </w:rPr>
      </w:pPr>
    </w:p>
    <w:p w14:paraId="56095168">
      <w:pPr>
        <w:autoSpaceDE w:val="0"/>
        <w:autoSpaceDN w:val="0"/>
        <w:adjustRightInd w:val="0"/>
        <w:spacing w:line="400" w:lineRule="exact"/>
        <w:rPr>
          <w:rFonts w:hint="eastAsia" w:ascii="宋体" w:hAnsi="Cambria" w:cs="宋体"/>
          <w:kern w:val="0"/>
          <w:sz w:val="24"/>
          <w:lang w:val="zh-CN"/>
        </w:rPr>
      </w:pPr>
    </w:p>
    <w:p w14:paraId="2E4A2788">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6B662A1D">
      <w:pPr>
        <w:pStyle w:val="13"/>
        <w:jc w:val="left"/>
        <w:rPr>
          <w:rFonts w:hint="eastAsia" w:ascii="宋体" w:cs="宋体"/>
          <w:b w:val="0"/>
          <w:sz w:val="24"/>
          <w:lang w:val="zh-CN" w:eastAsia="zh-CN"/>
        </w:rPr>
      </w:pPr>
    </w:p>
    <w:p w14:paraId="0BA0D409">
      <w:pPr>
        <w:pStyle w:val="13"/>
        <w:jc w:val="left"/>
        <w:rPr>
          <w:rFonts w:hint="eastAsia"/>
          <w:b w:val="0"/>
          <w:lang w:val="zh-CN" w:eastAsia="zh-CN"/>
        </w:rPr>
      </w:pPr>
      <w:bookmarkStart w:id="99" w:name="_Toc1565"/>
      <w:bookmarkStart w:id="100" w:name="_Toc3720"/>
      <w:bookmarkStart w:id="101" w:name="_Toc7194"/>
      <w:r>
        <w:rPr>
          <w:rFonts w:hint="eastAsia" w:ascii="宋体" w:cs="宋体"/>
          <w:b w:val="0"/>
          <w:sz w:val="24"/>
          <w:lang w:val="zh-CN"/>
        </w:rPr>
        <w:t>职务：</w:t>
      </w:r>
      <w:bookmarkEnd w:id="99"/>
      <w:bookmarkEnd w:id="100"/>
      <w:bookmarkEnd w:id="101"/>
      <w:r>
        <w:rPr>
          <w:rFonts w:ascii="宋体" w:cs="宋体"/>
          <w:b w:val="0"/>
          <w:sz w:val="24"/>
          <w:u w:val="single"/>
          <w:lang w:val="zh-CN"/>
        </w:rPr>
        <w:t xml:space="preserve">             </w:t>
      </w:r>
      <w:r>
        <w:rPr>
          <w:rFonts w:ascii="宋体" w:cs="宋体"/>
          <w:b w:val="0"/>
          <w:sz w:val="24"/>
          <w:lang w:val="zh-CN"/>
        </w:rPr>
        <w:t xml:space="preserve">    </w:t>
      </w:r>
    </w:p>
    <w:p w14:paraId="63E7627B">
      <w:pPr>
        <w:autoSpaceDE w:val="0"/>
        <w:autoSpaceDN w:val="0"/>
        <w:adjustRightInd w:val="0"/>
        <w:spacing w:line="400" w:lineRule="exact"/>
        <w:rPr>
          <w:rFonts w:hint="eastAsia" w:ascii="宋体" w:hAnsi="Cambria" w:cs="宋体"/>
          <w:kern w:val="0"/>
          <w:sz w:val="24"/>
          <w:lang w:val="zh-CN"/>
        </w:rPr>
      </w:pPr>
    </w:p>
    <w:p w14:paraId="49C423DF">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8F46BF">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 xml:space="preserve">    </w:t>
      </w:r>
    </w:p>
    <w:p w14:paraId="3BB7D178">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p>
    <w:p w14:paraId="22A90C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F8C9EB5">
      <w:pPr>
        <w:autoSpaceDE w:val="0"/>
        <w:autoSpaceDN w:val="0"/>
        <w:adjustRightInd w:val="0"/>
        <w:spacing w:line="400" w:lineRule="exact"/>
        <w:rPr>
          <w:rFonts w:ascii="宋体" w:hAnsi="Cambria" w:cs="宋体"/>
          <w:kern w:val="0"/>
          <w:sz w:val="24"/>
          <w:lang w:val="zh-CN"/>
        </w:rPr>
      </w:pPr>
    </w:p>
    <w:p w14:paraId="398D0E14">
      <w:pPr>
        <w:autoSpaceDE w:val="0"/>
        <w:autoSpaceDN w:val="0"/>
        <w:adjustRightInd w:val="0"/>
        <w:spacing w:line="400" w:lineRule="exact"/>
        <w:rPr>
          <w:rFonts w:ascii="宋体" w:hAnsi="Cambria" w:cs="宋体"/>
          <w:kern w:val="0"/>
          <w:sz w:val="24"/>
          <w:lang w:val="zh-CN"/>
        </w:rPr>
      </w:pPr>
    </w:p>
    <w:p w14:paraId="5E6DF387">
      <w:pPr>
        <w:autoSpaceDE w:val="0"/>
        <w:autoSpaceDN w:val="0"/>
        <w:adjustRightInd w:val="0"/>
        <w:spacing w:line="400" w:lineRule="exact"/>
        <w:rPr>
          <w:rFonts w:hint="eastAsia" w:ascii="宋体" w:hAnsi="Cambria" w:cs="宋体"/>
          <w:kern w:val="0"/>
          <w:sz w:val="24"/>
          <w:lang w:val="zh-CN"/>
        </w:rPr>
      </w:pPr>
    </w:p>
    <w:p w14:paraId="61C9C0DF">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CF7816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12F8F7">
      <w:pPr>
        <w:pStyle w:val="13"/>
        <w:jc w:val="left"/>
        <w:rPr>
          <w:rFonts w:hint="eastAsia" w:ascii="宋体" w:hAnsi="宋体"/>
          <w:sz w:val="28"/>
          <w:lang w:val="zh-CN"/>
        </w:rPr>
      </w:pPr>
      <w:bookmarkStart w:id="102" w:name="_Toc428180583"/>
      <w:bookmarkStart w:id="103" w:name="_Toc19581"/>
      <w:bookmarkStart w:id="104" w:name="_Toc428180578"/>
    </w:p>
    <w:p w14:paraId="7E04276C">
      <w:pPr>
        <w:pStyle w:val="13"/>
        <w:jc w:val="left"/>
        <w:rPr>
          <w:rFonts w:ascii="宋体" w:hAnsi="宋体"/>
          <w:sz w:val="28"/>
          <w:lang w:val="zh-CN"/>
        </w:rPr>
      </w:pPr>
      <w:bookmarkStart w:id="105" w:name="_Toc610"/>
      <w:r>
        <w:rPr>
          <w:rFonts w:hint="eastAsia" w:ascii="宋体" w:hAnsi="宋体"/>
          <w:sz w:val="28"/>
          <w:lang w:val="zh-CN"/>
        </w:rPr>
        <w:t>格式4：投标人承诺函</w:t>
      </w:r>
      <w:bookmarkEnd w:id="102"/>
      <w:bookmarkEnd w:id="103"/>
      <w:bookmarkEnd w:id="105"/>
    </w:p>
    <w:p w14:paraId="77015B0A">
      <w:pPr>
        <w:pStyle w:val="13"/>
        <w:jc w:val="left"/>
        <w:outlineLvl w:val="9"/>
        <w:rPr>
          <w:rFonts w:ascii="宋体" w:hAnsi="宋体"/>
          <w:sz w:val="28"/>
          <w:lang w:val="zh-CN"/>
        </w:rPr>
      </w:pPr>
      <w:r>
        <w:rPr>
          <w:rFonts w:ascii="宋体" w:hAnsi="宋体"/>
          <w:sz w:val="28"/>
          <w:lang w:val="zh-CN"/>
        </w:rPr>
        <w:t xml:space="preserve"> </w:t>
      </w:r>
    </w:p>
    <w:p w14:paraId="2CBF520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投标人承诺函</w:t>
      </w:r>
    </w:p>
    <w:p w14:paraId="5BF0497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0B25DDAD">
      <w:pPr>
        <w:autoSpaceDE w:val="0"/>
        <w:autoSpaceDN w:val="0"/>
        <w:adjustRightInd w:val="0"/>
        <w:spacing w:line="400" w:lineRule="exact"/>
        <w:rPr>
          <w:rFonts w:ascii="宋体" w:hAnsi="Cambria" w:cs="宋体"/>
          <w:b/>
          <w:bCs/>
          <w:kern w:val="0"/>
          <w:sz w:val="24"/>
          <w:lang w:val="zh-CN"/>
        </w:rPr>
      </w:pPr>
    </w:p>
    <w:p w14:paraId="6F1D53E8">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采购项目，本签字人愿意参加投标，提供采购一览表中要求的所有产品，并证实提交的所有资料是准确的和真实的。同时，我代表（投标人名称），在此作如下承诺：</w:t>
      </w:r>
    </w:p>
    <w:p w14:paraId="67A6AC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、完全理解和接受招标文件的一切规定和要求；</w:t>
      </w:r>
    </w:p>
    <w:p w14:paraId="662DB65B">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1B6BAA0">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7605EA86">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4、我方承诺，除招标文件中规定的进口产品外，所投的产品均为国产产品，且均符合国家强制性标准。若有不实，愿承担相应的责任。</w:t>
      </w:r>
    </w:p>
    <w:p w14:paraId="6AA0A46E">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5、在整个招标过程中我方若有违规行为，贵方可按招标文件之规定给予处罚，我方完全接受。</w:t>
      </w:r>
    </w:p>
    <w:p w14:paraId="7265DFFB">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080B26B7">
      <w:pPr>
        <w:spacing w:line="400" w:lineRule="exact"/>
        <w:ind w:firstLine="480"/>
        <w:rPr>
          <w:rFonts w:hint="eastAsia" w:ascii="宋体" w:hAnsi="Cambria" w:cs="宋体"/>
          <w:kern w:val="0"/>
          <w:sz w:val="24"/>
          <w:lang w:val="zh-CN"/>
        </w:rPr>
      </w:pPr>
    </w:p>
    <w:p w14:paraId="04129FA9">
      <w:pPr>
        <w:ind w:firstLine="480"/>
        <w:rPr>
          <w:rFonts w:hint="eastAsia" w:ascii="宋体" w:hAnsi="Cambria" w:cs="宋体"/>
          <w:kern w:val="0"/>
          <w:sz w:val="24"/>
          <w:lang w:val="zh-CN"/>
        </w:rPr>
      </w:pPr>
    </w:p>
    <w:p w14:paraId="2AE1F9B0">
      <w:pPr>
        <w:ind w:firstLine="480"/>
        <w:rPr>
          <w:rFonts w:hint="eastAsia" w:ascii="宋体" w:hAnsi="Cambria" w:cs="宋体"/>
          <w:kern w:val="0"/>
          <w:sz w:val="24"/>
          <w:lang w:val="zh-CN"/>
        </w:rPr>
      </w:pPr>
    </w:p>
    <w:p w14:paraId="77F00138">
      <w:pPr>
        <w:ind w:firstLine="480"/>
        <w:rPr>
          <w:rFonts w:hint="eastAsia" w:ascii="宋体" w:hAnsi="宋体"/>
        </w:rPr>
      </w:pPr>
    </w:p>
    <w:p w14:paraId="45D18785">
      <w:pPr>
        <w:ind w:firstLine="480"/>
        <w:rPr>
          <w:rFonts w:hint="eastAsia" w:ascii="宋体" w:hAnsi="宋体"/>
        </w:rPr>
      </w:pPr>
    </w:p>
    <w:p w14:paraId="7B53956B">
      <w:pPr>
        <w:ind w:firstLine="480"/>
        <w:rPr>
          <w:rFonts w:hint="eastAsia" w:ascii="宋体" w:hAnsi="宋体"/>
        </w:rPr>
      </w:pPr>
    </w:p>
    <w:p w14:paraId="0BB94563">
      <w:pPr>
        <w:ind w:firstLine="480"/>
        <w:rPr>
          <w:rFonts w:hint="eastAsia" w:ascii="宋体" w:hAnsi="宋体"/>
        </w:rPr>
      </w:pPr>
    </w:p>
    <w:p w14:paraId="328A5324">
      <w:pPr>
        <w:ind w:firstLine="480"/>
        <w:rPr>
          <w:rFonts w:hint="eastAsia" w:ascii="宋体" w:hAnsi="宋体"/>
        </w:rPr>
      </w:pPr>
    </w:p>
    <w:p w14:paraId="67543436">
      <w:pPr>
        <w:ind w:firstLine="480"/>
        <w:rPr>
          <w:rFonts w:hint="eastAsia" w:ascii="宋体" w:hAnsi="宋体"/>
        </w:rPr>
      </w:pPr>
    </w:p>
    <w:p w14:paraId="5FCFB351">
      <w:pPr>
        <w:ind w:firstLine="480"/>
        <w:rPr>
          <w:rFonts w:hint="eastAsia" w:ascii="宋体" w:hAnsi="宋体"/>
        </w:rPr>
      </w:pPr>
    </w:p>
    <w:p w14:paraId="70CD9AC5">
      <w:pPr>
        <w:ind w:firstLine="480"/>
        <w:rPr>
          <w:rFonts w:hint="eastAsia" w:ascii="宋体" w:hAnsi="宋体"/>
        </w:rPr>
      </w:pPr>
    </w:p>
    <w:p w14:paraId="67CA4785">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461C38CB">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3497A15F">
      <w:pPr>
        <w:ind w:firstLine="482"/>
        <w:jc w:val="center"/>
        <w:rPr>
          <w:rFonts w:hint="eastAsia" w:ascii="宋体" w:hAnsi="宋体"/>
          <w:b/>
          <w:sz w:val="24"/>
        </w:rPr>
      </w:pPr>
      <w:r>
        <w:rPr>
          <w:rFonts w:hint="eastAsia" w:ascii="宋体" w:hAnsi="宋体"/>
          <w:b/>
          <w:sz w:val="24"/>
        </w:rPr>
        <w:t xml:space="preserve">               年   月  日</w:t>
      </w:r>
    </w:p>
    <w:p w14:paraId="1D102C1E">
      <w:pPr>
        <w:ind w:firstLine="482"/>
        <w:jc w:val="center"/>
        <w:rPr>
          <w:rFonts w:hint="eastAsia" w:ascii="宋体" w:hAnsi="宋体"/>
          <w:b/>
          <w:sz w:val="24"/>
        </w:rPr>
      </w:pPr>
    </w:p>
    <w:p w14:paraId="73CAB6AF">
      <w:pPr>
        <w:ind w:firstLine="482"/>
        <w:jc w:val="center"/>
        <w:rPr>
          <w:rFonts w:hint="eastAsia" w:ascii="宋体" w:hAnsi="宋体"/>
          <w:b/>
          <w:sz w:val="24"/>
        </w:rPr>
      </w:pPr>
    </w:p>
    <w:p w14:paraId="3B0F8B79">
      <w:pPr>
        <w:ind w:firstLine="482"/>
        <w:jc w:val="center"/>
        <w:rPr>
          <w:rFonts w:hint="eastAsia" w:ascii="宋体" w:hAnsi="宋体"/>
          <w:b/>
          <w:sz w:val="24"/>
        </w:rPr>
      </w:pPr>
    </w:p>
    <w:p w14:paraId="3CC5ABCA">
      <w:pPr>
        <w:pStyle w:val="13"/>
        <w:jc w:val="left"/>
        <w:rPr>
          <w:rFonts w:hint="eastAsia" w:ascii="宋体" w:hAnsi="宋体"/>
          <w:sz w:val="28"/>
          <w:lang w:val="zh-CN"/>
        </w:rPr>
      </w:pPr>
      <w:bookmarkStart w:id="106" w:name="_Toc428180584"/>
      <w:bookmarkStart w:id="107" w:name="_Toc25055"/>
    </w:p>
    <w:p w14:paraId="042E3E46">
      <w:pPr>
        <w:pStyle w:val="13"/>
        <w:jc w:val="left"/>
        <w:rPr>
          <w:rFonts w:hint="eastAsia" w:ascii="宋体" w:hAnsi="宋体"/>
          <w:sz w:val="28"/>
          <w:lang w:val="zh-CN"/>
        </w:rPr>
      </w:pPr>
    </w:p>
    <w:p w14:paraId="1686629A">
      <w:pPr>
        <w:pStyle w:val="13"/>
        <w:jc w:val="left"/>
        <w:rPr>
          <w:rFonts w:ascii="宋体" w:hAnsi="宋体"/>
          <w:sz w:val="28"/>
          <w:lang w:val="zh-CN"/>
        </w:rPr>
      </w:pPr>
      <w:bookmarkStart w:id="108" w:name="_Toc10680"/>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6"/>
      <w:bookmarkEnd w:id="107"/>
      <w:bookmarkEnd w:id="108"/>
    </w:p>
    <w:p w14:paraId="2B979DF6">
      <w:pPr>
        <w:rPr>
          <w:lang w:val="zh-CN"/>
        </w:rPr>
      </w:pPr>
    </w:p>
    <w:p w14:paraId="13082AF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6FE44BD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65D37C">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282C4FA5">
      <w:pPr>
        <w:autoSpaceDE w:val="0"/>
        <w:autoSpaceDN w:val="0"/>
        <w:adjustRightInd w:val="0"/>
        <w:spacing w:line="400" w:lineRule="exact"/>
        <w:rPr>
          <w:rFonts w:ascii="宋体" w:hAnsi="Cambria" w:cs="宋体"/>
          <w:kern w:val="0"/>
          <w:sz w:val="24"/>
          <w:lang w:val="zh-CN"/>
        </w:rPr>
      </w:pPr>
    </w:p>
    <w:p w14:paraId="215FEDC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为了诚实、客观、有序地参与西宁市政府采购活动，愿就以下内容作出承诺：</w:t>
      </w:r>
    </w:p>
    <w:p w14:paraId="02E63B5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1459743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二、参加集中采购机构组织的政府采购活动时，严格按照招标文件的规定和要求提供所需的相关材料，并对所提供的各类资料的真实性负责，不虚假应标，不虚列业绩。</w:t>
      </w:r>
    </w:p>
    <w:p w14:paraId="794FCCB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4ED1B55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05BC742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5A39A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C3FAA2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4E8BD9A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5F2A8F5">
      <w:pPr>
        <w:autoSpaceDE w:val="0"/>
        <w:autoSpaceDN w:val="0"/>
        <w:adjustRightInd w:val="0"/>
        <w:spacing w:line="400" w:lineRule="exact"/>
        <w:rPr>
          <w:rFonts w:ascii="宋体" w:hAnsi="Cambria" w:cs="宋体"/>
          <w:kern w:val="0"/>
          <w:sz w:val="24"/>
          <w:lang w:val="zh-CN"/>
        </w:rPr>
      </w:pPr>
    </w:p>
    <w:p w14:paraId="3DE02F5B">
      <w:pPr>
        <w:autoSpaceDE w:val="0"/>
        <w:autoSpaceDN w:val="0"/>
        <w:adjustRightInd w:val="0"/>
        <w:spacing w:line="400" w:lineRule="exact"/>
        <w:rPr>
          <w:rFonts w:ascii="宋体" w:hAnsi="Cambria" w:cs="宋体"/>
          <w:kern w:val="0"/>
          <w:sz w:val="24"/>
          <w:lang w:val="zh-CN"/>
        </w:rPr>
      </w:pPr>
    </w:p>
    <w:p w14:paraId="6F53CD0A">
      <w:pPr>
        <w:autoSpaceDE w:val="0"/>
        <w:autoSpaceDN w:val="0"/>
        <w:adjustRightInd w:val="0"/>
        <w:spacing w:line="400" w:lineRule="exact"/>
        <w:rPr>
          <w:rFonts w:ascii="宋体" w:hAnsi="Cambria" w:cs="宋体"/>
          <w:kern w:val="0"/>
          <w:sz w:val="24"/>
          <w:lang w:val="zh-CN"/>
        </w:rPr>
      </w:pPr>
    </w:p>
    <w:p w14:paraId="67ECA775">
      <w:pPr>
        <w:autoSpaceDE w:val="0"/>
        <w:autoSpaceDN w:val="0"/>
        <w:adjustRightInd w:val="0"/>
        <w:spacing w:line="400" w:lineRule="exact"/>
        <w:rPr>
          <w:rFonts w:ascii="宋体" w:hAnsi="Cambria" w:cs="宋体"/>
          <w:kern w:val="0"/>
          <w:sz w:val="24"/>
          <w:lang w:val="zh-CN"/>
        </w:rPr>
      </w:pPr>
    </w:p>
    <w:p w14:paraId="41512119">
      <w:pPr>
        <w:autoSpaceDE w:val="0"/>
        <w:autoSpaceDN w:val="0"/>
        <w:adjustRightInd w:val="0"/>
        <w:spacing w:line="400" w:lineRule="exact"/>
        <w:rPr>
          <w:rFonts w:hint="eastAsia" w:ascii="宋体" w:hAnsi="Cambria" w:cs="宋体"/>
          <w:kern w:val="0"/>
          <w:sz w:val="24"/>
          <w:lang w:val="zh-CN"/>
        </w:rPr>
      </w:pPr>
    </w:p>
    <w:p w14:paraId="16216E52">
      <w:pPr>
        <w:autoSpaceDE w:val="0"/>
        <w:autoSpaceDN w:val="0"/>
        <w:adjustRightInd w:val="0"/>
        <w:spacing w:line="400" w:lineRule="exact"/>
        <w:rPr>
          <w:rFonts w:hint="eastAsia" w:ascii="宋体" w:hAnsi="Cambria" w:cs="宋体"/>
          <w:kern w:val="0"/>
          <w:sz w:val="24"/>
          <w:lang w:val="zh-CN"/>
        </w:rPr>
      </w:pPr>
    </w:p>
    <w:p w14:paraId="34C5C520">
      <w:pPr>
        <w:autoSpaceDE w:val="0"/>
        <w:autoSpaceDN w:val="0"/>
        <w:adjustRightInd w:val="0"/>
        <w:spacing w:line="400" w:lineRule="exact"/>
        <w:rPr>
          <w:rFonts w:ascii="宋体" w:hAnsi="Cambria" w:cs="宋体"/>
          <w:kern w:val="0"/>
          <w:sz w:val="24"/>
          <w:lang w:val="zh-CN"/>
        </w:rPr>
      </w:pPr>
    </w:p>
    <w:p w14:paraId="2DDA6F0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024766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4DD2F177">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B6F2A65">
      <w:pPr>
        <w:ind w:firstLine="482"/>
        <w:jc w:val="center"/>
        <w:rPr>
          <w:rFonts w:hint="eastAsia" w:ascii="宋体" w:hAnsi="宋体"/>
          <w:b/>
          <w:sz w:val="24"/>
        </w:rPr>
      </w:pPr>
    </w:p>
    <w:p w14:paraId="3C72C425">
      <w:pPr>
        <w:ind w:firstLine="482"/>
        <w:jc w:val="center"/>
        <w:rPr>
          <w:rFonts w:hint="eastAsia" w:ascii="宋体" w:hAnsi="宋体"/>
          <w:b/>
          <w:sz w:val="24"/>
        </w:rPr>
      </w:pPr>
    </w:p>
    <w:p w14:paraId="10C46942">
      <w:pPr>
        <w:ind w:firstLine="482"/>
        <w:jc w:val="center"/>
        <w:rPr>
          <w:rFonts w:hint="eastAsia" w:ascii="宋体" w:hAnsi="宋体"/>
          <w:b/>
          <w:sz w:val="24"/>
        </w:rPr>
      </w:pPr>
    </w:p>
    <w:p w14:paraId="4C347D9F">
      <w:pPr>
        <w:ind w:firstLine="482"/>
        <w:jc w:val="center"/>
        <w:rPr>
          <w:rFonts w:hint="eastAsia" w:ascii="宋体" w:hAnsi="宋体"/>
          <w:b/>
          <w:sz w:val="24"/>
        </w:rPr>
      </w:pPr>
    </w:p>
    <w:p w14:paraId="2727A90B">
      <w:pPr>
        <w:pStyle w:val="13"/>
        <w:jc w:val="left"/>
        <w:rPr>
          <w:rFonts w:hint="eastAsia" w:ascii="宋体"/>
          <w:b w:val="0"/>
          <w:sz w:val="28"/>
          <w:szCs w:val="28"/>
        </w:rPr>
      </w:pPr>
      <w:bookmarkStart w:id="109" w:name="_Toc500493805"/>
      <w:bookmarkStart w:id="110" w:name="_Toc9784"/>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：投标人资格证明文件</w:t>
      </w:r>
      <w:bookmarkEnd w:id="109"/>
      <w:bookmarkEnd w:id="110"/>
    </w:p>
    <w:p w14:paraId="6434950D">
      <w:pPr>
        <w:ind w:firstLine="3090" w:firstLineChars="855"/>
        <w:rPr>
          <w:rFonts w:hint="eastAsia" w:ascii="宋体" w:hAnsi="宋体"/>
          <w:b/>
          <w:sz w:val="36"/>
          <w:szCs w:val="36"/>
        </w:rPr>
      </w:pPr>
      <w:r>
        <w:rPr>
          <w:rFonts w:hint="eastAsia" w:ascii="宋体" w:hAnsi="宋体"/>
          <w:b/>
          <w:sz w:val="36"/>
          <w:szCs w:val="36"/>
        </w:rPr>
        <w:t>投标人资格证明文件</w:t>
      </w:r>
    </w:p>
    <w:p w14:paraId="1814155C">
      <w:pPr>
        <w:ind w:firstLine="480"/>
        <w:rPr>
          <w:rFonts w:hint="eastAsia" w:ascii="宋体" w:hAnsi="宋体"/>
        </w:rPr>
      </w:pPr>
    </w:p>
    <w:p w14:paraId="4633CAE5">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551413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28115AFD">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4BBCE4BC">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12A9C7D">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EEA1873">
      <w:pPr>
        <w:spacing w:line="400" w:lineRule="exact"/>
        <w:ind w:firstLine="482"/>
        <w:rPr>
          <w:rFonts w:hint="eastAsia" w:ascii="宋体" w:hAnsi="宋体"/>
          <w:sz w:val="24"/>
        </w:rPr>
      </w:pPr>
      <w:r>
        <w:rPr>
          <w:rFonts w:hint="eastAsia" w:ascii="宋体" w:hAnsi="宋体"/>
          <w:sz w:val="24"/>
        </w:rPr>
        <w:t>2、根据采购项目内容，提供投标人的相关资质证书、许可证等。</w:t>
      </w:r>
    </w:p>
    <w:p w14:paraId="19294BAA">
      <w:pPr>
        <w:pStyle w:val="13"/>
        <w:jc w:val="left"/>
        <w:outlineLvl w:val="9"/>
        <w:rPr>
          <w:rFonts w:hint="eastAsia" w:ascii="宋体" w:hAnsi="宋体"/>
          <w:sz w:val="28"/>
          <w:lang w:val="zh-CN"/>
        </w:rPr>
      </w:pPr>
    </w:p>
    <w:p w14:paraId="2AB3D59F">
      <w:pPr>
        <w:rPr>
          <w:rFonts w:hint="eastAsia"/>
          <w:lang w:val="zh-CN"/>
        </w:rPr>
      </w:pPr>
    </w:p>
    <w:p w14:paraId="018DFAD7">
      <w:pPr>
        <w:rPr>
          <w:rFonts w:hint="eastAsia"/>
          <w:lang w:val="zh-CN"/>
        </w:rPr>
      </w:pPr>
    </w:p>
    <w:p w14:paraId="794B8B65">
      <w:pPr>
        <w:rPr>
          <w:rFonts w:hint="eastAsia"/>
          <w:lang w:val="zh-CN"/>
        </w:rPr>
      </w:pPr>
    </w:p>
    <w:p w14:paraId="126CE609">
      <w:pPr>
        <w:rPr>
          <w:rFonts w:hint="eastAsia"/>
          <w:lang w:val="zh-CN"/>
        </w:rPr>
      </w:pPr>
    </w:p>
    <w:p w14:paraId="6460D645">
      <w:pPr>
        <w:rPr>
          <w:rFonts w:hint="eastAsia"/>
          <w:lang w:val="zh-CN"/>
        </w:rPr>
      </w:pPr>
    </w:p>
    <w:p w14:paraId="2DFAC453">
      <w:pPr>
        <w:rPr>
          <w:rFonts w:hint="eastAsia"/>
          <w:lang w:val="zh-CN"/>
        </w:rPr>
      </w:pPr>
    </w:p>
    <w:p w14:paraId="733075E7">
      <w:pPr>
        <w:rPr>
          <w:rFonts w:hint="eastAsia"/>
          <w:lang w:val="zh-CN"/>
        </w:rPr>
      </w:pPr>
    </w:p>
    <w:p w14:paraId="2C96E4C0">
      <w:pPr>
        <w:rPr>
          <w:rFonts w:hint="eastAsia"/>
          <w:lang w:val="zh-CN"/>
        </w:rPr>
      </w:pPr>
    </w:p>
    <w:p w14:paraId="7C838EFC">
      <w:pPr>
        <w:rPr>
          <w:rFonts w:hint="eastAsia"/>
          <w:lang w:val="zh-CN"/>
        </w:rPr>
      </w:pPr>
    </w:p>
    <w:p w14:paraId="2476E6BF">
      <w:pPr>
        <w:rPr>
          <w:rFonts w:hint="eastAsia"/>
          <w:lang w:val="zh-CN"/>
        </w:rPr>
      </w:pPr>
    </w:p>
    <w:p w14:paraId="7BFBA6E0">
      <w:pPr>
        <w:rPr>
          <w:rFonts w:hint="eastAsia"/>
          <w:lang w:val="zh-CN"/>
        </w:rPr>
      </w:pPr>
    </w:p>
    <w:p w14:paraId="77AEB181">
      <w:pPr>
        <w:rPr>
          <w:rFonts w:hint="eastAsia"/>
          <w:lang w:val="zh-CN"/>
        </w:rPr>
      </w:pPr>
    </w:p>
    <w:p w14:paraId="44BF22A8">
      <w:pPr>
        <w:rPr>
          <w:rFonts w:hint="eastAsia"/>
          <w:lang w:val="zh-CN"/>
        </w:rPr>
      </w:pPr>
    </w:p>
    <w:p w14:paraId="77A9CB15">
      <w:pPr>
        <w:rPr>
          <w:rFonts w:hint="eastAsia"/>
          <w:lang w:val="zh-CN"/>
        </w:rPr>
      </w:pPr>
    </w:p>
    <w:p w14:paraId="75F61E65">
      <w:pPr>
        <w:rPr>
          <w:rFonts w:hint="eastAsia"/>
          <w:lang w:val="zh-CN"/>
        </w:rPr>
      </w:pPr>
    </w:p>
    <w:p w14:paraId="25B8E98F">
      <w:pPr>
        <w:rPr>
          <w:rFonts w:hint="eastAsia"/>
          <w:lang w:val="zh-CN"/>
        </w:rPr>
      </w:pPr>
    </w:p>
    <w:p w14:paraId="56D2B2D2">
      <w:pPr>
        <w:rPr>
          <w:rFonts w:hint="eastAsia"/>
          <w:lang w:val="zh-CN"/>
        </w:rPr>
      </w:pPr>
    </w:p>
    <w:p w14:paraId="58CFC8AC">
      <w:pPr>
        <w:rPr>
          <w:rFonts w:hint="eastAsia"/>
          <w:lang w:val="zh-CN"/>
        </w:rPr>
      </w:pPr>
    </w:p>
    <w:p w14:paraId="5456FC36">
      <w:pPr>
        <w:pStyle w:val="13"/>
        <w:rPr>
          <w:rFonts w:hint="eastAsia"/>
          <w:lang w:val="zh-CN" w:eastAsia="zh-CN"/>
        </w:rPr>
      </w:pPr>
    </w:p>
    <w:p w14:paraId="619EBB44">
      <w:pPr>
        <w:rPr>
          <w:rFonts w:hint="eastAsia"/>
          <w:lang w:val="zh-CN"/>
        </w:rPr>
      </w:pPr>
    </w:p>
    <w:p w14:paraId="01D6B90C">
      <w:pPr>
        <w:pStyle w:val="13"/>
        <w:rPr>
          <w:rFonts w:hint="eastAsia"/>
          <w:lang w:val="zh-CN" w:eastAsia="zh-CN"/>
        </w:rPr>
      </w:pPr>
    </w:p>
    <w:p w14:paraId="548AA338">
      <w:pPr>
        <w:rPr>
          <w:rFonts w:hint="eastAsia"/>
          <w:lang w:val="zh-CN"/>
        </w:rPr>
      </w:pPr>
    </w:p>
    <w:p w14:paraId="7B94B21F">
      <w:pPr>
        <w:pStyle w:val="13"/>
        <w:rPr>
          <w:rFonts w:hint="eastAsia"/>
          <w:lang w:val="zh-CN" w:eastAsia="zh-CN"/>
        </w:rPr>
      </w:pPr>
    </w:p>
    <w:p w14:paraId="717BA6D3">
      <w:pPr>
        <w:pStyle w:val="13"/>
        <w:jc w:val="left"/>
        <w:rPr>
          <w:rFonts w:hint="eastAsia" w:ascii="宋体" w:hAnsi="宋体"/>
          <w:sz w:val="28"/>
          <w:lang w:val="zh-CN"/>
        </w:rPr>
      </w:pPr>
      <w:bookmarkStart w:id="111" w:name="_Toc10149"/>
      <w:bookmarkStart w:id="112" w:name="_Toc500493807"/>
      <w:r>
        <w:rPr>
          <w:rFonts w:hint="eastAsia" w:ascii="宋体" w:hAnsi="宋体"/>
          <w:sz w:val="28"/>
          <w:lang w:val="zh-CN"/>
        </w:rPr>
        <w:t>格式7：无重大违法记录声明</w:t>
      </w:r>
      <w:bookmarkEnd w:id="111"/>
      <w:bookmarkEnd w:id="112"/>
    </w:p>
    <w:p w14:paraId="0B8CC950">
      <w:pPr>
        <w:spacing w:line="400" w:lineRule="exact"/>
        <w:ind w:firstLine="2909" w:firstLineChars="805"/>
        <w:rPr>
          <w:rFonts w:hint="eastAsia" w:ascii="宋体" w:hAnsi="宋体"/>
          <w:b/>
          <w:sz w:val="36"/>
          <w:szCs w:val="36"/>
        </w:rPr>
      </w:pPr>
    </w:p>
    <w:p w14:paraId="7F97336C">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1E74733A">
      <w:pPr>
        <w:tabs>
          <w:tab w:val="left" w:pos="168"/>
        </w:tabs>
        <w:adjustRightInd w:val="0"/>
        <w:spacing w:line="400" w:lineRule="exact"/>
        <w:ind w:firstLine="2530" w:firstLineChars="700"/>
        <w:textAlignment w:val="baseline"/>
        <w:rPr>
          <w:rFonts w:hint="eastAsia" w:ascii="宋体"/>
          <w:b/>
          <w:sz w:val="36"/>
          <w:szCs w:val="36"/>
        </w:rPr>
      </w:pPr>
    </w:p>
    <w:p w14:paraId="1C3B7C9D">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val="en-US" w:eastAsia="zh-CN"/>
        </w:rPr>
        <w:t>.</w:t>
      </w:r>
      <w:r>
        <w:rPr>
          <w:rFonts w:hint="eastAsia" w:ascii="宋体" w:hAnsi="宋体"/>
          <w:b/>
          <w:color w:val="000000"/>
          <w:sz w:val="28"/>
          <w:szCs w:val="24"/>
        </w:rPr>
        <w:t>（格式可自定）</w:t>
      </w:r>
    </w:p>
    <w:p w14:paraId="1A8B1C46">
      <w:pPr>
        <w:rPr>
          <w:rFonts w:hint="eastAsia"/>
          <w:lang w:val="zh-CN"/>
        </w:rPr>
      </w:pPr>
    </w:p>
    <w:p w14:paraId="052A683E">
      <w:pPr>
        <w:rPr>
          <w:rFonts w:hint="eastAsia"/>
          <w:lang w:val="zh-CN"/>
        </w:rPr>
      </w:pPr>
    </w:p>
    <w:p w14:paraId="04784183">
      <w:pPr>
        <w:rPr>
          <w:rFonts w:hint="eastAsia"/>
          <w:lang w:val="zh-CN"/>
        </w:rPr>
      </w:pPr>
    </w:p>
    <w:p w14:paraId="2EC671BF">
      <w:pPr>
        <w:rPr>
          <w:rFonts w:hint="eastAsia"/>
          <w:lang w:val="zh-CN"/>
        </w:rPr>
      </w:pPr>
    </w:p>
    <w:p w14:paraId="7C924905">
      <w:pPr>
        <w:rPr>
          <w:rFonts w:hint="eastAsia"/>
          <w:lang w:val="zh-CN"/>
        </w:rPr>
      </w:pPr>
    </w:p>
    <w:p w14:paraId="621DF0BB">
      <w:pPr>
        <w:rPr>
          <w:rFonts w:hint="eastAsia"/>
          <w:lang w:val="zh-CN"/>
        </w:rPr>
      </w:pPr>
    </w:p>
    <w:p w14:paraId="1D94FDEA">
      <w:pPr>
        <w:rPr>
          <w:rFonts w:hint="eastAsia"/>
          <w:lang w:val="zh-CN"/>
        </w:rPr>
      </w:pPr>
    </w:p>
    <w:p w14:paraId="2DC0436B">
      <w:pPr>
        <w:rPr>
          <w:rFonts w:hint="eastAsia"/>
          <w:lang w:val="zh-CN"/>
        </w:rPr>
      </w:pPr>
    </w:p>
    <w:p w14:paraId="191D8C46">
      <w:pPr>
        <w:rPr>
          <w:rFonts w:hint="eastAsia"/>
          <w:lang w:val="zh-CN"/>
        </w:rPr>
      </w:pPr>
    </w:p>
    <w:p w14:paraId="72AC67ED">
      <w:pPr>
        <w:rPr>
          <w:rFonts w:hint="eastAsia"/>
          <w:lang w:val="zh-CN"/>
        </w:rPr>
      </w:pPr>
    </w:p>
    <w:p w14:paraId="07858E5F">
      <w:pPr>
        <w:rPr>
          <w:rFonts w:hint="eastAsia"/>
          <w:lang w:val="zh-CN"/>
        </w:rPr>
      </w:pPr>
    </w:p>
    <w:p w14:paraId="78C1A3EB">
      <w:pPr>
        <w:rPr>
          <w:rFonts w:hint="eastAsia"/>
          <w:lang w:val="zh-CN"/>
        </w:rPr>
      </w:pPr>
    </w:p>
    <w:p w14:paraId="68BC5F80">
      <w:pPr>
        <w:rPr>
          <w:rFonts w:hint="eastAsia"/>
          <w:lang w:val="zh-CN"/>
        </w:rPr>
      </w:pPr>
    </w:p>
    <w:p w14:paraId="60F793AA">
      <w:pPr>
        <w:rPr>
          <w:rFonts w:hint="eastAsia"/>
          <w:lang w:val="zh-CN"/>
        </w:rPr>
      </w:pPr>
    </w:p>
    <w:p w14:paraId="4BA772D3">
      <w:pPr>
        <w:rPr>
          <w:rFonts w:hint="eastAsia"/>
          <w:lang w:val="zh-CN"/>
        </w:rPr>
      </w:pPr>
    </w:p>
    <w:p w14:paraId="64171CDB">
      <w:pPr>
        <w:rPr>
          <w:rFonts w:hint="eastAsia"/>
          <w:lang w:val="zh-CN"/>
        </w:rPr>
      </w:pPr>
    </w:p>
    <w:p w14:paraId="759E96B2">
      <w:pPr>
        <w:rPr>
          <w:rFonts w:hint="eastAsia"/>
          <w:lang w:val="zh-CN"/>
        </w:rPr>
      </w:pPr>
    </w:p>
    <w:p w14:paraId="27830F72">
      <w:pPr>
        <w:rPr>
          <w:rFonts w:hint="eastAsia"/>
          <w:lang w:val="zh-CN"/>
        </w:rPr>
      </w:pPr>
    </w:p>
    <w:p w14:paraId="42C51F6D">
      <w:pPr>
        <w:rPr>
          <w:rFonts w:hint="eastAsia"/>
          <w:lang w:val="zh-CN"/>
        </w:rPr>
      </w:pPr>
    </w:p>
    <w:p w14:paraId="5F5F6674">
      <w:pPr>
        <w:rPr>
          <w:rFonts w:hint="eastAsia"/>
          <w:lang w:val="zh-CN"/>
        </w:rPr>
      </w:pPr>
    </w:p>
    <w:p w14:paraId="65E4F27C">
      <w:pPr>
        <w:rPr>
          <w:rFonts w:hint="eastAsia"/>
          <w:lang w:val="zh-CN"/>
        </w:rPr>
      </w:pPr>
    </w:p>
    <w:p w14:paraId="1D24841A">
      <w:pPr>
        <w:rPr>
          <w:rFonts w:hint="eastAsia"/>
          <w:lang w:val="zh-CN"/>
        </w:rPr>
      </w:pPr>
    </w:p>
    <w:p w14:paraId="1C52D88D">
      <w:pPr>
        <w:rPr>
          <w:rFonts w:hint="eastAsia"/>
          <w:lang w:val="zh-CN"/>
        </w:rPr>
      </w:pPr>
    </w:p>
    <w:p w14:paraId="2CFD5054">
      <w:pPr>
        <w:rPr>
          <w:rFonts w:hint="eastAsia"/>
          <w:lang w:val="zh-CN"/>
        </w:rPr>
      </w:pPr>
    </w:p>
    <w:p w14:paraId="78B7C487">
      <w:pPr>
        <w:rPr>
          <w:rFonts w:hint="eastAsia"/>
          <w:lang w:val="zh-CN"/>
        </w:rPr>
      </w:pPr>
    </w:p>
    <w:p w14:paraId="407CE5D3">
      <w:pPr>
        <w:rPr>
          <w:rFonts w:hint="eastAsia"/>
          <w:lang w:val="zh-CN"/>
        </w:rPr>
      </w:pPr>
    </w:p>
    <w:p w14:paraId="21C47BDB">
      <w:pPr>
        <w:rPr>
          <w:rFonts w:hint="eastAsia"/>
          <w:lang w:val="zh-CN"/>
        </w:rPr>
      </w:pPr>
    </w:p>
    <w:p w14:paraId="7A15E611">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89C8C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860DFAE">
      <w:pPr>
        <w:autoSpaceDE w:val="0"/>
        <w:autoSpaceDN w:val="0"/>
        <w:adjustRightInd w:val="0"/>
        <w:spacing w:line="400" w:lineRule="exact"/>
        <w:ind w:firstLine="4453" w:firstLineChars="1848"/>
        <w:rPr>
          <w:rFonts w:ascii="宋体" w:hAnsi="Cambria" w:cs="宋体"/>
          <w:b/>
          <w:bCs/>
          <w:kern w:val="0"/>
          <w:sz w:val="24"/>
          <w:lang w:val="zh-CN"/>
        </w:rPr>
      </w:pPr>
    </w:p>
    <w:p w14:paraId="37550C7C">
      <w:pPr>
        <w:pStyle w:val="13"/>
        <w:jc w:val="left"/>
        <w:rPr>
          <w:rFonts w:hint="eastAsia" w:ascii="宋体" w:hAnsi="宋体"/>
          <w:sz w:val="28"/>
          <w:lang w:val="zh-CN" w:eastAsia="zh-CN"/>
        </w:rPr>
      </w:pPr>
      <w:bookmarkStart w:id="113" w:name="_Toc432230210"/>
    </w:p>
    <w:p w14:paraId="7F7E73C7">
      <w:pPr>
        <w:pStyle w:val="13"/>
        <w:jc w:val="left"/>
        <w:rPr>
          <w:rFonts w:hint="eastAsia" w:ascii="宋体" w:hAnsi="宋体"/>
          <w:sz w:val="28"/>
          <w:lang w:val="zh-CN" w:eastAsia="zh-CN"/>
        </w:rPr>
      </w:pPr>
    </w:p>
    <w:p w14:paraId="30CF2408">
      <w:pPr>
        <w:rPr>
          <w:rFonts w:hint="eastAsia"/>
          <w:lang w:val="zh-CN"/>
        </w:rPr>
      </w:pPr>
    </w:p>
    <w:p w14:paraId="022AE88E">
      <w:pPr>
        <w:pStyle w:val="13"/>
        <w:rPr>
          <w:rFonts w:hint="eastAsia"/>
          <w:lang w:val="zh-CN" w:eastAsia="zh-CN"/>
        </w:rPr>
      </w:pPr>
    </w:p>
    <w:p w14:paraId="2415B7B5">
      <w:pPr>
        <w:rPr>
          <w:rFonts w:hint="eastAsia"/>
          <w:lang w:val="zh-CN"/>
        </w:rPr>
      </w:pPr>
    </w:p>
    <w:p w14:paraId="28E19E04">
      <w:pPr>
        <w:pStyle w:val="13"/>
        <w:rPr>
          <w:rFonts w:hint="eastAsia"/>
          <w:lang w:val="zh-CN" w:eastAsia="zh-CN"/>
        </w:rPr>
      </w:pPr>
    </w:p>
    <w:p w14:paraId="3DD1C351">
      <w:pPr>
        <w:pStyle w:val="13"/>
        <w:jc w:val="left"/>
        <w:rPr>
          <w:rFonts w:hint="eastAsia" w:ascii="宋体" w:hAnsi="宋体"/>
          <w:sz w:val="28"/>
          <w:lang w:val="zh-CN"/>
        </w:rPr>
      </w:pPr>
    </w:p>
    <w:p w14:paraId="21FFAF2C">
      <w:pPr>
        <w:pStyle w:val="13"/>
        <w:jc w:val="left"/>
        <w:rPr>
          <w:rFonts w:hint="eastAsia" w:ascii="宋体" w:hAnsi="宋体"/>
          <w:sz w:val="28"/>
          <w:lang w:val="zh-CN"/>
        </w:rPr>
      </w:pPr>
      <w:bookmarkStart w:id="114" w:name="_Toc4933"/>
    </w:p>
    <w:p w14:paraId="534C3A7E">
      <w:pPr>
        <w:pStyle w:val="13"/>
        <w:jc w:val="left"/>
        <w:rPr>
          <w:rFonts w:hint="eastAsia" w:ascii="宋体" w:hAnsi="宋体"/>
          <w:sz w:val="28"/>
          <w:lang w:val="zh-CN"/>
        </w:rPr>
      </w:pPr>
      <w:r>
        <w:rPr>
          <w:rFonts w:hint="eastAsia" w:ascii="宋体" w:hAnsi="宋体"/>
          <w:sz w:val="28"/>
          <w:lang w:val="zh-CN"/>
        </w:rPr>
        <w:t>格式8：</w:t>
      </w:r>
      <w:bookmarkEnd w:id="113"/>
      <w:r>
        <w:rPr>
          <w:rFonts w:hint="eastAsia" w:ascii="宋体" w:hAnsi="宋体"/>
          <w:sz w:val="28"/>
          <w:lang w:val="zh-CN"/>
        </w:rPr>
        <w:t>财务状况、缴纳税收和社会保障资金证明</w:t>
      </w:r>
      <w:bookmarkEnd w:id="114"/>
    </w:p>
    <w:p w14:paraId="3ACF6CB2">
      <w:pPr>
        <w:autoSpaceDE w:val="0"/>
        <w:autoSpaceDN w:val="0"/>
        <w:adjustRightInd w:val="0"/>
        <w:ind w:firstLine="904" w:firstLineChars="250"/>
        <w:jc w:val="center"/>
        <w:rPr>
          <w:rFonts w:hint="eastAsia" w:ascii="宋体" w:hAnsi="宋体"/>
          <w:b/>
          <w:sz w:val="36"/>
          <w:szCs w:val="36"/>
        </w:rPr>
      </w:pPr>
    </w:p>
    <w:p w14:paraId="335D9457">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0FDDBC73">
      <w:pPr>
        <w:autoSpaceDE w:val="0"/>
        <w:autoSpaceDN w:val="0"/>
        <w:adjustRightInd w:val="0"/>
        <w:ind w:firstLine="525" w:firstLineChars="250"/>
        <w:jc w:val="left"/>
        <w:rPr>
          <w:rFonts w:hint="eastAsia" w:ascii="宋体" w:hAnsi="宋体"/>
        </w:rPr>
      </w:pPr>
    </w:p>
    <w:p w14:paraId="4396B05F">
      <w:pPr>
        <w:autoSpaceDE w:val="0"/>
        <w:autoSpaceDN w:val="0"/>
        <w:adjustRightInd w:val="0"/>
        <w:ind w:firstLine="525" w:firstLineChars="250"/>
        <w:jc w:val="left"/>
        <w:rPr>
          <w:rFonts w:hint="eastAsia" w:ascii="宋体" w:hAnsi="宋体"/>
        </w:rPr>
      </w:pPr>
      <w:r>
        <w:rPr>
          <w:rFonts w:hint="eastAsia" w:ascii="宋体" w:hAnsi="宋体"/>
        </w:rPr>
        <w:t>提供以下相关材料。</w:t>
      </w:r>
    </w:p>
    <w:p w14:paraId="31C2F43A">
      <w:pPr>
        <w:ind w:firstLine="420" w:firstLineChars="200"/>
        <w:rPr>
          <w:rFonts w:hint="eastAsia" w:ascii="宋体" w:hAnsi="宋体"/>
        </w:rPr>
      </w:pPr>
      <w:r>
        <w:rPr>
          <w:rFonts w:hint="eastAsia" w:ascii="宋体" w:hAnsi="宋体"/>
        </w:rPr>
        <w:t>1、①投标人是法人公司的需提供2024年度经第三方审计的财务状况报告或提供基本开户银行出具的近3个月的资信证明。②投标人是其他组织或自然人或2024年度新成立不足1年的企业，没有经审计的财务报告，可以提供基本开户银行出具的近3个月的资信证明。</w:t>
      </w:r>
    </w:p>
    <w:p w14:paraId="72DAF0E4">
      <w:pPr>
        <w:ind w:firstLine="420" w:firstLineChars="200"/>
        <w:rPr>
          <w:rFonts w:hint="eastAsia"/>
        </w:rPr>
      </w:pPr>
      <w:r>
        <w:rPr>
          <w:rFonts w:hint="eastAsia" w:ascii="宋体" w:hAnsi="宋体"/>
        </w:rPr>
        <w:t>2、提供近半年内至今任意一个月企业依法缴纳税收和缴纳职工社会保障资金记录的证明材料；依法免税或不需要缴纳社会保障资金的投标人须提供相应文件证明其依法免税或不需要缴纳社会保障资金。</w:t>
      </w:r>
    </w:p>
    <w:p w14:paraId="337C70D3">
      <w:pPr>
        <w:pStyle w:val="13"/>
        <w:jc w:val="left"/>
        <w:outlineLvl w:val="9"/>
        <w:rPr>
          <w:rFonts w:hint="eastAsia" w:ascii="宋体" w:hAnsi="宋体"/>
          <w:sz w:val="28"/>
          <w:lang w:val="zh-CN" w:eastAsia="zh-CN"/>
        </w:rPr>
      </w:pPr>
    </w:p>
    <w:p w14:paraId="28F81751">
      <w:pPr>
        <w:pStyle w:val="13"/>
        <w:jc w:val="left"/>
        <w:outlineLvl w:val="9"/>
        <w:rPr>
          <w:rFonts w:hint="eastAsia" w:ascii="宋体" w:hAnsi="宋体"/>
          <w:sz w:val="28"/>
          <w:lang w:val="zh-CN" w:eastAsia="zh-CN"/>
        </w:rPr>
      </w:pPr>
    </w:p>
    <w:p w14:paraId="612B506C">
      <w:pPr>
        <w:pStyle w:val="13"/>
        <w:jc w:val="left"/>
        <w:outlineLvl w:val="9"/>
        <w:rPr>
          <w:rFonts w:hint="eastAsia" w:ascii="宋体" w:hAnsi="宋体"/>
          <w:sz w:val="28"/>
          <w:lang w:val="zh-CN" w:eastAsia="zh-CN"/>
        </w:rPr>
      </w:pPr>
    </w:p>
    <w:p w14:paraId="64668CF4">
      <w:pPr>
        <w:pStyle w:val="13"/>
        <w:jc w:val="left"/>
        <w:outlineLvl w:val="9"/>
        <w:rPr>
          <w:rFonts w:hint="eastAsia" w:ascii="宋体" w:hAnsi="宋体"/>
          <w:sz w:val="28"/>
          <w:lang w:val="zh-CN" w:eastAsia="zh-CN"/>
        </w:rPr>
      </w:pPr>
    </w:p>
    <w:p w14:paraId="73FC9D52">
      <w:pPr>
        <w:pStyle w:val="13"/>
        <w:jc w:val="left"/>
        <w:outlineLvl w:val="9"/>
        <w:rPr>
          <w:rFonts w:hint="eastAsia" w:ascii="宋体" w:hAnsi="宋体"/>
          <w:sz w:val="28"/>
          <w:lang w:val="zh-CN" w:eastAsia="zh-CN"/>
        </w:rPr>
      </w:pPr>
    </w:p>
    <w:p w14:paraId="19328234">
      <w:pPr>
        <w:pStyle w:val="13"/>
        <w:jc w:val="left"/>
        <w:outlineLvl w:val="9"/>
        <w:rPr>
          <w:rFonts w:hint="eastAsia" w:ascii="宋体" w:hAnsi="宋体"/>
          <w:sz w:val="28"/>
          <w:lang w:val="zh-CN" w:eastAsia="zh-CN"/>
        </w:rPr>
      </w:pPr>
    </w:p>
    <w:p w14:paraId="47449990">
      <w:pPr>
        <w:pStyle w:val="13"/>
        <w:jc w:val="left"/>
        <w:outlineLvl w:val="9"/>
        <w:rPr>
          <w:rFonts w:hint="eastAsia" w:ascii="宋体" w:hAnsi="宋体"/>
          <w:sz w:val="28"/>
          <w:lang w:val="zh-CN" w:eastAsia="zh-CN"/>
        </w:rPr>
      </w:pPr>
    </w:p>
    <w:p w14:paraId="780DB9B3">
      <w:pPr>
        <w:pStyle w:val="13"/>
        <w:jc w:val="left"/>
        <w:outlineLvl w:val="9"/>
        <w:rPr>
          <w:rFonts w:hint="eastAsia" w:ascii="宋体" w:hAnsi="宋体"/>
          <w:sz w:val="28"/>
          <w:lang w:val="zh-CN" w:eastAsia="zh-CN"/>
        </w:rPr>
      </w:pPr>
    </w:p>
    <w:p w14:paraId="45BDBE85">
      <w:pPr>
        <w:pStyle w:val="13"/>
        <w:jc w:val="left"/>
        <w:outlineLvl w:val="9"/>
        <w:rPr>
          <w:rFonts w:hint="eastAsia" w:ascii="宋体" w:hAnsi="宋体"/>
          <w:sz w:val="28"/>
          <w:lang w:val="zh-CN" w:eastAsia="zh-CN"/>
        </w:rPr>
      </w:pPr>
    </w:p>
    <w:p w14:paraId="4D455BAF">
      <w:pPr>
        <w:rPr>
          <w:rFonts w:hint="eastAsia"/>
          <w:lang w:val="zh-CN"/>
        </w:rPr>
      </w:pPr>
    </w:p>
    <w:p w14:paraId="6A2FB822">
      <w:pPr>
        <w:pStyle w:val="8"/>
        <w:rPr>
          <w:rFonts w:hint="eastAsia"/>
          <w:lang w:val="zh-CN" w:eastAsia="zh-CN"/>
        </w:rPr>
      </w:pPr>
    </w:p>
    <w:p w14:paraId="52B47936">
      <w:pPr>
        <w:pStyle w:val="8"/>
        <w:rPr>
          <w:rFonts w:hint="eastAsia"/>
          <w:lang w:val="zh-CN" w:eastAsia="zh-CN"/>
        </w:rPr>
      </w:pPr>
    </w:p>
    <w:p w14:paraId="2EB6ADB1">
      <w:pPr>
        <w:pStyle w:val="8"/>
        <w:rPr>
          <w:rFonts w:hint="eastAsia"/>
          <w:lang w:val="zh-CN" w:eastAsia="zh-CN"/>
        </w:rPr>
      </w:pPr>
    </w:p>
    <w:p w14:paraId="6890FA0C">
      <w:pPr>
        <w:pStyle w:val="8"/>
        <w:rPr>
          <w:rFonts w:hint="eastAsia"/>
          <w:lang w:val="zh-CN" w:eastAsia="zh-CN"/>
        </w:rPr>
      </w:pPr>
    </w:p>
    <w:p w14:paraId="437B9D65">
      <w:pPr>
        <w:pStyle w:val="8"/>
        <w:rPr>
          <w:rFonts w:hint="eastAsia"/>
          <w:lang w:val="zh-CN" w:eastAsia="zh-CN"/>
        </w:rPr>
      </w:pPr>
    </w:p>
    <w:p w14:paraId="72F40A02">
      <w:pPr>
        <w:pStyle w:val="8"/>
        <w:rPr>
          <w:rFonts w:hint="eastAsia"/>
          <w:lang w:val="zh-CN" w:eastAsia="zh-CN"/>
        </w:rPr>
      </w:pPr>
    </w:p>
    <w:p w14:paraId="31710D69">
      <w:pPr>
        <w:pStyle w:val="8"/>
        <w:rPr>
          <w:rFonts w:hint="eastAsia"/>
          <w:lang w:val="zh-CN" w:eastAsia="zh-CN"/>
        </w:rPr>
      </w:pPr>
    </w:p>
    <w:p w14:paraId="04A6F0F4">
      <w:pPr>
        <w:pStyle w:val="8"/>
        <w:rPr>
          <w:rFonts w:hint="eastAsia"/>
          <w:lang w:val="zh-CN" w:eastAsia="zh-CN"/>
        </w:rPr>
      </w:pPr>
    </w:p>
    <w:p w14:paraId="5F7C8602">
      <w:pPr>
        <w:pStyle w:val="8"/>
        <w:rPr>
          <w:rFonts w:hint="eastAsia"/>
          <w:lang w:val="zh-CN" w:eastAsia="zh-CN"/>
        </w:rPr>
      </w:pPr>
    </w:p>
    <w:p w14:paraId="7DE419D7">
      <w:pPr>
        <w:pStyle w:val="8"/>
        <w:rPr>
          <w:rFonts w:hint="eastAsia"/>
          <w:lang w:val="zh-CN" w:eastAsia="zh-CN"/>
        </w:rPr>
      </w:pPr>
    </w:p>
    <w:p w14:paraId="6557B73D">
      <w:pPr>
        <w:pStyle w:val="8"/>
        <w:rPr>
          <w:rFonts w:hint="eastAsia"/>
          <w:lang w:val="zh-CN" w:eastAsia="zh-CN"/>
        </w:rPr>
      </w:pPr>
    </w:p>
    <w:p w14:paraId="0698419C">
      <w:pPr>
        <w:pStyle w:val="8"/>
        <w:rPr>
          <w:rFonts w:hint="eastAsia"/>
          <w:lang w:val="zh-CN" w:eastAsia="zh-CN"/>
        </w:rPr>
      </w:pPr>
    </w:p>
    <w:p w14:paraId="4BEAC94E">
      <w:pPr>
        <w:pStyle w:val="8"/>
        <w:rPr>
          <w:rFonts w:hint="eastAsia"/>
          <w:lang w:val="zh-CN" w:eastAsia="zh-CN"/>
        </w:rPr>
      </w:pPr>
    </w:p>
    <w:p w14:paraId="717A467C">
      <w:pPr>
        <w:pStyle w:val="8"/>
        <w:rPr>
          <w:rFonts w:hint="eastAsia"/>
          <w:lang w:val="zh-CN" w:eastAsia="zh-CN"/>
        </w:rPr>
      </w:pPr>
    </w:p>
    <w:p w14:paraId="3D6E1B2C">
      <w:pPr>
        <w:pStyle w:val="8"/>
        <w:rPr>
          <w:rFonts w:hint="eastAsia"/>
          <w:lang w:val="zh-CN" w:eastAsia="zh-CN"/>
        </w:rPr>
      </w:pPr>
    </w:p>
    <w:p w14:paraId="1ADA1327">
      <w:pPr>
        <w:rPr>
          <w:rFonts w:hint="eastAsia"/>
          <w:lang w:val="zh-CN" w:eastAsia="zh-CN"/>
        </w:rPr>
      </w:pPr>
    </w:p>
    <w:p w14:paraId="0507B3D3">
      <w:pPr>
        <w:pStyle w:val="2"/>
        <w:rPr>
          <w:rFonts w:hint="eastAsia"/>
          <w:lang w:val="zh-CN" w:eastAsia="zh-CN"/>
        </w:rPr>
      </w:pPr>
    </w:p>
    <w:p w14:paraId="5D64F7E0">
      <w:pPr>
        <w:pStyle w:val="8"/>
        <w:rPr>
          <w:rFonts w:hint="eastAsia"/>
          <w:lang w:val="zh-CN" w:eastAsia="zh-CN"/>
        </w:rPr>
      </w:pPr>
    </w:p>
    <w:p w14:paraId="460F2D00">
      <w:pPr>
        <w:pStyle w:val="8"/>
        <w:rPr>
          <w:rFonts w:hint="eastAsia"/>
          <w:lang w:val="zh-CN" w:eastAsia="zh-CN"/>
        </w:rPr>
      </w:pPr>
    </w:p>
    <w:p w14:paraId="169E0E6A">
      <w:pPr>
        <w:pStyle w:val="13"/>
        <w:jc w:val="left"/>
        <w:rPr>
          <w:rFonts w:ascii="宋体" w:hAnsi="宋体" w:cs="Cambria"/>
          <w:sz w:val="28"/>
        </w:rPr>
      </w:pPr>
      <w:bookmarkStart w:id="115" w:name="_Toc7832"/>
      <w:bookmarkStart w:id="116" w:name="_Toc22821"/>
      <w:bookmarkStart w:id="117" w:name="_Toc17052"/>
      <w:bookmarkStart w:id="118" w:name="_Toc16919"/>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5"/>
      <w:bookmarkEnd w:id="116"/>
      <w:bookmarkEnd w:id="117"/>
      <w:bookmarkEnd w:id="118"/>
    </w:p>
    <w:p w14:paraId="742A32FE">
      <w:pPr>
        <w:widowControl/>
        <w:spacing w:line="480" w:lineRule="exact"/>
        <w:ind w:firstLine="630" w:firstLineChars="224"/>
        <w:rPr>
          <w:rFonts w:hint="eastAsia" w:ascii="宋体" w:cs="宋体"/>
          <w:b/>
          <w:bCs/>
          <w:kern w:val="0"/>
          <w:sz w:val="28"/>
          <w:szCs w:val="28"/>
          <w:lang w:val="zh-CN"/>
        </w:rPr>
      </w:pPr>
    </w:p>
    <w:p w14:paraId="6ECE47A1">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1C0FE33A">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F035566">
      <w:pPr>
        <w:autoSpaceDE w:val="0"/>
        <w:autoSpaceDN w:val="0"/>
        <w:adjustRightInd w:val="0"/>
        <w:rPr>
          <w:rFonts w:eastAsia="仿宋" w:cs="Calibri"/>
          <w:kern w:val="0"/>
          <w:sz w:val="28"/>
          <w:szCs w:val="28"/>
        </w:rPr>
      </w:pPr>
      <w:r>
        <w:rPr>
          <w:rFonts w:eastAsia="仿宋" w:cs="Calibri"/>
          <w:kern w:val="0"/>
          <w:sz w:val="28"/>
          <w:szCs w:val="28"/>
        </w:rPr>
        <w:t xml:space="preserve"> </w:t>
      </w:r>
    </w:p>
    <w:p w14:paraId="2E092D69">
      <w:pPr>
        <w:autoSpaceDE w:val="0"/>
        <w:autoSpaceDN w:val="0"/>
        <w:adjustRightInd w:val="0"/>
        <w:rPr>
          <w:rFonts w:eastAsia="仿宋" w:cs="Calibri"/>
          <w:kern w:val="0"/>
          <w:sz w:val="28"/>
          <w:szCs w:val="28"/>
        </w:rPr>
      </w:pPr>
      <w:r>
        <w:rPr>
          <w:rFonts w:eastAsia="仿宋" w:cs="Calibri"/>
          <w:kern w:val="0"/>
          <w:sz w:val="28"/>
          <w:szCs w:val="28"/>
        </w:rPr>
        <w:t xml:space="preserve"> </w:t>
      </w:r>
    </w:p>
    <w:p w14:paraId="7CFCE29E">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1F904DD2">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561F560">
      <w:pPr>
        <w:autoSpaceDE w:val="0"/>
        <w:autoSpaceDN w:val="0"/>
        <w:adjustRightInd w:val="0"/>
        <w:rPr>
          <w:rFonts w:cs="Calibri"/>
          <w:kern w:val="0"/>
          <w:sz w:val="28"/>
          <w:szCs w:val="28"/>
        </w:rPr>
      </w:pPr>
    </w:p>
    <w:p w14:paraId="3FC88599">
      <w:pPr>
        <w:autoSpaceDE w:val="0"/>
        <w:autoSpaceDN w:val="0"/>
        <w:adjustRightInd w:val="0"/>
        <w:rPr>
          <w:rFonts w:cs="Calibri"/>
          <w:kern w:val="0"/>
          <w:sz w:val="28"/>
          <w:szCs w:val="28"/>
        </w:rPr>
      </w:pPr>
    </w:p>
    <w:p w14:paraId="754B805C">
      <w:pPr>
        <w:autoSpaceDE w:val="0"/>
        <w:autoSpaceDN w:val="0"/>
        <w:adjustRightInd w:val="0"/>
        <w:rPr>
          <w:rFonts w:cs="Calibri"/>
          <w:kern w:val="0"/>
          <w:sz w:val="28"/>
          <w:szCs w:val="28"/>
        </w:rPr>
      </w:pPr>
    </w:p>
    <w:p w14:paraId="2A5F2A8E">
      <w:pPr>
        <w:autoSpaceDE w:val="0"/>
        <w:autoSpaceDN w:val="0"/>
        <w:adjustRightInd w:val="0"/>
        <w:rPr>
          <w:rFonts w:cs="Calibri"/>
          <w:kern w:val="0"/>
          <w:sz w:val="28"/>
          <w:szCs w:val="28"/>
        </w:rPr>
      </w:pPr>
    </w:p>
    <w:p w14:paraId="2F83781D">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5861BC0">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7275C77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350E5B2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6C7147E5">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投标单位：</w:t>
      </w:r>
    </w:p>
    <w:p w14:paraId="372F5AF8">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192F3791">
      <w:pPr>
        <w:rPr>
          <w:rFonts w:hint="eastAsia"/>
          <w:lang w:val="zh-CN"/>
        </w:rPr>
      </w:pPr>
    </w:p>
    <w:p w14:paraId="2CBE3C0C">
      <w:pPr>
        <w:pStyle w:val="13"/>
        <w:jc w:val="left"/>
        <w:rPr>
          <w:rFonts w:hint="eastAsia" w:ascii="宋体" w:hAnsi="宋体"/>
          <w:sz w:val="28"/>
          <w:lang w:val="zh-CN"/>
        </w:rPr>
      </w:pPr>
      <w:bookmarkStart w:id="119" w:name="_Toc24643"/>
    </w:p>
    <w:p w14:paraId="592785E5">
      <w:pPr>
        <w:pStyle w:val="13"/>
        <w:jc w:val="left"/>
        <w:rPr>
          <w:rFonts w:hint="eastAsia" w:ascii="宋体" w:hAnsi="宋体"/>
          <w:sz w:val="28"/>
          <w:lang w:val="zh-CN" w:eastAsia="zh-CN"/>
        </w:rPr>
      </w:pPr>
    </w:p>
    <w:p w14:paraId="40253801">
      <w:pPr>
        <w:rPr>
          <w:rFonts w:hint="eastAsia"/>
          <w:lang w:val="zh-CN"/>
        </w:rPr>
      </w:pPr>
    </w:p>
    <w:p w14:paraId="297F4839">
      <w:pPr>
        <w:pStyle w:val="13"/>
        <w:rPr>
          <w:rFonts w:hint="eastAsia"/>
          <w:lang w:val="zh-CN" w:eastAsia="zh-CN"/>
        </w:rPr>
      </w:pPr>
    </w:p>
    <w:p w14:paraId="04F2137C">
      <w:pPr>
        <w:rPr>
          <w:rFonts w:hint="eastAsia"/>
          <w:lang w:val="zh-CN"/>
        </w:rPr>
      </w:pPr>
    </w:p>
    <w:p w14:paraId="3179F92A">
      <w:pPr>
        <w:pStyle w:val="13"/>
        <w:rPr>
          <w:rFonts w:hint="eastAsia"/>
          <w:lang w:val="zh-CN" w:eastAsia="zh-CN"/>
        </w:rPr>
      </w:pPr>
    </w:p>
    <w:p w14:paraId="1F68E86B">
      <w:pPr>
        <w:rPr>
          <w:rFonts w:hint="eastAsia"/>
          <w:lang w:val="zh-CN"/>
        </w:rPr>
      </w:pPr>
    </w:p>
    <w:p w14:paraId="541F6D11">
      <w:pPr>
        <w:pStyle w:val="13"/>
        <w:rPr>
          <w:rFonts w:hint="eastAsia"/>
          <w:lang w:val="zh-CN" w:eastAsia="zh-CN"/>
        </w:rPr>
      </w:pPr>
    </w:p>
    <w:p w14:paraId="6E914BAE">
      <w:pPr>
        <w:rPr>
          <w:rFonts w:hint="eastAsia"/>
          <w:lang w:val="zh-CN"/>
        </w:rPr>
      </w:pPr>
    </w:p>
    <w:p w14:paraId="11D2180A">
      <w:pPr>
        <w:pStyle w:val="13"/>
        <w:jc w:val="left"/>
        <w:rPr>
          <w:rFonts w:ascii="宋体" w:hAnsi="宋体" w:cs="Cambria"/>
          <w:sz w:val="28"/>
          <w:lang w:eastAsia="zh-CN"/>
        </w:rPr>
      </w:pPr>
      <w:bookmarkStart w:id="120" w:name="_Toc22558"/>
      <w:r>
        <w:rPr>
          <w:rFonts w:hint="eastAsia" w:ascii="宋体" w:hAnsi="宋体"/>
          <w:sz w:val="28"/>
          <w:lang w:val="zh-CN"/>
        </w:rPr>
        <w:t>格式9：</w:t>
      </w:r>
      <w:r>
        <w:rPr>
          <w:rFonts w:hint="eastAsia" w:ascii="宋体" w:hAnsi="宋体"/>
          <w:sz w:val="28"/>
          <w:lang w:val="zh-CN" w:eastAsia="zh-CN"/>
        </w:rPr>
        <w:t>磋商最初</w:t>
      </w:r>
      <w:r>
        <w:rPr>
          <w:rFonts w:hint="eastAsia" w:ascii="宋体" w:hAnsi="宋体"/>
          <w:sz w:val="28"/>
          <w:lang w:val="zh-CN"/>
        </w:rPr>
        <w:t>报价表</w:t>
      </w:r>
      <w:bookmarkEnd w:id="104"/>
      <w:bookmarkEnd w:id="119"/>
      <w:r>
        <w:rPr>
          <w:rFonts w:hint="eastAsia" w:ascii="宋体" w:hAnsi="宋体"/>
          <w:sz w:val="28"/>
          <w:lang w:val="zh-CN" w:eastAsia="zh-CN"/>
        </w:rPr>
        <w:t>（第一轮）</w:t>
      </w:r>
      <w:bookmarkEnd w:id="120"/>
    </w:p>
    <w:p w14:paraId="3254842A">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磋商最初报价表 （包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BE98783">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4A74B300">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9A941">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EFD206">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B6D773">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428289">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AAC4D3F">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9D8B4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239D11">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7D0DE6">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320DE">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14BD79B0">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948AF">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7C95ED">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92C95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C8F24">
            <w:pPr>
              <w:autoSpaceDE w:val="0"/>
              <w:autoSpaceDN w:val="0"/>
              <w:adjustRightInd w:val="0"/>
              <w:spacing w:line="320" w:lineRule="exact"/>
              <w:jc w:val="center"/>
              <w:rPr>
                <w:rFonts w:ascii="宋体" w:hAnsi="Cambria" w:cs="宋体"/>
                <w:kern w:val="0"/>
                <w:sz w:val="22"/>
                <w:lang w:val="zh-CN"/>
              </w:rPr>
            </w:pPr>
          </w:p>
        </w:tc>
      </w:tr>
      <w:tr w14:paraId="359B9E1E">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C564F2">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2CEBEA4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5479CBE1">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7DF5A7DE">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4A0EA3C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7023699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88048B">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A6792E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5192B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27CB2F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E9E2B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FFA8D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EA21D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5016F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28C3E0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C5F7CD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4F1A0D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F5DF7A5">
      <w:pPr>
        <w:autoSpaceDE w:val="0"/>
        <w:autoSpaceDN w:val="0"/>
        <w:adjustRightInd w:val="0"/>
        <w:spacing w:line="400" w:lineRule="exact"/>
        <w:jc w:val="left"/>
        <w:rPr>
          <w:rFonts w:ascii="宋体" w:hAnsi="Cambria" w:cs="宋体"/>
          <w:kern w:val="0"/>
          <w:sz w:val="24"/>
          <w:lang w:val="zh-CN"/>
        </w:rPr>
      </w:pPr>
    </w:p>
    <w:p w14:paraId="5B397C4D">
      <w:pPr>
        <w:autoSpaceDE w:val="0"/>
        <w:autoSpaceDN w:val="0"/>
        <w:adjustRightInd w:val="0"/>
        <w:spacing w:line="400" w:lineRule="exact"/>
        <w:jc w:val="left"/>
        <w:rPr>
          <w:rFonts w:ascii="宋体" w:hAnsi="Cambria" w:cs="宋体"/>
          <w:kern w:val="0"/>
          <w:sz w:val="24"/>
          <w:lang w:val="zh-CN"/>
        </w:rPr>
      </w:pPr>
    </w:p>
    <w:p w14:paraId="602D419D">
      <w:pPr>
        <w:autoSpaceDE w:val="0"/>
        <w:autoSpaceDN w:val="0"/>
        <w:adjustRightInd w:val="0"/>
        <w:spacing w:line="400" w:lineRule="exact"/>
        <w:jc w:val="left"/>
        <w:rPr>
          <w:rFonts w:ascii="宋体" w:hAnsi="Cambria" w:cs="宋体"/>
          <w:kern w:val="0"/>
          <w:sz w:val="24"/>
          <w:lang w:val="zh-CN"/>
        </w:rPr>
      </w:pPr>
    </w:p>
    <w:p w14:paraId="74BEA50F">
      <w:pPr>
        <w:autoSpaceDE w:val="0"/>
        <w:autoSpaceDN w:val="0"/>
        <w:adjustRightInd w:val="0"/>
        <w:spacing w:line="400" w:lineRule="exact"/>
        <w:jc w:val="left"/>
        <w:rPr>
          <w:rFonts w:hint="eastAsia" w:ascii="宋体" w:hAnsi="Cambria" w:cs="宋体"/>
          <w:kern w:val="0"/>
          <w:sz w:val="24"/>
          <w:lang w:val="zh-CN"/>
        </w:rPr>
      </w:pPr>
    </w:p>
    <w:p w14:paraId="69AB3055">
      <w:pPr>
        <w:pStyle w:val="13"/>
        <w:rPr>
          <w:rFonts w:hint="eastAsia"/>
          <w:lang w:val="zh-CN" w:eastAsia="zh-CN"/>
        </w:rPr>
      </w:pPr>
    </w:p>
    <w:p w14:paraId="384550FD">
      <w:pPr>
        <w:rPr>
          <w:rFonts w:hint="eastAsia"/>
          <w:lang w:val="zh-CN"/>
        </w:rPr>
      </w:pPr>
    </w:p>
    <w:p w14:paraId="5EB8C96B">
      <w:pPr>
        <w:pStyle w:val="13"/>
        <w:rPr>
          <w:rFonts w:hint="eastAsia"/>
          <w:lang w:val="zh-CN" w:eastAsia="zh-CN"/>
        </w:rPr>
      </w:pPr>
    </w:p>
    <w:p w14:paraId="26417A0D">
      <w:pPr>
        <w:rPr>
          <w:rFonts w:hint="eastAsia"/>
          <w:lang w:val="zh-CN"/>
        </w:rPr>
      </w:pPr>
    </w:p>
    <w:p w14:paraId="30D435B4">
      <w:pPr>
        <w:rPr>
          <w:lang w:val="zh-CN"/>
        </w:rPr>
      </w:pPr>
    </w:p>
    <w:p w14:paraId="45D71440">
      <w:pPr>
        <w:pStyle w:val="13"/>
        <w:jc w:val="left"/>
        <w:rPr>
          <w:rFonts w:ascii="宋体" w:hAnsi="宋体" w:cs="Cambria"/>
          <w:sz w:val="28"/>
        </w:rPr>
      </w:pPr>
      <w:bookmarkStart w:id="121" w:name="_Toc32375"/>
      <w:bookmarkStart w:id="122" w:name="_Toc2698"/>
      <w:bookmarkStart w:id="123" w:name="_Toc428180579"/>
      <w:r>
        <w:rPr>
          <w:rFonts w:hint="eastAsia" w:ascii="宋体" w:hAnsi="宋体"/>
          <w:sz w:val="28"/>
          <w:lang w:val="zh-CN"/>
        </w:rPr>
        <w:t>格式</w:t>
      </w:r>
      <w:r>
        <w:rPr>
          <w:rFonts w:hint="eastAsia" w:ascii="宋体" w:hAnsi="宋体" w:cs="Cambria"/>
          <w:sz w:val="28"/>
        </w:rPr>
        <w:t>10</w:t>
      </w:r>
      <w:r>
        <w:rPr>
          <w:rFonts w:hint="eastAsia" w:ascii="宋体" w:hAnsi="宋体"/>
          <w:sz w:val="28"/>
          <w:lang w:val="zh-CN"/>
        </w:rPr>
        <w:t>：分项报价表</w:t>
      </w:r>
      <w:bookmarkEnd w:id="121"/>
    </w:p>
    <w:p w14:paraId="4281D94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480E9926">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02E57DBB">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649AB777">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5C4D65F8">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1DFC7F06">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6FF75F46">
            <w:pPr>
              <w:autoSpaceDE w:val="0"/>
              <w:autoSpaceDN w:val="0"/>
              <w:adjustRightInd w:val="0"/>
              <w:spacing w:line="400" w:lineRule="exact"/>
              <w:jc w:val="left"/>
              <w:rPr>
                <w:rFonts w:ascii="宋体" w:hAnsi="Cambria" w:cs="宋体"/>
                <w:kern w:val="0"/>
                <w:sz w:val="22"/>
                <w:lang w:val="zh-CN"/>
              </w:rPr>
            </w:pPr>
          </w:p>
        </w:tc>
        <w:tc>
          <w:tcPr>
            <w:tcW w:w="952" w:type="dxa"/>
            <w:tcBorders>
              <w:top w:val="nil"/>
              <w:left w:val="nil"/>
              <w:bottom w:val="nil"/>
              <w:right w:val="nil"/>
            </w:tcBorders>
            <w:shd w:val="clear" w:color="000000" w:fill="FFFFFF"/>
            <w:noWrap w:val="0"/>
            <w:vAlign w:val="center"/>
          </w:tcPr>
          <w:p w14:paraId="51C554EC">
            <w:pPr>
              <w:autoSpaceDE w:val="0"/>
              <w:autoSpaceDN w:val="0"/>
              <w:adjustRightInd w:val="0"/>
              <w:spacing w:line="400" w:lineRule="exact"/>
              <w:jc w:val="left"/>
              <w:rPr>
                <w:rFonts w:ascii="宋体" w:hAnsi="Cambria" w:cs="宋体"/>
                <w:kern w:val="0"/>
                <w:sz w:val="22"/>
                <w:lang w:val="zh-CN"/>
              </w:rPr>
            </w:pPr>
          </w:p>
        </w:tc>
        <w:tc>
          <w:tcPr>
            <w:tcW w:w="1051" w:type="dxa"/>
            <w:tcBorders>
              <w:top w:val="nil"/>
              <w:left w:val="nil"/>
              <w:bottom w:val="nil"/>
              <w:right w:val="nil"/>
            </w:tcBorders>
            <w:shd w:val="clear" w:color="000000" w:fill="FFFFFF"/>
            <w:noWrap w:val="0"/>
            <w:vAlign w:val="center"/>
          </w:tcPr>
          <w:p w14:paraId="4BBDEAB0">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2C9C60D5">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0DCFF624">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0971AA28">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61A364A">
            <w:pPr>
              <w:autoSpaceDE w:val="0"/>
              <w:autoSpaceDN w:val="0"/>
              <w:adjustRightInd w:val="0"/>
              <w:spacing w:line="400" w:lineRule="exact"/>
              <w:jc w:val="left"/>
              <w:rPr>
                <w:rFonts w:ascii="宋体" w:hAnsi="Cambria" w:cs="宋体"/>
                <w:kern w:val="0"/>
                <w:sz w:val="22"/>
                <w:lang w:val="zh-CN"/>
              </w:rPr>
            </w:pP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7A15EDE6">
      <w:pPr>
        <w:numPr>
          <w:ilvl w:val="0"/>
          <w:numId w:val="0"/>
        </w:numPr>
        <w:autoSpaceDE w:val="0"/>
        <w:autoSpaceDN w:val="0"/>
        <w:adjustRightInd w:val="0"/>
        <w:spacing w:line="400" w:lineRule="exact"/>
        <w:ind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7764D028">
      <w:pPr>
        <w:pStyle w:val="20"/>
        <w:numPr>
          <w:ilvl w:val="0"/>
          <w:numId w:val="0"/>
        </w:numPr>
        <w:ind w:leftChars="0"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3、参数中要求“定制”的在“规格或型号”栏中填写“定制”。</w:t>
      </w: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984753">
      <w:pPr>
        <w:pStyle w:val="18"/>
        <w:spacing w:line="300" w:lineRule="exact"/>
        <w:ind w:firstLine="480"/>
        <w:rPr>
          <w:rFonts w:ascii="宋体" w:hAnsi="宋体" w:cs="Cambria"/>
          <w:b/>
          <w:bCs/>
          <w:sz w:val="28"/>
        </w:rPr>
      </w:pPr>
      <w:r>
        <w:rPr>
          <w:sz w:val="24"/>
          <w:lang w:val="zh-CN"/>
        </w:rPr>
        <w:br w:type="page"/>
      </w:r>
      <w:bookmarkStart w:id="124" w:name="_Toc428180580"/>
      <w:bookmarkStart w:id="125" w:name="_Toc7495"/>
      <w:r>
        <w:rPr>
          <w:rFonts w:hint="eastAsia" w:ascii="宋体" w:hAnsi="宋体"/>
          <w:b/>
          <w:bCs/>
          <w:sz w:val="28"/>
          <w:lang w:val="zh-CN"/>
        </w:rPr>
        <w:t>格式</w:t>
      </w:r>
      <w:r>
        <w:rPr>
          <w:rFonts w:hint="eastAsia" w:ascii="宋体" w:hAnsi="宋体" w:cs="Cambria"/>
          <w:b/>
          <w:bCs/>
          <w:sz w:val="28"/>
        </w:rPr>
        <w:t>11</w:t>
      </w:r>
      <w:r>
        <w:rPr>
          <w:rFonts w:hint="eastAsia" w:ascii="宋体" w:hAnsi="宋体"/>
          <w:b/>
          <w:bCs/>
          <w:sz w:val="28"/>
          <w:lang w:val="zh-CN"/>
        </w:rPr>
        <w:t>：技术规格响应表</w:t>
      </w:r>
      <w:bookmarkEnd w:id="124"/>
      <w:bookmarkEnd w:id="125"/>
    </w:p>
    <w:p w14:paraId="53A6C2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542A5508">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14"/>
        <w:tblW w:w="0" w:type="auto"/>
        <w:jc w:val="center"/>
        <w:tblLayout w:type="fixed"/>
        <w:tblCellMar>
          <w:top w:w="0" w:type="dxa"/>
          <w:left w:w="28" w:type="dxa"/>
          <w:bottom w:w="0" w:type="dxa"/>
          <w:right w:w="28" w:type="dxa"/>
        </w:tblCellMar>
      </w:tblPr>
      <w:tblGrid>
        <w:gridCol w:w="598"/>
        <w:gridCol w:w="797"/>
        <w:gridCol w:w="1587"/>
        <w:gridCol w:w="669"/>
        <w:gridCol w:w="668"/>
        <w:gridCol w:w="1101"/>
        <w:gridCol w:w="1617"/>
        <w:gridCol w:w="669"/>
        <w:gridCol w:w="656"/>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722F9D">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规格或型号、产地</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96EB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00DA2F3F">
      <w:pPr>
        <w:spacing w:line="276" w:lineRule="auto"/>
        <w:ind w:firstLine="352" w:firstLineChars="147"/>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1、本表应按照采购分项报价表中“产品名称”及采购一览表中产品序号的指标逐项填写，不得遗漏。</w:t>
      </w:r>
    </w:p>
    <w:p w14:paraId="7873BAC4">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rPr>
        <w:t>2、“投标产品技术参数、指标”必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75D954D3">
      <w:pPr>
        <w:pStyle w:val="20"/>
        <w:ind w:firstLine="480" w:firstLineChars="200"/>
        <w:rPr>
          <w:rFonts w:hint="eastAsia" w:eastAsia="宋体"/>
          <w:lang w:val="en-US" w:eastAsia="zh-CN"/>
        </w:rPr>
      </w:pPr>
      <w:r>
        <w:rPr>
          <w:rFonts w:hint="eastAsia" w:ascii="宋体" w:hAnsi="Cambria" w:cs="宋体"/>
          <w:kern w:val="0"/>
          <w:sz w:val="24"/>
          <w:lang w:val="en-US" w:eastAsia="zh-CN"/>
        </w:rPr>
        <w:t>3、行数不够可自行添加。</w:t>
      </w:r>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F0AD3D9">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C99F044">
      <w:pPr>
        <w:autoSpaceDE w:val="0"/>
        <w:autoSpaceDN w:val="0"/>
        <w:adjustRightInd w:val="0"/>
        <w:spacing w:line="400" w:lineRule="exact"/>
        <w:jc w:val="left"/>
        <w:rPr>
          <w:rFonts w:ascii="Cambria" w:hAnsi="Cambria" w:cs="Cambria"/>
          <w:b/>
          <w:bCs/>
          <w:kern w:val="0"/>
          <w:sz w:val="28"/>
          <w:szCs w:val="28"/>
        </w:rPr>
      </w:pPr>
    </w:p>
    <w:p w14:paraId="15A6C0BC">
      <w:pPr>
        <w:autoSpaceDE w:val="0"/>
        <w:autoSpaceDN w:val="0"/>
        <w:adjustRightInd w:val="0"/>
        <w:spacing w:line="400" w:lineRule="exact"/>
        <w:jc w:val="left"/>
        <w:rPr>
          <w:rFonts w:ascii="Cambria" w:hAnsi="Cambria" w:cs="Cambria"/>
          <w:b/>
          <w:bCs/>
          <w:kern w:val="0"/>
          <w:sz w:val="28"/>
          <w:szCs w:val="28"/>
        </w:rPr>
      </w:pPr>
    </w:p>
    <w:p w14:paraId="06E25E0A">
      <w:pPr>
        <w:pStyle w:val="13"/>
        <w:jc w:val="left"/>
        <w:rPr>
          <w:rFonts w:hint="eastAsia" w:ascii="宋体" w:hAnsi="宋体"/>
          <w:sz w:val="28"/>
          <w:lang w:val="zh-CN"/>
        </w:rPr>
      </w:pPr>
    </w:p>
    <w:p w14:paraId="484B1F31">
      <w:pPr>
        <w:pStyle w:val="13"/>
        <w:jc w:val="left"/>
        <w:rPr>
          <w:rFonts w:ascii="宋体" w:hAnsi="宋体" w:cs="Cambria"/>
          <w:sz w:val="28"/>
          <w:lang w:eastAsia="zh-CN"/>
        </w:rPr>
      </w:pPr>
      <w:bookmarkStart w:id="126" w:name="_Toc8830"/>
      <w:r>
        <w:rPr>
          <w:rFonts w:hint="eastAsia" w:ascii="宋体" w:hAnsi="宋体"/>
          <w:sz w:val="28"/>
          <w:lang w:val="zh-CN"/>
        </w:rPr>
        <w:t>格式</w:t>
      </w:r>
      <w:r>
        <w:rPr>
          <w:rFonts w:hint="eastAsia" w:ascii="宋体" w:hAnsi="宋体"/>
          <w:sz w:val="28"/>
          <w:lang w:val="en-US" w:eastAsia="zh-CN"/>
        </w:rPr>
        <w:t>12-1</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22"/>
      <w:r>
        <w:rPr>
          <w:rFonts w:hint="eastAsia" w:ascii="宋体" w:hAnsi="宋体"/>
          <w:sz w:val="28"/>
          <w:lang w:val="zh-CN" w:eastAsia="zh-CN"/>
        </w:rPr>
        <w:t>（最终轮）</w:t>
      </w:r>
      <w:bookmarkEnd w:id="126"/>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磋商最终报价表（包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 xml:space="preserve">）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7A6221E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20C80060">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18"/>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注：此表不需要编制在投标文件中，最终报价开启后（最终报价线上填报时长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18"/>
        <w:spacing w:line="300" w:lineRule="exact"/>
        <w:ind w:firstLine="480"/>
        <w:rPr>
          <w:rFonts w:hint="eastAsia"/>
          <w:b/>
          <w:bCs/>
          <w:color w:val="FF0000"/>
          <w:lang w:eastAsia="zh-CN"/>
        </w:rPr>
      </w:pP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bookmarkEnd w:id="123"/>
    <w:p w14:paraId="10748C1E">
      <w:pPr>
        <w:pStyle w:val="13"/>
        <w:jc w:val="left"/>
        <w:rPr>
          <w:rFonts w:hint="eastAsia" w:ascii="宋体" w:hAnsi="宋体"/>
          <w:color w:val="0000FF"/>
          <w:sz w:val="28"/>
          <w:lang w:val="zh-CN"/>
        </w:rPr>
      </w:pPr>
      <w:bookmarkStart w:id="127" w:name="_Toc20003"/>
    </w:p>
    <w:p w14:paraId="115EE12D">
      <w:pPr>
        <w:pStyle w:val="13"/>
        <w:jc w:val="left"/>
        <w:rPr>
          <w:rFonts w:hint="eastAsia" w:ascii="宋体" w:hAnsi="宋体"/>
          <w:sz w:val="28"/>
          <w:lang w:val="en-US" w:eastAsia="zh-CN"/>
        </w:rPr>
      </w:pPr>
      <w:r>
        <w:rPr>
          <w:rFonts w:hint="eastAsia" w:ascii="宋体" w:hAnsi="宋体"/>
          <w:color w:val="0000FF"/>
          <w:sz w:val="28"/>
          <w:lang w:val="zh-CN"/>
        </w:rPr>
        <w:t>格式</w:t>
      </w:r>
      <w:r>
        <w:rPr>
          <w:rFonts w:hint="eastAsia" w:ascii="宋体" w:hAnsi="宋体"/>
          <w:color w:val="0000FF"/>
          <w:sz w:val="28"/>
          <w:lang w:val="en-US" w:eastAsia="zh-CN"/>
        </w:rPr>
        <w:t>12-2</w:t>
      </w:r>
      <w:r>
        <w:rPr>
          <w:rFonts w:hint="eastAsia" w:ascii="宋体" w:hAnsi="宋体"/>
          <w:color w:val="0000FF"/>
          <w:sz w:val="28"/>
          <w:lang w:val="zh-CN" w:eastAsia="zh-CN"/>
        </w:rPr>
        <w:t>磋商最终</w:t>
      </w:r>
      <w:r>
        <w:rPr>
          <w:rFonts w:hint="eastAsia" w:ascii="宋体" w:hAnsi="宋体"/>
          <w:color w:val="0000FF"/>
          <w:sz w:val="28"/>
          <w:lang w:val="zh-CN"/>
        </w:rPr>
        <w:t>报价表</w:t>
      </w:r>
      <w:r>
        <w:rPr>
          <w:rFonts w:hint="eastAsia" w:ascii="宋体" w:hAnsi="宋体" w:eastAsia="宋体" w:cs="Times New Roman"/>
          <w:b/>
          <w:bCs/>
          <w:color w:val="0000FF"/>
          <w:sz w:val="28"/>
          <w:lang w:val="zh-CN" w:eastAsia="zh-CN"/>
        </w:rPr>
        <w:t>附件：</w:t>
      </w:r>
      <w:bookmarkEnd w:id="127"/>
      <w:r>
        <w:rPr>
          <w:rFonts w:hint="eastAsia" w:ascii="宋体" w:hAnsi="宋体" w:eastAsia="宋体" w:cs="Times New Roman"/>
          <w:b/>
          <w:bCs/>
          <w:color w:val="0000FF"/>
          <w:sz w:val="28"/>
          <w:lang w:val="en-US" w:eastAsia="zh-CN"/>
        </w:rPr>
        <w:t xml:space="preserve"> </w:t>
      </w:r>
      <w:r>
        <w:rPr>
          <w:rFonts w:hint="eastAsia" w:ascii="宋体" w:hAnsi="宋体"/>
          <w:b/>
          <w:bCs/>
          <w:color w:val="0000FF"/>
          <w:sz w:val="36"/>
          <w:szCs w:val="36"/>
          <w:lang w:val="en-US" w:eastAsia="zh-CN"/>
        </w:rPr>
        <w:t xml:space="preserve"> </w:t>
      </w:r>
      <w:r>
        <w:rPr>
          <w:rFonts w:hint="eastAsia" w:ascii="宋体" w:hAnsi="宋体"/>
          <w:sz w:val="28"/>
          <w:lang w:val="en-US" w:eastAsia="zh-CN"/>
        </w:rPr>
        <w:t xml:space="preserve">                      </w:t>
      </w:r>
    </w:p>
    <w:p w14:paraId="59893A4D">
      <w:pPr>
        <w:autoSpaceDE w:val="0"/>
        <w:autoSpaceDN w:val="0"/>
        <w:adjustRightInd w:val="0"/>
        <w:spacing w:line="400" w:lineRule="exact"/>
        <w:jc w:val="both"/>
        <w:rPr>
          <w:rFonts w:hint="eastAsia" w:ascii="宋体" w:hAnsi="宋体"/>
          <w:sz w:val="28"/>
          <w:lang w:val="en-US" w:eastAsia="zh-CN"/>
        </w:rPr>
      </w:pPr>
    </w:p>
    <w:p w14:paraId="4DD87F17">
      <w:pPr>
        <w:autoSpaceDE w:val="0"/>
        <w:autoSpaceDN w:val="0"/>
        <w:adjustRightInd w:val="0"/>
        <w:spacing w:line="400" w:lineRule="exact"/>
        <w:ind w:firstLine="3975" w:firstLineChars="1100"/>
        <w:jc w:val="both"/>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CA18BE9">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20AA9569">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0B251999">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03D4B4E7">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5EFA2921">
            <w:pPr>
              <w:autoSpaceDE w:val="0"/>
              <w:autoSpaceDN w:val="0"/>
              <w:adjustRightInd w:val="0"/>
              <w:spacing w:line="400" w:lineRule="exact"/>
              <w:jc w:val="left"/>
              <w:rPr>
                <w:rFonts w:ascii="宋体" w:hAnsi="Cambria" w:cs="宋体"/>
                <w:kern w:val="0"/>
                <w:sz w:val="22"/>
                <w:lang w:val="zh-CN"/>
              </w:rPr>
            </w:pPr>
          </w:p>
        </w:tc>
        <w:tc>
          <w:tcPr>
            <w:tcW w:w="832" w:type="dxa"/>
            <w:tcBorders>
              <w:top w:val="nil"/>
              <w:left w:val="nil"/>
              <w:bottom w:val="nil"/>
              <w:right w:val="nil"/>
            </w:tcBorders>
            <w:shd w:val="clear" w:color="000000" w:fill="FFFFFF"/>
            <w:noWrap w:val="0"/>
            <w:vAlign w:val="center"/>
          </w:tcPr>
          <w:p w14:paraId="1826D4BE">
            <w:pPr>
              <w:autoSpaceDE w:val="0"/>
              <w:autoSpaceDN w:val="0"/>
              <w:adjustRightInd w:val="0"/>
              <w:spacing w:line="400" w:lineRule="exact"/>
              <w:jc w:val="left"/>
              <w:rPr>
                <w:rFonts w:ascii="宋体" w:hAnsi="Cambria" w:cs="宋体"/>
                <w:kern w:val="0"/>
                <w:sz w:val="22"/>
                <w:lang w:val="zh-CN"/>
              </w:rPr>
            </w:pPr>
          </w:p>
        </w:tc>
        <w:tc>
          <w:tcPr>
            <w:tcW w:w="1171" w:type="dxa"/>
            <w:tcBorders>
              <w:top w:val="nil"/>
              <w:left w:val="nil"/>
              <w:bottom w:val="nil"/>
              <w:right w:val="nil"/>
            </w:tcBorders>
            <w:shd w:val="clear" w:color="000000" w:fill="FFFFFF"/>
            <w:noWrap w:val="0"/>
            <w:vAlign w:val="center"/>
          </w:tcPr>
          <w:p w14:paraId="5AF75E4B">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42699439">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4D6892BB">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2D59940C">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A7947A8">
            <w:pPr>
              <w:autoSpaceDE w:val="0"/>
              <w:autoSpaceDN w:val="0"/>
              <w:adjustRightInd w:val="0"/>
              <w:spacing w:line="400" w:lineRule="exact"/>
              <w:jc w:val="left"/>
              <w:rPr>
                <w:rFonts w:ascii="宋体" w:hAnsi="Cambria" w:cs="宋体"/>
                <w:kern w:val="0"/>
                <w:sz w:val="22"/>
                <w:lang w:val="zh-CN"/>
              </w:rPr>
            </w:pP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0"/>
        <w:numPr>
          <w:ilvl w:val="0"/>
          <w:numId w:val="4"/>
        </w:numPr>
        <w:ind w:left="0" w:leftChars="0" w:firstLine="0" w:firstLineChars="0"/>
        <w:rPr>
          <w:rFonts w:hint="eastAsia" w:ascii="宋体" w:hAnsi="Cambria" w:cs="宋体"/>
          <w:kern w:val="0"/>
          <w:sz w:val="24"/>
          <w:lang w:val="en-US" w:eastAsia="zh-CN"/>
        </w:rPr>
      </w:pPr>
      <w:r>
        <w:rPr>
          <w:rFonts w:hint="eastAsia" w:ascii="宋体" w:hAnsi="Cambria" w:cs="宋体"/>
          <w:kern w:val="0"/>
          <w:sz w:val="24"/>
          <w:lang w:val="en-US" w:eastAsia="zh-CN"/>
        </w:rPr>
        <w:t>行数不够可自行添加。</w:t>
      </w:r>
    </w:p>
    <w:p w14:paraId="2C492618">
      <w:pPr>
        <w:pStyle w:val="20"/>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3"/>
        <w:jc w:val="left"/>
        <w:rPr>
          <w:rFonts w:hint="eastAsia" w:ascii="宋体" w:hAnsi="宋体"/>
          <w:color w:val="0000FF"/>
          <w:sz w:val="28"/>
          <w:lang w:val="zh-CN"/>
        </w:rPr>
      </w:pPr>
      <w:bookmarkStart w:id="128" w:name="_Toc1913"/>
      <w:bookmarkStart w:id="129" w:name="_Toc11579"/>
      <w:bookmarkStart w:id="130" w:name="_Toc28514"/>
      <w:bookmarkStart w:id="131" w:name="_Toc29240"/>
      <w:bookmarkStart w:id="132" w:name="_Toc428180585"/>
      <w:r>
        <w:rPr>
          <w:rFonts w:hint="eastAsia" w:ascii="宋体" w:hAnsi="宋体"/>
          <w:color w:val="0000FF"/>
          <w:sz w:val="28"/>
          <w:lang w:val="zh-CN"/>
        </w:rPr>
        <w:t>说明：此分项报价表作为最终报价的附件，最终报价开启后</w:t>
      </w:r>
      <w:r>
        <w:rPr>
          <w:rFonts w:hint="eastAsia" w:ascii="宋体" w:hAnsi="宋体" w:eastAsia="宋体" w:cs="Times New Roman"/>
          <w:b/>
          <w:bCs/>
          <w:color w:val="0000FF"/>
          <w:sz w:val="28"/>
          <w:lang w:val="zh-CN" w:eastAsia="zh-CN"/>
        </w:rPr>
        <w:t>（最终报价线上填报时长</w:t>
      </w:r>
      <w:r>
        <w:rPr>
          <w:rFonts w:hint="eastAsia" w:ascii="宋体" w:hAnsi="宋体" w:eastAsia="宋体" w:cs="Times New Roman"/>
          <w:b/>
          <w:bCs/>
          <w:color w:val="0000FF"/>
          <w:sz w:val="28"/>
          <w:lang w:val="en-US" w:eastAsia="zh-CN"/>
        </w:rPr>
        <w:t>30分钟</w:t>
      </w:r>
      <w:r>
        <w:rPr>
          <w:rFonts w:hint="eastAsia" w:ascii="宋体" w:hAnsi="宋体" w:eastAsia="宋体" w:cs="Times New Roman"/>
          <w:b/>
          <w:bCs/>
          <w:color w:val="0000FF"/>
          <w:sz w:val="28"/>
          <w:lang w:val="zh-CN" w:eastAsia="zh-CN"/>
        </w:rPr>
        <w:t>），请</w:t>
      </w:r>
      <w:r>
        <w:rPr>
          <w:rFonts w:hint="eastAsia" w:ascii="宋体" w:hAnsi="宋体"/>
          <w:color w:val="0000FF"/>
          <w:sz w:val="28"/>
          <w:lang w:val="zh-CN"/>
        </w:rPr>
        <w:t>在规定的时间内在附件中上传此表，此表价格合计要与最终报价一致。</w:t>
      </w:r>
      <w:bookmarkEnd w:id="128"/>
      <w:bookmarkEnd w:id="129"/>
      <w:bookmarkEnd w:id="130"/>
    </w:p>
    <w:p w14:paraId="6C2A1B24">
      <w:pPr>
        <w:pStyle w:val="13"/>
        <w:jc w:val="left"/>
        <w:rPr>
          <w:rFonts w:hint="eastAsia" w:ascii="宋体" w:hAnsi="宋体"/>
          <w:sz w:val="28"/>
          <w:lang w:val="zh-CN"/>
        </w:rPr>
      </w:pPr>
    </w:p>
    <w:p w14:paraId="44E5F9E7">
      <w:pPr>
        <w:pStyle w:val="13"/>
        <w:jc w:val="left"/>
        <w:rPr>
          <w:rFonts w:ascii="宋体" w:hAnsi="宋体"/>
          <w:sz w:val="28"/>
          <w:lang w:val="zh-CN"/>
        </w:rPr>
      </w:pPr>
      <w:bookmarkStart w:id="133" w:name="_Toc11855"/>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31"/>
      <w:bookmarkEnd w:id="132"/>
      <w:bookmarkEnd w:id="133"/>
    </w:p>
    <w:p w14:paraId="3B01AC8C">
      <w:pPr>
        <w:rPr>
          <w:lang w:val="zh-CN"/>
        </w:rPr>
      </w:pPr>
    </w:p>
    <w:p w14:paraId="63F1611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1EDD479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根据采购项目内容，投标时按招标文件要求提供</w:t>
      </w:r>
      <w:r>
        <w:rPr>
          <w:rFonts w:hint="eastAsia" w:ascii="宋体" w:hAnsi="宋体"/>
          <w:sz w:val="28"/>
        </w:rPr>
        <w:t>投标产品的相关认证、合格证等材料，生产厂家的相关资质、相关认证和投标人认为有必要提供的其他资格证明文件等材料。</w:t>
      </w:r>
    </w:p>
    <w:p w14:paraId="53092BEB">
      <w:pPr>
        <w:autoSpaceDE w:val="0"/>
        <w:autoSpaceDN w:val="0"/>
        <w:adjustRightInd w:val="0"/>
        <w:spacing w:line="400" w:lineRule="exact"/>
        <w:jc w:val="left"/>
        <w:rPr>
          <w:rFonts w:ascii="宋体" w:hAnsi="Cambria" w:cs="宋体"/>
          <w:kern w:val="0"/>
          <w:sz w:val="24"/>
          <w:lang w:val="zh-CN"/>
        </w:rPr>
      </w:pPr>
    </w:p>
    <w:p w14:paraId="5A2C9BD6">
      <w:pPr>
        <w:autoSpaceDE w:val="0"/>
        <w:autoSpaceDN w:val="0"/>
        <w:adjustRightInd w:val="0"/>
        <w:spacing w:line="400" w:lineRule="exact"/>
        <w:jc w:val="left"/>
        <w:rPr>
          <w:rFonts w:ascii="宋体" w:hAnsi="Cambria" w:cs="宋体"/>
          <w:kern w:val="0"/>
          <w:sz w:val="24"/>
          <w:lang w:val="zh-CN"/>
        </w:rPr>
      </w:pPr>
    </w:p>
    <w:p w14:paraId="42E6ADB8">
      <w:pPr>
        <w:autoSpaceDE w:val="0"/>
        <w:autoSpaceDN w:val="0"/>
        <w:adjustRightInd w:val="0"/>
        <w:spacing w:line="400" w:lineRule="exact"/>
        <w:jc w:val="left"/>
        <w:rPr>
          <w:rFonts w:ascii="宋体" w:hAnsi="Cambria" w:cs="宋体"/>
          <w:kern w:val="0"/>
          <w:sz w:val="24"/>
          <w:lang w:val="zh-CN"/>
        </w:rPr>
      </w:pPr>
    </w:p>
    <w:p w14:paraId="47F4B28C">
      <w:pPr>
        <w:autoSpaceDE w:val="0"/>
        <w:autoSpaceDN w:val="0"/>
        <w:adjustRightInd w:val="0"/>
        <w:spacing w:line="400" w:lineRule="exact"/>
        <w:jc w:val="left"/>
        <w:rPr>
          <w:rFonts w:ascii="宋体" w:hAnsi="Cambria" w:cs="宋体"/>
          <w:kern w:val="0"/>
          <w:sz w:val="24"/>
          <w:lang w:val="zh-CN"/>
        </w:rPr>
      </w:pPr>
    </w:p>
    <w:p w14:paraId="37664C5B">
      <w:pPr>
        <w:autoSpaceDE w:val="0"/>
        <w:autoSpaceDN w:val="0"/>
        <w:adjustRightInd w:val="0"/>
        <w:spacing w:line="400" w:lineRule="exact"/>
        <w:jc w:val="left"/>
        <w:rPr>
          <w:rFonts w:ascii="宋体" w:hAnsi="Cambria" w:cs="宋体"/>
          <w:kern w:val="0"/>
          <w:sz w:val="24"/>
          <w:lang w:val="zh-CN"/>
        </w:rPr>
      </w:pPr>
    </w:p>
    <w:p w14:paraId="3BC0DACB">
      <w:pPr>
        <w:autoSpaceDE w:val="0"/>
        <w:autoSpaceDN w:val="0"/>
        <w:adjustRightInd w:val="0"/>
        <w:spacing w:line="400" w:lineRule="exact"/>
        <w:jc w:val="left"/>
        <w:rPr>
          <w:rFonts w:ascii="宋体" w:hAnsi="Cambria" w:cs="宋体"/>
          <w:kern w:val="0"/>
          <w:sz w:val="24"/>
          <w:lang w:val="zh-CN"/>
        </w:rPr>
      </w:pPr>
    </w:p>
    <w:p w14:paraId="130A55A7">
      <w:pPr>
        <w:autoSpaceDE w:val="0"/>
        <w:autoSpaceDN w:val="0"/>
        <w:adjustRightInd w:val="0"/>
        <w:spacing w:line="400" w:lineRule="exact"/>
        <w:jc w:val="left"/>
        <w:rPr>
          <w:rFonts w:ascii="宋体" w:hAnsi="Cambria" w:cs="宋体"/>
          <w:kern w:val="0"/>
          <w:sz w:val="24"/>
          <w:lang w:val="zh-CN"/>
        </w:rPr>
      </w:pPr>
    </w:p>
    <w:p w14:paraId="0209DFA1">
      <w:pPr>
        <w:autoSpaceDE w:val="0"/>
        <w:autoSpaceDN w:val="0"/>
        <w:adjustRightInd w:val="0"/>
        <w:spacing w:line="400" w:lineRule="exact"/>
        <w:jc w:val="left"/>
        <w:rPr>
          <w:rFonts w:ascii="宋体" w:hAnsi="Cambria" w:cs="宋体"/>
          <w:kern w:val="0"/>
          <w:sz w:val="24"/>
          <w:lang w:val="zh-CN"/>
        </w:rPr>
      </w:pPr>
    </w:p>
    <w:p w14:paraId="4AE2355C">
      <w:pPr>
        <w:autoSpaceDE w:val="0"/>
        <w:autoSpaceDN w:val="0"/>
        <w:adjustRightInd w:val="0"/>
        <w:spacing w:line="400" w:lineRule="exact"/>
        <w:jc w:val="left"/>
        <w:rPr>
          <w:rFonts w:ascii="宋体" w:hAnsi="Cambria" w:cs="宋体"/>
          <w:kern w:val="0"/>
          <w:sz w:val="24"/>
          <w:lang w:val="zh-CN"/>
        </w:rPr>
      </w:pPr>
    </w:p>
    <w:p w14:paraId="108A60EE">
      <w:pPr>
        <w:autoSpaceDE w:val="0"/>
        <w:autoSpaceDN w:val="0"/>
        <w:adjustRightInd w:val="0"/>
        <w:spacing w:line="400" w:lineRule="exact"/>
        <w:jc w:val="left"/>
        <w:rPr>
          <w:rFonts w:ascii="宋体" w:hAnsi="Cambria" w:cs="宋体"/>
          <w:kern w:val="0"/>
          <w:sz w:val="24"/>
          <w:lang w:val="zh-CN"/>
        </w:rPr>
      </w:pPr>
    </w:p>
    <w:p w14:paraId="4AAC33DB">
      <w:pPr>
        <w:autoSpaceDE w:val="0"/>
        <w:autoSpaceDN w:val="0"/>
        <w:adjustRightInd w:val="0"/>
        <w:spacing w:line="400" w:lineRule="exact"/>
        <w:jc w:val="left"/>
        <w:rPr>
          <w:rFonts w:ascii="宋体" w:hAnsi="Cambria" w:cs="宋体"/>
          <w:kern w:val="0"/>
          <w:sz w:val="24"/>
          <w:lang w:val="zh-CN"/>
        </w:rPr>
      </w:pPr>
    </w:p>
    <w:p w14:paraId="74667749">
      <w:pPr>
        <w:autoSpaceDE w:val="0"/>
        <w:autoSpaceDN w:val="0"/>
        <w:adjustRightInd w:val="0"/>
        <w:spacing w:line="400" w:lineRule="exact"/>
        <w:jc w:val="left"/>
        <w:rPr>
          <w:rFonts w:ascii="宋体" w:hAnsi="Cambria" w:cs="宋体"/>
          <w:kern w:val="0"/>
          <w:sz w:val="24"/>
          <w:lang w:val="zh-CN"/>
        </w:rPr>
      </w:pPr>
    </w:p>
    <w:p w14:paraId="520A9F95">
      <w:pPr>
        <w:autoSpaceDE w:val="0"/>
        <w:autoSpaceDN w:val="0"/>
        <w:adjustRightInd w:val="0"/>
        <w:spacing w:line="400" w:lineRule="exact"/>
        <w:jc w:val="left"/>
        <w:rPr>
          <w:rFonts w:ascii="宋体" w:hAnsi="Cambria" w:cs="宋体"/>
          <w:kern w:val="0"/>
          <w:sz w:val="24"/>
          <w:lang w:val="zh-CN"/>
        </w:rPr>
      </w:pPr>
    </w:p>
    <w:p w14:paraId="5F3A8046">
      <w:pPr>
        <w:autoSpaceDE w:val="0"/>
        <w:autoSpaceDN w:val="0"/>
        <w:adjustRightInd w:val="0"/>
        <w:spacing w:line="400" w:lineRule="exact"/>
        <w:jc w:val="left"/>
        <w:rPr>
          <w:rFonts w:ascii="宋体" w:hAnsi="Cambria" w:cs="宋体"/>
          <w:kern w:val="0"/>
          <w:sz w:val="24"/>
          <w:lang w:val="zh-CN"/>
        </w:rPr>
      </w:pPr>
    </w:p>
    <w:p w14:paraId="26EE3BF7">
      <w:pPr>
        <w:autoSpaceDE w:val="0"/>
        <w:autoSpaceDN w:val="0"/>
        <w:adjustRightInd w:val="0"/>
        <w:spacing w:line="400" w:lineRule="exact"/>
        <w:jc w:val="left"/>
        <w:rPr>
          <w:rFonts w:ascii="宋体" w:hAnsi="Cambria" w:cs="宋体"/>
          <w:kern w:val="0"/>
          <w:sz w:val="24"/>
          <w:lang w:val="zh-CN"/>
        </w:rPr>
      </w:pPr>
    </w:p>
    <w:p w14:paraId="2F8ECB99">
      <w:pPr>
        <w:autoSpaceDE w:val="0"/>
        <w:autoSpaceDN w:val="0"/>
        <w:adjustRightInd w:val="0"/>
        <w:spacing w:line="400" w:lineRule="exact"/>
        <w:jc w:val="left"/>
        <w:rPr>
          <w:rFonts w:ascii="宋体" w:hAnsi="Cambria" w:cs="宋体"/>
          <w:kern w:val="0"/>
          <w:sz w:val="24"/>
          <w:lang w:val="zh-CN"/>
        </w:rPr>
      </w:pPr>
    </w:p>
    <w:p w14:paraId="158894C1">
      <w:pPr>
        <w:autoSpaceDE w:val="0"/>
        <w:autoSpaceDN w:val="0"/>
        <w:adjustRightInd w:val="0"/>
        <w:spacing w:line="400" w:lineRule="exact"/>
        <w:jc w:val="left"/>
        <w:rPr>
          <w:rFonts w:ascii="宋体" w:hAnsi="Cambria" w:cs="宋体"/>
          <w:kern w:val="0"/>
          <w:sz w:val="24"/>
          <w:lang w:val="zh-CN"/>
        </w:rPr>
      </w:pPr>
    </w:p>
    <w:p w14:paraId="6183B17D">
      <w:pPr>
        <w:autoSpaceDE w:val="0"/>
        <w:autoSpaceDN w:val="0"/>
        <w:adjustRightInd w:val="0"/>
        <w:spacing w:line="400" w:lineRule="exact"/>
        <w:jc w:val="left"/>
        <w:rPr>
          <w:rFonts w:ascii="宋体" w:hAnsi="Cambria" w:cs="宋体"/>
          <w:kern w:val="0"/>
          <w:sz w:val="24"/>
          <w:lang w:val="zh-CN"/>
        </w:rPr>
      </w:pPr>
    </w:p>
    <w:p w14:paraId="3D8F3ADA">
      <w:pPr>
        <w:autoSpaceDE w:val="0"/>
        <w:autoSpaceDN w:val="0"/>
        <w:adjustRightInd w:val="0"/>
        <w:spacing w:line="400" w:lineRule="exact"/>
        <w:jc w:val="left"/>
        <w:rPr>
          <w:rFonts w:ascii="宋体" w:hAnsi="Cambria" w:cs="宋体"/>
          <w:kern w:val="0"/>
          <w:sz w:val="24"/>
          <w:lang w:val="zh-CN"/>
        </w:rPr>
      </w:pPr>
    </w:p>
    <w:p w14:paraId="0E20E7FE">
      <w:pPr>
        <w:autoSpaceDE w:val="0"/>
        <w:autoSpaceDN w:val="0"/>
        <w:adjustRightInd w:val="0"/>
        <w:spacing w:line="400" w:lineRule="exact"/>
        <w:jc w:val="left"/>
        <w:rPr>
          <w:rFonts w:ascii="宋体" w:hAnsi="Cambria" w:cs="宋体"/>
          <w:kern w:val="0"/>
          <w:sz w:val="24"/>
          <w:lang w:val="zh-CN"/>
        </w:rPr>
      </w:pPr>
    </w:p>
    <w:p w14:paraId="744CC78C">
      <w:pPr>
        <w:autoSpaceDE w:val="0"/>
        <w:autoSpaceDN w:val="0"/>
        <w:adjustRightInd w:val="0"/>
        <w:spacing w:line="400" w:lineRule="exact"/>
        <w:jc w:val="left"/>
        <w:rPr>
          <w:rFonts w:ascii="宋体" w:hAnsi="Cambria" w:cs="宋体"/>
          <w:kern w:val="0"/>
          <w:sz w:val="24"/>
          <w:lang w:val="zh-CN"/>
        </w:rPr>
      </w:pPr>
    </w:p>
    <w:p w14:paraId="24C52D1E">
      <w:pPr>
        <w:autoSpaceDE w:val="0"/>
        <w:autoSpaceDN w:val="0"/>
        <w:adjustRightInd w:val="0"/>
        <w:spacing w:line="400" w:lineRule="exact"/>
        <w:ind w:firstLine="480"/>
        <w:jc w:val="left"/>
        <w:rPr>
          <w:rFonts w:ascii="宋体" w:hAnsi="Cambria" w:cs="宋体"/>
          <w:kern w:val="0"/>
          <w:sz w:val="24"/>
          <w:lang w:val="zh-CN"/>
        </w:rPr>
      </w:pPr>
    </w:p>
    <w:p w14:paraId="119BE712">
      <w:pPr>
        <w:autoSpaceDE w:val="0"/>
        <w:autoSpaceDN w:val="0"/>
        <w:adjustRightInd w:val="0"/>
        <w:spacing w:line="400" w:lineRule="exact"/>
        <w:ind w:firstLine="480"/>
        <w:jc w:val="left"/>
        <w:rPr>
          <w:rFonts w:ascii="宋体" w:hAnsi="Cambria" w:cs="宋体"/>
          <w:kern w:val="0"/>
          <w:sz w:val="24"/>
          <w:lang w:val="zh-CN"/>
        </w:rPr>
      </w:pPr>
    </w:p>
    <w:p w14:paraId="29BCA6AD">
      <w:pPr>
        <w:autoSpaceDE w:val="0"/>
        <w:autoSpaceDN w:val="0"/>
        <w:adjustRightInd w:val="0"/>
        <w:spacing w:line="400" w:lineRule="exact"/>
        <w:ind w:firstLine="480"/>
        <w:jc w:val="left"/>
        <w:rPr>
          <w:rFonts w:ascii="宋体" w:hAnsi="Cambria" w:cs="宋体"/>
          <w:kern w:val="0"/>
          <w:sz w:val="24"/>
          <w:lang w:val="zh-CN"/>
        </w:rPr>
      </w:pPr>
    </w:p>
    <w:p w14:paraId="2DE6CD4D">
      <w:pPr>
        <w:autoSpaceDE w:val="0"/>
        <w:autoSpaceDN w:val="0"/>
        <w:adjustRightInd w:val="0"/>
        <w:spacing w:line="400" w:lineRule="exact"/>
        <w:ind w:firstLine="480"/>
        <w:jc w:val="left"/>
        <w:rPr>
          <w:rFonts w:ascii="宋体" w:hAnsi="Cambria" w:cs="宋体"/>
          <w:kern w:val="0"/>
          <w:sz w:val="24"/>
          <w:lang w:val="zh-CN"/>
        </w:rPr>
      </w:pPr>
    </w:p>
    <w:p w14:paraId="4D34C15E">
      <w:pPr>
        <w:autoSpaceDE w:val="0"/>
        <w:autoSpaceDN w:val="0"/>
        <w:adjustRightInd w:val="0"/>
        <w:spacing w:line="400" w:lineRule="exact"/>
        <w:ind w:firstLine="480"/>
        <w:jc w:val="left"/>
        <w:rPr>
          <w:rFonts w:hint="eastAsia" w:ascii="宋体" w:hAnsi="Cambria" w:cs="宋体"/>
          <w:kern w:val="0"/>
          <w:sz w:val="24"/>
          <w:lang w:val="zh-CN"/>
        </w:rPr>
      </w:pPr>
    </w:p>
    <w:p w14:paraId="79DB855F">
      <w:pPr>
        <w:pStyle w:val="13"/>
        <w:rPr>
          <w:rFonts w:hint="eastAsia"/>
          <w:lang w:val="zh-CN" w:eastAsia="zh-CN"/>
        </w:rPr>
      </w:pPr>
    </w:p>
    <w:p w14:paraId="041925B0">
      <w:pPr>
        <w:rPr>
          <w:rFonts w:hint="eastAsia"/>
          <w:lang w:val="zh-CN"/>
        </w:rPr>
      </w:pPr>
    </w:p>
    <w:p w14:paraId="365315C3">
      <w:pPr>
        <w:pStyle w:val="13"/>
        <w:rPr>
          <w:lang w:val="zh-CN" w:eastAsia="zh-CN"/>
        </w:rPr>
      </w:pPr>
    </w:p>
    <w:p w14:paraId="515160B8">
      <w:pPr>
        <w:pStyle w:val="13"/>
        <w:jc w:val="left"/>
        <w:rPr>
          <w:rFonts w:ascii="宋体" w:hAnsi="宋体" w:cs="Cambria"/>
          <w:sz w:val="32"/>
        </w:rPr>
      </w:pPr>
      <w:bookmarkStart w:id="134" w:name="_Toc17068"/>
      <w:bookmarkStart w:id="135" w:name="_Toc428180587"/>
      <w:bookmarkStart w:id="136" w:name="_Toc15321"/>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：投标产品相关资料</w:t>
      </w:r>
      <w:bookmarkEnd w:id="134"/>
      <w:bookmarkEnd w:id="135"/>
      <w:bookmarkEnd w:id="136"/>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bCs/>
          <w:sz w:val="28"/>
        </w:rPr>
      </w:pPr>
      <w:r>
        <w:rPr>
          <w:rFonts w:hint="eastAsia" w:ascii="宋体" w:hAnsi="宋体"/>
          <w:bCs/>
          <w:sz w:val="28"/>
        </w:rPr>
        <w:t>根据采购项目内容，投标时提供</w:t>
      </w:r>
      <w:r>
        <w:rPr>
          <w:rFonts w:hint="eastAsia" w:hAnsi="宋体"/>
          <w:sz w:val="28"/>
        </w:rPr>
        <w:t>国家认可的</w:t>
      </w:r>
      <w:r>
        <w:rPr>
          <w:rFonts w:hint="eastAsia" w:ascii="宋体" w:hAnsi="宋体"/>
          <w:sz w:val="28"/>
        </w:rPr>
        <w:t>质监机构出具的投标产品的产品检验报告</w:t>
      </w:r>
      <w:r>
        <w:rPr>
          <w:rFonts w:hint="eastAsia" w:ascii="宋体" w:hAnsi="宋体"/>
          <w:kern w:val="0"/>
          <w:sz w:val="28"/>
          <w:szCs w:val="20"/>
        </w:rPr>
        <w:t>(软件测试报告)</w:t>
      </w:r>
      <w:r>
        <w:rPr>
          <w:rFonts w:hint="eastAsia" w:ascii="宋体" w:hAnsi="宋体"/>
          <w:bCs/>
          <w:sz w:val="28"/>
        </w:rPr>
        <w:t>、</w:t>
      </w:r>
      <w:r>
        <w:rPr>
          <w:rFonts w:hint="eastAsia" w:ascii="宋体" w:hAnsi="宋体"/>
          <w:kern w:val="0"/>
          <w:sz w:val="28"/>
          <w:szCs w:val="20"/>
        </w:rPr>
        <w:t>生产厂家出具的产品彩页</w:t>
      </w:r>
      <w:r>
        <w:rPr>
          <w:rFonts w:hint="eastAsia" w:ascii="宋体" w:hAnsi="宋体"/>
          <w:bCs/>
          <w:sz w:val="28"/>
        </w:rPr>
        <w:t>（或网页原始截图）等能够</w:t>
      </w:r>
      <w:r>
        <w:rPr>
          <w:rFonts w:hint="eastAsia" w:hAnsi="宋体"/>
          <w:sz w:val="28"/>
        </w:rPr>
        <w:t>证明技术参数响应的相关资料</w:t>
      </w:r>
      <w:r>
        <w:rPr>
          <w:rFonts w:hint="eastAsia" w:ascii="宋体" w:hAnsi="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5828F2DB">
      <w:pPr>
        <w:autoSpaceDE w:val="0"/>
        <w:autoSpaceDN w:val="0"/>
        <w:adjustRightInd w:val="0"/>
        <w:spacing w:line="400" w:lineRule="exact"/>
        <w:jc w:val="left"/>
        <w:rPr>
          <w:rFonts w:ascii="宋体" w:hAnsi="Cambria" w:cs="宋体"/>
          <w:kern w:val="0"/>
          <w:sz w:val="24"/>
          <w:lang w:val="zh-CN"/>
        </w:rPr>
      </w:pPr>
    </w:p>
    <w:p w14:paraId="06C0771E">
      <w:pPr>
        <w:autoSpaceDE w:val="0"/>
        <w:autoSpaceDN w:val="0"/>
        <w:adjustRightInd w:val="0"/>
        <w:spacing w:line="400" w:lineRule="exact"/>
        <w:jc w:val="left"/>
        <w:rPr>
          <w:rFonts w:hint="eastAsia" w:ascii="宋体" w:hAnsi="Cambria" w:cs="宋体"/>
          <w:kern w:val="0"/>
          <w:sz w:val="24"/>
          <w:lang w:val="zh-CN"/>
        </w:rPr>
      </w:pPr>
    </w:p>
    <w:p w14:paraId="33DCA690">
      <w:pPr>
        <w:pStyle w:val="13"/>
        <w:rPr>
          <w:rFonts w:hint="eastAsia"/>
          <w:lang w:val="zh-CN" w:eastAsia="zh-CN"/>
        </w:rPr>
      </w:pPr>
    </w:p>
    <w:p w14:paraId="1707E319">
      <w:pPr>
        <w:rPr>
          <w:lang w:val="zh-CN"/>
        </w:rPr>
      </w:pPr>
    </w:p>
    <w:p w14:paraId="106DCBF1">
      <w:pPr>
        <w:pStyle w:val="13"/>
        <w:jc w:val="left"/>
        <w:rPr>
          <w:rFonts w:ascii="宋体" w:hAnsi="宋体" w:cs="Cambria"/>
          <w:sz w:val="28"/>
        </w:rPr>
      </w:pPr>
      <w:bookmarkStart w:id="137" w:name="_Toc10567"/>
      <w:bookmarkStart w:id="138" w:name="_Toc428180591"/>
      <w:bookmarkStart w:id="139" w:name="_Toc9914"/>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5</w:t>
      </w:r>
      <w:r>
        <w:rPr>
          <w:rFonts w:hint="eastAsia" w:ascii="宋体" w:hAnsi="宋体"/>
          <w:sz w:val="28"/>
          <w:lang w:val="zh-CN"/>
        </w:rPr>
        <w:t>：投标人的类似业绩证明材料</w:t>
      </w:r>
      <w:bookmarkEnd w:id="137"/>
      <w:bookmarkEnd w:id="138"/>
      <w:bookmarkEnd w:id="139"/>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2022年6月20日-2025年6月20日</w:t>
      </w:r>
      <w:r>
        <w:rPr>
          <w:rFonts w:hint="eastAsia" w:ascii="宋体" w:hAnsi="Cambria" w:cs="宋体"/>
          <w:kern w:val="0"/>
          <w:sz w:val="24"/>
          <w:lang w:val="zh-CN"/>
        </w:rPr>
        <w:t>的类似业绩证明材料。类似业绩是指与采购项目在产品类型、使用功能、合同规模等方面相同或相近的项目。需提供包含合同首页、标的及金额所在页、供货合同签字盖章页的扫描件（或复印）件。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3788B8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83954D">
      <w:pPr>
        <w:autoSpaceDE w:val="0"/>
        <w:autoSpaceDN w:val="0"/>
        <w:adjustRightInd w:val="0"/>
        <w:spacing w:line="400" w:lineRule="exact"/>
        <w:jc w:val="left"/>
        <w:rPr>
          <w:rFonts w:ascii="宋体" w:hAnsi="Cambria" w:cs="宋体"/>
          <w:kern w:val="0"/>
          <w:sz w:val="24"/>
          <w:lang w:val="zh-CN"/>
        </w:rPr>
      </w:pPr>
    </w:p>
    <w:p w14:paraId="15F467D8">
      <w:pPr>
        <w:autoSpaceDE w:val="0"/>
        <w:autoSpaceDN w:val="0"/>
        <w:adjustRightInd w:val="0"/>
        <w:spacing w:line="400" w:lineRule="exact"/>
        <w:jc w:val="left"/>
        <w:rPr>
          <w:rFonts w:ascii="宋体" w:hAnsi="Cambria" w:cs="宋体"/>
          <w:kern w:val="0"/>
          <w:sz w:val="24"/>
          <w:lang w:val="zh-CN"/>
        </w:rPr>
      </w:pPr>
    </w:p>
    <w:p w14:paraId="7B7E6B90">
      <w:pPr>
        <w:autoSpaceDE w:val="0"/>
        <w:autoSpaceDN w:val="0"/>
        <w:adjustRightInd w:val="0"/>
        <w:spacing w:line="400" w:lineRule="exact"/>
        <w:jc w:val="left"/>
        <w:rPr>
          <w:rFonts w:ascii="宋体" w:hAnsi="Cambria" w:cs="宋体"/>
          <w:kern w:val="0"/>
          <w:sz w:val="24"/>
          <w:lang w:val="zh-CN"/>
        </w:rPr>
      </w:pPr>
    </w:p>
    <w:p w14:paraId="7951919D">
      <w:pPr>
        <w:autoSpaceDE w:val="0"/>
        <w:autoSpaceDN w:val="0"/>
        <w:adjustRightInd w:val="0"/>
        <w:spacing w:line="400" w:lineRule="exact"/>
        <w:jc w:val="left"/>
        <w:rPr>
          <w:rFonts w:ascii="宋体" w:hAnsi="Cambria" w:cs="宋体"/>
          <w:kern w:val="0"/>
          <w:sz w:val="24"/>
          <w:lang w:val="zh-CN"/>
        </w:rPr>
      </w:pPr>
    </w:p>
    <w:p w14:paraId="488A1352">
      <w:pPr>
        <w:autoSpaceDE w:val="0"/>
        <w:autoSpaceDN w:val="0"/>
        <w:adjustRightInd w:val="0"/>
        <w:spacing w:line="400" w:lineRule="exact"/>
        <w:jc w:val="left"/>
        <w:rPr>
          <w:rFonts w:ascii="宋体" w:hAnsi="Cambria" w:cs="宋体"/>
          <w:kern w:val="0"/>
          <w:sz w:val="24"/>
          <w:lang w:val="zh-CN"/>
        </w:rPr>
      </w:pPr>
    </w:p>
    <w:p w14:paraId="4351A666">
      <w:pPr>
        <w:autoSpaceDE w:val="0"/>
        <w:autoSpaceDN w:val="0"/>
        <w:adjustRightInd w:val="0"/>
        <w:spacing w:line="400" w:lineRule="exact"/>
        <w:jc w:val="left"/>
        <w:rPr>
          <w:rFonts w:ascii="宋体" w:hAnsi="Cambria" w:cs="宋体"/>
          <w:kern w:val="0"/>
          <w:sz w:val="24"/>
          <w:lang w:val="zh-CN"/>
        </w:rPr>
      </w:pPr>
    </w:p>
    <w:p w14:paraId="1B9EE982">
      <w:pPr>
        <w:autoSpaceDE w:val="0"/>
        <w:autoSpaceDN w:val="0"/>
        <w:adjustRightInd w:val="0"/>
        <w:spacing w:line="400" w:lineRule="exact"/>
        <w:jc w:val="left"/>
        <w:rPr>
          <w:rFonts w:ascii="宋体" w:hAnsi="Cambria" w:cs="宋体"/>
          <w:kern w:val="0"/>
          <w:sz w:val="24"/>
          <w:lang w:val="zh-CN"/>
        </w:rPr>
      </w:pPr>
    </w:p>
    <w:p w14:paraId="0D103662">
      <w:pPr>
        <w:autoSpaceDE w:val="0"/>
        <w:autoSpaceDN w:val="0"/>
        <w:adjustRightInd w:val="0"/>
        <w:spacing w:line="400" w:lineRule="exact"/>
        <w:jc w:val="left"/>
        <w:rPr>
          <w:rFonts w:ascii="宋体" w:hAnsi="Cambria" w:cs="宋体"/>
          <w:kern w:val="0"/>
          <w:sz w:val="24"/>
          <w:lang w:val="zh-CN"/>
        </w:rPr>
      </w:pPr>
    </w:p>
    <w:p w14:paraId="057DF911">
      <w:pPr>
        <w:autoSpaceDE w:val="0"/>
        <w:autoSpaceDN w:val="0"/>
        <w:adjustRightInd w:val="0"/>
        <w:spacing w:line="400" w:lineRule="exact"/>
        <w:jc w:val="left"/>
        <w:rPr>
          <w:rFonts w:ascii="宋体" w:hAnsi="Cambria" w:cs="宋体"/>
          <w:kern w:val="0"/>
          <w:sz w:val="24"/>
          <w:lang w:val="zh-CN"/>
        </w:rPr>
      </w:pPr>
    </w:p>
    <w:p w14:paraId="7165DC65">
      <w:pPr>
        <w:autoSpaceDE w:val="0"/>
        <w:autoSpaceDN w:val="0"/>
        <w:adjustRightInd w:val="0"/>
        <w:spacing w:line="400" w:lineRule="exact"/>
        <w:jc w:val="left"/>
        <w:rPr>
          <w:rFonts w:ascii="宋体" w:hAnsi="Cambria" w:cs="宋体"/>
          <w:kern w:val="0"/>
          <w:sz w:val="24"/>
          <w:lang w:val="zh-CN"/>
        </w:rPr>
      </w:pPr>
    </w:p>
    <w:p w14:paraId="18DD832D">
      <w:pPr>
        <w:autoSpaceDE w:val="0"/>
        <w:autoSpaceDN w:val="0"/>
        <w:adjustRightInd w:val="0"/>
        <w:spacing w:line="400" w:lineRule="exact"/>
        <w:jc w:val="left"/>
        <w:rPr>
          <w:rFonts w:ascii="宋体" w:hAnsi="Cambria" w:cs="宋体"/>
          <w:kern w:val="0"/>
          <w:sz w:val="24"/>
          <w:lang w:val="zh-CN"/>
        </w:rPr>
      </w:pPr>
    </w:p>
    <w:p w14:paraId="5AACE98A">
      <w:pPr>
        <w:autoSpaceDE w:val="0"/>
        <w:autoSpaceDN w:val="0"/>
        <w:adjustRightInd w:val="0"/>
        <w:spacing w:line="400" w:lineRule="exact"/>
        <w:jc w:val="left"/>
        <w:rPr>
          <w:rFonts w:ascii="宋体" w:hAnsi="Cambria" w:cs="宋体"/>
          <w:kern w:val="0"/>
          <w:sz w:val="24"/>
          <w:lang w:val="zh-CN"/>
        </w:rPr>
      </w:pPr>
    </w:p>
    <w:p w14:paraId="7DE1F36A">
      <w:pPr>
        <w:autoSpaceDE w:val="0"/>
        <w:autoSpaceDN w:val="0"/>
        <w:adjustRightInd w:val="0"/>
        <w:spacing w:line="400" w:lineRule="exact"/>
        <w:jc w:val="left"/>
        <w:rPr>
          <w:rFonts w:ascii="宋体" w:hAnsi="Cambria" w:cs="宋体"/>
          <w:kern w:val="0"/>
          <w:sz w:val="24"/>
          <w:lang w:val="zh-CN"/>
        </w:rPr>
      </w:pPr>
    </w:p>
    <w:p w14:paraId="68B255A3">
      <w:pPr>
        <w:autoSpaceDE w:val="0"/>
        <w:autoSpaceDN w:val="0"/>
        <w:adjustRightInd w:val="0"/>
        <w:spacing w:line="400" w:lineRule="exact"/>
        <w:jc w:val="left"/>
        <w:rPr>
          <w:rFonts w:ascii="宋体" w:hAnsi="Cambria" w:cs="宋体"/>
          <w:kern w:val="0"/>
          <w:sz w:val="24"/>
          <w:lang w:val="zh-CN"/>
        </w:rPr>
      </w:pPr>
    </w:p>
    <w:p w14:paraId="3AD57E5B">
      <w:pPr>
        <w:autoSpaceDE w:val="0"/>
        <w:autoSpaceDN w:val="0"/>
        <w:adjustRightInd w:val="0"/>
        <w:spacing w:line="400" w:lineRule="exact"/>
        <w:jc w:val="left"/>
        <w:rPr>
          <w:rFonts w:ascii="宋体" w:hAnsi="Cambria" w:cs="宋体"/>
          <w:kern w:val="0"/>
          <w:sz w:val="24"/>
          <w:lang w:val="zh-CN"/>
        </w:rPr>
      </w:pPr>
    </w:p>
    <w:p w14:paraId="32D7FE85">
      <w:pPr>
        <w:autoSpaceDE w:val="0"/>
        <w:autoSpaceDN w:val="0"/>
        <w:adjustRightInd w:val="0"/>
        <w:spacing w:line="400" w:lineRule="exact"/>
        <w:jc w:val="left"/>
        <w:rPr>
          <w:rFonts w:ascii="宋体" w:hAnsi="Cambria" w:cs="宋体"/>
          <w:kern w:val="0"/>
          <w:sz w:val="24"/>
          <w:lang w:val="zh-CN"/>
        </w:rPr>
      </w:pPr>
    </w:p>
    <w:p w14:paraId="4A051634">
      <w:pPr>
        <w:autoSpaceDE w:val="0"/>
        <w:autoSpaceDN w:val="0"/>
        <w:adjustRightInd w:val="0"/>
        <w:spacing w:line="400" w:lineRule="exact"/>
        <w:jc w:val="left"/>
        <w:rPr>
          <w:rFonts w:ascii="宋体" w:hAnsi="Cambria" w:cs="宋体"/>
          <w:kern w:val="0"/>
          <w:sz w:val="24"/>
          <w:lang w:val="zh-CN"/>
        </w:rPr>
      </w:pPr>
    </w:p>
    <w:p w14:paraId="61E6B852">
      <w:pPr>
        <w:autoSpaceDE w:val="0"/>
        <w:autoSpaceDN w:val="0"/>
        <w:adjustRightInd w:val="0"/>
        <w:spacing w:line="400" w:lineRule="exact"/>
        <w:jc w:val="left"/>
        <w:rPr>
          <w:rFonts w:ascii="宋体" w:hAnsi="Cambria" w:cs="宋体"/>
          <w:kern w:val="0"/>
          <w:sz w:val="24"/>
          <w:lang w:val="zh-CN"/>
        </w:rPr>
      </w:pPr>
    </w:p>
    <w:p w14:paraId="09DE66D8">
      <w:pPr>
        <w:autoSpaceDE w:val="0"/>
        <w:autoSpaceDN w:val="0"/>
        <w:adjustRightInd w:val="0"/>
        <w:spacing w:line="400" w:lineRule="exact"/>
        <w:jc w:val="left"/>
        <w:rPr>
          <w:rFonts w:ascii="宋体" w:hAnsi="Cambria" w:cs="宋体"/>
          <w:kern w:val="0"/>
          <w:sz w:val="24"/>
          <w:lang w:val="zh-CN"/>
        </w:rPr>
      </w:pPr>
    </w:p>
    <w:p w14:paraId="1C444B6C">
      <w:pPr>
        <w:autoSpaceDE w:val="0"/>
        <w:autoSpaceDN w:val="0"/>
        <w:adjustRightInd w:val="0"/>
        <w:spacing w:line="400" w:lineRule="exact"/>
        <w:jc w:val="left"/>
        <w:rPr>
          <w:rFonts w:ascii="宋体" w:hAnsi="Cambria" w:cs="宋体"/>
          <w:kern w:val="0"/>
          <w:sz w:val="24"/>
          <w:lang w:val="zh-CN"/>
        </w:rPr>
      </w:pPr>
    </w:p>
    <w:p w14:paraId="662EE1EB">
      <w:pPr>
        <w:autoSpaceDE w:val="0"/>
        <w:autoSpaceDN w:val="0"/>
        <w:adjustRightInd w:val="0"/>
        <w:spacing w:line="400" w:lineRule="exact"/>
        <w:jc w:val="left"/>
        <w:rPr>
          <w:rFonts w:ascii="宋体" w:hAnsi="Cambria" w:cs="宋体"/>
          <w:kern w:val="0"/>
          <w:sz w:val="24"/>
          <w:lang w:val="zh-CN"/>
        </w:rPr>
      </w:pPr>
    </w:p>
    <w:p w14:paraId="5119E3C6">
      <w:pPr>
        <w:autoSpaceDE w:val="0"/>
        <w:autoSpaceDN w:val="0"/>
        <w:adjustRightInd w:val="0"/>
        <w:spacing w:line="400" w:lineRule="exact"/>
        <w:jc w:val="left"/>
        <w:rPr>
          <w:rFonts w:ascii="宋体" w:hAnsi="Cambria" w:cs="宋体"/>
          <w:kern w:val="0"/>
          <w:sz w:val="24"/>
          <w:lang w:val="zh-CN"/>
        </w:rPr>
      </w:pPr>
    </w:p>
    <w:p w14:paraId="7EB53DE7">
      <w:pPr>
        <w:autoSpaceDE w:val="0"/>
        <w:autoSpaceDN w:val="0"/>
        <w:adjustRightInd w:val="0"/>
        <w:spacing w:line="400" w:lineRule="exact"/>
        <w:jc w:val="left"/>
        <w:rPr>
          <w:rFonts w:ascii="宋体" w:hAnsi="Cambria" w:cs="宋体"/>
          <w:kern w:val="0"/>
          <w:sz w:val="24"/>
          <w:lang w:val="zh-CN"/>
        </w:rPr>
      </w:pPr>
    </w:p>
    <w:p w14:paraId="3A06E937">
      <w:pPr>
        <w:autoSpaceDE w:val="0"/>
        <w:autoSpaceDN w:val="0"/>
        <w:adjustRightInd w:val="0"/>
        <w:spacing w:line="400" w:lineRule="exact"/>
        <w:jc w:val="left"/>
        <w:rPr>
          <w:rFonts w:hint="eastAsia" w:ascii="宋体" w:hAnsi="Cambria" w:cs="宋体"/>
          <w:kern w:val="0"/>
          <w:sz w:val="24"/>
          <w:lang w:val="zh-CN"/>
        </w:rPr>
      </w:pPr>
    </w:p>
    <w:p w14:paraId="46072CA3">
      <w:pPr>
        <w:pStyle w:val="13"/>
        <w:rPr>
          <w:lang w:val="zh-CN" w:eastAsia="zh-CN"/>
        </w:rPr>
      </w:pPr>
    </w:p>
    <w:p w14:paraId="4E326DEF">
      <w:pPr>
        <w:autoSpaceDE w:val="0"/>
        <w:autoSpaceDN w:val="0"/>
        <w:adjustRightInd w:val="0"/>
        <w:spacing w:line="400" w:lineRule="exact"/>
        <w:jc w:val="left"/>
        <w:rPr>
          <w:rFonts w:ascii="宋体" w:hAnsi="Cambria" w:cs="宋体"/>
          <w:kern w:val="0"/>
          <w:sz w:val="24"/>
          <w:lang w:val="zh-CN"/>
        </w:rPr>
      </w:pPr>
    </w:p>
    <w:p w14:paraId="5F3CBDEA">
      <w:pPr>
        <w:autoSpaceDE w:val="0"/>
        <w:autoSpaceDN w:val="0"/>
        <w:adjustRightInd w:val="0"/>
        <w:spacing w:line="400" w:lineRule="exact"/>
        <w:jc w:val="left"/>
        <w:rPr>
          <w:rFonts w:ascii="宋体" w:hAnsi="宋体"/>
          <w:b/>
          <w:bCs/>
          <w:kern w:val="0"/>
          <w:sz w:val="28"/>
          <w:szCs w:val="32"/>
          <w:lang w:val="zh-CN"/>
        </w:rPr>
      </w:pPr>
      <w:bookmarkStart w:id="140" w:name="_Toc428180592"/>
      <w:bookmarkStart w:id="141" w:name="_Toc22269"/>
      <w:r>
        <w:rPr>
          <w:rFonts w:hint="eastAsia" w:ascii="宋体" w:hAnsi="宋体"/>
          <w:b/>
          <w:bCs/>
          <w:sz w:val="28"/>
          <w:lang w:val="zh-CN"/>
        </w:rPr>
        <w:t>格式</w:t>
      </w:r>
      <w:r>
        <w:rPr>
          <w:rFonts w:ascii="宋体" w:hAnsi="宋体" w:cs="Cambria"/>
          <w:b/>
          <w:bCs/>
          <w:sz w:val="28"/>
        </w:rPr>
        <w:t>1</w:t>
      </w:r>
      <w:r>
        <w:rPr>
          <w:rFonts w:hint="eastAsia" w:ascii="宋体" w:hAnsi="宋体" w:cs="Cambria"/>
          <w:b/>
          <w:bCs/>
          <w:sz w:val="28"/>
          <w:lang w:val="en-US" w:eastAsia="zh-CN"/>
        </w:rPr>
        <w:t>6</w:t>
      </w:r>
      <w:r>
        <w:rPr>
          <w:rFonts w:hint="eastAsia" w:ascii="宋体" w:hAnsi="宋体"/>
          <w:b/>
          <w:bCs/>
          <w:sz w:val="28"/>
          <w:lang w:val="zh-CN"/>
        </w:rPr>
        <w:t>：</w:t>
      </w:r>
      <w:r>
        <w:rPr>
          <w:rFonts w:hint="eastAsia" w:ascii="宋体" w:hAnsi="宋体"/>
          <w:b/>
          <w:bCs/>
          <w:kern w:val="0"/>
          <w:sz w:val="28"/>
          <w:szCs w:val="32"/>
          <w:lang w:val="zh-CN"/>
        </w:rPr>
        <w:t>中小企业声明函（货物）</w:t>
      </w:r>
    </w:p>
    <w:bookmarkEnd w:id="140"/>
    <w:bookmarkEnd w:id="141"/>
    <w:p w14:paraId="1A06864B">
      <w:pPr>
        <w:autoSpaceDE w:val="0"/>
        <w:autoSpaceDN w:val="0"/>
        <w:adjustRightInd w:val="0"/>
        <w:spacing w:line="400" w:lineRule="exact"/>
        <w:jc w:val="center"/>
        <w:rPr>
          <w:rFonts w:hint="eastAsia" w:ascii="宋体" w:hAnsi="宋体"/>
          <w:b/>
          <w:bCs/>
          <w:kern w:val="0"/>
          <w:sz w:val="28"/>
          <w:szCs w:val="32"/>
        </w:rPr>
      </w:pPr>
    </w:p>
    <w:p w14:paraId="199F2300">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中小企业声明函（货物）</w:t>
      </w:r>
    </w:p>
    <w:p w14:paraId="749EEE39">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3B2E9641">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09CCF42F">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048BE41F">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03715F7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5A4F8B9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6D0451A1">
      <w:pPr>
        <w:autoSpaceDE w:val="0"/>
        <w:autoSpaceDN w:val="0"/>
        <w:adjustRightInd w:val="0"/>
        <w:jc w:val="left"/>
        <w:rPr>
          <w:rFonts w:hint="eastAsia" w:ascii="宋体" w:hAnsi="Cambria" w:cs="宋体"/>
          <w:kern w:val="0"/>
          <w:sz w:val="24"/>
          <w:lang w:val="zh-CN"/>
        </w:rPr>
      </w:pPr>
    </w:p>
    <w:p w14:paraId="751AD280">
      <w:pPr>
        <w:autoSpaceDE w:val="0"/>
        <w:autoSpaceDN w:val="0"/>
        <w:adjustRightInd w:val="0"/>
        <w:jc w:val="left"/>
        <w:rPr>
          <w:rFonts w:hint="eastAsia" w:ascii="宋体" w:hAnsi="Cambria" w:cs="宋体"/>
          <w:kern w:val="0"/>
          <w:sz w:val="24"/>
          <w:lang w:val="zh-CN"/>
        </w:rPr>
      </w:pPr>
    </w:p>
    <w:p w14:paraId="5747EE6E">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646582F3">
      <w:pPr>
        <w:autoSpaceDE w:val="0"/>
        <w:autoSpaceDN w:val="0"/>
        <w:adjustRightInd w:val="0"/>
        <w:jc w:val="right"/>
        <w:rPr>
          <w:rFonts w:hint="eastAsia" w:ascii="宋体" w:hAnsi="Cambria" w:cs="宋体"/>
          <w:kern w:val="0"/>
          <w:sz w:val="24"/>
          <w:lang w:val="zh-CN"/>
        </w:rPr>
      </w:pPr>
    </w:p>
    <w:p w14:paraId="61E68A00">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0DB71014">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230488DA">
      <w:pPr>
        <w:autoSpaceDE w:val="0"/>
        <w:autoSpaceDN w:val="0"/>
        <w:adjustRightInd w:val="0"/>
        <w:spacing w:line="400" w:lineRule="exact"/>
        <w:jc w:val="center"/>
        <w:rPr>
          <w:rFonts w:hint="eastAsia" w:ascii="宋体" w:hAnsi="Cambria" w:cs="宋体"/>
          <w:b/>
          <w:bCs/>
          <w:kern w:val="0"/>
          <w:sz w:val="36"/>
          <w:szCs w:val="36"/>
        </w:rPr>
      </w:pPr>
    </w:p>
    <w:p w14:paraId="613F7B6A">
      <w:pPr>
        <w:autoSpaceDE w:val="0"/>
        <w:autoSpaceDN w:val="0"/>
        <w:adjustRightInd w:val="0"/>
        <w:spacing w:line="400" w:lineRule="exact"/>
        <w:rPr>
          <w:rFonts w:ascii="宋体" w:hAnsi="Cambria" w:cs="宋体"/>
          <w:kern w:val="0"/>
          <w:sz w:val="24"/>
          <w:lang w:val="zh-CN"/>
        </w:rPr>
      </w:pPr>
    </w:p>
    <w:p w14:paraId="586D5403">
      <w:pPr>
        <w:autoSpaceDE w:val="0"/>
        <w:autoSpaceDN w:val="0"/>
        <w:adjustRightInd w:val="0"/>
        <w:spacing w:line="400" w:lineRule="exact"/>
        <w:rPr>
          <w:rFonts w:hint="eastAsia" w:ascii="宋体" w:hAnsi="Cambria" w:cs="宋体"/>
          <w:kern w:val="0"/>
          <w:sz w:val="24"/>
          <w:lang w:val="zh-CN"/>
        </w:rPr>
      </w:pPr>
    </w:p>
    <w:p w14:paraId="1F02E63A">
      <w:pPr>
        <w:autoSpaceDE w:val="0"/>
        <w:autoSpaceDN w:val="0"/>
        <w:adjustRightInd w:val="0"/>
        <w:spacing w:line="400" w:lineRule="exact"/>
        <w:rPr>
          <w:rFonts w:hint="eastAsia" w:ascii="宋体" w:hAnsi="Cambria" w:cs="宋体"/>
          <w:kern w:val="0"/>
          <w:sz w:val="24"/>
          <w:lang w:val="zh-CN"/>
        </w:rPr>
      </w:pPr>
    </w:p>
    <w:p w14:paraId="7CEF217F">
      <w:pPr>
        <w:autoSpaceDE w:val="0"/>
        <w:autoSpaceDN w:val="0"/>
        <w:adjustRightInd w:val="0"/>
        <w:spacing w:line="400" w:lineRule="exact"/>
        <w:rPr>
          <w:rFonts w:hint="eastAsia" w:ascii="宋体" w:hAnsi="Cambria" w:cs="宋体"/>
          <w:kern w:val="0"/>
          <w:sz w:val="24"/>
          <w:lang w:val="zh-CN"/>
        </w:rPr>
      </w:pPr>
    </w:p>
    <w:p w14:paraId="5CCA29CA">
      <w:pPr>
        <w:autoSpaceDE w:val="0"/>
        <w:autoSpaceDN w:val="0"/>
        <w:adjustRightInd w:val="0"/>
        <w:spacing w:line="400" w:lineRule="exact"/>
        <w:rPr>
          <w:rFonts w:hint="eastAsia" w:ascii="宋体" w:hAnsi="Cambria" w:cs="宋体"/>
          <w:kern w:val="0"/>
          <w:sz w:val="24"/>
          <w:lang w:val="zh-CN"/>
        </w:rPr>
      </w:pPr>
    </w:p>
    <w:p w14:paraId="7C27D514">
      <w:pPr>
        <w:autoSpaceDE w:val="0"/>
        <w:autoSpaceDN w:val="0"/>
        <w:adjustRightInd w:val="0"/>
        <w:spacing w:line="400" w:lineRule="exact"/>
        <w:rPr>
          <w:rFonts w:hint="eastAsia" w:ascii="宋体" w:hAnsi="Cambria" w:cs="宋体"/>
          <w:kern w:val="0"/>
          <w:sz w:val="24"/>
          <w:lang w:val="zh-CN"/>
        </w:rPr>
      </w:pPr>
    </w:p>
    <w:p w14:paraId="2D2359E5">
      <w:pPr>
        <w:autoSpaceDE w:val="0"/>
        <w:autoSpaceDN w:val="0"/>
        <w:adjustRightInd w:val="0"/>
        <w:spacing w:line="400" w:lineRule="exact"/>
        <w:rPr>
          <w:rFonts w:hint="eastAsia" w:ascii="宋体" w:hAnsi="Cambria" w:cs="宋体"/>
          <w:kern w:val="0"/>
          <w:sz w:val="24"/>
          <w:lang w:val="zh-CN"/>
        </w:rPr>
      </w:pPr>
    </w:p>
    <w:p w14:paraId="2EC2C398">
      <w:pPr>
        <w:autoSpaceDE w:val="0"/>
        <w:autoSpaceDN w:val="0"/>
        <w:adjustRightInd w:val="0"/>
        <w:spacing w:line="400" w:lineRule="exact"/>
        <w:rPr>
          <w:rFonts w:hint="eastAsia" w:ascii="宋体" w:hAnsi="Cambria" w:cs="宋体"/>
          <w:kern w:val="0"/>
          <w:sz w:val="24"/>
          <w:lang w:val="zh-CN"/>
        </w:rPr>
      </w:pPr>
    </w:p>
    <w:p w14:paraId="58933B74">
      <w:pPr>
        <w:autoSpaceDE w:val="0"/>
        <w:autoSpaceDN w:val="0"/>
        <w:adjustRightInd w:val="0"/>
        <w:spacing w:line="400" w:lineRule="exact"/>
        <w:rPr>
          <w:rFonts w:hint="eastAsia" w:ascii="宋体" w:hAnsi="Cambria" w:cs="宋体"/>
          <w:kern w:val="0"/>
          <w:sz w:val="24"/>
          <w:lang w:val="zh-CN"/>
        </w:rPr>
      </w:pPr>
    </w:p>
    <w:p w14:paraId="78C4F040">
      <w:pPr>
        <w:jc w:val="center"/>
        <w:rPr>
          <w:rFonts w:hint="eastAsia"/>
          <w:b/>
          <w:bCs/>
          <w:sz w:val="24"/>
          <w:szCs w:val="24"/>
        </w:rPr>
      </w:pPr>
      <w:r>
        <w:rPr>
          <w:rFonts w:hint="eastAsia"/>
          <w:b/>
          <w:bCs/>
          <w:sz w:val="30"/>
          <w:szCs w:val="30"/>
        </w:rPr>
        <w:t>中小企业划型标准规定</w:t>
      </w:r>
    </w:p>
    <w:p w14:paraId="449AA0EB">
      <w:pPr>
        <w:rPr>
          <w:rFonts w:hint="eastAsia"/>
          <w:sz w:val="24"/>
          <w:szCs w:val="24"/>
        </w:rPr>
      </w:pPr>
    </w:p>
    <w:p w14:paraId="268E80A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067B7937">
      <w:pPr>
        <w:rPr>
          <w:rFonts w:hint="eastAsia"/>
          <w:sz w:val="24"/>
          <w:szCs w:val="24"/>
        </w:rPr>
      </w:pPr>
    </w:p>
    <w:p w14:paraId="6180BF2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21F915B">
      <w:pPr>
        <w:rPr>
          <w:rFonts w:hint="eastAsia"/>
          <w:sz w:val="24"/>
          <w:szCs w:val="24"/>
        </w:rPr>
      </w:pPr>
    </w:p>
    <w:p w14:paraId="5910AA3F">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C4D84F">
      <w:pPr>
        <w:rPr>
          <w:rFonts w:hint="eastAsia"/>
          <w:sz w:val="24"/>
          <w:szCs w:val="24"/>
        </w:rPr>
      </w:pPr>
    </w:p>
    <w:p w14:paraId="6A4CB07B">
      <w:pPr>
        <w:rPr>
          <w:rFonts w:hint="eastAsia"/>
          <w:sz w:val="24"/>
          <w:szCs w:val="24"/>
        </w:rPr>
      </w:pPr>
      <w:r>
        <w:rPr>
          <w:rFonts w:hint="eastAsia"/>
          <w:sz w:val="24"/>
          <w:szCs w:val="24"/>
        </w:rPr>
        <w:t>四、各行业划型标准为：</w:t>
      </w:r>
    </w:p>
    <w:p w14:paraId="77B2768E">
      <w:pPr>
        <w:rPr>
          <w:rFonts w:hint="eastAsia"/>
          <w:sz w:val="24"/>
          <w:szCs w:val="24"/>
        </w:rPr>
      </w:pPr>
    </w:p>
    <w:p w14:paraId="4F7FBBB0">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5E6DE649">
      <w:pPr>
        <w:rPr>
          <w:rFonts w:hint="eastAsia"/>
          <w:sz w:val="24"/>
          <w:szCs w:val="24"/>
        </w:rPr>
      </w:pPr>
    </w:p>
    <w:p w14:paraId="517C833F">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6DDE58">
      <w:pPr>
        <w:rPr>
          <w:rFonts w:hint="eastAsia"/>
          <w:sz w:val="24"/>
          <w:szCs w:val="24"/>
        </w:rPr>
      </w:pPr>
    </w:p>
    <w:p w14:paraId="357700B5">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3CE098">
      <w:pPr>
        <w:rPr>
          <w:rFonts w:hint="eastAsia"/>
          <w:sz w:val="24"/>
          <w:szCs w:val="24"/>
        </w:rPr>
      </w:pPr>
    </w:p>
    <w:p w14:paraId="1D9C41C2">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8BE375">
      <w:pPr>
        <w:rPr>
          <w:rFonts w:hint="eastAsia"/>
          <w:sz w:val="24"/>
          <w:szCs w:val="24"/>
        </w:rPr>
      </w:pPr>
    </w:p>
    <w:p w14:paraId="0C207AE3">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61D0F0">
      <w:pPr>
        <w:rPr>
          <w:rFonts w:hint="eastAsia"/>
          <w:sz w:val="24"/>
          <w:szCs w:val="24"/>
        </w:rPr>
      </w:pPr>
    </w:p>
    <w:p w14:paraId="447E9A33">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6E6E6D">
      <w:pPr>
        <w:rPr>
          <w:rFonts w:hint="eastAsia"/>
          <w:sz w:val="24"/>
          <w:szCs w:val="24"/>
        </w:rPr>
      </w:pPr>
    </w:p>
    <w:p w14:paraId="464BD04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1F7145">
      <w:pPr>
        <w:rPr>
          <w:rFonts w:hint="eastAsia"/>
          <w:sz w:val="24"/>
          <w:szCs w:val="24"/>
        </w:rPr>
      </w:pPr>
    </w:p>
    <w:p w14:paraId="578D706E">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7E9845">
      <w:pPr>
        <w:rPr>
          <w:rFonts w:hint="eastAsia"/>
          <w:sz w:val="24"/>
          <w:szCs w:val="24"/>
        </w:rPr>
      </w:pPr>
    </w:p>
    <w:p w14:paraId="01E34E2B">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030755">
      <w:pPr>
        <w:rPr>
          <w:rFonts w:hint="eastAsia"/>
          <w:sz w:val="24"/>
          <w:szCs w:val="24"/>
        </w:rPr>
      </w:pPr>
    </w:p>
    <w:p w14:paraId="1FB85992">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47798C">
      <w:pPr>
        <w:rPr>
          <w:rFonts w:hint="eastAsia"/>
          <w:sz w:val="24"/>
          <w:szCs w:val="24"/>
        </w:rPr>
      </w:pPr>
    </w:p>
    <w:p w14:paraId="3B4A3C84">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A2152A">
      <w:pPr>
        <w:rPr>
          <w:rFonts w:hint="eastAsia"/>
          <w:sz w:val="24"/>
          <w:szCs w:val="24"/>
        </w:rPr>
      </w:pPr>
    </w:p>
    <w:p w14:paraId="59F8782B">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DB3C7A">
      <w:pPr>
        <w:rPr>
          <w:rFonts w:hint="eastAsia"/>
          <w:sz w:val="24"/>
          <w:szCs w:val="24"/>
        </w:rPr>
      </w:pPr>
    </w:p>
    <w:p w14:paraId="20E13C6D">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BBFCCB">
      <w:pPr>
        <w:rPr>
          <w:rFonts w:hint="eastAsia"/>
          <w:sz w:val="24"/>
          <w:szCs w:val="24"/>
        </w:rPr>
      </w:pPr>
    </w:p>
    <w:p w14:paraId="75E8FFD7">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4F38D1">
      <w:pPr>
        <w:rPr>
          <w:rFonts w:hint="eastAsia"/>
          <w:sz w:val="24"/>
          <w:szCs w:val="24"/>
        </w:rPr>
      </w:pPr>
    </w:p>
    <w:p w14:paraId="6B7EDD8E">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EEDFE8">
      <w:pPr>
        <w:rPr>
          <w:rFonts w:hint="eastAsia"/>
          <w:sz w:val="24"/>
          <w:szCs w:val="24"/>
        </w:rPr>
      </w:pPr>
    </w:p>
    <w:p w14:paraId="68BD9A5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53A754C">
      <w:pPr>
        <w:rPr>
          <w:rFonts w:hint="eastAsia"/>
          <w:sz w:val="24"/>
          <w:szCs w:val="24"/>
        </w:rPr>
      </w:pPr>
    </w:p>
    <w:p w14:paraId="70D533B0">
      <w:pPr>
        <w:rPr>
          <w:rFonts w:hint="eastAsia"/>
          <w:sz w:val="24"/>
          <w:szCs w:val="24"/>
        </w:rPr>
      </w:pPr>
      <w:r>
        <w:rPr>
          <w:rFonts w:hint="eastAsia"/>
          <w:sz w:val="24"/>
          <w:szCs w:val="24"/>
        </w:rPr>
        <w:t>五、企业类型的划分以统计部门的统计数据为依据。</w:t>
      </w:r>
    </w:p>
    <w:p w14:paraId="3531757A">
      <w:pPr>
        <w:rPr>
          <w:rFonts w:hint="eastAsia"/>
          <w:sz w:val="24"/>
          <w:szCs w:val="24"/>
        </w:rPr>
      </w:pPr>
    </w:p>
    <w:p w14:paraId="3AE9791B">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239AF5A9">
      <w:pPr>
        <w:rPr>
          <w:rFonts w:hint="eastAsia"/>
          <w:sz w:val="24"/>
          <w:szCs w:val="24"/>
        </w:rPr>
      </w:pPr>
    </w:p>
    <w:p w14:paraId="7C9AE3B2">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948845A">
      <w:pPr>
        <w:rPr>
          <w:rFonts w:hint="eastAsia"/>
          <w:sz w:val="24"/>
          <w:szCs w:val="24"/>
        </w:rPr>
      </w:pPr>
    </w:p>
    <w:p w14:paraId="373C6373">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6B379100">
      <w:pPr>
        <w:rPr>
          <w:rFonts w:hint="eastAsia"/>
          <w:sz w:val="24"/>
          <w:szCs w:val="24"/>
        </w:rPr>
      </w:pPr>
    </w:p>
    <w:p w14:paraId="0E916ABE">
      <w:pPr>
        <w:numPr>
          <w:ilvl w:val="0"/>
          <w:numId w:val="5"/>
        </w:numPr>
        <w:rPr>
          <w:rFonts w:hint="eastAsia"/>
          <w:sz w:val="24"/>
          <w:szCs w:val="24"/>
        </w:rPr>
      </w:pPr>
      <w:r>
        <w:rPr>
          <w:rFonts w:hint="eastAsia"/>
          <w:sz w:val="24"/>
          <w:szCs w:val="24"/>
        </w:rPr>
        <w:t>本规定由工业和信息化部、国家统计局会同有关部门负责解释。</w:t>
      </w:r>
    </w:p>
    <w:p w14:paraId="434A92E6">
      <w:pPr>
        <w:numPr>
          <w:ilvl w:val="0"/>
          <w:numId w:val="0"/>
        </w:numPr>
        <w:rPr>
          <w:rFonts w:hint="eastAsia"/>
          <w:sz w:val="24"/>
          <w:szCs w:val="24"/>
        </w:rPr>
      </w:pPr>
    </w:p>
    <w:p w14:paraId="3FF49F38">
      <w:pPr>
        <w:numPr>
          <w:ilvl w:val="0"/>
          <w:numId w:val="5"/>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8697142">
      <w:pPr>
        <w:pStyle w:val="13"/>
        <w:numPr>
          <w:ilvl w:val="0"/>
          <w:numId w:val="0"/>
        </w:numPr>
        <w:jc w:val="left"/>
        <w:rPr>
          <w:rFonts w:hint="eastAsia" w:ascii="宋体" w:hAnsi="宋体"/>
          <w:sz w:val="28"/>
          <w:lang w:val="zh-CN"/>
        </w:rPr>
      </w:pPr>
    </w:p>
    <w:p w14:paraId="6D4180BE">
      <w:pPr>
        <w:autoSpaceDE w:val="0"/>
        <w:autoSpaceDN w:val="0"/>
        <w:adjustRightInd w:val="0"/>
        <w:spacing w:line="400" w:lineRule="exact"/>
        <w:rPr>
          <w:rFonts w:hint="eastAsia" w:ascii="宋体" w:hAnsi="Cambria" w:cs="宋体"/>
          <w:kern w:val="0"/>
          <w:sz w:val="24"/>
          <w:lang w:val="zh-CN"/>
        </w:rPr>
      </w:pPr>
    </w:p>
    <w:p w14:paraId="6ED1BEA0">
      <w:pPr>
        <w:pStyle w:val="8"/>
        <w:rPr>
          <w:rFonts w:hint="eastAsia" w:ascii="宋体" w:hAnsi="Cambria" w:cs="宋体"/>
          <w:kern w:val="0"/>
          <w:sz w:val="24"/>
          <w:lang w:val="zh-CN"/>
        </w:rPr>
      </w:pPr>
    </w:p>
    <w:p w14:paraId="1F4B7EBC">
      <w:pPr>
        <w:rPr>
          <w:rFonts w:hint="eastAsia" w:ascii="宋体" w:hAnsi="Cambria" w:cs="宋体"/>
          <w:kern w:val="0"/>
          <w:sz w:val="24"/>
          <w:lang w:val="zh-CN"/>
        </w:rPr>
      </w:pPr>
    </w:p>
    <w:p w14:paraId="3B7FF3C6">
      <w:pPr>
        <w:pStyle w:val="8"/>
        <w:rPr>
          <w:rFonts w:hint="eastAsia" w:ascii="宋体" w:hAnsi="Cambria" w:cs="宋体"/>
          <w:kern w:val="0"/>
          <w:sz w:val="24"/>
          <w:lang w:val="zh-CN"/>
        </w:rPr>
      </w:pPr>
    </w:p>
    <w:p w14:paraId="38323164">
      <w:pPr>
        <w:rPr>
          <w:rFonts w:hint="eastAsia" w:ascii="宋体" w:hAnsi="Cambria" w:cs="宋体"/>
          <w:kern w:val="0"/>
          <w:sz w:val="24"/>
          <w:lang w:val="zh-CN"/>
        </w:rPr>
      </w:pPr>
    </w:p>
    <w:p w14:paraId="78BDA625">
      <w:pPr>
        <w:pStyle w:val="8"/>
        <w:rPr>
          <w:rFonts w:hint="eastAsia" w:ascii="宋体" w:hAnsi="Cambria" w:cs="宋体"/>
          <w:kern w:val="0"/>
          <w:sz w:val="24"/>
          <w:lang w:val="zh-CN"/>
        </w:rPr>
      </w:pPr>
    </w:p>
    <w:p w14:paraId="3542BF15">
      <w:pPr>
        <w:rPr>
          <w:rFonts w:hint="eastAsia" w:ascii="宋体" w:hAnsi="Cambria" w:cs="宋体"/>
          <w:kern w:val="0"/>
          <w:sz w:val="24"/>
          <w:lang w:val="zh-CN"/>
        </w:rPr>
      </w:pPr>
    </w:p>
    <w:p w14:paraId="4C29D708">
      <w:pPr>
        <w:pStyle w:val="8"/>
        <w:rPr>
          <w:rFonts w:hint="eastAsia" w:ascii="宋体" w:hAnsi="Cambria" w:cs="宋体"/>
          <w:kern w:val="0"/>
          <w:sz w:val="24"/>
          <w:lang w:val="zh-CN"/>
        </w:rPr>
      </w:pPr>
    </w:p>
    <w:p w14:paraId="1B1C5417">
      <w:pPr>
        <w:rPr>
          <w:rFonts w:hint="eastAsia" w:ascii="宋体" w:hAnsi="Cambria" w:cs="宋体"/>
          <w:kern w:val="0"/>
          <w:sz w:val="24"/>
          <w:lang w:val="zh-CN"/>
        </w:rPr>
      </w:pPr>
    </w:p>
    <w:p w14:paraId="39A13DAD">
      <w:pPr>
        <w:pStyle w:val="8"/>
        <w:rPr>
          <w:rFonts w:hint="eastAsia" w:ascii="宋体" w:hAnsi="Cambria" w:cs="宋体"/>
          <w:kern w:val="0"/>
          <w:sz w:val="24"/>
          <w:lang w:val="zh-CN"/>
        </w:rPr>
      </w:pPr>
    </w:p>
    <w:p w14:paraId="2920B0E9">
      <w:pPr>
        <w:rPr>
          <w:rFonts w:hint="eastAsia" w:ascii="宋体" w:hAnsi="Cambria" w:cs="宋体"/>
          <w:kern w:val="0"/>
          <w:sz w:val="24"/>
          <w:lang w:val="zh-CN"/>
        </w:rPr>
      </w:pPr>
    </w:p>
    <w:p w14:paraId="0BB90B65">
      <w:pPr>
        <w:pStyle w:val="8"/>
        <w:rPr>
          <w:rFonts w:hint="eastAsia" w:ascii="宋体" w:hAnsi="Cambria" w:cs="宋体"/>
          <w:kern w:val="0"/>
          <w:sz w:val="24"/>
          <w:lang w:val="zh-CN"/>
        </w:rPr>
      </w:pPr>
    </w:p>
    <w:p w14:paraId="75440837">
      <w:pPr>
        <w:rPr>
          <w:rFonts w:hint="eastAsia" w:ascii="宋体" w:hAnsi="Cambria" w:cs="宋体"/>
          <w:kern w:val="0"/>
          <w:sz w:val="24"/>
          <w:lang w:val="zh-CN"/>
        </w:rPr>
      </w:pPr>
    </w:p>
    <w:p w14:paraId="4FEF72E4">
      <w:pPr>
        <w:pStyle w:val="8"/>
        <w:rPr>
          <w:rFonts w:hint="eastAsia" w:ascii="宋体" w:hAnsi="Cambria" w:cs="宋体"/>
          <w:kern w:val="0"/>
          <w:sz w:val="24"/>
          <w:lang w:val="zh-CN"/>
        </w:rPr>
      </w:pPr>
    </w:p>
    <w:p w14:paraId="7D2F7417">
      <w:pPr>
        <w:rPr>
          <w:rFonts w:hint="eastAsia" w:ascii="宋体" w:hAnsi="Cambria" w:cs="宋体"/>
          <w:kern w:val="0"/>
          <w:sz w:val="24"/>
          <w:lang w:val="zh-CN"/>
        </w:rPr>
      </w:pPr>
    </w:p>
    <w:p w14:paraId="0BDA342C">
      <w:pPr>
        <w:pStyle w:val="8"/>
        <w:rPr>
          <w:rFonts w:hint="eastAsia" w:ascii="宋体" w:hAnsi="Cambria" w:cs="宋体"/>
          <w:kern w:val="0"/>
          <w:sz w:val="24"/>
          <w:lang w:val="zh-CN"/>
        </w:rPr>
      </w:pPr>
    </w:p>
    <w:p w14:paraId="49FE688E">
      <w:pPr>
        <w:rPr>
          <w:rFonts w:hint="eastAsia" w:ascii="宋体" w:hAnsi="Cambria" w:cs="宋体"/>
          <w:kern w:val="0"/>
          <w:sz w:val="24"/>
          <w:lang w:val="zh-CN"/>
        </w:rPr>
      </w:pPr>
    </w:p>
    <w:p w14:paraId="76F7166C">
      <w:pPr>
        <w:pStyle w:val="8"/>
        <w:rPr>
          <w:rFonts w:hint="eastAsia" w:ascii="宋体" w:hAnsi="Cambria" w:cs="宋体"/>
          <w:kern w:val="0"/>
          <w:sz w:val="24"/>
          <w:lang w:val="zh-CN"/>
        </w:rPr>
      </w:pPr>
    </w:p>
    <w:p w14:paraId="2667C5A9">
      <w:pPr>
        <w:rPr>
          <w:rFonts w:hint="eastAsia"/>
          <w:lang w:val="zh-CN"/>
        </w:rPr>
      </w:pPr>
    </w:p>
    <w:p w14:paraId="7350E593">
      <w:pPr>
        <w:autoSpaceDE w:val="0"/>
        <w:autoSpaceDN w:val="0"/>
        <w:adjustRightInd w:val="0"/>
        <w:spacing w:line="400" w:lineRule="exact"/>
        <w:rPr>
          <w:rFonts w:hint="eastAsia" w:ascii="宋体" w:hAnsi="Cambria" w:cs="宋体"/>
          <w:kern w:val="0"/>
          <w:sz w:val="24"/>
          <w:lang w:val="zh-CN"/>
        </w:rPr>
      </w:pPr>
    </w:p>
    <w:p w14:paraId="0B244BA6">
      <w:pPr>
        <w:widowControl/>
        <w:snapToGrid w:val="0"/>
        <w:spacing w:line="360" w:lineRule="auto"/>
        <w:rPr>
          <w:rFonts w:hint="eastAsia" w:ascii="宋体"/>
          <w:b/>
          <w:sz w:val="28"/>
          <w:szCs w:val="28"/>
        </w:rPr>
      </w:pPr>
      <w:bookmarkStart w:id="142" w:name="_Toc500493815"/>
    </w:p>
    <w:p w14:paraId="46539077">
      <w:pPr>
        <w:widowControl/>
        <w:snapToGrid w:val="0"/>
        <w:spacing w:line="360" w:lineRule="auto"/>
        <w:rPr>
          <w:rFonts w:hint="eastAsia" w:ascii="宋体"/>
          <w:b/>
          <w:sz w:val="28"/>
          <w:szCs w:val="28"/>
        </w:rPr>
      </w:pPr>
    </w:p>
    <w:p w14:paraId="181672AC">
      <w:pPr>
        <w:widowControl/>
        <w:snapToGrid w:val="0"/>
        <w:spacing w:line="360" w:lineRule="auto"/>
        <w:rPr>
          <w:rFonts w:hint="eastAsia" w:ascii="宋体"/>
          <w:b/>
          <w:sz w:val="28"/>
          <w:szCs w:val="28"/>
        </w:rPr>
      </w:pPr>
    </w:p>
    <w:p w14:paraId="3620186F">
      <w:pPr>
        <w:pStyle w:val="13"/>
        <w:rPr>
          <w:rFonts w:hint="eastAsia"/>
          <w:lang w:val="en-US" w:eastAsia="zh-CN"/>
        </w:rPr>
      </w:pPr>
    </w:p>
    <w:p w14:paraId="2C1A6632">
      <w:pPr>
        <w:rPr>
          <w:rFonts w:hint="eastAsia"/>
        </w:rPr>
      </w:pPr>
    </w:p>
    <w:p w14:paraId="14CC5E1D">
      <w:pPr>
        <w:widowControl/>
        <w:snapToGrid w:val="0"/>
        <w:spacing w:line="360" w:lineRule="auto"/>
        <w:outlineLvl w:val="1"/>
        <w:rPr>
          <w:rFonts w:hint="eastAsia" w:ascii="宋体"/>
          <w:b/>
          <w:sz w:val="28"/>
          <w:szCs w:val="28"/>
        </w:rPr>
      </w:pPr>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142"/>
    </w:p>
    <w:p w14:paraId="3D580A89">
      <w:pPr>
        <w:jc w:val="center"/>
        <w:rPr>
          <w:rFonts w:hint="eastAsia" w:ascii="宋体" w:hAnsi="宋体"/>
          <w:b/>
          <w:sz w:val="36"/>
          <w:szCs w:val="36"/>
        </w:rPr>
      </w:pPr>
      <w:bookmarkStart w:id="143" w:name="OLE_LINK13"/>
      <w:bookmarkStart w:id="144" w:name="OLE_LINK14"/>
    </w:p>
    <w:p w14:paraId="686958A0">
      <w:pPr>
        <w:jc w:val="center"/>
        <w:rPr>
          <w:rFonts w:ascii="宋体" w:hAnsi="宋体"/>
          <w:b/>
          <w:sz w:val="36"/>
          <w:szCs w:val="36"/>
        </w:rPr>
      </w:pPr>
      <w:r>
        <w:rPr>
          <w:rFonts w:hint="eastAsia" w:ascii="宋体" w:hAnsi="宋体"/>
          <w:b/>
          <w:sz w:val="36"/>
          <w:szCs w:val="36"/>
        </w:rPr>
        <w:t>残疾人福利性单位声明函</w:t>
      </w:r>
    </w:p>
    <w:bookmarkEnd w:id="143"/>
    <w:bookmarkEnd w:id="144"/>
    <w:p w14:paraId="1B6F1059">
      <w:pPr>
        <w:spacing w:after="120" w:afterLines="50"/>
        <w:rPr>
          <w:rFonts w:hint="eastAsia" w:ascii="宋体" w:hAnsi="宋体"/>
          <w:bCs/>
        </w:rPr>
      </w:pPr>
    </w:p>
    <w:p w14:paraId="73EB74C0">
      <w:pPr>
        <w:spacing w:after="120" w:afterLines="50"/>
        <w:rPr>
          <w:rFonts w:ascii="宋体" w:hAnsi="宋体"/>
          <w:b/>
          <w:bCs/>
          <w:sz w:val="24"/>
        </w:rPr>
      </w:pPr>
      <w:r>
        <w:rPr>
          <w:rFonts w:hint="eastAsia" w:ascii="宋体" w:hAnsi="宋体"/>
          <w:b/>
          <w:bCs/>
          <w:sz w:val="24"/>
        </w:rPr>
        <w:t>致：西宁市政府采购中心</w:t>
      </w:r>
    </w:p>
    <w:p w14:paraId="15174E43">
      <w:pPr>
        <w:spacing w:line="360" w:lineRule="auto"/>
        <w:ind w:firstLine="480"/>
        <w:rPr>
          <w:rFonts w:hint="eastAsia"/>
          <w:sz w:val="24"/>
        </w:rPr>
      </w:pPr>
    </w:p>
    <w:p w14:paraId="17AAD7CB">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2AB3344">
      <w:pPr>
        <w:spacing w:line="360" w:lineRule="auto"/>
        <w:ind w:firstLine="480"/>
        <w:rPr>
          <w:sz w:val="24"/>
        </w:rPr>
      </w:pPr>
      <w:r>
        <w:rPr>
          <w:rFonts w:hint="eastAsia"/>
          <w:sz w:val="24"/>
        </w:rPr>
        <w:t>本单位对上述声明的真实性负责。如有虚假，将依法承担相应责任。</w:t>
      </w:r>
    </w:p>
    <w:p w14:paraId="3CC33826">
      <w:pPr>
        <w:spacing w:line="360" w:lineRule="auto"/>
        <w:ind w:firstLine="480"/>
        <w:rPr>
          <w:rFonts w:hint="eastAsia"/>
          <w:sz w:val="24"/>
        </w:rPr>
      </w:pPr>
    </w:p>
    <w:p w14:paraId="51CE3C8F">
      <w:pPr>
        <w:spacing w:line="360" w:lineRule="auto"/>
        <w:rPr>
          <w:rFonts w:hint="eastAsia"/>
          <w:sz w:val="24"/>
        </w:rPr>
      </w:pPr>
      <w:r>
        <w:rPr>
          <w:rFonts w:hint="eastAsia"/>
          <w:sz w:val="24"/>
        </w:rPr>
        <w:t>注：</w:t>
      </w:r>
      <w:r>
        <w:rPr>
          <w:rFonts w:hint="eastAsia" w:ascii="宋体" w:hAnsi="宋体"/>
          <w:sz w:val="24"/>
        </w:rPr>
        <w:t>若无此项内容，可不提供此函。</w:t>
      </w:r>
    </w:p>
    <w:p w14:paraId="6579F17C">
      <w:pPr>
        <w:spacing w:line="360" w:lineRule="auto"/>
        <w:ind w:firstLine="480"/>
        <w:rPr>
          <w:rFonts w:hint="eastAsia"/>
        </w:rPr>
      </w:pPr>
    </w:p>
    <w:p w14:paraId="3FAE2658">
      <w:pPr>
        <w:spacing w:line="360" w:lineRule="auto"/>
        <w:ind w:firstLine="480"/>
        <w:rPr>
          <w:rFonts w:hint="eastAsia"/>
        </w:rPr>
      </w:pPr>
    </w:p>
    <w:p w14:paraId="45253B1C">
      <w:pPr>
        <w:spacing w:line="360" w:lineRule="auto"/>
        <w:ind w:firstLine="480"/>
        <w:rPr>
          <w:rFonts w:hint="eastAsia"/>
        </w:rPr>
      </w:pPr>
    </w:p>
    <w:p w14:paraId="5A6FB535">
      <w:pPr>
        <w:spacing w:line="360" w:lineRule="auto"/>
        <w:ind w:firstLine="480"/>
        <w:rPr>
          <w:rFonts w:hint="eastAsia"/>
        </w:rPr>
      </w:pPr>
    </w:p>
    <w:p w14:paraId="7BA05509">
      <w:pPr>
        <w:spacing w:line="360" w:lineRule="auto"/>
        <w:ind w:firstLine="480"/>
        <w:rPr>
          <w:rFonts w:hint="eastAsia"/>
        </w:rPr>
      </w:pPr>
    </w:p>
    <w:p w14:paraId="562EFF0D">
      <w:pPr>
        <w:spacing w:line="360" w:lineRule="auto"/>
        <w:ind w:firstLine="480"/>
        <w:rPr>
          <w:rFonts w:hint="eastAsia"/>
        </w:rPr>
      </w:pPr>
    </w:p>
    <w:p w14:paraId="523319F2">
      <w:pPr>
        <w:spacing w:line="360" w:lineRule="auto"/>
        <w:ind w:firstLine="480"/>
        <w:rPr>
          <w:rFonts w:hint="eastAsia"/>
        </w:rPr>
      </w:pPr>
    </w:p>
    <w:p w14:paraId="55985CA8">
      <w:pPr>
        <w:spacing w:line="360" w:lineRule="auto"/>
        <w:ind w:firstLine="480"/>
      </w:pPr>
    </w:p>
    <w:p w14:paraId="37124068">
      <w:pPr>
        <w:spacing w:line="360" w:lineRule="auto"/>
        <w:ind w:firstLine="480"/>
      </w:pPr>
    </w:p>
    <w:p w14:paraId="169B2CB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055EF080">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03D0315D">
      <w:pPr>
        <w:ind w:firstLine="482"/>
        <w:jc w:val="center"/>
        <w:rPr>
          <w:rFonts w:hint="eastAsia" w:ascii="宋体" w:hAnsi="宋体"/>
          <w:b/>
          <w:sz w:val="24"/>
        </w:rPr>
      </w:pPr>
      <w:r>
        <w:rPr>
          <w:rFonts w:hint="eastAsia" w:ascii="宋体" w:hAnsi="宋体"/>
          <w:b/>
          <w:sz w:val="24"/>
        </w:rPr>
        <w:t xml:space="preserve">              年   月  日</w:t>
      </w:r>
    </w:p>
    <w:p w14:paraId="0A026463">
      <w:pPr>
        <w:autoSpaceDE w:val="0"/>
        <w:autoSpaceDN w:val="0"/>
        <w:adjustRightInd w:val="0"/>
        <w:spacing w:line="400" w:lineRule="exact"/>
        <w:rPr>
          <w:rFonts w:hint="eastAsia" w:ascii="宋体" w:hAnsi="Cambria" w:cs="宋体"/>
          <w:kern w:val="0"/>
          <w:sz w:val="24"/>
          <w:lang w:val="zh-CN"/>
        </w:rPr>
      </w:pPr>
    </w:p>
    <w:p w14:paraId="142090EE">
      <w:pPr>
        <w:autoSpaceDE w:val="0"/>
        <w:autoSpaceDN w:val="0"/>
        <w:adjustRightInd w:val="0"/>
        <w:spacing w:line="400" w:lineRule="exact"/>
        <w:rPr>
          <w:rFonts w:hint="eastAsia" w:ascii="宋体" w:hAnsi="Cambria" w:cs="宋体"/>
          <w:kern w:val="0"/>
          <w:sz w:val="24"/>
          <w:lang w:val="zh-CN"/>
        </w:rPr>
      </w:pPr>
    </w:p>
    <w:p w14:paraId="517074BB">
      <w:pPr>
        <w:autoSpaceDE w:val="0"/>
        <w:autoSpaceDN w:val="0"/>
        <w:adjustRightInd w:val="0"/>
        <w:spacing w:line="400" w:lineRule="exact"/>
        <w:rPr>
          <w:rFonts w:hint="eastAsia" w:ascii="宋体" w:hAnsi="Cambria" w:cs="宋体"/>
          <w:kern w:val="0"/>
          <w:sz w:val="24"/>
          <w:lang w:val="zh-CN"/>
        </w:rPr>
      </w:pPr>
    </w:p>
    <w:p w14:paraId="034A1E17">
      <w:pPr>
        <w:autoSpaceDE w:val="0"/>
        <w:autoSpaceDN w:val="0"/>
        <w:adjustRightInd w:val="0"/>
        <w:spacing w:line="400" w:lineRule="exact"/>
        <w:rPr>
          <w:rFonts w:hint="eastAsia" w:ascii="宋体" w:hAnsi="Cambria" w:cs="宋体"/>
          <w:kern w:val="0"/>
          <w:sz w:val="24"/>
          <w:lang w:val="zh-CN"/>
        </w:rPr>
      </w:pPr>
    </w:p>
    <w:p w14:paraId="27812962">
      <w:pPr>
        <w:pStyle w:val="13"/>
        <w:rPr>
          <w:rFonts w:hint="eastAsia"/>
          <w:lang w:val="zh-CN" w:eastAsia="zh-CN"/>
        </w:rPr>
      </w:pPr>
    </w:p>
    <w:p w14:paraId="55B003FE">
      <w:pPr>
        <w:autoSpaceDE w:val="0"/>
        <w:autoSpaceDN w:val="0"/>
        <w:adjustRightInd w:val="0"/>
        <w:spacing w:line="400" w:lineRule="exact"/>
        <w:rPr>
          <w:rFonts w:hint="eastAsia" w:ascii="宋体" w:hAnsi="Cambria" w:cs="宋体"/>
          <w:kern w:val="0"/>
          <w:sz w:val="24"/>
          <w:lang w:val="zh-CN"/>
        </w:rPr>
      </w:pPr>
    </w:p>
    <w:p w14:paraId="6D043C6C">
      <w:pPr>
        <w:widowControl/>
        <w:snapToGrid w:val="0"/>
        <w:spacing w:line="360" w:lineRule="auto"/>
        <w:outlineLvl w:val="1"/>
        <w:rPr>
          <w:rFonts w:hint="eastAsia" w:ascii="宋体"/>
          <w:b/>
          <w:color w:val="000000"/>
          <w:sz w:val="28"/>
          <w:szCs w:val="28"/>
        </w:rPr>
      </w:pPr>
      <w:bookmarkStart w:id="145" w:name="_Toc500493816"/>
    </w:p>
    <w:p w14:paraId="6AB4FFA8">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8</w:t>
      </w:r>
      <w:r>
        <w:rPr>
          <w:rFonts w:hint="eastAsia" w:ascii="宋体"/>
          <w:b/>
          <w:color w:val="000000"/>
          <w:sz w:val="28"/>
          <w:szCs w:val="28"/>
        </w:rPr>
        <w:t>：销售及服务相关内容</w:t>
      </w:r>
      <w:bookmarkEnd w:id="145"/>
    </w:p>
    <w:p w14:paraId="2B73CBEE">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09A0E9C0">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125510F5">
      <w:pPr>
        <w:ind w:firstLine="480"/>
        <w:rPr>
          <w:rFonts w:hint="eastAsia"/>
          <w:color w:val="000000"/>
        </w:rPr>
      </w:pPr>
    </w:p>
    <w:p w14:paraId="228403D6">
      <w:pPr>
        <w:ind w:firstLine="480"/>
        <w:rPr>
          <w:rFonts w:hint="eastAsia" w:ascii="宋体" w:hAnsi="宋体"/>
          <w:color w:val="000000"/>
          <w:sz w:val="28"/>
        </w:rPr>
      </w:pPr>
      <w:r>
        <w:rPr>
          <w:rFonts w:hint="eastAsia" w:ascii="宋体" w:hAnsi="宋体"/>
          <w:color w:val="000000"/>
          <w:sz w:val="28"/>
        </w:rPr>
        <w:t>按照招标文件评标标准中的相关要求，提供：</w:t>
      </w:r>
    </w:p>
    <w:p w14:paraId="3FF1083E">
      <w:pPr>
        <w:ind w:firstLine="480"/>
        <w:rPr>
          <w:rFonts w:hint="eastAsia" w:ascii="宋体" w:hAnsi="宋体"/>
          <w:color w:val="000000"/>
          <w:sz w:val="28"/>
        </w:rPr>
      </w:pPr>
      <w:r>
        <w:rPr>
          <w:rFonts w:hint="eastAsia" w:ascii="宋体" w:hAnsi="宋体"/>
          <w:color w:val="000000"/>
          <w:sz w:val="28"/>
        </w:rPr>
        <w:t>1、详细的项目管理及实施方案。</w:t>
      </w:r>
    </w:p>
    <w:p w14:paraId="42362711">
      <w:pPr>
        <w:ind w:firstLine="480"/>
        <w:rPr>
          <w:rFonts w:hint="eastAsia" w:ascii="宋体" w:hAnsi="宋体"/>
          <w:color w:val="000000"/>
          <w:sz w:val="28"/>
        </w:rPr>
      </w:pPr>
      <w:r>
        <w:rPr>
          <w:rFonts w:hint="eastAsia" w:ascii="宋体" w:hAnsi="宋体"/>
          <w:color w:val="000000"/>
          <w:sz w:val="28"/>
        </w:rPr>
        <w:t>2、投标产品服务地点、服务时间、服务方式、服务进度以及售后服务计划、措施及服务等方面的承诺。</w:t>
      </w:r>
    </w:p>
    <w:p w14:paraId="679B1983">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2300C75A">
      <w:pPr>
        <w:pStyle w:val="13"/>
        <w:jc w:val="left"/>
        <w:rPr>
          <w:rFonts w:ascii="宋体" w:hAnsi="宋体" w:cs="Cambria"/>
          <w:sz w:val="32"/>
        </w:rPr>
      </w:pPr>
      <w:bookmarkStart w:id="146" w:name="_Toc428180593"/>
      <w:bookmarkStart w:id="147" w:name="_Toc11535"/>
      <w:bookmarkStart w:id="148" w:name="_Toc8017"/>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9</w:t>
      </w:r>
      <w:r>
        <w:rPr>
          <w:rFonts w:hint="eastAsia" w:ascii="宋体" w:hAnsi="宋体"/>
          <w:sz w:val="28"/>
          <w:lang w:val="zh-CN"/>
        </w:rPr>
        <w:t>：投标人认为在其他方面有必要说明的事项</w:t>
      </w:r>
      <w:bookmarkEnd w:id="146"/>
      <w:bookmarkEnd w:id="147"/>
      <w:bookmarkEnd w:id="148"/>
    </w:p>
    <w:p w14:paraId="42CA077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42A58D9">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48229FE9">
      <w:pPr>
        <w:autoSpaceDE w:val="0"/>
        <w:autoSpaceDN w:val="0"/>
        <w:adjustRightInd w:val="0"/>
        <w:spacing w:line="400" w:lineRule="exact"/>
        <w:ind w:firstLine="600"/>
        <w:rPr>
          <w:rFonts w:ascii="宋体" w:hAnsi="Cambria" w:cs="宋体"/>
          <w:kern w:val="0"/>
          <w:sz w:val="24"/>
          <w:lang w:val="zh-CN"/>
        </w:rPr>
      </w:pPr>
    </w:p>
    <w:p w14:paraId="79CF25C7">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1964042">
      <w:pPr>
        <w:autoSpaceDE w:val="0"/>
        <w:autoSpaceDN w:val="0"/>
        <w:adjustRightInd w:val="0"/>
        <w:spacing w:line="400" w:lineRule="exact"/>
        <w:jc w:val="left"/>
        <w:rPr>
          <w:rFonts w:ascii="宋体" w:hAnsi="Cambria" w:cs="宋体"/>
          <w:kern w:val="0"/>
          <w:sz w:val="24"/>
          <w:lang w:val="zh-CN"/>
        </w:rPr>
      </w:pPr>
    </w:p>
    <w:p w14:paraId="21D5EE30">
      <w:pPr>
        <w:autoSpaceDE w:val="0"/>
        <w:autoSpaceDN w:val="0"/>
        <w:adjustRightInd w:val="0"/>
        <w:spacing w:line="400" w:lineRule="exact"/>
        <w:jc w:val="left"/>
        <w:rPr>
          <w:rFonts w:ascii="宋体" w:hAnsi="Cambria" w:cs="宋体"/>
          <w:kern w:val="0"/>
          <w:sz w:val="24"/>
          <w:lang w:val="zh-CN"/>
        </w:rPr>
      </w:pPr>
    </w:p>
    <w:p w14:paraId="302E4C2E">
      <w:pPr>
        <w:autoSpaceDE w:val="0"/>
        <w:autoSpaceDN w:val="0"/>
        <w:adjustRightInd w:val="0"/>
        <w:spacing w:line="400" w:lineRule="exact"/>
        <w:jc w:val="left"/>
        <w:rPr>
          <w:rFonts w:ascii="宋体" w:hAnsi="Cambria" w:cs="宋体"/>
          <w:kern w:val="0"/>
          <w:sz w:val="24"/>
          <w:lang w:val="zh-CN"/>
        </w:rPr>
      </w:pPr>
    </w:p>
    <w:p w14:paraId="74E42080">
      <w:pPr>
        <w:autoSpaceDE w:val="0"/>
        <w:autoSpaceDN w:val="0"/>
        <w:adjustRightInd w:val="0"/>
        <w:spacing w:line="400" w:lineRule="exact"/>
        <w:jc w:val="left"/>
        <w:rPr>
          <w:rFonts w:ascii="宋体" w:hAnsi="Cambria" w:cs="宋体"/>
          <w:kern w:val="0"/>
          <w:sz w:val="24"/>
          <w:lang w:val="zh-CN"/>
        </w:rPr>
      </w:pPr>
    </w:p>
    <w:p w14:paraId="066D2C47">
      <w:pPr>
        <w:autoSpaceDE w:val="0"/>
        <w:autoSpaceDN w:val="0"/>
        <w:adjustRightInd w:val="0"/>
        <w:spacing w:line="400" w:lineRule="exact"/>
        <w:jc w:val="left"/>
        <w:rPr>
          <w:rFonts w:ascii="宋体" w:hAnsi="Cambria" w:cs="宋体"/>
          <w:kern w:val="0"/>
          <w:sz w:val="24"/>
          <w:lang w:val="zh-CN"/>
        </w:rPr>
      </w:pPr>
    </w:p>
    <w:p w14:paraId="6037A744">
      <w:pPr>
        <w:autoSpaceDE w:val="0"/>
        <w:autoSpaceDN w:val="0"/>
        <w:adjustRightInd w:val="0"/>
        <w:spacing w:line="400" w:lineRule="exact"/>
        <w:jc w:val="left"/>
        <w:rPr>
          <w:rFonts w:ascii="宋体" w:hAnsi="Cambria" w:cs="宋体"/>
          <w:kern w:val="0"/>
          <w:sz w:val="24"/>
          <w:lang w:val="zh-CN"/>
        </w:rPr>
      </w:pPr>
    </w:p>
    <w:p w14:paraId="2D8BBB08">
      <w:pPr>
        <w:autoSpaceDE w:val="0"/>
        <w:autoSpaceDN w:val="0"/>
        <w:adjustRightInd w:val="0"/>
        <w:spacing w:line="400" w:lineRule="exact"/>
        <w:jc w:val="left"/>
        <w:rPr>
          <w:rFonts w:ascii="宋体" w:hAnsi="Cambria" w:cs="宋体"/>
          <w:kern w:val="0"/>
          <w:sz w:val="24"/>
          <w:lang w:val="zh-CN"/>
        </w:rPr>
      </w:pPr>
    </w:p>
    <w:p w14:paraId="1412F3E2">
      <w:pPr>
        <w:autoSpaceDE w:val="0"/>
        <w:autoSpaceDN w:val="0"/>
        <w:adjustRightInd w:val="0"/>
        <w:spacing w:line="400" w:lineRule="exact"/>
        <w:jc w:val="left"/>
        <w:rPr>
          <w:rFonts w:ascii="宋体" w:hAnsi="Cambria" w:cs="宋体"/>
          <w:kern w:val="0"/>
          <w:sz w:val="24"/>
          <w:lang w:val="zh-CN"/>
        </w:rPr>
      </w:pPr>
    </w:p>
    <w:p w14:paraId="763113E7">
      <w:pPr>
        <w:autoSpaceDE w:val="0"/>
        <w:autoSpaceDN w:val="0"/>
        <w:adjustRightInd w:val="0"/>
        <w:spacing w:line="400" w:lineRule="exact"/>
        <w:jc w:val="left"/>
        <w:rPr>
          <w:rFonts w:ascii="宋体" w:hAnsi="Cambria" w:cs="宋体"/>
          <w:kern w:val="0"/>
          <w:sz w:val="24"/>
          <w:lang w:val="zh-CN"/>
        </w:rPr>
      </w:pPr>
    </w:p>
    <w:p w14:paraId="600F744E">
      <w:pPr>
        <w:autoSpaceDE w:val="0"/>
        <w:autoSpaceDN w:val="0"/>
        <w:adjustRightInd w:val="0"/>
        <w:spacing w:line="400" w:lineRule="exact"/>
        <w:jc w:val="left"/>
        <w:rPr>
          <w:rFonts w:ascii="宋体" w:hAnsi="Cambria" w:cs="宋体"/>
          <w:kern w:val="0"/>
          <w:sz w:val="24"/>
          <w:lang w:val="zh-CN"/>
        </w:rPr>
      </w:pPr>
    </w:p>
    <w:p w14:paraId="63F84FBF">
      <w:pPr>
        <w:autoSpaceDE w:val="0"/>
        <w:autoSpaceDN w:val="0"/>
        <w:adjustRightInd w:val="0"/>
        <w:spacing w:line="400" w:lineRule="exact"/>
        <w:jc w:val="left"/>
        <w:rPr>
          <w:rFonts w:ascii="宋体" w:hAnsi="Cambria" w:cs="宋体"/>
          <w:kern w:val="0"/>
          <w:sz w:val="24"/>
          <w:lang w:val="zh-CN"/>
        </w:rPr>
      </w:pPr>
    </w:p>
    <w:p w14:paraId="3B36C59F">
      <w:pPr>
        <w:autoSpaceDE w:val="0"/>
        <w:autoSpaceDN w:val="0"/>
        <w:adjustRightInd w:val="0"/>
        <w:spacing w:line="400" w:lineRule="exact"/>
        <w:jc w:val="left"/>
        <w:rPr>
          <w:rFonts w:ascii="宋体" w:hAnsi="Cambria" w:cs="宋体"/>
          <w:kern w:val="0"/>
          <w:sz w:val="24"/>
          <w:lang w:val="zh-CN"/>
        </w:rPr>
      </w:pPr>
    </w:p>
    <w:p w14:paraId="37A81ECC">
      <w:pPr>
        <w:autoSpaceDE w:val="0"/>
        <w:autoSpaceDN w:val="0"/>
        <w:adjustRightInd w:val="0"/>
        <w:spacing w:line="400" w:lineRule="exact"/>
        <w:jc w:val="left"/>
        <w:rPr>
          <w:rFonts w:ascii="宋体" w:hAnsi="Cambria" w:cs="宋体"/>
          <w:kern w:val="0"/>
          <w:sz w:val="24"/>
          <w:lang w:val="zh-CN"/>
        </w:rPr>
      </w:pPr>
    </w:p>
    <w:p w14:paraId="6F92E3A6">
      <w:pPr>
        <w:autoSpaceDE w:val="0"/>
        <w:autoSpaceDN w:val="0"/>
        <w:adjustRightInd w:val="0"/>
        <w:spacing w:line="400" w:lineRule="exact"/>
        <w:jc w:val="left"/>
        <w:rPr>
          <w:rFonts w:ascii="宋体" w:hAnsi="Cambria" w:cs="宋体"/>
          <w:kern w:val="0"/>
          <w:sz w:val="24"/>
          <w:lang w:val="zh-CN"/>
        </w:rPr>
      </w:pPr>
    </w:p>
    <w:p w14:paraId="1B1C78E8">
      <w:pPr>
        <w:autoSpaceDE w:val="0"/>
        <w:autoSpaceDN w:val="0"/>
        <w:adjustRightInd w:val="0"/>
        <w:spacing w:line="400" w:lineRule="exact"/>
        <w:jc w:val="left"/>
        <w:rPr>
          <w:rFonts w:ascii="宋体" w:hAnsi="Cambria" w:cs="宋体"/>
          <w:kern w:val="0"/>
          <w:sz w:val="24"/>
          <w:lang w:val="zh-CN"/>
        </w:rPr>
      </w:pPr>
    </w:p>
    <w:p w14:paraId="33DF0C2A">
      <w:pPr>
        <w:autoSpaceDE w:val="0"/>
        <w:autoSpaceDN w:val="0"/>
        <w:adjustRightInd w:val="0"/>
        <w:spacing w:line="400" w:lineRule="exact"/>
        <w:jc w:val="left"/>
        <w:rPr>
          <w:rFonts w:ascii="宋体" w:hAnsi="Cambria" w:cs="宋体"/>
          <w:kern w:val="0"/>
          <w:sz w:val="24"/>
          <w:lang w:val="zh-CN"/>
        </w:rPr>
      </w:pPr>
    </w:p>
    <w:p w14:paraId="2D2FD65C">
      <w:pPr>
        <w:autoSpaceDE w:val="0"/>
        <w:autoSpaceDN w:val="0"/>
        <w:adjustRightInd w:val="0"/>
        <w:spacing w:line="400" w:lineRule="exact"/>
        <w:jc w:val="left"/>
        <w:rPr>
          <w:rFonts w:ascii="宋体" w:hAnsi="Cambria" w:cs="宋体"/>
          <w:kern w:val="0"/>
          <w:sz w:val="24"/>
          <w:lang w:val="zh-CN"/>
        </w:rPr>
      </w:pPr>
    </w:p>
    <w:p w14:paraId="6D3CE98E">
      <w:pPr>
        <w:autoSpaceDE w:val="0"/>
        <w:autoSpaceDN w:val="0"/>
        <w:adjustRightInd w:val="0"/>
        <w:spacing w:line="400" w:lineRule="exact"/>
        <w:jc w:val="left"/>
        <w:rPr>
          <w:rFonts w:ascii="宋体" w:hAnsi="Cambria" w:cs="宋体"/>
          <w:kern w:val="0"/>
          <w:sz w:val="24"/>
          <w:lang w:val="zh-CN"/>
        </w:rPr>
      </w:pPr>
    </w:p>
    <w:p w14:paraId="3B9E62C3">
      <w:pPr>
        <w:autoSpaceDE w:val="0"/>
        <w:autoSpaceDN w:val="0"/>
        <w:adjustRightInd w:val="0"/>
        <w:spacing w:line="400" w:lineRule="exact"/>
        <w:jc w:val="left"/>
        <w:rPr>
          <w:rFonts w:ascii="宋体" w:hAnsi="Cambria" w:cs="宋体"/>
          <w:kern w:val="0"/>
          <w:sz w:val="24"/>
          <w:lang w:val="zh-CN"/>
        </w:rPr>
      </w:pPr>
    </w:p>
    <w:p w14:paraId="704485D1">
      <w:pPr>
        <w:autoSpaceDE w:val="0"/>
        <w:autoSpaceDN w:val="0"/>
        <w:adjustRightInd w:val="0"/>
        <w:spacing w:line="400" w:lineRule="exact"/>
        <w:jc w:val="left"/>
        <w:rPr>
          <w:rFonts w:ascii="宋体" w:hAnsi="Cambria" w:cs="宋体"/>
          <w:kern w:val="0"/>
          <w:sz w:val="24"/>
          <w:lang w:val="zh-CN"/>
        </w:rPr>
      </w:pPr>
    </w:p>
    <w:p w14:paraId="005FC482">
      <w:pPr>
        <w:autoSpaceDE w:val="0"/>
        <w:autoSpaceDN w:val="0"/>
        <w:adjustRightInd w:val="0"/>
        <w:spacing w:line="400" w:lineRule="exact"/>
        <w:jc w:val="left"/>
        <w:rPr>
          <w:rFonts w:ascii="宋体" w:hAnsi="Cambria" w:cs="宋体"/>
          <w:kern w:val="0"/>
          <w:sz w:val="24"/>
          <w:lang w:val="zh-CN"/>
        </w:rPr>
      </w:pPr>
    </w:p>
    <w:p w14:paraId="191B5E9F">
      <w:pPr>
        <w:autoSpaceDE w:val="0"/>
        <w:autoSpaceDN w:val="0"/>
        <w:adjustRightInd w:val="0"/>
        <w:spacing w:line="400" w:lineRule="exact"/>
        <w:jc w:val="left"/>
        <w:rPr>
          <w:rFonts w:ascii="宋体" w:hAnsi="Cambria" w:cs="宋体"/>
          <w:kern w:val="0"/>
          <w:sz w:val="24"/>
          <w:lang w:val="zh-CN"/>
        </w:rPr>
      </w:pPr>
    </w:p>
    <w:p w14:paraId="7BF0038C">
      <w:pPr>
        <w:autoSpaceDE w:val="0"/>
        <w:autoSpaceDN w:val="0"/>
        <w:adjustRightInd w:val="0"/>
        <w:spacing w:line="400" w:lineRule="exact"/>
        <w:jc w:val="left"/>
        <w:rPr>
          <w:rFonts w:ascii="宋体" w:hAnsi="Cambria" w:cs="宋体"/>
          <w:kern w:val="0"/>
          <w:sz w:val="24"/>
          <w:lang w:val="zh-CN"/>
        </w:rPr>
      </w:pPr>
    </w:p>
    <w:p w14:paraId="3367E13E">
      <w:pPr>
        <w:autoSpaceDE w:val="0"/>
        <w:autoSpaceDN w:val="0"/>
        <w:adjustRightInd w:val="0"/>
        <w:spacing w:line="400" w:lineRule="exact"/>
        <w:jc w:val="left"/>
        <w:rPr>
          <w:rFonts w:hint="eastAsia" w:ascii="宋体" w:hAnsi="Cambria" w:cs="宋体"/>
          <w:kern w:val="0"/>
          <w:sz w:val="24"/>
          <w:lang w:val="zh-CN"/>
        </w:rPr>
      </w:pPr>
    </w:p>
    <w:p w14:paraId="76BF9B69">
      <w:pPr>
        <w:pStyle w:val="13"/>
        <w:rPr>
          <w:lang w:val="zh-CN" w:eastAsia="zh-CN"/>
        </w:rPr>
      </w:pPr>
    </w:p>
    <w:p w14:paraId="76455318">
      <w:pPr>
        <w:rPr>
          <w:rFonts w:hint="eastAsia"/>
          <w:lang w:val="zh-CN"/>
        </w:rPr>
      </w:pPr>
    </w:p>
    <w:p w14:paraId="72317486">
      <w:pPr>
        <w:rPr>
          <w:rFonts w:hint="eastAsia"/>
          <w:lang w:val="zh-CN"/>
        </w:rPr>
      </w:pPr>
    </w:p>
    <w:p w14:paraId="30B9A8B9">
      <w:pPr>
        <w:rPr>
          <w:rFonts w:hint="eastAsia"/>
          <w:lang w:val="zh-CN"/>
        </w:rPr>
      </w:pPr>
    </w:p>
    <w:p w14:paraId="5A866E8C">
      <w:pPr>
        <w:rPr>
          <w:rFonts w:hint="eastAsia"/>
          <w:lang w:val="zh-CN"/>
        </w:rPr>
      </w:pPr>
    </w:p>
    <w:p w14:paraId="3DC4B34F">
      <w:pPr>
        <w:rPr>
          <w:rFonts w:hint="eastAsia"/>
          <w:lang w:val="zh-CN"/>
        </w:rPr>
      </w:pPr>
    </w:p>
    <w:p w14:paraId="7570FCD7">
      <w:pPr>
        <w:rPr>
          <w:lang w:val="zh-CN"/>
        </w:rPr>
      </w:pPr>
    </w:p>
    <w:p w14:paraId="2A507E3F">
      <w:pPr>
        <w:jc w:val="center"/>
        <w:outlineLvl w:val="0"/>
        <w:rPr>
          <w:rFonts w:hint="eastAsia"/>
          <w:b/>
          <w:sz w:val="28"/>
          <w:lang w:val="zh-CN"/>
        </w:rPr>
      </w:pPr>
      <w:bookmarkStart w:id="149" w:name="_Toc2476"/>
      <w:bookmarkStart w:id="150" w:name="_Toc428180594"/>
    </w:p>
    <w:p w14:paraId="184BA1C6">
      <w:pPr>
        <w:jc w:val="center"/>
        <w:outlineLvl w:val="0"/>
        <w:rPr>
          <w:rFonts w:hint="eastAsia"/>
          <w:b/>
          <w:sz w:val="28"/>
          <w:lang w:val="zh-CN"/>
        </w:rPr>
      </w:pPr>
    </w:p>
    <w:p w14:paraId="749770BD">
      <w:pPr>
        <w:jc w:val="center"/>
        <w:outlineLvl w:val="0"/>
        <w:rPr>
          <w:rFonts w:cs="Calibri"/>
          <w:b/>
          <w:sz w:val="28"/>
        </w:rPr>
      </w:pPr>
      <w:bookmarkStart w:id="151" w:name="_Toc28339"/>
      <w:r>
        <w:rPr>
          <w:rFonts w:hint="eastAsia"/>
          <w:b/>
          <w:sz w:val="28"/>
          <w:lang w:val="zh-CN"/>
        </w:rPr>
        <w:t>第五部分</w:t>
      </w:r>
      <w:r>
        <w:rPr>
          <w:rFonts w:cs="Calibri"/>
          <w:b/>
          <w:sz w:val="28"/>
        </w:rPr>
        <w:t xml:space="preserve">  </w:t>
      </w:r>
      <w:r>
        <w:rPr>
          <w:rFonts w:hint="eastAsia"/>
          <w:b/>
          <w:sz w:val="28"/>
          <w:lang w:val="zh-CN"/>
        </w:rPr>
        <w:t>采购项目要求及技术参数</w:t>
      </w:r>
      <w:bookmarkEnd w:id="149"/>
      <w:bookmarkEnd w:id="150"/>
      <w:bookmarkEnd w:id="151"/>
    </w:p>
    <w:p w14:paraId="0EC09C23">
      <w:pPr>
        <w:spacing w:line="400" w:lineRule="exact"/>
        <w:ind w:firstLine="566" w:firstLineChars="235"/>
        <w:rPr>
          <w:rFonts w:cs="Calibri"/>
          <w:b/>
          <w:sz w:val="24"/>
          <w:szCs w:val="24"/>
        </w:rPr>
      </w:pPr>
      <w:bookmarkStart w:id="152" w:name="_Toc428180595"/>
      <w:r>
        <w:rPr>
          <w:rFonts w:hint="eastAsia"/>
          <w:b/>
          <w:sz w:val="24"/>
          <w:szCs w:val="24"/>
          <w:lang w:val="zh-CN"/>
        </w:rPr>
        <w:t>（一）投标要求</w:t>
      </w:r>
      <w:bookmarkEnd w:id="152"/>
    </w:p>
    <w:p w14:paraId="052B7C45">
      <w:pPr>
        <w:spacing w:line="400" w:lineRule="exact"/>
        <w:ind w:firstLine="566" w:firstLineChars="235"/>
        <w:rPr>
          <w:rFonts w:ascii="宋体" w:hAnsi="宋体"/>
          <w:b/>
          <w:sz w:val="24"/>
          <w:szCs w:val="24"/>
          <w:lang w:val="zh-CN"/>
        </w:rPr>
      </w:pPr>
      <w:bookmarkStart w:id="153" w:name="_Toc428180596"/>
      <w:r>
        <w:rPr>
          <w:rFonts w:ascii="宋体" w:hAnsi="宋体"/>
          <w:b/>
          <w:sz w:val="24"/>
          <w:szCs w:val="24"/>
          <w:lang w:val="zh-CN"/>
        </w:rPr>
        <w:t>1.</w:t>
      </w:r>
      <w:r>
        <w:rPr>
          <w:rFonts w:hint="eastAsia" w:ascii="宋体" w:hAnsi="宋体"/>
          <w:b/>
          <w:sz w:val="24"/>
          <w:szCs w:val="24"/>
          <w:lang w:val="zh-CN"/>
        </w:rPr>
        <w:t>投标说明</w:t>
      </w:r>
      <w:bookmarkEnd w:id="153"/>
    </w:p>
    <w:p w14:paraId="49A2A61E">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3C5778DF">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1D7D9D5D">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1.3</w:t>
      </w:r>
      <w:r>
        <w:rPr>
          <w:rFonts w:hint="eastAsia" w:ascii="宋体" w:cs="宋体"/>
          <w:kern w:val="0"/>
          <w:sz w:val="24"/>
          <w:szCs w:val="24"/>
          <w:lang w:val="zh-CN"/>
        </w:rPr>
        <w:t xml:space="preserve"> 投标人必须如实填写</w:t>
      </w:r>
      <w:r>
        <w:rPr>
          <w:rFonts w:ascii="宋体" w:cs="宋体"/>
          <w:kern w:val="0"/>
          <w:sz w:val="24"/>
          <w:szCs w:val="24"/>
          <w:lang w:val="zh-CN"/>
        </w:rPr>
        <w:t>“</w:t>
      </w:r>
      <w:r>
        <w:rPr>
          <w:rFonts w:hint="eastAsia" w:ascii="宋体" w:cs="宋体"/>
          <w:kern w:val="0"/>
          <w:sz w:val="24"/>
          <w:szCs w:val="24"/>
          <w:lang w:val="zh-CN"/>
        </w:rPr>
        <w:t>技术规格响应表</w:t>
      </w:r>
      <w:r>
        <w:rPr>
          <w:rFonts w:ascii="宋体" w:cs="宋体"/>
          <w:kern w:val="0"/>
          <w:sz w:val="24"/>
          <w:szCs w:val="24"/>
          <w:lang w:val="zh-CN"/>
        </w:rPr>
        <w:t>”</w:t>
      </w:r>
      <w:r>
        <w:rPr>
          <w:rFonts w:hint="eastAsia" w:ascii="宋体" w:cs="宋体"/>
          <w:kern w:val="0"/>
          <w:sz w:val="24"/>
          <w:szCs w:val="24"/>
          <w:lang w:val="zh-CN"/>
        </w:rPr>
        <w:t>，在</w:t>
      </w:r>
      <w:r>
        <w:rPr>
          <w:rFonts w:ascii="宋体" w:cs="宋体"/>
          <w:kern w:val="0"/>
          <w:sz w:val="24"/>
          <w:szCs w:val="24"/>
          <w:lang w:val="zh-CN"/>
        </w:rPr>
        <w:t>“</w:t>
      </w:r>
      <w:r>
        <w:rPr>
          <w:rFonts w:hint="eastAsia" w:ascii="宋体" w:cs="宋体"/>
          <w:kern w:val="0"/>
          <w:sz w:val="24"/>
          <w:szCs w:val="24"/>
          <w:lang w:val="zh-CN"/>
        </w:rPr>
        <w:t>投标产品技术参数、指标</w:t>
      </w:r>
      <w:r>
        <w:rPr>
          <w:rFonts w:ascii="宋体" w:cs="宋体"/>
          <w:kern w:val="0"/>
          <w:sz w:val="24"/>
          <w:szCs w:val="24"/>
          <w:lang w:val="zh-CN"/>
        </w:rPr>
        <w:t>”</w:t>
      </w:r>
      <w:r>
        <w:rPr>
          <w:rFonts w:hint="eastAsia" w:ascii="宋体" w:cs="宋体"/>
          <w:kern w:val="0"/>
          <w:sz w:val="24"/>
          <w:szCs w:val="24"/>
          <w:lang w:val="zh-CN"/>
        </w:rPr>
        <w:t>栏中列出所投产品的具体规格或型号和具体技术参数、指标；以招标人需求为最低指标要求，投标人对超出或不满足最低指标要求的指标需列出</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0”</w:t>
      </w:r>
      <w:r>
        <w:rPr>
          <w:rFonts w:hint="eastAsia" w:ascii="宋体" w:cs="宋体"/>
          <w:kern w:val="0"/>
          <w:sz w:val="24"/>
          <w:szCs w:val="24"/>
          <w:lang w:val="zh-CN"/>
        </w:rPr>
        <w:t>偏差。如果与投标文件中提供的产品检测报告、彩页等证明材料中的实质性响应情况不一致或直接复制招标文件</w:t>
      </w:r>
      <w:r>
        <w:rPr>
          <w:rFonts w:ascii="宋体" w:cs="宋体"/>
          <w:kern w:val="0"/>
          <w:sz w:val="24"/>
          <w:szCs w:val="24"/>
          <w:lang w:val="zh-CN"/>
        </w:rPr>
        <w:t>“</w:t>
      </w:r>
      <w:r>
        <w:rPr>
          <w:rFonts w:hint="eastAsia" w:ascii="宋体" w:cs="宋体"/>
          <w:kern w:val="0"/>
          <w:sz w:val="24"/>
          <w:szCs w:val="24"/>
          <w:lang w:val="zh-CN"/>
        </w:rPr>
        <w:t>采购需求技术参数、指标</w:t>
      </w:r>
      <w:r>
        <w:rPr>
          <w:rFonts w:ascii="宋体" w:cs="宋体"/>
          <w:kern w:val="0"/>
          <w:sz w:val="24"/>
          <w:szCs w:val="24"/>
          <w:lang w:val="zh-CN"/>
        </w:rPr>
        <w:t>”</w:t>
      </w:r>
      <w:r>
        <w:rPr>
          <w:rFonts w:hint="eastAsia" w:ascii="宋体" w:cs="宋体"/>
          <w:kern w:val="0"/>
          <w:sz w:val="24"/>
          <w:szCs w:val="24"/>
          <w:lang w:val="zh-CN"/>
        </w:rPr>
        <w:t>内容的，按评标办法处理。</w:t>
      </w:r>
    </w:p>
    <w:p w14:paraId="1E32B666">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54" w:name="_Toc428180597"/>
    </w:p>
    <w:p w14:paraId="6F192FA4">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3D9C3C2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服务时间、地点：按采购人指定的时间、地点服务并安装交付使用。</w:t>
      </w:r>
    </w:p>
    <w:p w14:paraId="7AEE0C98">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54"/>
    </w:p>
    <w:p w14:paraId="3D28464E">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4122CC17">
      <w:pPr>
        <w:spacing w:line="400" w:lineRule="exact"/>
        <w:ind w:firstLine="566" w:firstLineChars="236"/>
        <w:rPr>
          <w:rFonts w:hint="eastAsia"/>
          <w:kern w:val="0"/>
          <w:sz w:val="24"/>
          <w:lang w:val="zh-CN"/>
        </w:rPr>
      </w:pPr>
    </w:p>
    <w:p w14:paraId="2AB9A1C5">
      <w:pPr>
        <w:jc w:val="center"/>
        <w:rPr>
          <w:rFonts w:hint="eastAsia"/>
          <w:b/>
          <w:bCs/>
          <w:sz w:val="44"/>
          <w:szCs w:val="44"/>
          <w:lang w:val="en-US" w:eastAsia="zh-CN"/>
        </w:rPr>
      </w:pPr>
    </w:p>
    <w:p w14:paraId="17A77679">
      <w:pPr>
        <w:jc w:val="center"/>
        <w:rPr>
          <w:rFonts w:hint="eastAsia"/>
          <w:b/>
          <w:bCs/>
          <w:sz w:val="44"/>
          <w:szCs w:val="44"/>
          <w:lang w:val="en-US" w:eastAsia="zh-CN"/>
        </w:rPr>
      </w:pPr>
    </w:p>
    <w:p w14:paraId="530C471D">
      <w:pPr>
        <w:jc w:val="center"/>
        <w:rPr>
          <w:rFonts w:hint="eastAsia"/>
          <w:b/>
          <w:bCs/>
          <w:sz w:val="44"/>
          <w:szCs w:val="44"/>
          <w:lang w:val="en-US" w:eastAsia="zh-CN"/>
        </w:rPr>
      </w:pPr>
    </w:p>
    <w:p w14:paraId="37A8326B">
      <w:pPr>
        <w:jc w:val="center"/>
        <w:rPr>
          <w:rFonts w:hint="eastAsia"/>
          <w:b/>
          <w:bCs/>
          <w:sz w:val="44"/>
          <w:szCs w:val="44"/>
          <w:lang w:val="en-US" w:eastAsia="zh-CN"/>
        </w:rPr>
      </w:pPr>
    </w:p>
    <w:p w14:paraId="38AACFB7">
      <w:pPr>
        <w:jc w:val="center"/>
        <w:rPr>
          <w:rFonts w:hint="eastAsia"/>
          <w:b/>
          <w:bCs/>
          <w:sz w:val="44"/>
          <w:szCs w:val="44"/>
          <w:lang w:val="en-US" w:eastAsia="zh-CN"/>
        </w:rPr>
      </w:pPr>
    </w:p>
    <w:p w14:paraId="52DFC566">
      <w:pPr>
        <w:jc w:val="center"/>
        <w:rPr>
          <w:rFonts w:hint="eastAsia"/>
          <w:b/>
          <w:bCs/>
          <w:sz w:val="44"/>
          <w:szCs w:val="44"/>
          <w:lang w:val="en-US" w:eastAsia="zh-CN"/>
        </w:rPr>
      </w:pPr>
    </w:p>
    <w:p w14:paraId="78809CD1">
      <w:pPr>
        <w:jc w:val="center"/>
        <w:rPr>
          <w:rFonts w:hint="eastAsia"/>
          <w:b/>
          <w:bCs/>
          <w:sz w:val="44"/>
          <w:szCs w:val="44"/>
          <w:lang w:val="en-US" w:eastAsia="zh-CN"/>
        </w:rPr>
      </w:pPr>
    </w:p>
    <w:p w14:paraId="6B4315C1">
      <w:pPr>
        <w:jc w:val="center"/>
        <w:rPr>
          <w:rFonts w:hint="eastAsia"/>
          <w:b/>
          <w:bCs/>
          <w:sz w:val="44"/>
          <w:szCs w:val="44"/>
          <w:lang w:val="en-US" w:eastAsia="zh-CN"/>
        </w:rPr>
      </w:pPr>
    </w:p>
    <w:p w14:paraId="35BE3A7C">
      <w:pPr>
        <w:jc w:val="center"/>
        <w:rPr>
          <w:rFonts w:hint="eastAsia"/>
          <w:b/>
          <w:bCs/>
          <w:sz w:val="44"/>
          <w:szCs w:val="44"/>
          <w:lang w:val="en-US" w:eastAsia="zh-CN"/>
        </w:rPr>
      </w:pPr>
    </w:p>
    <w:p w14:paraId="15D9AAD0">
      <w:pPr>
        <w:jc w:val="center"/>
        <w:rPr>
          <w:rFonts w:hint="eastAsia"/>
          <w:b/>
          <w:bCs/>
          <w:sz w:val="44"/>
          <w:szCs w:val="44"/>
          <w:lang w:val="en-US" w:eastAsia="zh-CN"/>
        </w:rPr>
      </w:pPr>
    </w:p>
    <w:p w14:paraId="25CEC868">
      <w:pPr>
        <w:jc w:val="center"/>
        <w:rPr>
          <w:rFonts w:hint="eastAsia"/>
          <w:b/>
          <w:bCs/>
          <w:sz w:val="44"/>
          <w:szCs w:val="44"/>
          <w:lang w:val="en-US" w:eastAsia="zh-CN"/>
        </w:rPr>
      </w:pPr>
    </w:p>
    <w:p w14:paraId="2D48E6FB"/>
    <w:p w14:paraId="6CD82771"/>
    <w:p w14:paraId="18714461">
      <w:r>
        <w:br w:type="page"/>
      </w:r>
    </w:p>
    <w:p w14:paraId="68E631ED">
      <w:pPr>
        <w:pStyle w:val="8"/>
        <w:sectPr>
          <w:headerReference r:id="rId5" w:type="default"/>
          <w:footerReference r:id="rId6" w:type="default"/>
          <w:pgSz w:w="11906" w:h="16838"/>
          <w:pgMar w:top="1020" w:right="1134" w:bottom="1020" w:left="1020" w:header="851" w:footer="850" w:gutter="0"/>
          <w:cols w:space="720" w:num="1"/>
          <w:rtlGutter w:val="0"/>
          <w:docGrid w:linePitch="312" w:charSpace="0"/>
        </w:sectPr>
      </w:pPr>
    </w:p>
    <w:tbl>
      <w:tblPr>
        <w:tblStyle w:val="14"/>
        <w:tblpPr w:leftFromText="180" w:rightFromText="180" w:vertAnchor="text" w:horzAnchor="page" w:tblpX="1221" w:tblpY="196"/>
        <w:tblOverlap w:val="never"/>
        <w:tblW w:w="14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550"/>
        <w:gridCol w:w="12324"/>
        <w:gridCol w:w="735"/>
        <w:gridCol w:w="618"/>
      </w:tblGrid>
      <w:tr w14:paraId="1379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AB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西宁市沈那中学室外宣传大屏及计算机教室建设项目</w:t>
            </w:r>
          </w:p>
        </w:tc>
      </w:tr>
      <w:tr w14:paraId="7744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10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一、室外宣传大屏清单</w:t>
            </w:r>
          </w:p>
        </w:tc>
      </w:tr>
      <w:tr w14:paraId="21FF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86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3F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A7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FD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E1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2492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ED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B8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全彩LED模组</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B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1.点间距≤2.5mm；像素密度：≥160000点/㎡；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2.模组尺寸：320（W）×160（H）；模组分辨率（W×H）：</w:t>
            </w:r>
            <w:r>
              <w:rPr>
                <w:rStyle w:val="22"/>
                <w:rFonts w:eastAsia="宋体"/>
                <w:lang w:val="en-US" w:eastAsia="zh-CN" w:bidi="ar"/>
              </w:rPr>
              <w:t>≥</w:t>
            </w:r>
            <w:r>
              <w:rPr>
                <w:rStyle w:val="28"/>
                <w:lang w:val="en-US" w:eastAsia="zh-CN" w:bidi="ar"/>
              </w:rPr>
              <w:t>128x64；</w:t>
            </w:r>
            <w:r>
              <w:rPr>
                <w:rStyle w:val="28"/>
                <w:lang w:val="en-US" w:eastAsia="zh-CN" w:bidi="ar"/>
              </w:rPr>
              <w:br w:type="textWrapping"/>
            </w:r>
            <w:r>
              <w:rPr>
                <w:rStyle w:val="28"/>
                <w:lang w:val="en-US" w:eastAsia="zh-CN" w:bidi="ar"/>
              </w:rPr>
              <w:t>3.SMD封装，内部线材采用低烟无卤素环保材质，套件材料采用聚碳酸酯和玻璃纤维材质；PCB采用FR-4材质，灯驱合一，电路及表面处理采用双层板 OSP 工艺。</w:t>
            </w:r>
            <w:r>
              <w:rPr>
                <w:rStyle w:val="28"/>
                <w:lang w:val="en-US" w:eastAsia="zh-CN" w:bidi="ar"/>
              </w:rPr>
              <w:br w:type="textWrapping"/>
            </w:r>
            <w:r>
              <w:rPr>
                <w:rStyle w:val="28"/>
                <w:lang w:val="en-US" w:eastAsia="zh-CN" w:bidi="ar"/>
              </w:rPr>
              <w:t>4.显示屏亮度可达6000 cd/㎡；白平衡6500K士5%，1000K ～20000K可调；支持单点亮度色度校正功能，校正后亮度损失&lt;8%;</w:t>
            </w:r>
            <w:r>
              <w:rPr>
                <w:rStyle w:val="28"/>
                <w:lang w:val="en-US" w:eastAsia="zh-CN" w:bidi="ar"/>
              </w:rPr>
              <w:br w:type="textWrapping"/>
            </w:r>
            <w:r>
              <w:rPr>
                <w:rStyle w:val="28"/>
                <w:lang w:val="en-US" w:eastAsia="zh-CN" w:bidi="ar"/>
              </w:rPr>
              <w:t>5.符合GB/T36101-2018LED 显示屏干扰光标准 LED 显示屏亮度的限值规定。</w:t>
            </w:r>
            <w:r>
              <w:rPr>
                <w:rStyle w:val="28"/>
                <w:lang w:val="en-US" w:eastAsia="zh-CN" w:bidi="ar"/>
              </w:rPr>
              <w:br w:type="textWrapping"/>
            </w:r>
            <w:r>
              <w:rPr>
                <w:rStyle w:val="28"/>
                <w:lang w:val="en-US" w:eastAsia="zh-CN" w:bidi="ar"/>
              </w:rPr>
              <w:t>6.刷新率：≥3840Hz,支持3840HZ至7680Hz,同时支持0~100%无极调节，支持0-255级灰度调节。</w:t>
            </w:r>
            <w:r>
              <w:rPr>
                <w:rStyle w:val="28"/>
                <w:lang w:val="en-US" w:eastAsia="zh-CN" w:bidi="ar"/>
              </w:rPr>
              <w:br w:type="textWrapping"/>
            </w:r>
            <w:r>
              <w:rPr>
                <w:rStyle w:val="28"/>
                <w:lang w:val="en-US" w:eastAsia="zh-CN" w:bidi="ar"/>
              </w:rPr>
              <w:t>7.对比度：≥9000:1；水平/垂直视角：≥170°；亮度均匀性≥99%；色度均匀性在±0.001CX，Cy之内。</w:t>
            </w:r>
            <w:r>
              <w:rPr>
                <w:rStyle w:val="28"/>
                <w:lang w:val="en-US" w:eastAsia="zh-CN" w:bidi="ar"/>
              </w:rPr>
              <w:br w:type="textWrapping"/>
            </w:r>
            <w:r>
              <w:rPr>
                <w:rStyle w:val="28"/>
                <w:lang w:val="en-US" w:eastAsia="zh-CN" w:bidi="ar"/>
              </w:rPr>
              <w:t>8.寿命典型值可达120000h；平均失效间隔工作时间≥100000h；平均故障恢复时间&lt;2min；LED显示屏支持不关屏热插拔抢修维护功能，支持前/后维护、支持磁吸固定方式；</w:t>
            </w:r>
            <w:r>
              <w:rPr>
                <w:rStyle w:val="28"/>
                <w:lang w:val="en-US" w:eastAsia="zh-CN" w:bidi="ar"/>
              </w:rPr>
              <w:br w:type="textWrapping"/>
            </w:r>
            <w:r>
              <w:rPr>
                <w:rStyle w:val="28"/>
                <w:lang w:val="en-US" w:eastAsia="zh-CN" w:bidi="ar"/>
              </w:rPr>
              <w:t>9.显示屏采用 PWM高清高阶驱动芯片，倍频刷新率提升2/4/8/16，电流增益调节级别&gt;8位，电流增益调节范围 1%~199 %。</w:t>
            </w:r>
            <w:r>
              <w:rPr>
                <w:rStyle w:val="28"/>
                <w:lang w:val="en-US" w:eastAsia="zh-CN" w:bidi="ar"/>
              </w:rPr>
              <w:br w:type="textWrapping"/>
            </w:r>
            <w:r>
              <w:rPr>
                <w:rStyle w:val="28"/>
                <w:lang w:val="en-US" w:eastAsia="zh-CN" w:bidi="ar"/>
              </w:rPr>
              <w:t>10.模组间相对错位均值≤0.1mm；平整度≤0.05mm；水平/垂直相对错位等级≤2%；像素中心距相对偏差等级JX≤1.1%；发光点中心距偏差≤1%。</w:t>
            </w:r>
            <w:r>
              <w:rPr>
                <w:rStyle w:val="28"/>
                <w:lang w:val="en-US" w:eastAsia="zh-CN" w:bidi="ar"/>
              </w:rPr>
              <w:br w:type="textWrapping"/>
            </w:r>
            <w:r>
              <w:rPr>
                <w:rStyle w:val="28"/>
                <w:lang w:val="en-US" w:eastAsia="zh-CN" w:bidi="ar"/>
              </w:rPr>
              <w:t>11.最大功耗≤900W/㎡；平均功耗≤300W/㎡；睡眠功耗≤10W/㎡；单元产品功耗≤45W，。</w:t>
            </w:r>
            <w:r>
              <w:rPr>
                <w:rStyle w:val="28"/>
                <w:lang w:val="en-US" w:eastAsia="zh-CN" w:bidi="ar"/>
              </w:rPr>
              <w:br w:type="textWrapping"/>
            </w:r>
            <w:r>
              <w:rPr>
                <w:rStyle w:val="28"/>
                <w:lang w:val="en-US" w:eastAsia="zh-CN" w:bidi="ar"/>
              </w:rPr>
              <w:t>12.LED显示屏在满负荷工作30min后用测温计测试各可触及点温度，LED显示屏正常使用时在达到热平衡后，屏体结构的金属部分的温升应不超过25℃，绝缘材料温升应不超过25℃。</w:t>
            </w:r>
            <w:r>
              <w:rPr>
                <w:rStyle w:val="28"/>
                <w:lang w:val="en-US" w:eastAsia="zh-CN" w:bidi="ar"/>
              </w:rPr>
              <w:br w:type="textWrapping"/>
            </w:r>
            <w:r>
              <w:rPr>
                <w:rStyle w:val="28"/>
                <w:lang w:val="en-US" w:eastAsia="zh-CN" w:bidi="ar"/>
              </w:rPr>
              <w:t>13.支持PWM灰阶控制技术提升低灰视觉效果，支持软件实现不同亮度情况下，灰度8-16bit任意设置0-100%亮度时，8-16bits任意灰度设置；100%亮度时，16bit灰度；70%亮度时，16bit灰度；50%亮度时，13bit灰度；20%亮度时，12bit灰度。</w:t>
            </w:r>
            <w:r>
              <w:rPr>
                <w:rStyle w:val="28"/>
                <w:lang w:val="en-US" w:eastAsia="zh-CN" w:bidi="ar"/>
              </w:rPr>
              <w:br w:type="textWrapping"/>
            </w:r>
            <w:r>
              <w:rPr>
                <w:rStyle w:val="28"/>
                <w:lang w:val="en-US" w:eastAsia="zh-CN" w:bidi="ar"/>
              </w:rPr>
              <w:t>14.LED显示屏按SJ/T 11590-2016LED显示屏图像质量评价方法进行，评价优级，评分5分。</w:t>
            </w:r>
            <w:r>
              <w:rPr>
                <w:rStyle w:val="28"/>
                <w:lang w:val="en-US" w:eastAsia="zh-CN" w:bidi="ar"/>
              </w:rPr>
              <w:br w:type="textWrapping"/>
            </w:r>
            <w:r>
              <w:rPr>
                <w:rStyle w:val="28"/>
                <w:lang w:val="en-US" w:eastAsia="zh-CN" w:bidi="ar"/>
              </w:rPr>
              <w:t>15.LED显示屏供电电源的功率因数不小于95%，转换效率不小于85%。</w:t>
            </w:r>
            <w:r>
              <w:rPr>
                <w:rStyle w:val="28"/>
                <w:lang w:val="en-US" w:eastAsia="zh-CN" w:bidi="ar"/>
              </w:rPr>
              <w:br w:type="textWrapping"/>
            </w:r>
            <w:r>
              <w:rPr>
                <w:rStyle w:val="28"/>
                <w:lang w:val="en-US" w:eastAsia="zh-CN" w:bidi="ar"/>
              </w:rPr>
              <w:t>16.LED显示屏通过过流、断路、短路、过压、欠压、超温、超负荷、断电等测试，符合电气防护相关测试要求。</w:t>
            </w:r>
            <w:r>
              <w:rPr>
                <w:rStyle w:val="28"/>
                <w:lang w:val="en-US" w:eastAsia="zh-CN" w:bidi="ar"/>
              </w:rPr>
              <w:br w:type="textWrapping"/>
            </w:r>
            <w:r>
              <w:rPr>
                <w:rStyle w:val="28"/>
                <w:lang w:val="en-US" w:eastAsia="zh-CN" w:bidi="ar"/>
              </w:rPr>
              <w:t>17.整屏像素失控率符合SJ/T 11141-2017标准 C级； PZ≤1×10-6区域像素失控率符合SJ/T 11141-2017标准 C级；PQ≤1×10-6。</w:t>
            </w:r>
            <w:r>
              <w:rPr>
                <w:rStyle w:val="28"/>
                <w:lang w:val="en-US" w:eastAsia="zh-CN" w:bidi="ar"/>
              </w:rPr>
              <w:br w:type="textWrapping"/>
            </w:r>
            <w:r>
              <w:rPr>
                <w:rStyle w:val="28"/>
                <w:lang w:val="en-US" w:eastAsia="zh-CN" w:bidi="ar"/>
              </w:rPr>
              <w:t>18.LED显示屏具有一体化控制平台，模块化统一管理。具有监控自检技术，实时监控显示屏工作状态，具有远程监控及故障自动告警功能。LED显示屏具有电源温度控制系统，多点测温系统，采用黑色防眩光设计。</w:t>
            </w:r>
            <w:r>
              <w:rPr>
                <w:rStyle w:val="28"/>
                <w:lang w:val="en-US" w:eastAsia="zh-CN" w:bidi="ar"/>
              </w:rPr>
              <w:br w:type="textWrapping"/>
            </w:r>
            <w:r>
              <w:rPr>
                <w:rStyle w:val="28"/>
                <w:lang w:val="en-US" w:eastAsia="zh-CN" w:bidi="ar"/>
              </w:rPr>
              <w:t>19.具备掉电存储功能、信号加密传输功能，自动除湿功能。</w:t>
            </w:r>
            <w:r>
              <w:rPr>
                <w:rStyle w:val="28"/>
                <w:lang w:val="en-US" w:eastAsia="zh-CN" w:bidi="ar"/>
              </w:rPr>
              <w:br w:type="textWrapping"/>
            </w:r>
            <w:r>
              <w:rPr>
                <w:rStyle w:val="28"/>
                <w:lang w:val="en-US" w:eastAsia="zh-CN" w:bidi="ar"/>
              </w:rPr>
              <w:t>20.将LED显示屏加温到60℃再，降温到-20℃进行8h循环冷热冲击实验，符合GB4943.1-2011信息技术设备安全第1部分通用要求；整机阻燃测试符合V-1级标准。</w:t>
            </w:r>
            <w:r>
              <w:rPr>
                <w:rStyle w:val="28"/>
                <w:lang w:val="en-US" w:eastAsia="zh-CN" w:bidi="ar"/>
              </w:rPr>
              <w:br w:type="textWrapping"/>
            </w:r>
            <w:r>
              <w:rPr>
                <w:rStyle w:val="28"/>
                <w:lang w:val="en-US" w:eastAsia="zh-CN" w:bidi="ar"/>
              </w:rPr>
              <w:t>以上参数均需提供国家认可的第三方检测机构出具的检测报告，显示屏须提供通过节能、环保认证。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C3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25.8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0F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平方</w:t>
            </w:r>
          </w:p>
        </w:tc>
      </w:tr>
      <w:tr w14:paraId="31B0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88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92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开关电源</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7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1、额定输入电压：200-240V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2、输入电压范围： 176-264V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3、输入频率：50HZ/63HZ±5%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4、效率：≥86%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5、最大输入电流：≤3.5A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6、冷启动冲击电流≤60A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7、工作温度： -40-70°C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8、储存温度： -40-85°C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9、散热方式：自然对流散热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10、输出电压：± 4.2V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11、输出电流： 0~50A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12、低温启动特性-40℃，220Vac输入,热机5分钟，带载50A，可以启动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13、稳压精度 ±3%，负载调整率±2%，电压过冲&lt;5.0%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6E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113</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71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3E2E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DC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3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接收卡</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8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1、单卡最大带载分辨率 512×384@60Hz，最多支持24组并行数据；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2、无需转接板，单卡自带HUB75接口，更加稳定；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3、支持亮度校正，对每个灯点的亮度进行校正，有效消除亮度差异，使整屏的亮度达到高度一致；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5、配合支持3D功能的独立主控，在软件或独立主控的操作面板上开启3D功能，并设置3D参数，使画面显示3D效果；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6、Mapping功能开启，每个箱体上会显示数字，直观的看到显示屏连接状况；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7、可以监测自身的温度和电压，无需其他外设，在软件上可以查看接收卡的温度和电压；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8、检测发送设备与接收卡间或接收卡与接收卡间的网络通讯质量，记录错误包数，协助排除网络通讯隐患；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9、支持5pin液晶模块，用于显示接收卡的温度、电压、单次运行时间和总运行时间；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10、支持回读接收卡的固件程序并保存到本地；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11、支持画面90度倍数旋转；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B8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05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r>
      <w:tr w14:paraId="4BA2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D8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44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视频处理器</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9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w:t>
            </w:r>
            <w:r>
              <w:rPr>
                <w:rStyle w:val="29"/>
                <w:color w:val="auto"/>
                <w:lang w:val="en-US" w:eastAsia="zh-CN" w:bidi="ar"/>
              </w:rPr>
              <w:t>标准18-20 英寸</w:t>
            </w:r>
            <w:r>
              <w:rPr>
                <w:rStyle w:val="28"/>
                <w:color w:val="auto"/>
                <w:lang w:val="en-US" w:eastAsia="zh-CN" w:bidi="ar"/>
              </w:rPr>
              <w:t>金属</w:t>
            </w:r>
            <w:r>
              <w:rPr>
                <w:rStyle w:val="28"/>
                <w:lang w:val="en-US" w:eastAsia="zh-CN" w:bidi="ar"/>
              </w:rPr>
              <w:t>结构机箱，机箱为后挂耳结构，上盖无螺钉安装:外壳防护等级符合GBIT 4280-2017中IP20的要求;采用纯硬件 FPGA 架构设计、运行稳定、可靠、高效。</w:t>
            </w:r>
            <w:r>
              <w:rPr>
                <w:rStyle w:val="28"/>
                <w:lang w:val="en-US" w:eastAsia="zh-CN" w:bidi="ar"/>
              </w:rPr>
              <w:br w:type="textWrapping"/>
            </w:r>
            <w:r>
              <w:rPr>
                <w:rStyle w:val="28"/>
                <w:lang w:val="en-US" w:eastAsia="zh-CN" w:bidi="ar"/>
              </w:rPr>
              <w:t>2、输入接口包括1路HDMI2.0+LOOP,2路HDMI1.3，1路USB3.0，支持选配1路3G-SDI（IN+LOOP），最大支持4096*2160@60HZ信号输入</w:t>
            </w:r>
            <w:r>
              <w:rPr>
                <w:rStyle w:val="28"/>
                <w:lang w:val="en-US" w:eastAsia="zh-CN" w:bidi="ar"/>
              </w:rPr>
              <w:br w:type="textWrapping"/>
            </w:r>
            <w:r>
              <w:rPr>
                <w:rStyle w:val="28"/>
                <w:lang w:val="en-US" w:eastAsia="zh-CN" w:bidi="ar"/>
              </w:rPr>
              <w:t>3、视频输出支持8路千兆网口输出，1路10G-OPT光口，最大带载高达520万像素，最宽支持10240,最高8192。</w:t>
            </w:r>
            <w:r>
              <w:rPr>
                <w:rStyle w:val="28"/>
                <w:lang w:val="en-US" w:eastAsia="zh-CN" w:bidi="ar"/>
              </w:rPr>
              <w:br w:type="textWrapping"/>
            </w:r>
            <w:r>
              <w:rPr>
                <w:rStyle w:val="28"/>
                <w:lang w:val="en-US" w:eastAsia="zh-CN" w:bidi="ar"/>
              </w:rPr>
              <w:t>4、音频输入支持视频口伴随音频输入及独立输入两种模式，音频输出支持网口扩展输出及3.5mm独立音频口输出；</w:t>
            </w:r>
            <w:r>
              <w:rPr>
                <w:rStyle w:val="28"/>
                <w:lang w:val="en-US" w:eastAsia="zh-CN" w:bidi="ar"/>
              </w:rPr>
              <w:br w:type="textWrapping"/>
            </w:r>
            <w:r>
              <w:rPr>
                <w:rStyle w:val="28"/>
                <w:lang w:val="en-US" w:eastAsia="zh-CN" w:bidi="ar"/>
              </w:rPr>
              <w:t>5、支持输入源备份功能，主源丢失下，无需人为操作可自动切换至备源显示，切换过程无黑屏；</w:t>
            </w:r>
            <w:r>
              <w:rPr>
                <w:rStyle w:val="28"/>
                <w:lang w:val="en-US" w:eastAsia="zh-CN" w:bidi="ar"/>
              </w:rPr>
              <w:br w:type="textWrapping"/>
            </w:r>
            <w:r>
              <w:rPr>
                <w:rStyle w:val="28"/>
                <w:lang w:val="en-US" w:eastAsia="zh-CN" w:bidi="ar"/>
              </w:rPr>
              <w:t>6、最大支持144HZ高帧率输入输出，输出支持插帧、抽帧、倍频（2倍频、3倍频、4倍频）功能，可将30HZ信号，倍频至120HZ输出；</w:t>
            </w:r>
            <w:r>
              <w:rPr>
                <w:rStyle w:val="28"/>
                <w:lang w:val="en-US" w:eastAsia="zh-CN" w:bidi="ar"/>
              </w:rPr>
              <w:br w:type="textWrapping"/>
            </w:r>
            <w:r>
              <w:rPr>
                <w:rStyle w:val="28"/>
                <w:lang w:val="en-US" w:eastAsia="zh-CN" w:bidi="ar"/>
              </w:rPr>
              <w:t>7、最大可支持6个2K图层或1个4K图层+2个2K图层，全部图层大小和位置可单独调节。4K接口输入2K图层，按2K图层计算图层资源；</w:t>
            </w:r>
            <w:r>
              <w:rPr>
                <w:rStyle w:val="28"/>
                <w:lang w:val="en-US" w:eastAsia="zh-CN" w:bidi="ar"/>
              </w:rPr>
              <w:br w:type="textWrapping"/>
            </w:r>
            <w:r>
              <w:rPr>
                <w:rStyle w:val="28"/>
                <w:lang w:val="en-US" w:eastAsia="zh-CN" w:bidi="ar"/>
              </w:rPr>
              <w:t>8、支持通过上位机软件实现对显示屏的连接，控制，包括：输入源切换，窗口位置及大小调节，分辨率自定义等；软件端支持可视化呈现设备各接口实时状态，包括视频输入状态及分辨率、网口带载利用率、监控界面支持接收卡温度、电压、误码率、通讯状态等的检测；</w:t>
            </w:r>
            <w:r>
              <w:rPr>
                <w:rStyle w:val="28"/>
                <w:lang w:val="en-US" w:eastAsia="zh-CN" w:bidi="ar"/>
              </w:rPr>
              <w:br w:type="textWrapping"/>
            </w:r>
            <w:r>
              <w:rPr>
                <w:rStyle w:val="28"/>
                <w:lang w:val="en-US" w:eastAsia="zh-CN" w:bidi="ar"/>
              </w:rPr>
              <w:t>9、支持U盘即插即播功能，最大支持4K级（3840*2160@60fps）图片和视频的流畅播放，播放列表计切换效果支持自定义编排，最多支持20余种图片切换特效；</w:t>
            </w:r>
            <w:r>
              <w:rPr>
                <w:rStyle w:val="28"/>
                <w:lang w:val="en-US" w:eastAsia="zh-CN" w:bidi="ar"/>
              </w:rPr>
              <w:br w:type="textWrapping"/>
            </w:r>
            <w:r>
              <w:rPr>
                <w:rStyle w:val="28"/>
                <w:lang w:val="en-US" w:eastAsia="zh-CN" w:bidi="ar"/>
              </w:rPr>
              <w:t>10、标配全彩液晶，搭配实体按键，极大的方便了设备整体状态的监控及设备功能的控制:设备功能按键及丝印信息采用全中文提示;</w:t>
            </w:r>
            <w:r>
              <w:rPr>
                <w:rStyle w:val="28"/>
                <w:lang w:val="en-US" w:eastAsia="zh-CN" w:bidi="ar"/>
              </w:rPr>
              <w:br w:type="textWrapping"/>
            </w:r>
            <w:r>
              <w:rPr>
                <w:rStyle w:val="28"/>
                <w:lang w:val="en-US" w:eastAsia="zh-CN" w:bidi="ar"/>
              </w:rPr>
              <w:t>11、支持2种用户模式，标准模式和专业模式，满足不同角色对显示屏的分权管理；</w:t>
            </w:r>
            <w:r>
              <w:rPr>
                <w:rStyle w:val="28"/>
                <w:lang w:val="en-US" w:eastAsia="zh-CN" w:bidi="ar"/>
              </w:rPr>
              <w:br w:type="textWrapping"/>
            </w:r>
            <w:r>
              <w:rPr>
                <w:rStyle w:val="28"/>
                <w:lang w:val="en-US" w:eastAsia="zh-CN" w:bidi="ar"/>
              </w:rPr>
              <w:t>12、支持微信小程序快捷控制，包括亮度调节、输出画质调节、待机模式、画面冻结、场景切换、U盘播放等功能；</w:t>
            </w:r>
            <w:r>
              <w:rPr>
                <w:rStyle w:val="28"/>
                <w:lang w:val="en-US" w:eastAsia="zh-CN" w:bidi="ar"/>
              </w:rPr>
              <w:br w:type="textWrapping"/>
            </w:r>
            <w:r>
              <w:rPr>
                <w:rStyle w:val="28"/>
                <w:lang w:val="en-US" w:eastAsia="zh-CN" w:bidi="ar"/>
              </w:rPr>
              <w:t>13、支持平板对控制器进行快捷控制，包括亮度调节、图层布局调节、画面冻结、黑屏、场景切换、音量大小、OSD开关等功能；</w:t>
            </w:r>
            <w:r>
              <w:rPr>
                <w:rStyle w:val="28"/>
                <w:lang w:val="en-US" w:eastAsia="zh-CN" w:bidi="ar"/>
              </w:rPr>
              <w:br w:type="textWrapping"/>
            </w:r>
            <w:r>
              <w:rPr>
                <w:rStyle w:val="28"/>
                <w:lang w:val="en-US" w:eastAsia="zh-CN" w:bidi="ar"/>
              </w:rPr>
              <w:t>14、支持创建多个设备还原点，将当前设备的配屏，场景，输出等参数存储为还原点，当系统工作异常时，可根据还原点一键快速还原；</w:t>
            </w:r>
            <w:r>
              <w:rPr>
                <w:rStyle w:val="28"/>
                <w:lang w:val="en-US" w:eastAsia="zh-CN" w:bidi="ar"/>
              </w:rPr>
              <w:br w:type="textWrapping"/>
            </w:r>
            <w:r>
              <w:rPr>
                <w:rStyle w:val="28"/>
                <w:lang w:val="en-US" w:eastAsia="zh-CN" w:bidi="ar"/>
              </w:rPr>
              <w:t>15、支持控制设备白名单，可通过MAC地址限制控制设备，非白名单内设备无法控制设备，不允许对设备进行操作；</w:t>
            </w:r>
            <w:r>
              <w:rPr>
                <w:rStyle w:val="28"/>
                <w:lang w:val="en-US" w:eastAsia="zh-CN" w:bidi="ar"/>
              </w:rPr>
              <w:br w:type="textWrapping"/>
            </w:r>
            <w:r>
              <w:rPr>
                <w:rStyle w:val="28"/>
                <w:lang w:val="en-US" w:eastAsia="zh-CN" w:bidi="ar"/>
              </w:rPr>
              <w:t>16、MTBF≥150000小时，MTTR平均修复小于10分钟可用度大于 99%，整机寿命不小于150000小时。产品稳定性高、性能卓越、纯硬件结构，上电即可正常工作，无需做任何其它设置。</w:t>
            </w:r>
            <w:r>
              <w:rPr>
                <w:rStyle w:val="28"/>
                <w:lang w:val="en-US" w:eastAsia="zh-CN" w:bidi="ar"/>
              </w:rPr>
              <w:br w:type="textWrapping"/>
            </w:r>
            <w:r>
              <w:rPr>
                <w:rStyle w:val="28"/>
                <w:lang w:val="en-US" w:eastAsia="zh-CN" w:bidi="ar"/>
              </w:rPr>
              <w:t>17、兼容多种操作系统包括：Windows、MAC OS、深度 Linux、银河麒麟、统信 UOS中标麒麟(NeoKylin)、优麒麟(UbuntuKylin)、凝思磐石、红旗 Linux 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30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4A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1C9F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EF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65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专业版播放软件</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7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1、支持大屏区域进行开窗操作，平台自带精准吸附功能，窗口移动可以快速上下左右和四角自动对齐吸附，缩短操作路径；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2、支持LED大屏亮度调节功能，在大屏控制工具栏可随时进行LED大屏亮度调节，滑竿式设计提升调节操作体验，调节完成可一键固化，系统和大屏重启后亮度不变；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3、支持实时和预编两种上屏模式，实现大屏显示内容的灵活管理与调度；支持图层反控，可远程操控被控主机，进行相关键鼠操作；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4、支持局域网中IPC摄像头的添加及画面预览，IPC云台上下左右、拉近、拉远、变焦、光圈、预置位保存及调用等功能控制；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5、支持信号源、视频拼接处理器、控制系统和拼接大屏全链路拓扑连接全景化展示，支持拓扑的自由放大缩小；支持按区域查看套拓扑图，展示信号源，设备和屏幕连接状态并异常告警；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6、支持以日历的样式显示当前预案排布信息，支持日月视图的切换；全流程智能预案控制，支持一键调用手动预案，或开始/停止自动预案；支持查看所有预案的历史执行记录及未执行预案的编排信息；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7、系统支持苹果、安卓、鸿蒙触控移动端、windows操作系统；支持苹果应用商店、华为应用商店等下载和安装；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CF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78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589D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07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8C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箱体结构</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5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1、双立柱钢结构，镀锌方管焊接，防水，含预埋件，预埋尺寸2m*1.5m*1.5m，铝塑板包边，厚度</w:t>
            </w:r>
            <w:r>
              <w:rPr>
                <w:rStyle w:val="22"/>
                <w:rFonts w:eastAsia="宋体"/>
                <w:lang w:val="en-US" w:eastAsia="zh-CN" w:bidi="ar"/>
              </w:rPr>
              <w:t>≥</w:t>
            </w:r>
            <w:r>
              <w:rPr>
                <w:rStyle w:val="28"/>
                <w:lang w:val="en-US" w:eastAsia="zh-CN" w:bidi="ar"/>
              </w:rPr>
              <w:t>4mm，采用高材质制作，                                                                                                                   2、边框材质为国标合格材质。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7E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25.8</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45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r>
      <w:tr w14:paraId="74BC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38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31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音响</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4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1、单元组成：</w:t>
            </w:r>
            <w:r>
              <w:rPr>
                <w:rStyle w:val="22"/>
                <w:rFonts w:eastAsia="宋体"/>
                <w:color w:val="auto"/>
                <w:lang w:val="en-US" w:eastAsia="zh-CN" w:bidi="ar"/>
              </w:rPr>
              <w:t>≥</w:t>
            </w:r>
            <w:r>
              <w:rPr>
                <w:rStyle w:val="28"/>
                <w:color w:val="auto"/>
                <w:lang w:val="en-US" w:eastAsia="zh-CN" w:bidi="ar"/>
              </w:rPr>
              <w:t>4×3.5"全频单元；</w:t>
            </w:r>
            <w:r>
              <w:rPr>
                <w:rStyle w:val="28"/>
                <w:color w:val="auto"/>
                <w:lang w:val="en-US" w:eastAsia="zh-CN" w:bidi="ar"/>
              </w:rPr>
              <w:br w:type="textWrapping"/>
            </w:r>
            <w:r>
              <w:rPr>
                <w:rStyle w:val="28"/>
                <w:color w:val="auto"/>
                <w:lang w:val="en-US" w:eastAsia="zh-CN" w:bidi="ar"/>
              </w:rPr>
              <w:t>2、额定功率：</w:t>
            </w:r>
            <w:r>
              <w:rPr>
                <w:rStyle w:val="22"/>
                <w:rFonts w:eastAsia="宋体"/>
                <w:color w:val="auto"/>
                <w:lang w:val="en-US" w:eastAsia="zh-CN" w:bidi="ar"/>
              </w:rPr>
              <w:t>≥</w:t>
            </w:r>
            <w:r>
              <w:rPr>
                <w:rStyle w:val="28"/>
                <w:color w:val="auto"/>
                <w:lang w:val="en-US" w:eastAsia="zh-CN" w:bidi="ar"/>
              </w:rPr>
              <w:t>100W；峰值功率：</w:t>
            </w:r>
            <w:r>
              <w:rPr>
                <w:rStyle w:val="22"/>
                <w:rFonts w:eastAsia="宋体"/>
                <w:color w:val="auto"/>
                <w:lang w:val="en-US" w:eastAsia="zh-CN" w:bidi="ar"/>
              </w:rPr>
              <w:t>≥</w:t>
            </w:r>
            <w:r>
              <w:rPr>
                <w:rStyle w:val="28"/>
                <w:color w:val="auto"/>
                <w:lang w:val="en-US" w:eastAsia="zh-CN" w:bidi="ar"/>
              </w:rPr>
              <w:t>400W；</w:t>
            </w:r>
            <w:r>
              <w:rPr>
                <w:rStyle w:val="28"/>
                <w:color w:val="auto"/>
                <w:lang w:val="en-US" w:eastAsia="zh-CN" w:bidi="ar"/>
              </w:rPr>
              <w:br w:type="textWrapping"/>
            </w:r>
            <w:r>
              <w:rPr>
                <w:rStyle w:val="28"/>
                <w:color w:val="auto"/>
                <w:lang w:val="en-US" w:eastAsia="zh-CN" w:bidi="ar"/>
              </w:rPr>
              <w:t>3、阻抗：8Ω</w:t>
            </w:r>
            <w:r>
              <w:rPr>
                <w:rStyle w:val="28"/>
                <w:color w:val="auto"/>
                <w:lang w:val="en-US" w:eastAsia="zh-CN" w:bidi="ar"/>
              </w:rPr>
              <w:br w:type="textWrapping"/>
            </w:r>
            <w:r>
              <w:rPr>
                <w:rStyle w:val="28"/>
                <w:color w:val="auto"/>
                <w:lang w:val="en-US" w:eastAsia="zh-CN" w:bidi="ar"/>
              </w:rPr>
              <w:t>4、频率响应：</w:t>
            </w:r>
            <w:r>
              <w:rPr>
                <w:rStyle w:val="22"/>
                <w:rFonts w:eastAsia="宋体"/>
                <w:color w:val="auto"/>
                <w:lang w:val="en-US" w:eastAsia="zh-CN" w:bidi="ar"/>
              </w:rPr>
              <w:t>≥</w:t>
            </w:r>
            <w:r>
              <w:rPr>
                <w:rStyle w:val="28"/>
                <w:color w:val="auto"/>
                <w:lang w:val="en-US" w:eastAsia="zh-CN" w:bidi="ar"/>
              </w:rPr>
              <w:t>120Hz-20KHz</w:t>
            </w:r>
            <w:r>
              <w:rPr>
                <w:rStyle w:val="28"/>
                <w:color w:val="auto"/>
                <w:lang w:val="en-US" w:eastAsia="zh-CN" w:bidi="ar"/>
              </w:rPr>
              <w:br w:type="textWrapping"/>
            </w:r>
            <w:r>
              <w:rPr>
                <w:rStyle w:val="28"/>
                <w:color w:val="auto"/>
                <w:lang w:val="en-US" w:eastAsia="zh-CN" w:bidi="ar"/>
              </w:rPr>
              <w:t>5、灵敏度：</w:t>
            </w:r>
            <w:r>
              <w:rPr>
                <w:rStyle w:val="22"/>
                <w:rFonts w:eastAsia="宋体"/>
                <w:color w:val="auto"/>
                <w:lang w:val="en-US" w:eastAsia="zh-CN" w:bidi="ar"/>
              </w:rPr>
              <w:t>≥</w:t>
            </w:r>
            <w:r>
              <w:rPr>
                <w:rStyle w:val="28"/>
                <w:color w:val="auto"/>
                <w:lang w:val="en-US" w:eastAsia="zh-CN" w:bidi="ar"/>
              </w:rPr>
              <w:t>93dB（1W/1M）；</w:t>
            </w:r>
            <w:r>
              <w:rPr>
                <w:rStyle w:val="28"/>
                <w:color w:val="auto"/>
                <w:lang w:val="en-US" w:eastAsia="zh-CN" w:bidi="ar"/>
              </w:rPr>
              <w:br w:type="textWrapping"/>
            </w:r>
            <w:r>
              <w:rPr>
                <w:rStyle w:val="28"/>
                <w:color w:val="auto"/>
                <w:lang w:val="en-US" w:eastAsia="zh-CN" w:bidi="ar"/>
              </w:rPr>
              <w:t>6、最大声压级：</w:t>
            </w:r>
            <w:r>
              <w:rPr>
                <w:rStyle w:val="22"/>
                <w:rFonts w:eastAsia="宋体"/>
                <w:color w:val="auto"/>
                <w:lang w:val="en-US" w:eastAsia="zh-CN" w:bidi="ar"/>
              </w:rPr>
              <w:t>≥</w:t>
            </w:r>
            <w:r>
              <w:rPr>
                <w:rStyle w:val="28"/>
                <w:color w:val="auto"/>
                <w:lang w:val="en-US" w:eastAsia="zh-CN" w:bidi="ar"/>
              </w:rPr>
              <w:t>113dB（额定）/</w:t>
            </w:r>
            <w:r>
              <w:rPr>
                <w:rStyle w:val="22"/>
                <w:rFonts w:eastAsia="宋体"/>
                <w:color w:val="auto"/>
                <w:lang w:val="en-US" w:eastAsia="zh-CN" w:bidi="ar"/>
              </w:rPr>
              <w:t>≥</w:t>
            </w:r>
            <w:r>
              <w:rPr>
                <w:rStyle w:val="28"/>
                <w:color w:val="auto"/>
                <w:lang w:val="en-US" w:eastAsia="zh-CN" w:bidi="ar"/>
              </w:rPr>
              <w:t>119dB（峰值）；</w:t>
            </w:r>
            <w:r>
              <w:rPr>
                <w:rStyle w:val="28"/>
                <w:color w:val="auto"/>
                <w:lang w:val="en-US" w:eastAsia="zh-CN" w:bidi="ar"/>
              </w:rPr>
              <w:br w:type="textWrapping"/>
            </w:r>
            <w:r>
              <w:rPr>
                <w:rStyle w:val="28"/>
                <w:color w:val="auto"/>
                <w:lang w:val="en-US" w:eastAsia="zh-CN" w:bidi="ar"/>
              </w:rPr>
              <w:t>7、输入接口：采用欧姆头+凤凰端子；</w:t>
            </w:r>
            <w:r>
              <w:rPr>
                <w:rStyle w:val="28"/>
                <w:color w:val="auto"/>
                <w:lang w:val="en-US" w:eastAsia="zh-CN" w:bidi="ar"/>
              </w:rPr>
              <w:br w:type="textWrapping"/>
            </w:r>
            <w:r>
              <w:rPr>
                <w:rStyle w:val="28"/>
                <w:color w:val="auto"/>
                <w:lang w:val="en-US" w:eastAsia="zh-CN" w:bidi="ar"/>
              </w:rPr>
              <w:t>8、指向性：水平</w:t>
            </w:r>
            <w:r>
              <w:rPr>
                <w:rStyle w:val="22"/>
                <w:rFonts w:eastAsia="宋体"/>
                <w:color w:val="auto"/>
                <w:lang w:val="en-US" w:eastAsia="zh-CN" w:bidi="ar"/>
              </w:rPr>
              <w:t>≥</w:t>
            </w:r>
            <w:r>
              <w:rPr>
                <w:rStyle w:val="28"/>
                <w:color w:val="auto"/>
                <w:lang w:val="en-US" w:eastAsia="zh-CN" w:bidi="ar"/>
              </w:rPr>
              <w:t>120°，垂直</w:t>
            </w:r>
            <w:r>
              <w:rPr>
                <w:rStyle w:val="22"/>
                <w:rFonts w:eastAsia="宋体"/>
                <w:color w:val="auto"/>
                <w:lang w:val="en-US" w:eastAsia="zh-CN" w:bidi="ar"/>
              </w:rPr>
              <w:t>≥</w:t>
            </w:r>
            <w:r>
              <w:rPr>
                <w:rStyle w:val="28"/>
                <w:color w:val="auto"/>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FD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9C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只</w:t>
            </w:r>
          </w:p>
        </w:tc>
      </w:tr>
      <w:tr w14:paraId="64A4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07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25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功放</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594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1、8Ω输出功率：</w:t>
            </w:r>
            <w:r>
              <w:rPr>
                <w:rStyle w:val="22"/>
                <w:rFonts w:eastAsia="宋体"/>
                <w:color w:val="auto"/>
                <w:lang w:val="en-US" w:eastAsia="zh-CN" w:bidi="ar"/>
              </w:rPr>
              <w:t>≥</w:t>
            </w:r>
            <w:r>
              <w:rPr>
                <w:rStyle w:val="28"/>
                <w:color w:val="auto"/>
                <w:lang w:val="en-US" w:eastAsia="zh-CN" w:bidi="ar"/>
              </w:rPr>
              <w:t>2X200W；4Ω输出功率：</w:t>
            </w:r>
            <w:r>
              <w:rPr>
                <w:rStyle w:val="22"/>
                <w:rFonts w:eastAsia="宋体"/>
                <w:color w:val="auto"/>
                <w:lang w:val="en-US" w:eastAsia="zh-CN" w:bidi="ar"/>
              </w:rPr>
              <w:t>≥</w:t>
            </w:r>
            <w:r>
              <w:rPr>
                <w:rStyle w:val="28"/>
                <w:color w:val="auto"/>
                <w:lang w:val="en-US" w:eastAsia="zh-CN" w:bidi="ar"/>
              </w:rPr>
              <w:t>2X300W；</w:t>
            </w:r>
            <w:r>
              <w:rPr>
                <w:rStyle w:val="28"/>
                <w:color w:val="auto"/>
                <w:lang w:val="en-US" w:eastAsia="zh-CN" w:bidi="ar"/>
              </w:rPr>
              <w:br w:type="textWrapping"/>
            </w:r>
            <w:r>
              <w:rPr>
                <w:rStyle w:val="28"/>
                <w:color w:val="auto"/>
                <w:lang w:val="en-US" w:eastAsia="zh-CN" w:bidi="ar"/>
              </w:rPr>
              <w:t>2、音源输入类型</w:t>
            </w:r>
            <w:r>
              <w:rPr>
                <w:rStyle w:val="22"/>
                <w:rFonts w:eastAsia="宋体"/>
                <w:color w:val="auto"/>
                <w:lang w:val="en-US" w:eastAsia="zh-CN" w:bidi="ar"/>
              </w:rPr>
              <w:t>≥</w:t>
            </w:r>
            <w:r>
              <w:rPr>
                <w:rStyle w:val="28"/>
                <w:color w:val="auto"/>
                <w:lang w:val="en-US" w:eastAsia="zh-CN" w:bidi="ar"/>
              </w:rPr>
              <w:t>光纤、同轴、蓝牙5.0、USB、线路、麦克风等；</w:t>
            </w:r>
            <w:r>
              <w:rPr>
                <w:rStyle w:val="28"/>
                <w:color w:val="auto"/>
                <w:lang w:val="en-US" w:eastAsia="zh-CN" w:bidi="ar"/>
              </w:rPr>
              <w:br w:type="textWrapping"/>
            </w:r>
            <w:r>
              <w:rPr>
                <w:rStyle w:val="28"/>
                <w:color w:val="auto"/>
                <w:lang w:val="en-US" w:eastAsia="zh-CN" w:bidi="ar"/>
              </w:rPr>
              <w:t>3、音频处理功能</w:t>
            </w:r>
            <w:r>
              <w:rPr>
                <w:rStyle w:val="22"/>
                <w:rFonts w:eastAsia="宋体"/>
                <w:color w:val="auto"/>
                <w:lang w:val="en-US" w:eastAsia="zh-CN" w:bidi="ar"/>
              </w:rPr>
              <w:t>≥</w:t>
            </w:r>
            <w:r>
              <w:rPr>
                <w:rStyle w:val="28"/>
                <w:color w:val="auto"/>
                <w:lang w:val="en-US" w:eastAsia="zh-CN" w:bidi="ar"/>
              </w:rPr>
              <w:t>话筒激励、混音、噪声门、压限、防啸叫（</w:t>
            </w:r>
            <w:r>
              <w:rPr>
                <w:rStyle w:val="22"/>
                <w:rFonts w:eastAsia="宋体"/>
                <w:color w:val="auto"/>
                <w:lang w:val="en-US" w:eastAsia="zh-CN" w:bidi="ar"/>
              </w:rPr>
              <w:t>≥</w:t>
            </w:r>
            <w:r>
              <w:rPr>
                <w:rStyle w:val="28"/>
                <w:color w:val="auto"/>
                <w:lang w:val="en-US" w:eastAsia="zh-CN" w:bidi="ar"/>
              </w:rPr>
              <w:t>5级调节）功能；</w:t>
            </w:r>
            <w:r>
              <w:rPr>
                <w:rStyle w:val="28"/>
                <w:color w:val="auto"/>
                <w:lang w:val="en-US" w:eastAsia="zh-CN" w:bidi="ar"/>
              </w:rPr>
              <w:br w:type="textWrapping"/>
            </w:r>
            <w:r>
              <w:rPr>
                <w:rStyle w:val="28"/>
                <w:color w:val="auto"/>
                <w:lang w:val="en-US" w:eastAsia="zh-CN" w:bidi="ar"/>
              </w:rPr>
              <w:t>4、面板</w:t>
            </w:r>
            <w:r>
              <w:rPr>
                <w:rStyle w:val="22"/>
                <w:rFonts w:eastAsia="宋体"/>
                <w:color w:val="auto"/>
                <w:lang w:val="en-US" w:eastAsia="zh-CN" w:bidi="ar"/>
              </w:rPr>
              <w:t>≥</w:t>
            </w:r>
            <w:r>
              <w:rPr>
                <w:rStyle w:val="28"/>
                <w:color w:val="auto"/>
                <w:lang w:val="en-US" w:eastAsia="zh-CN" w:bidi="ar"/>
              </w:rPr>
              <w:t>2英寸LCD显示屏，实现直观显示各种功能及工作状态；</w:t>
            </w:r>
            <w:r>
              <w:rPr>
                <w:rStyle w:val="28"/>
                <w:color w:val="auto"/>
                <w:lang w:val="en-US" w:eastAsia="zh-CN" w:bidi="ar"/>
              </w:rPr>
              <w:br w:type="textWrapping"/>
            </w:r>
            <w:r>
              <w:rPr>
                <w:rStyle w:val="28"/>
                <w:color w:val="auto"/>
                <w:lang w:val="en-US" w:eastAsia="zh-CN" w:bidi="ar"/>
              </w:rPr>
              <w:t>5、输入1路同轴输入、1路光纤输入、1组RCA线路输入、2路6.35mm话筒输入、1路3.5mm立体声输入、1路XLR话筒接口输入，带幻象供电；</w:t>
            </w:r>
            <w:r>
              <w:rPr>
                <w:rStyle w:val="28"/>
                <w:color w:val="auto"/>
                <w:lang w:val="en-US" w:eastAsia="zh-CN" w:bidi="ar"/>
              </w:rPr>
              <w:br w:type="textWrapping"/>
            </w:r>
            <w:r>
              <w:rPr>
                <w:rStyle w:val="28"/>
                <w:color w:val="auto"/>
                <w:lang w:val="en-US" w:eastAsia="zh-CN" w:bidi="ar"/>
              </w:rPr>
              <w:t>6、输出1组RCA线路输出、2路REC凤凰端子输出、2组功放通道输出；</w:t>
            </w:r>
            <w:r>
              <w:rPr>
                <w:rStyle w:val="28"/>
                <w:color w:val="auto"/>
                <w:lang w:val="en-US" w:eastAsia="zh-CN" w:bidi="ar"/>
              </w:rPr>
              <w:br w:type="textWrapping"/>
            </w:r>
            <w:r>
              <w:rPr>
                <w:rStyle w:val="28"/>
                <w:color w:val="auto"/>
                <w:lang w:val="en-US" w:eastAsia="zh-CN" w:bidi="ar"/>
              </w:rPr>
              <w:t>7、USB播放音乐格式MP3、WAV、APE、FLAC等；</w:t>
            </w:r>
            <w:r>
              <w:rPr>
                <w:rStyle w:val="28"/>
                <w:color w:val="auto"/>
                <w:lang w:val="en-US" w:eastAsia="zh-CN" w:bidi="ar"/>
              </w:rPr>
              <w:br w:type="textWrapping"/>
            </w:r>
            <w:r>
              <w:rPr>
                <w:rStyle w:val="28"/>
                <w:color w:val="auto"/>
                <w:lang w:val="en-US" w:eastAsia="zh-CN" w:bidi="ar"/>
              </w:rPr>
              <w:t>8、需支持与可视化管控平台对接，实现对通道增益调节和通道静音开关控制等。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4F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2E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0741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24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4E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0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w:t>
            </w:r>
            <w:r>
              <w:rPr>
                <w:rFonts w:hint="eastAsia" w:ascii="宋体" w:hAnsi="宋体" w:eastAsia="宋体" w:cs="宋体"/>
                <w:i w:val="0"/>
                <w:iCs w:val="0"/>
                <w:color w:val="auto"/>
                <w:kern w:val="0"/>
                <w:sz w:val="20"/>
                <w:szCs w:val="20"/>
                <w:u w:val="none"/>
                <w:lang w:val="en-US" w:eastAsia="zh-CN" w:bidi="ar"/>
              </w:rPr>
              <w:t>：30KW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2、箱体尺寸：</w:t>
            </w:r>
            <w:r>
              <w:rPr>
                <w:rStyle w:val="22"/>
                <w:rFonts w:eastAsia="宋体"/>
                <w:color w:val="auto"/>
                <w:lang w:val="en-US" w:eastAsia="zh-CN" w:bidi="ar"/>
              </w:rPr>
              <w:t>≥</w:t>
            </w:r>
            <w:r>
              <w:rPr>
                <w:rStyle w:val="28"/>
                <w:color w:val="auto"/>
                <w:lang w:val="en-US" w:eastAsia="zh-CN" w:bidi="ar"/>
              </w:rPr>
              <w:t>400*600*150（宽*高*厚）</w:t>
            </w:r>
            <w:r>
              <w:rPr>
                <w:rStyle w:val="28"/>
                <w:color w:val="auto"/>
                <w:lang w:val="en-US" w:eastAsia="zh-CN" w:bidi="ar"/>
              </w:rPr>
              <w:br w:type="textWrapping"/>
            </w:r>
            <w:r>
              <w:rPr>
                <w:rStyle w:val="28"/>
                <w:color w:val="auto"/>
                <w:lang w:val="en-US" w:eastAsia="zh-CN" w:bidi="ar"/>
              </w:rPr>
              <w:t>3、安装方式:放在显示屏内固定壁挂式，</w:t>
            </w:r>
            <w:r>
              <w:rPr>
                <w:rStyle w:val="28"/>
                <w:lang w:val="en-US" w:eastAsia="zh-CN" w:bidi="ar"/>
              </w:rPr>
              <w:t>室内环境</w:t>
            </w:r>
            <w:r>
              <w:rPr>
                <w:rStyle w:val="28"/>
                <w:lang w:val="en-US" w:eastAsia="zh-CN" w:bidi="ar"/>
              </w:rPr>
              <w:br w:type="textWrapping"/>
            </w:r>
            <w:r>
              <w:rPr>
                <w:rStyle w:val="28"/>
                <w:lang w:val="en-US" w:eastAsia="zh-CN" w:bidi="ar"/>
              </w:rPr>
              <w:t>4、手动控制方式、屏体一键启停</w:t>
            </w:r>
            <w:r>
              <w:rPr>
                <w:rStyle w:val="28"/>
                <w:lang w:val="en-US" w:eastAsia="zh-CN" w:bidi="ar"/>
              </w:rPr>
              <w:br w:type="textWrapping"/>
            </w:r>
            <w:r>
              <w:rPr>
                <w:rStyle w:val="28"/>
                <w:lang w:val="en-US" w:eastAsia="zh-CN" w:bidi="ar"/>
              </w:rPr>
              <w:t>5、具有电源状态指示灯，工作状态指示灯</w:t>
            </w:r>
            <w:r>
              <w:rPr>
                <w:rStyle w:val="28"/>
                <w:lang w:val="en-US" w:eastAsia="zh-CN" w:bidi="ar"/>
              </w:rPr>
              <w:br w:type="textWrapping"/>
            </w:r>
            <w:r>
              <w:rPr>
                <w:rStyle w:val="28"/>
                <w:lang w:val="en-US" w:eastAsia="zh-CN" w:bidi="ar"/>
              </w:rPr>
              <w:t>6、具有检修插座1路、常带电空开1路，有短路、断路、过压、欠压保护功能</w:t>
            </w:r>
            <w:r>
              <w:rPr>
                <w:rStyle w:val="28"/>
                <w:lang w:val="en-US" w:eastAsia="zh-CN" w:bidi="ar"/>
              </w:rPr>
              <w:br w:type="textWrapping"/>
            </w:r>
            <w:r>
              <w:rPr>
                <w:rStyle w:val="28"/>
                <w:lang w:val="en-US" w:eastAsia="zh-CN" w:bidi="ar"/>
              </w:rPr>
              <w:t>7、具有分布延时启动功能，延时1次上电</w:t>
            </w:r>
            <w:r>
              <w:rPr>
                <w:rStyle w:val="28"/>
                <w:lang w:val="en-US" w:eastAsia="zh-CN" w:bidi="ar"/>
              </w:rPr>
              <w:br w:type="textWrapping"/>
            </w:r>
            <w:r>
              <w:rPr>
                <w:rStyle w:val="28"/>
                <w:lang w:val="en-US" w:eastAsia="zh-CN" w:bidi="ar"/>
              </w:rPr>
              <w:t>8、远程控制方式: PLC 远程控制，支持网口、485串口、中控控制</w:t>
            </w:r>
            <w:r>
              <w:rPr>
                <w:rStyle w:val="28"/>
                <w:lang w:val="en-US" w:eastAsia="zh-CN" w:bidi="ar"/>
              </w:rPr>
              <w:br w:type="textWrapping"/>
            </w:r>
            <w:r>
              <w:rPr>
                <w:rStyle w:val="28"/>
                <w:lang w:val="en-US" w:eastAsia="zh-CN" w:bidi="ar"/>
              </w:rPr>
              <w:t>9、输入接线方式:国标3相5线</w:t>
            </w:r>
            <w:r>
              <w:rPr>
                <w:rStyle w:val="28"/>
                <w:lang w:val="en-US" w:eastAsia="zh-CN" w:bidi="ar"/>
              </w:rPr>
              <w:br w:type="textWrapping"/>
            </w:r>
            <w:r>
              <w:rPr>
                <w:rStyle w:val="28"/>
                <w:lang w:val="en-US" w:eastAsia="zh-CN" w:bidi="ar"/>
              </w:rPr>
              <w:t>10、额定电压(V): 3相380V</w:t>
            </w:r>
            <w:r>
              <w:rPr>
                <w:rStyle w:val="28"/>
                <w:lang w:val="en-US" w:eastAsia="zh-CN" w:bidi="ar"/>
              </w:rPr>
              <w:br w:type="textWrapping"/>
            </w:r>
            <w:r>
              <w:rPr>
                <w:rStyle w:val="28"/>
                <w:lang w:val="en-US" w:eastAsia="zh-CN" w:bidi="ar"/>
              </w:rPr>
              <w:t>11、输入频率(HZ):50/60Hz</w:t>
            </w:r>
            <w:r>
              <w:rPr>
                <w:rStyle w:val="28"/>
                <w:lang w:val="en-US" w:eastAsia="zh-CN" w:bidi="ar"/>
              </w:rPr>
              <w:br w:type="textWrapping"/>
            </w:r>
            <w:r>
              <w:rPr>
                <w:rStyle w:val="28"/>
                <w:lang w:val="en-US" w:eastAsia="zh-CN" w:bidi="ar"/>
              </w:rPr>
              <w:t>12、输出接线方式:单相，3线输出，L（火）、N（零）、PE（地）</w:t>
            </w:r>
            <w:r>
              <w:rPr>
                <w:rStyle w:val="28"/>
                <w:lang w:val="en-US" w:eastAsia="zh-CN" w:bidi="ar"/>
              </w:rPr>
              <w:br w:type="textWrapping"/>
            </w:r>
            <w:r>
              <w:rPr>
                <w:rStyle w:val="28"/>
                <w:lang w:val="en-US" w:eastAsia="zh-CN" w:bidi="ar"/>
              </w:rPr>
              <w:t>13、输出路数:显示屏6路输出 （6火、6零、6地）</w:t>
            </w:r>
            <w:r>
              <w:rPr>
                <w:rStyle w:val="28"/>
                <w:lang w:val="en-US" w:eastAsia="zh-CN" w:bidi="ar"/>
              </w:rPr>
              <w:br w:type="textWrapping"/>
            </w:r>
            <w:r>
              <w:rPr>
                <w:rStyle w:val="28"/>
                <w:lang w:val="en-US" w:eastAsia="zh-CN" w:bidi="ar"/>
              </w:rPr>
              <w:t>14、输出电压：220V</w:t>
            </w:r>
            <w:r>
              <w:rPr>
                <w:rStyle w:val="28"/>
                <w:lang w:val="en-US" w:eastAsia="zh-CN" w:bidi="ar"/>
              </w:rPr>
              <w:br w:type="textWrapping"/>
            </w:r>
            <w:r>
              <w:rPr>
                <w:rStyle w:val="28"/>
                <w:lang w:val="en-US" w:eastAsia="zh-CN" w:bidi="ar"/>
              </w:rPr>
              <w:t xml:space="preserve">15、单路输出功率(KW): 每路5 KW(MAX)，须均匀接入显示屏 </w:t>
            </w:r>
            <w:r>
              <w:rPr>
                <w:rStyle w:val="28"/>
                <w:lang w:val="en-US" w:eastAsia="zh-CN" w:bidi="ar"/>
              </w:rPr>
              <w:br w:type="textWrapping"/>
            </w:r>
            <w:r>
              <w:rPr>
                <w:rStyle w:val="28"/>
                <w:lang w:val="en-US" w:eastAsia="zh-CN" w:bidi="ar"/>
              </w:rPr>
              <w:t>16、执行标准:GB/T7251.12-2023</w:t>
            </w:r>
            <w:r>
              <w:rPr>
                <w:rStyle w:val="28"/>
                <w:lang w:val="en-US" w:eastAsia="zh-CN" w:bidi="ar"/>
              </w:rPr>
              <w:br w:type="textWrapping"/>
            </w:r>
            <w:r>
              <w:rPr>
                <w:rStyle w:val="28"/>
                <w:lang w:val="en-US" w:eastAsia="zh-CN" w:bidi="ar"/>
              </w:rPr>
              <w:t>17、工作温度(°c): -20-60</w:t>
            </w:r>
            <w:r>
              <w:rPr>
                <w:rStyle w:val="28"/>
                <w:lang w:val="en-US" w:eastAsia="zh-CN" w:bidi="ar"/>
              </w:rPr>
              <w:br w:type="textWrapping"/>
            </w:r>
            <w:r>
              <w:rPr>
                <w:rStyle w:val="28"/>
                <w:lang w:val="en-US" w:eastAsia="zh-CN" w:bidi="ar"/>
              </w:rPr>
              <w:t>18、工作湿度(%):10-90无凝结</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DA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DE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5B6C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11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二、计算机教室设备清单</w:t>
            </w:r>
          </w:p>
        </w:tc>
      </w:tr>
      <w:tr w14:paraId="5000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A1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77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交互智能平板</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3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整机硬件：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1．整机一体化全金属外壳设计，表面无尖锐边缘或凸起；背板采用金属材质，有效屏蔽内部电路器件辐射；整机包括模块无外伸天线。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屏幕采用≥86英寸UHD超高清LED液晶显示器，液晶屏的质量标准为A规级别；整机书写面板采用防眩光全钢化防爆玻璃面板，玻璃厚度≤4mm，防划防撞耐磨，具备防眩光功能；面板的碎片状态、抗冲击性、霰弹袋冲击性能、耐热冲击性能均通过国家强制玻璃标准，钢化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3．整机屏幕显示比例满足16:9，分辨率≥3840×2160；支持sRGB模式，在sRGB模式下可做到高色准△E≤1。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4．整机色域覆盖率（NTSC）≥92%，灰度等级≥256级。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采用硬件低蓝光背光技术，在源头减少有害蓝光波段能量，蓝光占比＜50%，低蓝光保护显示不偏色、不泛黄，且通过由中国标准化研究院制定的视觉舒适度（VICO）评价体系测试，并达到视觉舒适度A级或以上标准，须提供权威机构出具的相关证明材料。</w:t>
            </w:r>
            <w:r>
              <w:rPr>
                <w:rFonts w:hint="eastAsia" w:ascii="宋体" w:hAnsi="宋体" w:eastAsia="宋体" w:cs="宋体"/>
                <w:i w:val="0"/>
                <w:iCs w:val="0"/>
                <w:color w:val="000000"/>
                <w:kern w:val="0"/>
                <w:sz w:val="20"/>
                <w:szCs w:val="20"/>
                <w:u w:val="none"/>
                <w:lang w:val="en-US" w:eastAsia="zh-CN" w:bidi="ar"/>
              </w:rPr>
              <w:br w:type="textWrapping"/>
            </w:r>
            <w:r>
              <w:rPr>
                <w:rStyle w:val="30"/>
                <w:lang w:val="en-US" w:eastAsia="zh-CN" w:bidi="ar"/>
              </w:rPr>
              <w:t>6．整机采用红外触控技术，≥20点触控。</w:t>
            </w:r>
            <w:r>
              <w:rPr>
                <w:rStyle w:val="28"/>
                <w:lang w:val="en-US" w:eastAsia="zh-CN" w:bidi="ar"/>
              </w:rPr>
              <w:br w:type="textWrapping"/>
            </w:r>
            <w:r>
              <w:rPr>
                <w:rStyle w:val="28"/>
                <w:lang w:val="en-US" w:eastAsia="zh-CN" w:bidi="ar"/>
              </w:rPr>
              <w:t>7．整机侧置输入接口需具备≥2路HDMI，前置输入接口需具备≥2路USB接口、≥1路Type-C（支持通过不带转换转置的外部线缆，实现外接电脑HDMI信号的接入显示）；且前置USB接口需具备防撞挡板设计。</w:t>
            </w:r>
            <w:r>
              <w:rPr>
                <w:rStyle w:val="28"/>
                <w:lang w:val="en-US" w:eastAsia="zh-CN" w:bidi="ar"/>
              </w:rPr>
              <w:br w:type="textWrapping"/>
            </w:r>
            <w:r>
              <w:rPr>
                <w:rStyle w:val="28"/>
                <w:lang w:val="en-US" w:eastAsia="zh-CN" w:bidi="ar"/>
              </w:rPr>
              <w:t>8．整机前置Type-C接口支持通过Type-C接口实现音视频输入，外接电脑设备经双头Type-C线连接至整机，即可把外接电脑设备画面投到整机上，同时在整机上操作画面，可实现触摸电脑的操作，无需再连接触控USB线。</w:t>
            </w:r>
            <w:r>
              <w:rPr>
                <w:rStyle w:val="28"/>
                <w:lang w:val="en-US" w:eastAsia="zh-CN" w:bidi="ar"/>
              </w:rPr>
              <w:br w:type="textWrapping"/>
            </w:r>
            <w:r>
              <w:rPr>
                <w:rStyle w:val="28"/>
                <w:lang w:val="en-US" w:eastAsia="zh-CN" w:bidi="ar"/>
              </w:rPr>
              <w:t>9．整机具备至少5个前置物理按键，可实现开关机、调出中控菜单、音量+、音量-、护眼、录屏操作，除电源按键外，均支持自定义设置为一键启用任一全局小工具（如批注、截屏、计时、降半屏、放大镜、倒数日、日历）或快捷开关（节能模式、纸质护眼模式、经典护眼模式、自动亮度模式）。</w:t>
            </w:r>
            <w:r>
              <w:rPr>
                <w:rStyle w:val="28"/>
                <w:lang w:val="en-US" w:eastAsia="zh-CN" w:bidi="ar"/>
              </w:rPr>
              <w:br w:type="textWrapping"/>
            </w:r>
            <w:r>
              <w:rPr>
                <w:rStyle w:val="28"/>
                <w:lang w:val="en-US" w:eastAsia="zh-CN" w:bidi="ar"/>
              </w:rPr>
              <w:t>10．整机上边框内置非独立摄像头，摄像头≥3个，可拍摄≥1600万像素数的照片，视场角≥140°，水平视场角≥138°，支持输出16:9、4:3比例的图片和视频，分辨率达8192×2048或以上。支持课堂远程巡课、课堂教学数据采集、本地画面预览（拍照或视频录制），摄像头运行时有指示灯提示。</w:t>
            </w:r>
            <w:r>
              <w:rPr>
                <w:rStyle w:val="28"/>
                <w:lang w:val="en-US" w:eastAsia="zh-CN" w:bidi="ar"/>
              </w:rPr>
              <w:br w:type="textWrapping"/>
            </w:r>
            <w:r>
              <w:rPr>
                <w:rStyle w:val="28"/>
                <w:lang w:val="en-US" w:eastAsia="zh-CN" w:bidi="ar"/>
              </w:rPr>
              <w:t>11．整机内置非独立外扩展的8阵列麦克风，拾音角度0~180°，可用于对教室环境音频进行采集，拾音距离≥12m。</w:t>
            </w:r>
            <w:r>
              <w:rPr>
                <w:rStyle w:val="28"/>
                <w:lang w:val="en-US" w:eastAsia="zh-CN" w:bidi="ar"/>
              </w:rPr>
              <w:br w:type="textWrapping"/>
            </w:r>
            <w:r>
              <w:rPr>
                <w:rStyle w:val="28"/>
                <w:lang w:val="en-US" w:eastAsia="zh-CN" w:bidi="ar"/>
              </w:rPr>
              <w:t>12．整机内置2.2声道扬声器，额定总功率≥60W，100%音量下，满足1米处声压级≥90db，10米处声压级≥80dB。</w:t>
            </w:r>
            <w:r>
              <w:rPr>
                <w:rStyle w:val="28"/>
                <w:lang w:val="en-US" w:eastAsia="zh-CN" w:bidi="ar"/>
              </w:rPr>
              <w:br w:type="textWrapping"/>
            </w:r>
            <w:r>
              <w:rPr>
                <w:rStyle w:val="28"/>
                <w:lang w:val="en-US" w:eastAsia="zh-CN" w:bidi="ar"/>
              </w:rPr>
              <w:t>13．整机内置双WiFi 6无线网卡（不接受外接），整机Wi-Fi及AP热点需支持频段2.4GHz/5GHz；Wi-Fi制式需支持IEEE 802.11 a/b/g/n/ac/ax；需支持版本Wi-Fi 6。</w:t>
            </w:r>
            <w:r>
              <w:rPr>
                <w:rStyle w:val="28"/>
                <w:lang w:val="en-US" w:eastAsia="zh-CN" w:bidi="ar"/>
              </w:rPr>
              <w:br w:type="textWrapping"/>
            </w:r>
            <w:r>
              <w:rPr>
                <w:rStyle w:val="28"/>
                <w:lang w:val="en-US" w:eastAsia="zh-CN" w:bidi="ar"/>
              </w:rPr>
              <w:t>14.整机支持蓝牙Bluetooth 5.4标准。</w:t>
            </w:r>
            <w:r>
              <w:rPr>
                <w:rStyle w:val="28"/>
                <w:lang w:val="en-US" w:eastAsia="zh-CN" w:bidi="ar"/>
              </w:rPr>
              <w:br w:type="textWrapping"/>
            </w:r>
            <w:r>
              <w:rPr>
                <w:rStyle w:val="28"/>
                <w:lang w:val="en-US" w:eastAsia="zh-CN" w:bidi="ar"/>
              </w:rPr>
              <w:t>电脑模块</w:t>
            </w:r>
            <w:r>
              <w:rPr>
                <w:rStyle w:val="28"/>
                <w:lang w:val="en-US" w:eastAsia="zh-CN" w:bidi="ar"/>
              </w:rPr>
              <w:br w:type="textWrapping"/>
            </w:r>
            <w:r>
              <w:rPr>
                <w:rStyle w:val="28"/>
                <w:lang w:val="en-US" w:eastAsia="zh-CN" w:bidi="ar"/>
              </w:rPr>
              <w:t>1．采用模块化可拔插式OPS电脑方案，无需工具即可快速拆卸。</w:t>
            </w:r>
            <w:r>
              <w:rPr>
                <w:rStyle w:val="28"/>
                <w:lang w:val="en-US" w:eastAsia="zh-CN" w:bidi="ar"/>
              </w:rPr>
              <w:br w:type="textWrapping"/>
            </w:r>
            <w:r>
              <w:rPr>
                <w:rStyle w:val="28"/>
                <w:lang w:val="en-US" w:eastAsia="zh-CN" w:bidi="ar"/>
              </w:rPr>
              <w:t>2．CPU：C86架构国产CPU，符合国家</w:t>
            </w:r>
            <w:r>
              <w:rPr>
                <w:rStyle w:val="29"/>
                <w:lang w:val="en-US" w:eastAsia="zh-CN" w:bidi="ar"/>
              </w:rPr>
              <w:t>安全可靠测评一级要求，</w:t>
            </w:r>
            <w:r>
              <w:rPr>
                <w:rStyle w:val="28"/>
                <w:lang w:val="en-US" w:eastAsia="zh-CN" w:bidi="ar"/>
              </w:rPr>
              <w:t>≥8核16线程，主频≥2.8GHz</w:t>
            </w:r>
            <w:r>
              <w:rPr>
                <w:rStyle w:val="30"/>
                <w:lang w:val="en-US" w:eastAsia="zh-CN" w:bidi="ar"/>
              </w:rPr>
              <w:t>。</w:t>
            </w:r>
            <w:r>
              <w:rPr>
                <w:rStyle w:val="28"/>
                <w:lang w:val="en-US" w:eastAsia="zh-CN" w:bidi="ar"/>
              </w:rPr>
              <w:t xml:space="preserve"> 内存：16G DDR4或以上内存；硬盘：256GB或以上固态硬盘； 显卡：2G独立显卡。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DA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1F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42F8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079B7">
            <w:pPr>
              <w:jc w:val="center"/>
              <w:rPr>
                <w:rFonts w:hint="eastAsia" w:ascii="宋体" w:hAnsi="宋体" w:eastAsia="宋体" w:cs="宋体"/>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507BF">
            <w:pPr>
              <w:jc w:val="center"/>
              <w:rPr>
                <w:rFonts w:hint="eastAsia" w:ascii="宋体" w:hAnsi="宋体" w:eastAsia="宋体" w:cs="宋体"/>
                <w:b/>
                <w:bCs/>
                <w:i w:val="0"/>
                <w:iCs w:val="0"/>
                <w:color w:val="000000"/>
                <w:sz w:val="20"/>
                <w:szCs w:val="20"/>
                <w:u w:val="none"/>
              </w:rPr>
            </w:pP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7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3．模块具有多个独立非外扩展的接口，≥1路HDMI，≥3路USB 3.0，≥1路USB 2.0，≥1路RJ45。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4．预装正版国产操作系统，</w:t>
            </w:r>
            <w:r>
              <w:rPr>
                <w:rStyle w:val="29"/>
                <w:lang w:val="en-US" w:eastAsia="zh-CN" w:bidi="ar"/>
              </w:rPr>
              <w:t>符合国家安全可靠测评一级要求</w:t>
            </w:r>
            <w:r>
              <w:rPr>
                <w:rStyle w:val="28"/>
                <w:lang w:val="en-US" w:eastAsia="zh-CN" w:bidi="ar"/>
              </w:rPr>
              <w:t>。</w:t>
            </w:r>
            <w:r>
              <w:rPr>
                <w:rStyle w:val="28"/>
                <w:lang w:val="en-US" w:eastAsia="zh-CN" w:bidi="ar"/>
              </w:rPr>
              <w:br w:type="textWrapping"/>
            </w:r>
            <w:r>
              <w:rPr>
                <w:rStyle w:val="28"/>
                <w:lang w:val="en-US" w:eastAsia="zh-CN" w:bidi="ar"/>
              </w:rPr>
              <w:t>交互式备授课软件：</w:t>
            </w:r>
            <w:r>
              <w:rPr>
                <w:rStyle w:val="28"/>
                <w:lang w:val="en-US" w:eastAsia="zh-CN" w:bidi="ar"/>
              </w:rPr>
              <w:br w:type="textWrapping"/>
            </w:r>
            <w:r>
              <w:rPr>
                <w:rStyle w:val="28"/>
                <w:lang w:val="en-US" w:eastAsia="zh-CN" w:bidi="ar"/>
              </w:rPr>
              <w:t>1．支持为教师提供可扩展至 100TB 的云存储空间， 教师可在个人云空间上传存 储互动课件、云教案和其他教学资源。</w:t>
            </w:r>
            <w:r>
              <w:rPr>
                <w:rStyle w:val="28"/>
                <w:lang w:val="en-US" w:eastAsia="zh-CN" w:bidi="ar"/>
              </w:rPr>
              <w:br w:type="textWrapping"/>
            </w:r>
            <w:r>
              <w:rPr>
                <w:rStyle w:val="28"/>
                <w:lang w:val="en-US" w:eastAsia="zh-CN" w:bidi="ar"/>
              </w:rPr>
              <w:t>2．采用备授课一体化框架设计，教师可根据教学场景自由切换类 PPT 界面的备课模式与触控交互教学模式；为使用方全体教师配备个人账号，形成一体的信息化教学账号体系；根据教师账号信息将教师云空间匹配至对应学校、学科校本资源库。支持通过数字账号、微信二维码登录教师个人账号。</w:t>
            </w:r>
            <w:r>
              <w:rPr>
                <w:rStyle w:val="28"/>
                <w:lang w:val="en-US" w:eastAsia="zh-CN" w:bidi="ar"/>
              </w:rPr>
              <w:br w:type="textWrapping"/>
            </w:r>
            <w:r>
              <w:rPr>
                <w:rStyle w:val="28"/>
                <w:lang w:val="en-US" w:eastAsia="zh-CN" w:bidi="ar"/>
              </w:rPr>
              <w:t>3．为方便老师之间课件的传阅，软件需支持互动教学课件支持定向精准分享；分享者可将互动课件、课件组精准推送至指定接收方账号云空间，接收方可在云空间接收并打开分享课件。</w:t>
            </w:r>
            <w:r>
              <w:rPr>
                <w:rStyle w:val="28"/>
                <w:lang w:val="en-US" w:eastAsia="zh-CN" w:bidi="ar"/>
              </w:rPr>
              <w:br w:type="textWrapping"/>
            </w:r>
            <w:r>
              <w:rPr>
                <w:rStyle w:val="28"/>
                <w:lang w:val="en-US" w:eastAsia="zh-CN" w:bidi="ar"/>
              </w:rPr>
              <w:t>4．提供互动式教学课件资源，包含学科教育各学段各地区教材版本≥80个；包含学科教育各学段教材版本全部教学章节、专题教育多个主题教育、特殊教育三大分类≥160000份的交互动课件。</w:t>
            </w:r>
            <w:r>
              <w:rPr>
                <w:rStyle w:val="28"/>
                <w:lang w:val="en-US" w:eastAsia="zh-CN" w:bidi="ar"/>
              </w:rPr>
              <w:br w:type="textWrapping"/>
            </w:r>
            <w:r>
              <w:rPr>
                <w:rStyle w:val="28"/>
                <w:lang w:val="en-US" w:eastAsia="zh-CN" w:bidi="ar"/>
              </w:rPr>
              <w:t>5．内置图片处理功能，无需借助专业图片处理软件即可对课件内的图片进行快速抠图，图片主体处理后边缘无明显毛边，且处理后的图片可直接上传至用户云空间供后续复用。</w:t>
            </w:r>
            <w:r>
              <w:rPr>
                <w:rStyle w:val="28"/>
                <w:lang w:val="en-US" w:eastAsia="zh-CN" w:bidi="ar"/>
              </w:rPr>
              <w:br w:type="textWrapping"/>
            </w:r>
            <w:r>
              <w:rPr>
                <w:rStyle w:val="28"/>
                <w:lang w:val="en-US" w:eastAsia="zh-CN" w:bidi="ar"/>
              </w:rPr>
              <w:t>6．支持课件内嵌图片、音视频等多媒体文件，支持对音频、视频文件进行关键帧标记，可在音、视频进度条任意位置自由设置关键帧播放节点，便于快速定位讲解关键内容。</w:t>
            </w:r>
            <w:r>
              <w:rPr>
                <w:rStyle w:val="28"/>
                <w:lang w:val="en-US" w:eastAsia="zh-CN" w:bidi="ar"/>
              </w:rPr>
              <w:br w:type="textWrapping"/>
            </w:r>
            <w:r>
              <w:rPr>
                <w:rStyle w:val="28"/>
                <w:lang w:val="en-US" w:eastAsia="zh-CN" w:bidi="ar"/>
              </w:rPr>
              <w:t>7．内嵌思维导图功能，提供思维导图、鱼骨图及组织结构图等知识结构化工具，提供≥8种预设模板，可自由增删或拖拽编辑知识节点，并支持在节点上插入图片、音频、视频、网页链接、课件页面等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Pr>
                <w:rStyle w:val="28"/>
                <w:lang w:val="en-US" w:eastAsia="zh-CN" w:bidi="ar"/>
              </w:rPr>
              <w:br w:type="textWrapping"/>
            </w:r>
            <w:r>
              <w:rPr>
                <w:rStyle w:val="28"/>
                <w:lang w:val="en-US" w:eastAsia="zh-CN" w:bidi="ar"/>
              </w:rPr>
              <w:t>8．支持PPT的原生解析，用户可将pptx课件转化为互动教学课件，保留pptx原文件中的文字、图片、表格等对象及动画的可编辑性，并可为课件增加互动教学元素。</w:t>
            </w:r>
            <w:r>
              <w:rPr>
                <w:rStyle w:val="28"/>
                <w:lang w:val="en-US" w:eastAsia="zh-CN" w:bidi="ar"/>
              </w:rPr>
              <w:br w:type="textWrapping"/>
            </w:r>
            <w:r>
              <w:rPr>
                <w:rStyle w:val="28"/>
                <w:lang w:val="en-US" w:eastAsia="zh-CN" w:bidi="ar"/>
              </w:rPr>
              <w:t>9．软件提供学科工具，包含语文、数学、英语、物理、化学、生物、地理等。需支持以下几个重点学科工具：</w:t>
            </w:r>
            <w:r>
              <w:rPr>
                <w:rStyle w:val="28"/>
                <w:lang w:val="en-US" w:eastAsia="zh-CN" w:bidi="ar"/>
              </w:rPr>
              <w:br w:type="textWrapping"/>
            </w:r>
            <w:r>
              <w:rPr>
                <w:rStyle w:val="28"/>
                <w:lang w:val="en-US" w:eastAsia="zh-CN" w:bidi="ar"/>
              </w:rPr>
              <w:t>10．学科工具：</w:t>
            </w:r>
            <w:r>
              <w:rPr>
                <w:rStyle w:val="28"/>
                <w:lang w:val="en-US" w:eastAsia="zh-CN" w:bidi="ar"/>
              </w:rPr>
              <w:br w:type="textWrapping"/>
            </w:r>
            <w:r>
              <w:rPr>
                <w:rStyle w:val="28"/>
                <w:lang w:val="en-US" w:eastAsia="zh-CN" w:bidi="ar"/>
              </w:rPr>
              <w:t>(1)语文学科工具：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Style w:val="28"/>
                <w:lang w:val="en-US" w:eastAsia="zh-CN" w:bidi="ar"/>
              </w:rPr>
              <w:br w:type="textWrapping"/>
            </w:r>
            <w:r>
              <w:rPr>
                <w:rStyle w:val="28"/>
                <w:lang w:val="en-US" w:eastAsia="zh-CN" w:bidi="ar"/>
              </w:rPr>
              <w:t>(2)数学学科工具：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F54D">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A87E">
            <w:pPr>
              <w:jc w:val="center"/>
              <w:rPr>
                <w:rFonts w:hint="eastAsia" w:ascii="宋体" w:hAnsi="宋体" w:eastAsia="宋体" w:cs="宋体"/>
                <w:b/>
                <w:bCs/>
                <w:i w:val="0"/>
                <w:iCs w:val="0"/>
                <w:color w:val="000000"/>
                <w:sz w:val="20"/>
                <w:szCs w:val="20"/>
                <w:u w:val="none"/>
              </w:rPr>
            </w:pPr>
          </w:p>
        </w:tc>
      </w:tr>
      <w:tr w14:paraId="7AB6E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AFD3">
            <w:pPr>
              <w:jc w:val="center"/>
              <w:rPr>
                <w:rFonts w:hint="eastAsia" w:ascii="宋体" w:hAnsi="宋体" w:eastAsia="宋体" w:cs="宋体"/>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4544">
            <w:pPr>
              <w:jc w:val="center"/>
              <w:rPr>
                <w:rFonts w:hint="eastAsia" w:ascii="宋体" w:hAnsi="宋体" w:eastAsia="宋体" w:cs="宋体"/>
                <w:b/>
                <w:bCs/>
                <w:i w:val="0"/>
                <w:iCs w:val="0"/>
                <w:color w:val="000000"/>
                <w:sz w:val="20"/>
                <w:szCs w:val="20"/>
                <w:u w:val="none"/>
              </w:rPr>
            </w:pP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5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　数学函数公式：支持中英文、数学公式的编辑输入，可快速输入方程组、脱式运算，提供≥70个数学符号及模板；预置≥40个常用数学公式，无需编辑一键插入，输入内容可用不同颜色标记及重复编辑。支持LaTeX公式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　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　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　数学画板：支持课件中插入在线数学画板，授课时一键打开使用。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500个数学画板资源，按照小学、初中、高中学段数学学科主要知识点分类，便于教师查找使用。内置画板课件展示生动直观，可动态展示平面几何的变化：如小学几何四边形，可动态演示四边形的不同形态间的变化；中学函数的平方差公式讲解，可将平方差公式通过图形具象展示其计算原理。提供个人画板供教师创作，具备点、线段、直线、射线、多边形和圆形这些基础元素和两点中点、线段中点、椭圆焦点、画笔、绘图、标注、坐标轴、文本、极坐标方程等10种数学常用工具。创建后可一键将画板无缝嵌入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(3)化学学科工具：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化学元素周期表：支持浏览和插入化学元素周期表，可整表或单个元素插入备课课件中形成元素卡片。支持以原子序数、相对原子质量、原子结构、价层电子排布等多种形式呈现。插入后的元素卡片支持展开浏览元素详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(4)物理工具：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线图：支持自由绘制物理线图，提供元件库和模板库≥30个组件，支持自动吸附连接线，画布可无限漫游。绘制后的线图可一键插入到备课课件中并支持二次编辑。老师可将常用的线图保存至个人云盘方便二次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(5)英语工具：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　四线三格：配置英语学科四线三格，可直接键入人教版英语辅助教材配套的手写字体。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　听写：配置英语学科听写工具，覆盖小初高≥8000个英语单词，支持自定义选择单词。自定义听写频率和次数，一键生成听写卡；授课模式支持一键开启听写朗读。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11．交互式智能白板软件需支持直播听评课：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（1）直播听评课：支持授课老师发起直播听评课，使用手机进行录影，听课老师可查看课堂直播。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（2）听课提醒：支持查看评课邀请信息和直播开启预告，及时进入直播课堂，进行听课评价。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（3）听课交流：支持主动发布“开启了直播”、“关闭直播”课堂状态，及时同步课堂进度。支持远程观看课堂直播时同步在听课交流区发表文字、快捷表情和照片内容，记录与分享听课想法。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B6C7">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20FD">
            <w:pPr>
              <w:jc w:val="center"/>
              <w:rPr>
                <w:rFonts w:hint="eastAsia" w:ascii="宋体" w:hAnsi="宋体" w:eastAsia="宋体" w:cs="宋体"/>
                <w:b/>
                <w:bCs/>
                <w:i w:val="0"/>
                <w:iCs w:val="0"/>
                <w:color w:val="000000"/>
                <w:sz w:val="20"/>
                <w:szCs w:val="20"/>
                <w:u w:val="none"/>
              </w:rPr>
            </w:pPr>
          </w:p>
        </w:tc>
      </w:tr>
      <w:tr w14:paraId="554B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022AB">
            <w:pPr>
              <w:jc w:val="center"/>
              <w:rPr>
                <w:rFonts w:hint="eastAsia" w:ascii="宋体" w:hAnsi="宋体" w:eastAsia="宋体" w:cs="宋体"/>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DBBAC">
            <w:pPr>
              <w:jc w:val="center"/>
              <w:rPr>
                <w:rFonts w:hint="eastAsia" w:ascii="宋体" w:hAnsi="宋体" w:eastAsia="宋体" w:cs="宋体"/>
                <w:b/>
                <w:bCs/>
                <w:i w:val="0"/>
                <w:iCs w:val="0"/>
                <w:color w:val="000000"/>
                <w:sz w:val="20"/>
                <w:szCs w:val="20"/>
                <w:u w:val="none"/>
              </w:rPr>
            </w:pP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0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直播回放：直播评课全过程支持回放并自动生成字幕，支持回放视频形成回放链接分享，可直接下载导出，用于老师回顾课堂内容，分析老师的课堂表现和教学情况。支持查看课堂录影回放，回顾课堂内容，分析老师的课堂表现和教学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12．白板软件需支持云教案以下功能：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云教案内容无需人为保存即可同步至云空间，支持已链接方式进行定向式分享和开放式分享。接收者可直接在桌面浏览器、微信浏览器内打开预览，可将云教案转存至个人云空间。云教案支持导出为PDF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（2）提供将Word转换为云教案的能力，支持解析文本、表格等通用元素，方便老师迁移旧教案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（3）云教案支持插入表格、图片、音视频（m4v、mp3、mp4、oga、ogg、opus、wav、webm）、文档附件（.pdf、.doc、.docx、.xls、.xlsx）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（4）提供教案模板，方便老师撰写教案，预置模板包含表格式、提纲式、集备式、多课时式、单元设计式等≥7个。支持校本模板，管理员在教研管理后台设置校本模板后，老师可在云教案模板调用。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（6）云教案提供授课模式，可在云教案预览页面点击授课进入全屏演示模式，也可在授课端直接打开云教案列表进入。授课模式下支持使用笔工具书写批注，且可上下左右漫游。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（7）一键插入思维导图，支持直接在教案页面的轻量化编辑，进入全屏后可设置更多导图格式。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（8）教案授课模式下，课件页、思维导图、插入的PDF、Word等文件均支持全屏预览板书。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1．硬件设备至少提供三年的原厂质保，教学白板软件须与硬件设备为同一品牌，签订合同时提供软件终生免费升级承诺，提供国家认可的检测机构出具的具有CMA、CNAS标识的相关检测报告。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2．依据《信息安全等级保护管理办法》有关规定，教学白板软件需达到信息系统安全等级保护二级及以上。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软件产品须提供软件著作权登记证书，及提供国家认可的检测机构出具的具有CMA、CNAS标识的相关检测报告。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551C">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F16A">
            <w:pPr>
              <w:jc w:val="center"/>
              <w:rPr>
                <w:rFonts w:hint="eastAsia" w:ascii="宋体" w:hAnsi="宋体" w:eastAsia="宋体" w:cs="宋体"/>
                <w:b/>
                <w:bCs/>
                <w:i w:val="0"/>
                <w:iCs w:val="0"/>
                <w:color w:val="000000"/>
                <w:sz w:val="20"/>
                <w:szCs w:val="20"/>
                <w:u w:val="none"/>
              </w:rPr>
            </w:pPr>
          </w:p>
        </w:tc>
      </w:tr>
      <w:tr w14:paraId="00D3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DF8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74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教学书写板</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2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1.颜色：亚光米黄色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2.结构：双层结构，内层为两块固定在左右的书写板，交互平板居中放置外层为滑动书写板，滑动板配装刻有黑板品牌LOGO标识的挂锁，开闭自如确保一体机的安全管理，支持电子产品居中放置；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3.规格：长度≥4300mm*1305，高度可根据所配电子产品适当调整，确保与电子产品的有效配套；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4.板面：采用金属烤漆,书写板面在280℃高温烘烤一次成型，漆膜硬度在6H,米黄色板面，厚度≥0.25mm涂膜附着力等级1级。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5.衬板：选用高强度、吸音、防潮、阻燃聚苯乙烯板，厚度≥14mm；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6.背板：采用优质镀锌钢板，厚度≥0.2mm，机械化流水线一次成型，设有凹槽加强筋，增加板体强度；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7.覆板：采用环保型双组份聚氨酯胶水，自动化流水线覆板作业，确保粘接牢固板面平整，甲醛释放量不大于1.5mg/L，符合GB 28231-2011《书写板安全卫生要求》；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8.边框：采用高强度香槟色电泳铝合金型材，性能符合GB 5237.3-2017标准，边框经盐雾试验72小时后，保护等级不低于9.5级（提供证明材料）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9.包角：采用抗老化高强度ABS工程塑料注塑成型，采用双壁成腔流线型设计，黑板品牌标识与包角一次模具成型，无尖角毛刺，符合GB 21027-2007《学生用品的安全通用要求》；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10.滑轮：双组高精度轴承上吊轮，下平滑动系统，上下均匀安装，滑动流畅、噪音小、前后定位精确，投标产品滑轮部件通过QB/T4597-2013(2017)移门轮轨通用检测。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11.安全性：一把锁实现对滑动黑板的锁定，钥匙通用，方便实用；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配套米黄板专用环保套装：干擦阀门式白板笔三支、笔头渗透性强，书写流畅。可多次添加墨水，并可重复使用，方便、环保。单支书写笔可书写有效长度为1000米。干擦墨水100ml每瓶共三瓶分别为红、蓝、黑三种颜色，墨水使用时成膜型，书写字迹干燥后随时可擦，多次书写擦拭不糊板，不留底，环保无毒，长期放置无沉淀和分层现象，书写流畅。墨水瓶采用旋盖滴液嘴设计，可以有效控制加墨量，加墨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墨水与环保书写板为同一制造厂家，确保兼容性。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干擦式EVA板擦一套，擦除性好，不伤板面。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F71E">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A25A">
            <w:pPr>
              <w:jc w:val="center"/>
              <w:rPr>
                <w:rFonts w:hint="eastAsia" w:ascii="宋体" w:hAnsi="宋体" w:eastAsia="宋体" w:cs="宋体"/>
                <w:b/>
                <w:bCs/>
                <w:i w:val="0"/>
                <w:iCs w:val="0"/>
                <w:color w:val="000000"/>
                <w:sz w:val="20"/>
                <w:szCs w:val="20"/>
                <w:u w:val="none"/>
              </w:rPr>
            </w:pPr>
          </w:p>
        </w:tc>
      </w:tr>
      <w:tr w14:paraId="6B6D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80F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A30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壁挂展台</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8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1．壁挂式安装，无利边无锐角设计，托板为单板结构且平整无接缝，展开后托板尺寸≥A4面积，需支持≥3kg物体承重；托板收起方式需支持磁吸吸附式。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2．采用一体式、非活动悬臂设计，打开托板即可启动展台，实现画面拍摄和数据传输。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3．采用USB接口，单根USB线实现供电及高清数据传输需求。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4．摄像头可拍摄不少于1300万像素数的照片，摄像头支持自动对焦，可拍摄A4画幅，支持视频矫正功能。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5．展台按键采用触摸按键，可实现灯光调节、拍照截图、画面放大、缩小等功能，需支持3档及以上LED补光进行亮度补充；支持通过双击屏幕画面任意位置即时改变对焦位置,可对立体物体的局部进行对焦。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二、软件参数：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1．软件需支持对展台实时画面进行放大、缩小、旋转、自适应、画面锁定等基础操作，预设多种笔划粗细及颜色对展台画面进行实时批注。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2．软件支持对展台画面拍照截图并进行多图预览，可对任一图片进行全屏显示，且支持对展台画面联同批注内容进行同步缩放、移动。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软件需支持故障自动检测，可判断硬件连接、显卡驱动、摄像头占用、软件版本问题，并给出引导性解决方案。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65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36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4577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AF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4B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教师终端</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2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1．处理器：CPU采用国产自主芯片，兼容X86指令集，处理器核数≥8核，主频≥2.7GHz；</w:t>
            </w:r>
            <w:r>
              <w:rPr>
                <w:rStyle w:val="29"/>
                <w:lang w:val="en-US" w:eastAsia="zh-CN" w:bidi="ar"/>
              </w:rPr>
              <w:t>符合国家安全可靠测评一级要求。</w:t>
            </w:r>
            <w:r>
              <w:rPr>
                <w:rStyle w:val="28"/>
                <w:lang w:val="en-US" w:eastAsia="zh-CN" w:bidi="ar"/>
              </w:rPr>
              <w:br w:type="textWrapping"/>
            </w:r>
            <w:r>
              <w:rPr>
                <w:rStyle w:val="28"/>
                <w:lang w:val="en-US" w:eastAsia="zh-CN" w:bidi="ar"/>
              </w:rPr>
              <w:t>2．内存：配置内存≥16GB DDR4，支持扩展;</w:t>
            </w:r>
            <w:r>
              <w:rPr>
                <w:rStyle w:val="28"/>
                <w:lang w:val="en-US" w:eastAsia="zh-CN" w:bidi="ar"/>
              </w:rPr>
              <w:br w:type="textWrapping"/>
            </w:r>
            <w:r>
              <w:rPr>
                <w:rStyle w:val="28"/>
                <w:lang w:val="en-US" w:eastAsia="zh-CN" w:bidi="ar"/>
              </w:rPr>
              <w:t>3．硬盘：配置≥1T固态硬盘</w:t>
            </w:r>
            <w:r>
              <w:rPr>
                <w:rStyle w:val="28"/>
                <w:lang w:val="en-US" w:eastAsia="zh-CN" w:bidi="ar"/>
              </w:rPr>
              <w:br w:type="textWrapping"/>
            </w:r>
            <w:r>
              <w:rPr>
                <w:rStyle w:val="28"/>
                <w:lang w:val="en-US" w:eastAsia="zh-CN" w:bidi="ar"/>
              </w:rPr>
              <w:t>4．显卡：独立显卡≥4GB</w:t>
            </w:r>
            <w:r>
              <w:rPr>
                <w:rStyle w:val="28"/>
                <w:lang w:val="en-US" w:eastAsia="zh-CN" w:bidi="ar"/>
              </w:rPr>
              <w:br w:type="textWrapping"/>
            </w:r>
            <w:r>
              <w:rPr>
                <w:rStyle w:val="28"/>
                <w:lang w:val="en-US" w:eastAsia="zh-CN" w:bidi="ar"/>
              </w:rPr>
              <w:t>5．后置面板：USB3.0≥4个；HDMI输出≥1个；VGA输出≥1个；音频输入≥1个；音频输出≥1个；RJ45≥1个；P/S2≥2个；串口≥1个</w:t>
            </w:r>
            <w:r>
              <w:rPr>
                <w:rStyle w:val="28"/>
                <w:lang w:val="en-US" w:eastAsia="zh-CN" w:bidi="ar"/>
              </w:rPr>
              <w:br w:type="textWrapping"/>
            </w:r>
            <w:r>
              <w:rPr>
                <w:rStyle w:val="28"/>
                <w:lang w:val="en-US" w:eastAsia="zh-CN" w:bidi="ar"/>
              </w:rPr>
              <w:t>6．前置面板：USB3.0≥3个（支持在关机状态下对外供电）；TypeC≥1个；音频接口≥1个（支持耳机麦克风二合一）</w:t>
            </w:r>
            <w:r>
              <w:rPr>
                <w:rStyle w:val="28"/>
                <w:lang w:val="en-US" w:eastAsia="zh-CN" w:bidi="ar"/>
              </w:rPr>
              <w:br w:type="textWrapping"/>
            </w:r>
            <w:r>
              <w:rPr>
                <w:rStyle w:val="28"/>
                <w:lang w:val="en-US" w:eastAsia="zh-CN" w:bidi="ar"/>
              </w:rPr>
              <w:t>7.内部插槽：PCIEX16≥1个（支持拓展独立显卡）；PCIEX8≥2个；M.2≥2个；SATA≥4个。</w:t>
            </w:r>
            <w:r>
              <w:rPr>
                <w:rStyle w:val="28"/>
                <w:lang w:val="en-US" w:eastAsia="zh-CN" w:bidi="ar"/>
              </w:rPr>
              <w:br w:type="textWrapping"/>
            </w:r>
            <w:r>
              <w:rPr>
                <w:rStyle w:val="28"/>
                <w:lang w:val="en-US" w:eastAsia="zh-CN" w:bidi="ar"/>
              </w:rPr>
              <w:t>8.支持物理网络开关按键。</w:t>
            </w:r>
            <w:r>
              <w:rPr>
                <w:rStyle w:val="28"/>
                <w:lang w:val="en-US" w:eastAsia="zh-CN" w:bidi="ar"/>
              </w:rPr>
              <w:br w:type="textWrapping"/>
            </w:r>
            <w:r>
              <w:rPr>
                <w:rStyle w:val="28"/>
                <w:lang w:val="en-US" w:eastAsia="zh-CN" w:bidi="ar"/>
              </w:rPr>
              <w:t>9.关机状态下，支持≥3前置USB端口对外供电。</w:t>
            </w:r>
            <w:r>
              <w:rPr>
                <w:rStyle w:val="28"/>
                <w:lang w:val="en-US" w:eastAsia="zh-CN" w:bidi="ar"/>
              </w:rPr>
              <w:br w:type="textWrapping"/>
            </w:r>
            <w:r>
              <w:rPr>
                <w:rStyle w:val="28"/>
                <w:lang w:val="en-US" w:eastAsia="zh-CN" w:bidi="ar"/>
              </w:rPr>
              <w:t>10．预装正版国产操作系统，</w:t>
            </w:r>
            <w:r>
              <w:rPr>
                <w:rStyle w:val="29"/>
                <w:lang w:val="en-US" w:eastAsia="zh-CN" w:bidi="ar"/>
              </w:rPr>
              <w:t>符合国家安全可靠测评一级要求</w:t>
            </w:r>
            <w:r>
              <w:rPr>
                <w:rStyle w:val="28"/>
                <w:lang w:val="en-US" w:eastAsia="zh-CN" w:bidi="ar"/>
              </w:rPr>
              <w:t>。</w:t>
            </w:r>
            <w:r>
              <w:rPr>
                <w:rStyle w:val="28"/>
                <w:lang w:val="en-US" w:eastAsia="zh-CN" w:bidi="ar"/>
              </w:rPr>
              <w:br w:type="textWrapping"/>
            </w:r>
            <w:r>
              <w:rPr>
                <w:rStyle w:val="28"/>
                <w:lang w:val="en-US" w:eastAsia="zh-CN" w:bidi="ar"/>
              </w:rPr>
              <w:t>11．电脑管理软件：</w:t>
            </w:r>
            <w:r>
              <w:rPr>
                <w:rStyle w:val="28"/>
                <w:lang w:val="en-US" w:eastAsia="zh-CN" w:bidi="ar"/>
              </w:rPr>
              <w:br w:type="textWrapping"/>
            </w:r>
            <w:r>
              <w:rPr>
                <w:rStyle w:val="28"/>
                <w:lang w:val="en-US" w:eastAsia="zh-CN" w:bidi="ar"/>
              </w:rPr>
              <w:t>①　支持通过微信扫码进行设备绑定，设置当前设备类型与归属用户；</w:t>
            </w:r>
            <w:r>
              <w:rPr>
                <w:rStyle w:val="28"/>
                <w:lang w:val="en-US" w:eastAsia="zh-CN" w:bidi="ar"/>
              </w:rPr>
              <w:br w:type="textWrapping"/>
            </w:r>
            <w:r>
              <w:rPr>
                <w:rStyle w:val="28"/>
                <w:lang w:val="en-US" w:eastAsia="zh-CN" w:bidi="ar"/>
              </w:rPr>
              <w:t>②　支持查看当前设备的硬件信息和系统信息。</w:t>
            </w:r>
            <w:r>
              <w:rPr>
                <w:rStyle w:val="28"/>
                <w:lang w:val="en-US" w:eastAsia="zh-CN" w:bidi="ar"/>
              </w:rPr>
              <w:br w:type="textWrapping"/>
            </w:r>
            <w:r>
              <w:rPr>
                <w:rStyle w:val="28"/>
                <w:lang w:val="en-US" w:eastAsia="zh-CN" w:bidi="ar"/>
              </w:rPr>
              <w:t>③　支持展示电脑实时的数据信息。</w:t>
            </w:r>
            <w:r>
              <w:rPr>
                <w:rStyle w:val="28"/>
                <w:lang w:val="en-US" w:eastAsia="zh-CN" w:bidi="ar"/>
              </w:rPr>
              <w:br w:type="textWrapping"/>
            </w:r>
            <w:r>
              <w:rPr>
                <w:rStyle w:val="28"/>
                <w:lang w:val="en-US" w:eastAsia="zh-CN" w:bidi="ar"/>
              </w:rPr>
              <w:t>④　支持对单个电脑或批量设备下发关机与重启指令、移动分组、移除设备。</w:t>
            </w:r>
            <w:r>
              <w:rPr>
                <w:rStyle w:val="28"/>
                <w:lang w:val="en-US" w:eastAsia="zh-CN" w:bidi="ar"/>
              </w:rPr>
              <w:br w:type="textWrapping"/>
            </w:r>
            <w:r>
              <w:rPr>
                <w:rStyle w:val="28"/>
                <w:lang w:val="en-US" w:eastAsia="zh-CN" w:bidi="ar"/>
              </w:rPr>
              <w:t>⑤　支持一次发送文件给多个接收端设备；接收端设备离线时文件支持暂存云端，等接收端设备在线后进行自动下载。</w:t>
            </w:r>
            <w:r>
              <w:rPr>
                <w:rStyle w:val="28"/>
                <w:lang w:val="en-US" w:eastAsia="zh-CN" w:bidi="ar"/>
              </w:rPr>
              <w:br w:type="textWrapping"/>
            </w:r>
            <w:r>
              <w:rPr>
                <w:rStyle w:val="28"/>
                <w:lang w:val="en-US" w:eastAsia="zh-CN" w:bidi="ar"/>
              </w:rPr>
              <w:t>⑥　支持接收端设备在线状态下自动接收终端应用软件发送的文件。</w:t>
            </w:r>
            <w:r>
              <w:rPr>
                <w:rStyle w:val="28"/>
                <w:lang w:val="en-US" w:eastAsia="zh-CN" w:bidi="ar"/>
              </w:rPr>
              <w:br w:type="textWrapping"/>
            </w:r>
            <w:r>
              <w:rPr>
                <w:rStyle w:val="28"/>
                <w:lang w:val="en-US" w:eastAsia="zh-CN" w:bidi="ar"/>
              </w:rPr>
              <w:t>⑦　支持用户在资料夹中把多个文件发送至其他电脑中。</w:t>
            </w:r>
            <w:r>
              <w:rPr>
                <w:rStyle w:val="28"/>
                <w:lang w:val="en-US" w:eastAsia="zh-CN" w:bidi="ar"/>
              </w:rPr>
              <w:br w:type="textWrapping"/>
            </w:r>
            <w:r>
              <w:rPr>
                <w:rStyle w:val="28"/>
                <w:lang w:val="en-US" w:eastAsia="zh-CN" w:bidi="ar"/>
              </w:rPr>
              <w:t>12.配套键鼠</w:t>
            </w:r>
            <w:r>
              <w:rPr>
                <w:rStyle w:val="28"/>
                <w:lang w:val="en-US" w:eastAsia="zh-CN" w:bidi="ar"/>
              </w:rPr>
              <w:br w:type="textWrapping"/>
            </w:r>
            <w:r>
              <w:rPr>
                <w:rStyle w:val="28"/>
                <w:lang w:val="en-US" w:eastAsia="zh-CN" w:bidi="ar"/>
              </w:rPr>
              <w:t>【显示器】</w:t>
            </w:r>
            <w:r>
              <w:rPr>
                <w:rStyle w:val="28"/>
                <w:lang w:val="en-US" w:eastAsia="zh-CN" w:bidi="ar"/>
              </w:rPr>
              <w:br w:type="textWrapping"/>
            </w:r>
            <w:r>
              <w:rPr>
                <w:rStyle w:val="28"/>
                <w:lang w:val="en-US" w:eastAsia="zh-CN" w:bidi="ar"/>
              </w:rPr>
              <w:t>1．显示器屏幕≥27英寸，分辨率≥1920*1080，支持VGA≥1，HDMI≥1，对比度≥1000:1，屏幕刷新率≥75Hz，响应时间≤7ms，可视角度≥178°。</w:t>
            </w:r>
            <w:r>
              <w:rPr>
                <w:rStyle w:val="28"/>
                <w:lang w:val="en-US" w:eastAsia="zh-CN" w:bidi="ar"/>
              </w:rPr>
              <w:br w:type="textWrapping"/>
            </w:r>
            <w:r>
              <w:rPr>
                <w:rStyle w:val="28"/>
                <w:lang w:val="en-US" w:eastAsia="zh-CN" w:bidi="ar"/>
              </w:rPr>
              <w:t>2．显示屏幕色域覆盖率≥90%（DCI-P3 CIE1976），≥99%（sRGB CIE1976）。</w:t>
            </w:r>
            <w:r>
              <w:rPr>
                <w:rStyle w:val="28"/>
                <w:lang w:val="en-US" w:eastAsia="zh-CN" w:bidi="ar"/>
              </w:rPr>
              <w:br w:type="textWrapping"/>
            </w:r>
            <w:r>
              <w:rPr>
                <w:rStyle w:val="28"/>
                <w:lang w:val="en-US" w:eastAsia="zh-CN" w:bidi="ar"/>
              </w:rPr>
              <w:t>3．显示屏幕支持护眼模式。</w:t>
            </w:r>
            <w:r>
              <w:rPr>
                <w:rStyle w:val="28"/>
                <w:lang w:val="en-US" w:eastAsia="zh-CN" w:bidi="ar"/>
              </w:rPr>
              <w:br w:type="textWrapping"/>
            </w:r>
            <w:r>
              <w:rPr>
                <w:rStyle w:val="28"/>
                <w:lang w:val="en-US" w:eastAsia="zh-CN" w:bidi="ar"/>
              </w:rPr>
              <w:t>4．硬件具备硬件低蓝光、无频闪。</w:t>
            </w:r>
            <w:r>
              <w:rPr>
                <w:rStyle w:val="28"/>
                <w:lang w:val="en-US" w:eastAsia="zh-CN" w:bidi="ar"/>
              </w:rPr>
              <w:br w:type="textWrapping"/>
            </w:r>
            <w:r>
              <w:rPr>
                <w:rStyle w:val="28"/>
                <w:lang w:val="en-US" w:eastAsia="zh-CN" w:bidi="ar"/>
              </w:rPr>
              <w:t>5.显示器与主机为同一品牌。</w:t>
            </w:r>
            <w:r>
              <w:rPr>
                <w:rStyle w:val="28"/>
                <w:lang w:val="en-US" w:eastAsia="zh-CN" w:bidi="ar"/>
              </w:rPr>
              <w:br w:type="textWrapping"/>
            </w:r>
            <w:r>
              <w:rPr>
                <w:rStyle w:val="28"/>
                <w:lang w:val="en-US" w:eastAsia="zh-CN" w:bidi="ar"/>
              </w:rPr>
              <w:t>6.为保护教师、学生视力健康，硬件具备硬件低蓝光、无频闪，获得TUV硬件低蓝光认证、TUV无频闪认证。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16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B9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7FAE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B9A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11D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学生终端</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2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1．处理器：CPU采用国产化自主芯片，主频≥2.7GHz 、兼容X86指令集，处理器核数≥8核；</w:t>
            </w:r>
            <w:r>
              <w:rPr>
                <w:rStyle w:val="29"/>
                <w:lang w:val="en-US" w:eastAsia="zh-CN" w:bidi="ar"/>
              </w:rPr>
              <w:t>符合国家安全可靠测评一级要求</w:t>
            </w:r>
            <w:r>
              <w:rPr>
                <w:rStyle w:val="28"/>
                <w:lang w:val="en-US" w:eastAsia="zh-CN" w:bidi="ar"/>
              </w:rPr>
              <w:t>。</w:t>
            </w:r>
            <w:r>
              <w:rPr>
                <w:rStyle w:val="28"/>
                <w:lang w:val="en-US" w:eastAsia="zh-CN" w:bidi="ar"/>
              </w:rPr>
              <w:br w:type="textWrapping"/>
            </w:r>
            <w:r>
              <w:rPr>
                <w:rStyle w:val="28"/>
                <w:lang w:val="en-US" w:eastAsia="zh-CN" w:bidi="ar"/>
              </w:rPr>
              <w:t>2．内存：配置内存≥16GB DDR4；</w:t>
            </w:r>
            <w:r>
              <w:rPr>
                <w:rStyle w:val="28"/>
                <w:lang w:val="en-US" w:eastAsia="zh-CN" w:bidi="ar"/>
              </w:rPr>
              <w:br w:type="textWrapping"/>
            </w:r>
            <w:r>
              <w:rPr>
                <w:rStyle w:val="28"/>
                <w:lang w:val="en-US" w:eastAsia="zh-CN" w:bidi="ar"/>
              </w:rPr>
              <w:t>3．显卡：集成显卡；</w:t>
            </w:r>
            <w:r>
              <w:rPr>
                <w:rStyle w:val="28"/>
                <w:lang w:val="en-US" w:eastAsia="zh-CN" w:bidi="ar"/>
              </w:rPr>
              <w:br w:type="textWrapping"/>
            </w:r>
            <w:r>
              <w:rPr>
                <w:rStyle w:val="28"/>
                <w:lang w:val="en-US" w:eastAsia="zh-CN" w:bidi="ar"/>
              </w:rPr>
              <w:t>4．硬盘：配置≥256GB SSD硬盘；</w:t>
            </w:r>
            <w:r>
              <w:rPr>
                <w:rStyle w:val="28"/>
                <w:lang w:val="en-US" w:eastAsia="zh-CN" w:bidi="ar"/>
              </w:rPr>
              <w:br w:type="textWrapping"/>
            </w:r>
            <w:r>
              <w:rPr>
                <w:rStyle w:val="28"/>
                <w:lang w:val="en-US" w:eastAsia="zh-CN" w:bidi="ar"/>
              </w:rPr>
              <w:t>5．后置面板：USB 3.0≥4个；HDMI输出≥1个；VGA输出≥1个；音频输入≥1个；音频输出≥1个；</w:t>
            </w:r>
            <w:r>
              <w:rPr>
                <w:rStyle w:val="28"/>
                <w:lang w:val="en-US" w:eastAsia="zh-CN" w:bidi="ar"/>
              </w:rPr>
              <w:br w:type="textWrapping"/>
            </w:r>
            <w:r>
              <w:rPr>
                <w:rStyle w:val="28"/>
                <w:lang w:val="en-US" w:eastAsia="zh-CN" w:bidi="ar"/>
              </w:rPr>
              <w:t>RJ45≥1个；P/S2≥2个；串口≥1个；</w:t>
            </w:r>
            <w:r>
              <w:rPr>
                <w:rStyle w:val="28"/>
                <w:lang w:val="en-US" w:eastAsia="zh-CN" w:bidi="ar"/>
              </w:rPr>
              <w:br w:type="textWrapping"/>
            </w:r>
            <w:r>
              <w:rPr>
                <w:rStyle w:val="28"/>
                <w:lang w:val="en-US" w:eastAsia="zh-CN" w:bidi="ar"/>
              </w:rPr>
              <w:t>6．前置面板：USB 3.0≥3个（支持在关机状态下对外供电）；TypeC≥1个；音频接口≥1个（支持耳机麦克风二合一）</w:t>
            </w:r>
            <w:r>
              <w:rPr>
                <w:rStyle w:val="28"/>
                <w:lang w:val="en-US" w:eastAsia="zh-CN" w:bidi="ar"/>
              </w:rPr>
              <w:br w:type="textWrapping"/>
            </w:r>
            <w:r>
              <w:rPr>
                <w:rStyle w:val="28"/>
                <w:lang w:val="en-US" w:eastAsia="zh-CN" w:bidi="ar"/>
              </w:rPr>
              <w:t>7．内部插槽：PCIEx16≥1个（支持拓展独立显卡）；PCIEx8≥2个；M.2≥2个；SATA≥4个；</w:t>
            </w:r>
            <w:r>
              <w:rPr>
                <w:rStyle w:val="28"/>
                <w:lang w:val="en-US" w:eastAsia="zh-CN" w:bidi="ar"/>
              </w:rPr>
              <w:br w:type="textWrapping"/>
            </w:r>
            <w:r>
              <w:rPr>
                <w:rStyle w:val="28"/>
                <w:lang w:val="en-US" w:eastAsia="zh-CN" w:bidi="ar"/>
              </w:rPr>
              <w:t>8.支持物理网络开关按键。</w:t>
            </w:r>
            <w:r>
              <w:rPr>
                <w:rStyle w:val="28"/>
                <w:lang w:val="en-US" w:eastAsia="zh-CN" w:bidi="ar"/>
              </w:rPr>
              <w:br w:type="textWrapping"/>
            </w:r>
            <w:r>
              <w:rPr>
                <w:rStyle w:val="28"/>
                <w:lang w:val="en-US" w:eastAsia="zh-CN" w:bidi="ar"/>
              </w:rPr>
              <w:t>9.关机状态下，支持≥3前置USB端口对外供电。</w:t>
            </w:r>
            <w:r>
              <w:rPr>
                <w:rStyle w:val="28"/>
                <w:lang w:val="en-US" w:eastAsia="zh-CN" w:bidi="ar"/>
              </w:rPr>
              <w:br w:type="textWrapping"/>
            </w:r>
            <w:r>
              <w:rPr>
                <w:rStyle w:val="28"/>
                <w:lang w:val="en-US" w:eastAsia="zh-CN" w:bidi="ar"/>
              </w:rPr>
              <w:t>10．操作系统：要求预装国产正版操作系统，</w:t>
            </w:r>
            <w:r>
              <w:rPr>
                <w:rStyle w:val="29"/>
                <w:lang w:val="en-US" w:eastAsia="zh-CN" w:bidi="ar"/>
              </w:rPr>
              <w:t>符合国家安全可靠测评一级要求</w:t>
            </w:r>
            <w:r>
              <w:rPr>
                <w:rStyle w:val="28"/>
                <w:lang w:val="en-US" w:eastAsia="zh-CN" w:bidi="ar"/>
              </w:rPr>
              <w:t>。</w:t>
            </w:r>
            <w:r>
              <w:rPr>
                <w:rStyle w:val="28"/>
                <w:lang w:val="en-US" w:eastAsia="zh-CN" w:bidi="ar"/>
              </w:rPr>
              <w:br w:type="textWrapping"/>
            </w:r>
            <w:r>
              <w:rPr>
                <w:rStyle w:val="28"/>
                <w:lang w:val="en-US" w:eastAsia="zh-CN" w:bidi="ar"/>
              </w:rPr>
              <w:t>11. 配套键鼠。</w:t>
            </w:r>
            <w:r>
              <w:rPr>
                <w:rStyle w:val="28"/>
                <w:lang w:val="en-US" w:eastAsia="zh-CN" w:bidi="ar"/>
              </w:rPr>
              <w:br w:type="textWrapping"/>
            </w:r>
            <w:r>
              <w:rPr>
                <w:rStyle w:val="28"/>
                <w:lang w:val="en-US" w:eastAsia="zh-CN" w:bidi="ar"/>
              </w:rPr>
              <w:t>12．设备工作环境要求：需适应高海拔环境工作。</w:t>
            </w:r>
            <w:r>
              <w:rPr>
                <w:rStyle w:val="28"/>
                <w:lang w:val="en-US" w:eastAsia="zh-CN" w:bidi="ar"/>
              </w:rPr>
              <w:br w:type="textWrapping"/>
            </w:r>
            <w:r>
              <w:rPr>
                <w:rStyle w:val="28"/>
                <w:lang w:val="en-US" w:eastAsia="zh-CN" w:bidi="ar"/>
              </w:rPr>
              <w:t>【显示器】</w:t>
            </w:r>
            <w:r>
              <w:rPr>
                <w:rStyle w:val="28"/>
                <w:lang w:val="en-US" w:eastAsia="zh-CN" w:bidi="ar"/>
              </w:rPr>
              <w:br w:type="textWrapping"/>
            </w:r>
            <w:r>
              <w:rPr>
                <w:rStyle w:val="28"/>
                <w:lang w:val="en-US" w:eastAsia="zh-CN" w:bidi="ar"/>
              </w:rPr>
              <w:t>1．显示器屏幕</w:t>
            </w:r>
            <w:r>
              <w:rPr>
                <w:rStyle w:val="31"/>
                <w:lang w:val="en-US" w:eastAsia="zh-CN" w:bidi="ar"/>
              </w:rPr>
              <w:t>≥21.5英寸</w:t>
            </w:r>
            <w:r>
              <w:rPr>
                <w:rStyle w:val="28"/>
                <w:lang w:val="en-US" w:eastAsia="zh-CN" w:bidi="ar"/>
              </w:rPr>
              <w:t>，分辨率≥1920*1080，屏幕亮度≥250nit，支持VGA≥1，HDMI≥1，对比度</w:t>
            </w:r>
            <w:r>
              <w:rPr>
                <w:rStyle w:val="28"/>
                <w:lang w:val="en-US" w:eastAsia="zh-CN" w:bidi="ar"/>
              </w:rPr>
              <w:br w:type="textWrapping"/>
            </w:r>
            <w:r>
              <w:rPr>
                <w:rStyle w:val="28"/>
                <w:lang w:val="en-US" w:eastAsia="zh-CN" w:bidi="ar"/>
              </w:rPr>
              <w:t>≥3000:1，屏幕刷新率≥75Hz，响应时间≤7ms，可视角度≥178°；</w:t>
            </w:r>
            <w:r>
              <w:rPr>
                <w:rStyle w:val="28"/>
                <w:lang w:val="en-US" w:eastAsia="zh-CN" w:bidi="ar"/>
              </w:rPr>
              <w:br w:type="textWrapping"/>
            </w:r>
            <w:r>
              <w:rPr>
                <w:rStyle w:val="28"/>
                <w:lang w:val="en-US" w:eastAsia="zh-CN" w:bidi="ar"/>
              </w:rPr>
              <w:t>2．显示屏支持提护眼模式。</w:t>
            </w:r>
            <w:r>
              <w:rPr>
                <w:rStyle w:val="28"/>
                <w:lang w:val="en-US" w:eastAsia="zh-CN" w:bidi="ar"/>
              </w:rPr>
              <w:br w:type="textWrapping"/>
            </w:r>
            <w:r>
              <w:rPr>
                <w:rStyle w:val="28"/>
                <w:lang w:val="en-US" w:eastAsia="zh-CN" w:bidi="ar"/>
              </w:rPr>
              <w:t>3．硬件具备硬件低蓝光、无频闪，获得TUV硬件低蓝光认证、无频闪认证。</w:t>
            </w:r>
            <w:r>
              <w:rPr>
                <w:rStyle w:val="28"/>
                <w:lang w:val="en-US" w:eastAsia="zh-CN" w:bidi="ar"/>
              </w:rPr>
              <w:br w:type="textWrapping"/>
            </w:r>
            <w:r>
              <w:rPr>
                <w:rStyle w:val="28"/>
                <w:lang w:val="en-US" w:eastAsia="zh-CN" w:bidi="ar"/>
              </w:rPr>
              <w:t>4．显示器与主机为同一品牌。</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12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2E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2153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A76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7C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控制软件</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3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1．终端支持裸机部署模式，支持多硬盘管理，终端设备在部署时指定系统安装位置，可灵活支持U盘、网络、本机硬盘等多种部署方式。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2．出厂自带网络同传，独立界面操作同传。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3．支持任意终端作为主机对整个机房的维护，同传时可在同传界面直观的显示传输状况，可定位网络传输故障点。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4．支持复杂网络环境、跨教室跨楼层部署。IP可达即可部署。不同网段的终端可以镜像同传。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5．支持增量同传。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6．支持P2P同传。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7．支持使用U盘/移动硬盘在脱机的情况下（完全没有网络）脱机恢复桌面；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8．支持在云桌面镜像系统无法启动、系统异常时，可通过键盘进行系统恢复至出厂默认状态正常启动云桌面镜像系统。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9．支持云桌面系统恢复后，公共数据分区（D盘）的数据得到保留，不受还原影响。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10．支持脱网运行，终端可在没有网络连接的情况下可离线运行与在线状态下一致的操作系统及软件，并保证同一桌面环境在线与离线数据一致；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11．支持终端设备在网络中断或管理平台连接中断时，正在操作的教学业务不受影响，依然可使用当前云桌面镜像继续开展业务，打开的程序不会中断，保障业务连续性。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12．支持配置多网卡网络，支持分别配置IP地址和DNS的自动或手动设置，配置的网络信息同步到启动的云桌面镜像中保持一致。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13．支持监测网络状态，支持查看当前网络类型，支持查看终端设备IP地址，支持查看与管理平台的网络连接质量。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14．支持诊断网络，支持检测与管理平台的通讯状态，服务状态、支持TCP延迟、ICMP延迟、内外网上传下载速度检测，支持导出诊断结果。支持查看本地网络状态、IP地址、掩码、网关、速率、丢包率。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15．支持查看终端设备信息，支持查看终端设备型号、序列号、磁盘容量、内存容量、CPU型号、设备ID等信息。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16．支持系统启动模式配置，可配置成开机自动启动云桌面镜像或进入云桌面系统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17．支持在配置成开机自动进入云桌面镜像系统时，可以通过托盘程序重启进入云桌面系统进行云桌面镜像切换或终端设置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FE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D7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2967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989D8">
            <w:pPr>
              <w:jc w:val="center"/>
              <w:rPr>
                <w:rFonts w:hint="eastAsia" w:ascii="宋体" w:hAnsi="宋体" w:eastAsia="宋体" w:cs="宋体"/>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F4F8F">
            <w:pPr>
              <w:jc w:val="center"/>
              <w:rPr>
                <w:rFonts w:hint="eastAsia" w:ascii="宋体" w:hAnsi="宋体" w:eastAsia="宋体" w:cs="宋体"/>
                <w:b/>
                <w:bCs/>
                <w:i w:val="0"/>
                <w:iCs w:val="0"/>
                <w:color w:val="000000"/>
                <w:sz w:val="20"/>
                <w:szCs w:val="20"/>
                <w:u w:val="none"/>
              </w:rPr>
            </w:pP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A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18．支持云桌面镜像与终端设备绑定，桌面运行数据都与设备进行关联，禁止跨设备访问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19．支持终端设备运行时无需运行独立的虚拟化系统，终端设备配置的IP与进入云桌面镜像后的IP能够保持一致，同一个终端无需使用多个IP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20．单个终端可部署多个操作系统，支持设置终端共享数据盘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21．支持终端云桌面系统OTA升级，未配置管理平台或服务器宕机离线的情况下，仅需连接互联网即可进行升级。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22．支持恢复出厂设置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23．可自主选择不同的镜像启动且多个镜像系统环境可快速切换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24．支持在未连接管理平台与服务器时，任意终端能对教学环境进行镜像导入导出到U盘、查看信息、设置默认启动、设置还原、同传镜像、导入镜像、导出镜像、删除镜像、更新镜像等运维操作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25．在未配置管理平台与服务器使用终端设备时，支持管理员设置指定云桌面镜像默认启动，终端设备每次开机、重启时自动进入设置的云桌面镜像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26．在未配置管理平台与服务器使用终端设备时，支持管理员设置指定云桌面镜像启动还原，设置还原的云桌面镜像的使用记录与数据将不被保留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在未配置和配置管理平台与服务器使用终端设备时，均支持管理员从USB移动存储设备中导入云桌面镜像系统镜像，支持编辑云桌面镜像的名称，支持自动识别操作系统类型，支持导入过程中查看进度、传输速度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28．终端设备配置和不配置管理平台与服务器，均支持管理员导出指定云桌面镜像系统镜像至USB移动存储设备，支持导出过程中查看进度、传输速度等信息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29．终端设备配置和不配置管理平台与服务器，均支持更新镜像，支持将差分盘数据更新至原镜像，也可以另存为新镜像，支持更新过程中查看进度、传输速度等信息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终端设备配置和不配置管理平台与服务器，均支持同传镜像，支持单个或多个镜像同传给局域网内其他终端设备，支持辨别其他终端的设备型号、IP地址、MAC地址、剩余磁盘容量等信息，支持同传过程中查看进度、传输速度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31．支持镜像分层差分盘技术，用于存储用户系统盘产生的数据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32．在云桌面镜像系统中查看设备的CPU型号、GPU型号、系统型号、BIOS版本等系统信息显示与终端物理设备一致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33．支持高清显示，云桌面支持不低于4K分辨率，不低于29帧，不低于50M码率的高清视频流畅解码播放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34．终端支持使用物理GPU，能够让系统调用物理显卡的硬件加速功能。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35．支持在云桌面中可以正常使用VMware、android studio等需要运行虚拟机的软件；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36．在云桌面中支持操作系统原生有线、无线网络连接设置且不改变右下角托盘使用方式，无需安装第三方网络连接工具，同时支持连接无线网络时进行设备发现配置。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终端设备配置管理平台后，支持多种身份识别方式，支持通过账号登录、手机扫码登录、无账号访客登录。支持统一互通的用户身份认证服务，账号登录进入云桌面镜像后，打开教学白板软件、学生行为评价软件的教学应用工具时无需再次输入账号密码重复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38.支持配置管理平台地址，支持搜索发现网络中的管理平台（不需要手动配置管理服务器IP地址），同时也支持手动指定管理平台，支持检测管理平台的连通性；同时也支持手机扫码进行关联设置。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D78D">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EA85">
            <w:pPr>
              <w:jc w:val="center"/>
              <w:rPr>
                <w:rFonts w:hint="eastAsia" w:ascii="宋体" w:hAnsi="宋体" w:eastAsia="宋体" w:cs="宋体"/>
                <w:b/>
                <w:bCs/>
                <w:i w:val="0"/>
                <w:iCs w:val="0"/>
                <w:color w:val="000000"/>
                <w:sz w:val="20"/>
                <w:szCs w:val="20"/>
                <w:u w:val="none"/>
              </w:rPr>
            </w:pPr>
          </w:p>
        </w:tc>
      </w:tr>
      <w:tr w14:paraId="3A03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0F8A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7E05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教学软件</w:t>
            </w:r>
          </w:p>
        </w:tc>
        <w:tc>
          <w:tcPr>
            <w:tcW w:w="12324" w:type="dxa"/>
            <w:tcBorders>
              <w:top w:val="single" w:color="000000" w:sz="4" w:space="0"/>
              <w:left w:val="single" w:color="000000" w:sz="4" w:space="0"/>
              <w:bottom w:val="nil"/>
              <w:right w:val="single" w:color="000000" w:sz="4" w:space="0"/>
            </w:tcBorders>
            <w:shd w:val="clear" w:color="auto" w:fill="auto"/>
            <w:vAlign w:val="center"/>
          </w:tcPr>
          <w:p w14:paraId="719C9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1．登录方式多样性：支持账号/密码和手机微信扫码两种登录方式。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2．设备管理：可实现实时监控学生机画面、以及进行统一的教学管理，文件共享和回收。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3．人员管理：学校超级管理员可以添加教师和管理员的角色，添加之后管理员能够绑定设备和进行正常的授课工作，教师只能在终端应用软件进行授课操作。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4．教师云空间：支持老师自定义上传、存储文件内容。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5．教师广播：不需要借助任何外接设备，支持将教师机的画面以及声音广播给全班学生。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6．教师广播批注：教师在屏幕广播状态下，提供授课小工具，包括提供可自由调整笔迹颜色及笔触粗细的画笔、黑板、橡皮擦、以及支持撤销和加页码，最多支持增加页数到10页。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7．手写智能识别：在批注状态下，支持将手写的字体自动识别成标准字体。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8．学生演示：支持老师将指定学生的屏幕画面广播给其他所有学生，同时老师也能看到该指定学生的屏幕图像。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9．下发课堂活动：在开启授课时支持教师发起不低于4种课堂活动，支持学生拖动答案进行作答，系统将自动判断是否正确。该功能为保证兼容性,通过一套应用实现，非多个软件组合实现。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10．课堂活动作答：支持学生在完成教师下发的课堂活动时，查看自己的排名、耗时以及答题情况。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11．学生未进入课堂通知：支持在管理后台录入学生名单后，教师选择授课班级，学生在开课后输入个人姓名即可完成班级点名签到，当未签到人数低于6人时会自动显示未进入课堂的学生名单。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12．切换课堂通知：当课堂通知大于或等于2条时，支持用户手动切换查看。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13．教学白板课件同步：支持同步教学白板软件的课件内容，支持按照大小、更新时间进行排序，支持按照文件类型进行筛选。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14．文件上传：支持上传“本地文件”到终端应用软件的教师云空间。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15．文件共享：支持教师把云空间的文件批量共享给指定的多个授课班级，资料被删除后文件仍可重新下载。支持教师把已共享的资料进行取消共享。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16．授课班级状态：当作业空间存在多个班级的时候，支持显示当前正在授课班级。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17．文件查看：当授课的时候开启需输入姓名进入课堂功能时，系统支持按照班级学生的姓名归档查看学生提交的作业文件。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18．作业回收进度查看：回收作业过程中，支持自动统计已提交和未提交的学生名单。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19．文件传输：显示上传和下载的文件历史记录。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20．导入文件共享：支持教师直接把“我的文件”内容共享给班级学生。</w:t>
            </w:r>
          </w:p>
        </w:tc>
        <w:tc>
          <w:tcPr>
            <w:tcW w:w="735" w:type="dxa"/>
            <w:vMerge w:val="restart"/>
            <w:tcBorders>
              <w:top w:val="single" w:color="000000" w:sz="4" w:space="0"/>
              <w:left w:val="nil"/>
              <w:bottom w:val="single" w:color="000000" w:sz="4" w:space="0"/>
              <w:right w:val="single" w:color="000000" w:sz="4" w:space="0"/>
            </w:tcBorders>
            <w:shd w:val="clear" w:color="auto" w:fill="auto"/>
            <w:noWrap/>
            <w:vAlign w:val="center"/>
          </w:tcPr>
          <w:p w14:paraId="1E0D83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B27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2527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E42ED">
            <w:pPr>
              <w:jc w:val="center"/>
              <w:rPr>
                <w:rFonts w:hint="eastAsia" w:ascii="宋体" w:hAnsi="宋体" w:eastAsia="宋体" w:cs="宋体"/>
                <w:b/>
                <w:bCs/>
                <w:i w:val="0"/>
                <w:iCs w:val="0"/>
                <w:color w:val="000000"/>
                <w:sz w:val="20"/>
                <w:szCs w:val="20"/>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2063D">
            <w:pPr>
              <w:jc w:val="center"/>
              <w:rPr>
                <w:rFonts w:hint="eastAsia" w:ascii="宋体" w:hAnsi="宋体" w:eastAsia="宋体" w:cs="宋体"/>
                <w:b/>
                <w:bCs/>
                <w:i w:val="0"/>
                <w:iCs w:val="0"/>
                <w:color w:val="000000"/>
                <w:sz w:val="20"/>
                <w:szCs w:val="20"/>
                <w:u w:val="none"/>
              </w:rPr>
            </w:pPr>
          </w:p>
        </w:tc>
        <w:tc>
          <w:tcPr>
            <w:tcW w:w="12324" w:type="dxa"/>
            <w:tcBorders>
              <w:top w:val="nil"/>
              <w:left w:val="single" w:color="000000" w:sz="4" w:space="0"/>
              <w:bottom w:val="single" w:color="000000" w:sz="4" w:space="0"/>
              <w:right w:val="single" w:color="000000" w:sz="4" w:space="0"/>
            </w:tcBorders>
            <w:shd w:val="clear" w:color="auto" w:fill="auto"/>
            <w:vAlign w:val="center"/>
          </w:tcPr>
          <w:p w14:paraId="4DC6C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21．黑屏管控：教师可以选定学生执行黑屏操作。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22．离线自动黑屏：支持教师授课时开启离线黑屏。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23．设备环境检测：开始授课后，若学生设备离线，支持自动在教师端显示离线的设备总量以及对应离线的设备IP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24．程序限制：通过设置应用程序白名单，可防止学生在教学过程中使用跟课程无关的应用程序。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25．自动获取学生端应用环境：开启授课后自动获取授课学生设备安装的应用环境，教师可以直接禁用学生设备的应用。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26．违规使用记录：支持显示最近一节课的违规使用应用程序的名称、违规操作人、设备IP，以及支持教师禁用和取消禁用学生使用违规应用程序。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27．一键禁用违规应用：支持教师对最近一节课违规使用的应用程序进行一键禁用。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28．网页限制：支持设定学生访问网站的白名单信息，对学生可以访问的网址进行管理。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29．应用防卸载：支持防止通过控制面板或使用第三方软件卸载学生端应用。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30．应用进程防杀：支持防止通过任务管理器或使用第三方软件结束学生端应用进程。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31．学生画面监看：教师机可以监视全体、单一学生机的实时画面。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32．学生名单管理：支持在管理后台导入、增加、删除、更改、查询班级学生名单，并同步到终端应用教学软件中。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33.教师名单管理：支持在管理后台导入、增加、删除、更改、查询教师名单。</w:t>
            </w:r>
          </w:p>
        </w:tc>
        <w:tc>
          <w:tcPr>
            <w:tcW w:w="73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C24C9CE">
            <w:pPr>
              <w:jc w:val="center"/>
              <w:rPr>
                <w:rFonts w:hint="eastAsia" w:ascii="宋体" w:hAnsi="宋体" w:eastAsia="宋体" w:cs="宋体"/>
                <w:b/>
                <w:bCs/>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5BF46">
            <w:pPr>
              <w:jc w:val="center"/>
              <w:rPr>
                <w:rFonts w:hint="eastAsia" w:ascii="宋体" w:hAnsi="宋体" w:eastAsia="宋体" w:cs="宋体"/>
                <w:b/>
                <w:bCs/>
                <w:i w:val="0"/>
                <w:iCs w:val="0"/>
                <w:color w:val="000000"/>
                <w:sz w:val="20"/>
                <w:szCs w:val="20"/>
                <w:u w:val="none"/>
              </w:rPr>
            </w:pPr>
          </w:p>
        </w:tc>
      </w:tr>
      <w:tr w14:paraId="594E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7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F0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交换机1</w:t>
            </w:r>
          </w:p>
        </w:tc>
        <w:tc>
          <w:tcPr>
            <w:tcW w:w="12324" w:type="dxa"/>
            <w:tcBorders>
              <w:top w:val="nil"/>
              <w:left w:val="single" w:color="000000" w:sz="4" w:space="0"/>
              <w:bottom w:val="single" w:color="000000" w:sz="4" w:space="0"/>
              <w:right w:val="single" w:color="000000" w:sz="4" w:space="0"/>
            </w:tcBorders>
            <w:shd w:val="clear" w:color="auto" w:fill="auto"/>
            <w:vAlign w:val="center"/>
          </w:tcPr>
          <w:p w14:paraId="788FB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1、交换容量：≥336Gbps；包转发率：≥126Mpps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2、48个千兆电口，4个千兆光口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3、支持802.1Q (最大4K个VLAN)、支持基于协议的VLAN、IP子网的VLAN、MAC的VLAN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4、支持静态路由、支持IPv6静态路由、双协议栈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6、支持设备虚拟化，统一管理；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7、支持SP/WRR/SP+WRR队列调度，支持802.1p、DSCP优先级映射，支持端口限速；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8、支持二层、三层、四层ACL、支持IPv4、IPv6 ACL、支持VLAN 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9、支持IP＋MAC+PORT绑定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10、支持CLI命令行，Web网管，TELNET等网络管理方式；支持SNMP v1/v2c/v3；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A0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8D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4D02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20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F6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交换机2</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62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1、交换容量：≥336Gbps；包转发率：≥96Mpps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2、24个千兆电口，4个千兆光口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3、支持802.1Q (最大4K个VLAN)、支持基于协议的VLAN、IP子网的VLAN、MAC的VLAN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4、支持静态路由、支持IPv6静态路由、双协议栈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6、支持设备虚拟化，统一管理；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7、支持SP/WRR/SP+WRR队列调度，支持802.1p、DSCP优先级映射，支持端口限速；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8、支持二层、三层、四层ACL、支持IPv4、IPv6 ACL、支持VLAN 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9、支持IP＋MAC+PORT绑定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10、支持CLI命令行，Web网管，TELNET等网络管理方式；支持SNMP v1/v2c/v3；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29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A5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6148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17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C4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教师桌椅</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A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1.桌子尺寸：1400*600*750mm（</w:t>
            </w:r>
            <w:r>
              <w:rPr>
                <w:rStyle w:val="32"/>
                <w:lang w:val="en-US" w:eastAsia="zh-CN" w:bidi="ar"/>
              </w:rPr>
              <w:t>±</w:t>
            </w:r>
            <w:r>
              <w:rPr>
                <w:rStyle w:val="28"/>
                <w:lang w:val="en-US" w:eastAsia="zh-CN" w:bidi="ar"/>
              </w:rPr>
              <w:t>5mm），采用≥25mm厚E1级三聚氰胺板,1.5mm厚PVC本色封边。</w:t>
            </w:r>
            <w:r>
              <w:rPr>
                <w:rStyle w:val="28"/>
                <w:lang w:val="en-US" w:eastAsia="zh-CN" w:bidi="ar"/>
              </w:rPr>
              <w:br w:type="textWrapping"/>
            </w:r>
            <w:r>
              <w:rPr>
                <w:rStyle w:val="28"/>
                <w:lang w:val="en-US" w:eastAsia="zh-CN" w:bidi="ar"/>
              </w:rPr>
              <w:t>2.台脚采用50*15*1.5MM扁管一次弯管成型，封板、背板采用0.8冷轧钢板折弯成型。</w:t>
            </w:r>
            <w:r>
              <w:rPr>
                <w:rStyle w:val="28"/>
                <w:lang w:val="en-US" w:eastAsia="zh-CN" w:bidi="ar"/>
              </w:rPr>
              <w:br w:type="textWrapping"/>
            </w:r>
            <w:r>
              <w:rPr>
                <w:rStyle w:val="28"/>
                <w:lang w:val="en-US" w:eastAsia="zh-CN" w:bidi="ar"/>
              </w:rPr>
              <w:t>3.教师桌下侧带活动柜，主机托。</w:t>
            </w:r>
            <w:r>
              <w:rPr>
                <w:rStyle w:val="28"/>
                <w:lang w:val="en-US" w:eastAsia="zh-CN" w:bidi="ar"/>
              </w:rPr>
              <w:br w:type="textWrapping"/>
            </w:r>
            <w:r>
              <w:rPr>
                <w:rStyle w:val="28"/>
                <w:lang w:val="en-US" w:eastAsia="zh-CN" w:bidi="ar"/>
              </w:rPr>
              <w:t xml:space="preserve">4.教师椅：坚固靠背，韧性强，耐用；网布，舒适，透气性强； </w:t>
            </w:r>
            <w:r>
              <w:rPr>
                <w:rStyle w:val="28"/>
                <w:lang w:val="en-US" w:eastAsia="zh-CN" w:bidi="ar"/>
              </w:rPr>
              <w:br w:type="textWrapping"/>
            </w:r>
            <w:r>
              <w:rPr>
                <w:rStyle w:val="28"/>
                <w:lang w:val="en-US" w:eastAsia="zh-CN" w:bidi="ar"/>
              </w:rPr>
              <w:t xml:space="preserve">5.尼龙流线扶手，SGS认证气杆，可调节升降； </w:t>
            </w:r>
            <w:r>
              <w:rPr>
                <w:rStyle w:val="28"/>
                <w:lang w:val="en-US" w:eastAsia="zh-CN" w:bidi="ar"/>
              </w:rPr>
              <w:br w:type="textWrapping"/>
            </w:r>
            <w:r>
              <w:rPr>
                <w:rStyle w:val="28"/>
                <w:lang w:val="en-US" w:eastAsia="zh-CN" w:bidi="ar"/>
              </w:rPr>
              <w:t>一体定型海绵工学坐垫； 电镀钢制脚，静音PU滑轮。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CE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3C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60A4C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C0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B5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学生桌椅</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3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1.尺寸：1200*600*750mm（±5mm）。台面采用≥25mm厚E1级三聚氰胺板,1.5mm厚PVC本色封边,易清洁、耐磨、耐烟酌、抗污染等特点。台面上带有穿线孔。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2.台身：台脚采用50*15*1.5MM扁管一次弯管成型，封板、背板采用0.8冷轧钢板折弯成型。前框组件四周采用25*25*1.1方管焊接加强，表面静电喷塑处理，防腐防锈耐磨，表面涂层须通过ROHS检测。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3.方凳凳面采用：340*240mm、E1级三聚氰胺板；（要求：一桌配两凳）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4.凳腿凳架：采用25*25*1.5mm 矩形管焊制而成，配脚套；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5.底套：采用优质工程聚丙防滑脚垫，自堵安装；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6.需配带键盘抽屉挡板以防止键盘掉落损坏；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钢制件外表面处理工艺：全部采用除油、除锈、磷化、清洗、静电喷涂；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12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81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3FEE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AD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5B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网络机柜</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B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6U ，材质：材料采用优质冷轧钢板；厚度：方孔条1.2mm，其他1.0mm；表面防护处理：所有都经过脱脂、酸洗、防锈磷化、纯水清洗、静电喷塑；墙柜均采用焊接式设计机柜表面采用静电喷漆处理。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9D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9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r>
      <w:tr w14:paraId="3DA1C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23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CF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静电地板</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4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上表面粘贴高耐磨瓷砖，厚度不低于10.0mm，板基采用镀锌合金冷轧钢板，厚度不低于0.7mm，内腔填充发泡水泥，四周嵌入黑色导电胶边，承重支架厚度上≥3mm下≥2mm，横梁钢管厚度≥1.5mm，横梁和自身高度可调的支座用螺钉连结成稳固的下部支承系统，面板位于横梁围成的方框内，地板与地面的净空间100mm-150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2.规格≥600*600*35mm，每平方米承重≥600KG，防火等级B1级；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3.耐磨性能：≥0.1g/1000转；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4.吸水性：小于0.5％。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2A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376</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6C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平米</w:t>
            </w:r>
          </w:p>
        </w:tc>
      </w:tr>
      <w:tr w14:paraId="0D3A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2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D2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辅材及系统集成</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4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1．网线：六类非屏蔽双绞线十字骨架电缆对数4对导体材料无氧圆铜（纯度99.99%），线规23AWG电缆外径6.3±0.3mm绝缘材料HDPE外护套材料 PVC、LSZH、PE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2．多功能插座：品牌/10A 250V多功能双排电源插座, 3孔4插品牌线板。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辅材及施工：辅材(电源线≥6平方铜蕊线、网线线槽、PVC管、电源明盒及面板、六类品牌水晶头等)，要求走道明线采用金属线槽覆盖，金属线槽(厚度≥1.2mm)，电源线、网线悬空，从桌内走线，使布线整洁美观便于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4．教室原有墙面的粉刷翻新整修施工。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施工安装包含所有的施工辅材及配套计算机及软件安装调试培训。</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02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00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间</w:t>
            </w:r>
          </w:p>
        </w:tc>
      </w:tr>
      <w:tr w14:paraId="474B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C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控制价800000元</w:t>
            </w:r>
          </w:p>
        </w:tc>
      </w:tr>
    </w:tbl>
    <w:p w14:paraId="3DAF932D"/>
    <w:p w14:paraId="03B0CBE4"/>
    <w:p w14:paraId="5C131EF3">
      <w:pPr>
        <w:rPr>
          <w:rFonts w:hint="eastAsia" w:ascii="Times New Roman" w:hAnsi="Times New Roman" w:eastAsia="宋体" w:cs="Times New Roman"/>
          <w:color w:val="0000FF"/>
          <w:sz w:val="28"/>
          <w:szCs w:val="32"/>
          <w:highlight w:val="none"/>
          <w:lang w:val="en-US" w:eastAsia="zh-CN"/>
        </w:rPr>
      </w:pPr>
      <w:r>
        <w:rPr>
          <w:rFonts w:hint="eastAsia" w:ascii="Times New Roman" w:hAnsi="Times New Roman" w:eastAsia="宋体" w:cs="Times New Roman"/>
          <w:color w:val="0000FF"/>
          <w:sz w:val="28"/>
          <w:szCs w:val="32"/>
          <w:highlight w:val="none"/>
        </w:rPr>
        <w:t>标的物所属行业:</w:t>
      </w:r>
      <w:r>
        <w:rPr>
          <w:rFonts w:hint="eastAsia" w:cs="Times New Roman"/>
          <w:color w:val="0000FF"/>
          <w:sz w:val="28"/>
          <w:szCs w:val="32"/>
          <w:highlight w:val="none"/>
          <w:lang w:val="en-US" w:eastAsia="zh-CN"/>
        </w:rPr>
        <w:t>制造</w:t>
      </w:r>
      <w:r>
        <w:rPr>
          <w:rFonts w:hint="eastAsia" w:ascii="Times New Roman" w:hAnsi="Times New Roman" w:eastAsia="宋体" w:cs="Times New Roman"/>
          <w:color w:val="0000FF"/>
          <w:sz w:val="28"/>
          <w:szCs w:val="32"/>
          <w:highlight w:val="none"/>
          <w:lang w:val="en-US" w:eastAsia="zh-CN"/>
        </w:rPr>
        <w:t>业</w:t>
      </w:r>
    </w:p>
    <w:p w14:paraId="106CB318">
      <w:pPr>
        <w:rPr>
          <w:rFonts w:hint="default" w:ascii="Times New Roman" w:hAnsi="Times New Roman" w:eastAsia="宋体" w:cs="Times New Roman"/>
          <w:color w:val="0000FF"/>
          <w:sz w:val="28"/>
          <w:szCs w:val="32"/>
          <w:highlight w:val="none"/>
          <w:lang w:val="en-US" w:eastAsia="zh-CN"/>
        </w:rPr>
      </w:pPr>
      <w:r>
        <w:rPr>
          <w:rFonts w:hint="eastAsia" w:ascii="Times New Roman" w:hAnsi="Times New Roman" w:eastAsia="宋体" w:cs="Times New Roman"/>
          <w:color w:val="0000FF"/>
          <w:sz w:val="28"/>
          <w:szCs w:val="32"/>
          <w:highlight w:val="none"/>
        </w:rPr>
        <w:t>供货期</w:t>
      </w:r>
      <w:r>
        <w:rPr>
          <w:rFonts w:hint="eastAsia" w:ascii="Times New Roman" w:hAnsi="Times New Roman" w:eastAsia="宋体" w:cs="Times New Roman"/>
          <w:color w:val="0000FF"/>
          <w:sz w:val="28"/>
          <w:szCs w:val="32"/>
          <w:highlight w:val="none"/>
          <w:lang w:eastAsia="zh-CN"/>
        </w:rPr>
        <w:t>：</w:t>
      </w:r>
      <w:r>
        <w:rPr>
          <w:rFonts w:hint="eastAsia" w:cs="Times New Roman"/>
          <w:color w:val="0000FF"/>
          <w:sz w:val="28"/>
          <w:szCs w:val="32"/>
          <w:highlight w:val="none"/>
          <w:lang w:val="en-US" w:eastAsia="zh-CN"/>
        </w:rPr>
        <w:t>50个日历天</w:t>
      </w:r>
    </w:p>
    <w:p w14:paraId="76D4060F"/>
    <w:p w14:paraId="44247B4C"/>
    <w:p w14:paraId="66FC4938"/>
    <w:sectPr>
      <w:pgSz w:w="16838" w:h="11906" w:orient="landscape"/>
      <w:pgMar w:top="1020" w:right="1020" w:bottom="1134" w:left="1020"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2E5E">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p w14:paraId="102C938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6C81">
    <w:pPr>
      <w:pStyle w:val="9"/>
      <w:ind w:firstLine="360"/>
      <w:jc w:val="center"/>
    </w:pPr>
    <w:r>
      <w:fldChar w:fldCharType="begin"/>
    </w:r>
    <w:r>
      <w:instrText xml:space="preserve">PAGE   \* MERGEFORMAT</w:instrText>
    </w:r>
    <w:r>
      <w:fldChar w:fldCharType="separate"/>
    </w:r>
    <w:r>
      <w:rPr>
        <w:lang w:val="zh-CN"/>
      </w:rPr>
      <w:t>2</w:t>
    </w:r>
    <w:r>
      <w:fldChar w:fldCharType="end"/>
    </w:r>
  </w:p>
  <w:p w14:paraId="7823B716">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AF36">
    <w:pPr>
      <w:pStyle w:val="10"/>
      <w:pBdr>
        <w:bottom w:val="none" w:color="auto" w:sz="0" w:space="1"/>
      </w:pBdr>
      <w:tabs>
        <w:tab w:val="left" w:pos="1067"/>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8662">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F186"/>
    <w:multiLevelType w:val="multilevel"/>
    <w:tmpl w:val="84B4F186"/>
    <w:lvl w:ilvl="0" w:tentative="0">
      <w:start w:val="1"/>
      <w:numFmt w:val="decimal"/>
      <w:pStyle w:val="25"/>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AC4CA405"/>
    <w:multiLevelType w:val="singleLevel"/>
    <w:tmpl w:val="AC4CA405"/>
    <w:lvl w:ilvl="0" w:tentative="0">
      <w:start w:val="1"/>
      <w:numFmt w:val="decimal"/>
      <w:suff w:val="nothing"/>
      <w:lvlText w:val="%1、"/>
      <w:lvlJc w:val="left"/>
    </w:lvl>
  </w:abstractNum>
  <w:abstractNum w:abstractNumId="2">
    <w:nsid w:val="13819310"/>
    <w:multiLevelType w:val="multilevel"/>
    <w:tmpl w:val="13819310"/>
    <w:lvl w:ilvl="0" w:tentative="0">
      <w:start w:val="1"/>
      <w:numFmt w:val="decimal"/>
      <w:lvlText w:val="（%1）"/>
      <w:lvlJc w:val="left"/>
      <w:pPr>
        <w:ind w:left="987" w:hanging="420"/>
      </w:pPr>
      <w:rPr>
        <w:rFonts w:hint="eastAsia"/>
      </w:rPr>
    </w:lvl>
    <w:lvl w:ilvl="1" w:tentative="0">
      <w:start w:val="1"/>
      <w:numFmt w:val="lowerLetter"/>
      <w:pStyle w:val="24"/>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5C0C378E"/>
    <w:multiLevelType w:val="singleLevel"/>
    <w:tmpl w:val="5C0C378E"/>
    <w:lvl w:ilvl="0" w:tentative="0">
      <w:start w:val="9"/>
      <w:numFmt w:val="chineseCounting"/>
      <w:suff w:val="nothing"/>
      <w:lvlText w:val="%1、"/>
      <w:lvlJc w:val="left"/>
      <w:rPr>
        <w:rFonts w:hint="eastAsia"/>
      </w:rPr>
    </w:lvl>
  </w:abstractNum>
  <w:abstractNum w:abstractNumId="4">
    <w:nsid w:val="66BB6E96"/>
    <w:multiLevelType w:val="multilevel"/>
    <w:tmpl w:val="66BB6E9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859F7"/>
    <w:rsid w:val="15CC2818"/>
    <w:rsid w:val="226E6690"/>
    <w:rsid w:val="324C1C1F"/>
    <w:rsid w:val="326859F7"/>
    <w:rsid w:val="36FB19C1"/>
    <w:rsid w:val="75E36BAE"/>
    <w:rsid w:val="76C7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rPr>
      <w:rFonts w:ascii="Times New Roman" w:hAnsi="Times New Roman" w:eastAsia="仿宋_GB2312"/>
      <w:sz w:val="32"/>
      <w:szCs w:val="32"/>
    </w:rPr>
  </w:style>
  <w:style w:type="paragraph" w:styleId="5">
    <w:name w:val="Body Text First Indent 2"/>
    <w:basedOn w:val="6"/>
    <w:qFormat/>
    <w:uiPriority w:val="99"/>
    <w:pPr>
      <w:ind w:firstLine="420" w:firstLineChars="200"/>
    </w:pPr>
    <w:rPr>
      <w:rFonts w:ascii="宋体" w:hAnsi="宋体"/>
    </w:rPr>
  </w:style>
  <w:style w:type="paragraph" w:styleId="6">
    <w:name w:val="Body Text Indent"/>
    <w:basedOn w:val="1"/>
    <w:next w:val="1"/>
    <w:qFormat/>
    <w:uiPriority w:val="0"/>
    <w:pPr>
      <w:spacing w:after="120"/>
      <w:ind w:left="420" w:leftChars="200"/>
    </w:pPr>
    <w:rPr>
      <w:kern w:val="0"/>
      <w:sz w:val="20"/>
      <w:szCs w:val="24"/>
    </w:rPr>
  </w:style>
  <w:style w:type="paragraph" w:styleId="7">
    <w:name w:val="Body Text"/>
    <w:basedOn w:val="1"/>
    <w:next w:val="8"/>
    <w:unhideWhenUsed/>
    <w:qFormat/>
    <w:uiPriority w:val="0"/>
    <w:pPr>
      <w:spacing w:after="120" w:line="360" w:lineRule="auto"/>
      <w:ind w:firstLine="1440" w:firstLineChars="200"/>
    </w:pPr>
    <w:rPr>
      <w:sz w:val="24"/>
      <w:szCs w:val="20"/>
    </w:rPr>
  </w:style>
  <w:style w:type="paragraph" w:styleId="8">
    <w:name w:val="Plain Text"/>
    <w:basedOn w:val="1"/>
    <w:next w:val="1"/>
    <w:qFormat/>
    <w:uiPriority w:val="0"/>
    <w:rPr>
      <w:rFonts w:ascii="宋体" w:hAnsi="Courier New"/>
      <w:kern w:val="0"/>
      <w:sz w:val="20"/>
      <w:szCs w:val="21"/>
    </w:rPr>
  </w:style>
  <w:style w:type="paragraph" w:styleId="9">
    <w:name w:val="footer"/>
    <w:basedOn w:val="1"/>
    <w:next w:val="1"/>
    <w:unhideWhenUsed/>
    <w:qFormat/>
    <w:uiPriority w:val="0"/>
    <w:pPr>
      <w:tabs>
        <w:tab w:val="center" w:pos="4153"/>
        <w:tab w:val="right" w:pos="8306"/>
      </w:tabs>
      <w:snapToGrid w:val="0"/>
      <w:jc w:val="left"/>
    </w:pPr>
    <w:rPr>
      <w:kern w:val="0"/>
      <w:sz w:val="18"/>
      <w:szCs w:val="18"/>
    </w:rPr>
  </w:style>
  <w:style w:type="paragraph" w:styleId="10">
    <w:name w:val="header"/>
    <w:basedOn w:val="1"/>
    <w:next w:val="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12">
    <w:name w:val="Normal (Web)"/>
    <w:basedOn w:val="1"/>
    <w:next w:val="1"/>
    <w:unhideWhenUsed/>
    <w:qFormat/>
    <w:uiPriority w:val="99"/>
    <w:pPr>
      <w:spacing w:before="100" w:beforeAutospacing="1" w:after="100" w:afterAutospacing="1"/>
      <w:jc w:val="left"/>
    </w:pPr>
    <w:rPr>
      <w:rFonts w:ascii="Times New Roman" w:hAnsi="Times New Roman" w:eastAsia="宋体" w:cs="Times New Roman"/>
      <w:kern w:val="0"/>
      <w:szCs w:val="21"/>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table" w:styleId="15">
    <w:name w:val="Table Grid"/>
    <w:basedOn w:val="14"/>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 正文缩进正文缩进2正文缩进 Char Char正文缩进 Char Char Char Char正文缩进 Char ..."/>
    <w:basedOn w:val="4"/>
    <w:qFormat/>
    <w:uiPriority w:val="99"/>
    <w:pPr>
      <w:spacing w:line="360" w:lineRule="auto"/>
      <w:ind w:firstLine="200"/>
    </w:pPr>
    <w:rPr>
      <w:rFonts w:cs="宋体"/>
      <w:sz w:val="24"/>
    </w:rPr>
  </w:style>
  <w:style w:type="paragraph" w:customStyle="1" w:styleId="18">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1">
    <w:name w:val="font01"/>
    <w:basedOn w:val="16"/>
    <w:qFormat/>
    <w:uiPriority w:val="0"/>
    <w:rPr>
      <w:rFonts w:hint="eastAsia" w:ascii="宋体" w:hAnsi="宋体" w:eastAsia="宋体" w:cs="宋体"/>
      <w:color w:val="000000"/>
      <w:sz w:val="22"/>
      <w:szCs w:val="22"/>
      <w:u w:val="none"/>
    </w:rPr>
  </w:style>
  <w:style w:type="character" w:customStyle="1" w:styleId="22">
    <w:name w:val="font31"/>
    <w:basedOn w:val="16"/>
    <w:qFormat/>
    <w:uiPriority w:val="0"/>
    <w:rPr>
      <w:rFonts w:hint="eastAsia" w:ascii="宋体" w:hAnsi="宋体" w:eastAsia="宋体" w:cs="宋体"/>
      <w:color w:val="FF0000"/>
      <w:sz w:val="22"/>
      <w:szCs w:val="22"/>
      <w:u w:val="none"/>
    </w:rPr>
  </w:style>
  <w:style w:type="paragraph" w:customStyle="1" w:styleId="23">
    <w:name w:val="Table Paragraph"/>
    <w:basedOn w:val="1"/>
    <w:qFormat/>
    <w:uiPriority w:val="0"/>
    <w:rPr>
      <w:rFonts w:ascii="宋体" w:hAnsi="宋体" w:eastAsia="宋体" w:cs="宋体"/>
      <w:szCs w:val="21"/>
    </w:rPr>
  </w:style>
  <w:style w:type="paragraph" w:customStyle="1" w:styleId="24">
    <w:name w:val="引言二级条标题"/>
    <w:basedOn w:val="25"/>
    <w:next w:val="1"/>
    <w:qFormat/>
    <w:uiPriority w:val="99"/>
    <w:pPr>
      <w:numPr>
        <w:ilvl w:val="1"/>
        <w:numId w:val="1"/>
      </w:numPr>
      <w:tabs>
        <w:tab w:val="left" w:pos="360"/>
        <w:tab w:val="left" w:pos="1200"/>
      </w:tabs>
    </w:pPr>
    <w:rPr>
      <w:b w:val="0"/>
    </w:rPr>
  </w:style>
  <w:style w:type="paragraph" w:customStyle="1" w:styleId="25">
    <w:name w:val="引言一级条标题"/>
    <w:basedOn w:val="1"/>
    <w:next w:val="26"/>
    <w:qFormat/>
    <w:uiPriority w:val="0"/>
    <w:pPr>
      <w:widowControl/>
      <w:numPr>
        <w:ilvl w:val="0"/>
        <w:numId w:val="2"/>
      </w:numPr>
    </w:pPr>
    <w:rPr>
      <w:rFonts w:eastAsia="黑体"/>
      <w:b/>
      <w:szCs w:val="20"/>
    </w:rPr>
  </w:style>
  <w:style w:type="paragraph" w:customStyle="1" w:styleId="26">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27">
    <w:name w:val="表格文字"/>
    <w:basedOn w:val="1"/>
    <w:qFormat/>
    <w:uiPriority w:val="0"/>
    <w:pPr>
      <w:spacing w:before="25" w:after="25"/>
    </w:pPr>
    <w:rPr>
      <w:bCs/>
      <w:spacing w:val="10"/>
      <w:kern w:val="0"/>
    </w:rPr>
  </w:style>
  <w:style w:type="character" w:customStyle="1" w:styleId="28">
    <w:name w:val="font21"/>
    <w:basedOn w:val="16"/>
    <w:qFormat/>
    <w:uiPriority w:val="0"/>
    <w:rPr>
      <w:rFonts w:hint="eastAsia" w:ascii="宋体" w:hAnsi="宋体" w:eastAsia="宋体" w:cs="宋体"/>
      <w:color w:val="000000"/>
      <w:sz w:val="20"/>
      <w:szCs w:val="20"/>
      <w:u w:val="none"/>
    </w:rPr>
  </w:style>
  <w:style w:type="character" w:customStyle="1" w:styleId="29">
    <w:name w:val="font41"/>
    <w:basedOn w:val="16"/>
    <w:uiPriority w:val="0"/>
    <w:rPr>
      <w:rFonts w:hint="eastAsia" w:ascii="宋体" w:hAnsi="宋体" w:eastAsia="宋体" w:cs="宋体"/>
      <w:color w:val="FF0000"/>
      <w:sz w:val="20"/>
      <w:szCs w:val="20"/>
      <w:u w:val="none"/>
    </w:rPr>
  </w:style>
  <w:style w:type="character" w:customStyle="1" w:styleId="30">
    <w:name w:val="font51"/>
    <w:basedOn w:val="16"/>
    <w:qFormat/>
    <w:uiPriority w:val="0"/>
    <w:rPr>
      <w:rFonts w:hint="eastAsia" w:ascii="宋体" w:hAnsi="宋体" w:eastAsia="宋体" w:cs="宋体"/>
      <w:color w:val="000000"/>
      <w:sz w:val="20"/>
      <w:szCs w:val="20"/>
      <w:u w:val="none"/>
    </w:rPr>
  </w:style>
  <w:style w:type="character" w:customStyle="1" w:styleId="31">
    <w:name w:val="font11"/>
    <w:basedOn w:val="16"/>
    <w:uiPriority w:val="0"/>
    <w:rPr>
      <w:rFonts w:hint="eastAsia" w:ascii="宋体" w:hAnsi="宋体" w:eastAsia="宋体" w:cs="宋体"/>
      <w:b/>
      <w:bCs/>
      <w:color w:val="000000"/>
      <w:sz w:val="20"/>
      <w:szCs w:val="20"/>
      <w:u w:val="none"/>
    </w:rPr>
  </w:style>
  <w:style w:type="character" w:customStyle="1" w:styleId="32">
    <w:name w:val="font61"/>
    <w:basedOn w:val="16"/>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25763</Words>
  <Characters>26748</Characters>
  <Lines>0</Lines>
  <Paragraphs>0</Paragraphs>
  <TotalTime>3</TotalTime>
  <ScaleCrop>false</ScaleCrop>
  <LinksUpToDate>false</LinksUpToDate>
  <CharactersWithSpaces>29516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2025-06-26T01:10:00Z</dcterms:created>
  <dc:creator>okok</dc:creator>
  <cp:lastModifiedBy>okok</cp:lastModifiedBy>
  <dcterms:modified xsi:type="dcterms:W3CDTF">2025-06-26T01:38:10Z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BDA5175C90D646F09ECAE0CBFB6E1D53_11</vt:lpwstr>
  </property>
  <property fmtid="{D5CDD505-2E9C-101B-9397-08002B2CF9AE}" pid="4" name="KSOTemplateDocerSaveRecord">
    <vt:lpwstr>eyJoZGlkIjoiYmY1NWVhYmY5ZDBjM2I5N2M4NWU1NzI5ZDM3MTI0YzUiLCJ1c2VySWQiOiIzMTQ0MTQ3ODQifQ==</vt:lpwstr>
  </property>
</Properties>
</file>