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E6AEB">
      <w:pPr>
        <w:autoSpaceDE w:val="0"/>
        <w:autoSpaceDN w:val="0"/>
        <w:adjustRightInd w:val="0"/>
        <w:spacing w:line="240" w:lineRule="auto"/>
        <w:rPr>
          <w:rFonts w:ascii="宋体" w:cs="宋体"/>
          <w:b/>
          <w:bCs/>
          <w:kern w:val="0"/>
          <w:sz w:val="36"/>
          <w:szCs w:val="36"/>
        </w:rPr>
      </w:pPr>
    </w:p>
    <w:p w14:paraId="6A7457BD">
      <w:pPr>
        <w:adjustRightInd w:val="0"/>
        <w:spacing w:line="240" w:lineRule="auto"/>
        <w:ind w:firstLine="961" w:firstLineChars="100"/>
        <w:jc w:val="both"/>
        <w:textAlignment w:val="baseline"/>
        <w:rPr>
          <w:rFonts w:hint="eastAsia" w:eastAsia="宋体"/>
          <w:color w:val="000000"/>
          <w:highlight w:val="none"/>
          <w:lang w:eastAsia="zh-CN"/>
        </w:rPr>
      </w:pPr>
      <w:bookmarkStart w:id="0" w:name="_Toc449568588"/>
      <w:bookmarkStart w:id="1" w:name="_Toc85217056"/>
      <w:r>
        <w:rPr>
          <w:rFonts w:hint="eastAsia"/>
          <w:b/>
          <w:sz w:val="96"/>
          <w:szCs w:val="96"/>
          <w:lang w:val="en-US" w:eastAsia="zh-CN"/>
        </w:rPr>
        <w:t>公开</w:t>
      </w:r>
      <w:r>
        <w:rPr>
          <w:b/>
          <w:sz w:val="96"/>
          <w:szCs w:val="96"/>
        </w:rPr>
        <w:t>招标文件</w:t>
      </w:r>
      <w:bookmarkEnd w:id="0"/>
    </w:p>
    <w:p w14:paraId="198618E3">
      <w:pPr>
        <w:adjustRightInd w:val="0"/>
        <w:spacing w:line="240" w:lineRule="auto"/>
        <w:jc w:val="center"/>
        <w:textAlignment w:val="baseline"/>
        <w:rPr>
          <w:rFonts w:ascii="宋体"/>
          <w:color w:val="000000"/>
          <w:sz w:val="36"/>
          <w:szCs w:val="36"/>
          <w:highlight w:val="none"/>
        </w:rPr>
      </w:pPr>
    </w:p>
    <w:p w14:paraId="319D3C75">
      <w:pPr>
        <w:pStyle w:val="20"/>
        <w:spacing w:line="240" w:lineRule="auto"/>
        <w:rPr>
          <w:color w:val="000000"/>
          <w:highlight w:val="none"/>
        </w:rPr>
      </w:pPr>
    </w:p>
    <w:p w14:paraId="58EFC469">
      <w:pPr>
        <w:pStyle w:val="20"/>
        <w:spacing w:line="240" w:lineRule="auto"/>
        <w:rPr>
          <w:color w:val="000000"/>
          <w:highlight w:val="none"/>
        </w:rPr>
      </w:pPr>
    </w:p>
    <w:p w14:paraId="41B4F2CF">
      <w:pPr>
        <w:pStyle w:val="20"/>
        <w:spacing w:line="240" w:lineRule="auto"/>
        <w:rPr>
          <w:color w:val="000000"/>
          <w:highlight w:val="none"/>
        </w:rPr>
      </w:pPr>
    </w:p>
    <w:p w14:paraId="4C25725D">
      <w:pPr>
        <w:pStyle w:val="20"/>
        <w:spacing w:line="240" w:lineRule="auto"/>
        <w:rPr>
          <w:color w:val="000000"/>
          <w:highlight w:val="none"/>
        </w:rPr>
      </w:pPr>
    </w:p>
    <w:p w14:paraId="7702FA36">
      <w:pPr>
        <w:pStyle w:val="20"/>
        <w:spacing w:line="240" w:lineRule="auto"/>
        <w:rPr>
          <w:color w:val="000000"/>
          <w:highlight w:val="none"/>
        </w:rPr>
      </w:pPr>
    </w:p>
    <w:p w14:paraId="5956C16A">
      <w:pPr>
        <w:pStyle w:val="20"/>
        <w:spacing w:line="240" w:lineRule="auto"/>
        <w:rPr>
          <w:color w:val="000000"/>
          <w:highlight w:val="none"/>
        </w:rPr>
      </w:pPr>
    </w:p>
    <w:p w14:paraId="7DE4F9EB">
      <w:pPr>
        <w:spacing w:line="240" w:lineRule="auto"/>
        <w:rPr>
          <w:rFonts w:ascii="宋体" w:cs="Arial"/>
          <w:b/>
          <w:color w:val="000000"/>
          <w:kern w:val="0"/>
          <w:sz w:val="32"/>
          <w:szCs w:val="32"/>
          <w:highlight w:val="none"/>
        </w:rPr>
      </w:pPr>
    </w:p>
    <w:p w14:paraId="451FB8FE">
      <w:pPr>
        <w:widowControl/>
        <w:adjustRightInd w:val="0"/>
        <w:snapToGrid w:val="0"/>
        <w:spacing w:line="240" w:lineRule="auto"/>
        <w:jc w:val="left"/>
        <w:textAlignment w:val="baseline"/>
        <w:rPr>
          <w:rFonts w:hint="default" w:ascii="宋体" w:cs="Arial"/>
          <w:b/>
          <w:color w:val="000000"/>
          <w:kern w:val="0"/>
          <w:sz w:val="36"/>
          <w:szCs w:val="36"/>
          <w:highlight w:val="none"/>
          <w:lang w:eastAsia="zh-CN"/>
        </w:rPr>
      </w:pPr>
      <w:r>
        <w:rPr>
          <w:rFonts w:hint="eastAsia" w:ascii="宋体" w:cs="Arial"/>
          <w:b/>
          <w:color w:val="000000"/>
          <w:kern w:val="0"/>
          <w:sz w:val="36"/>
          <w:szCs w:val="36"/>
          <w:highlight w:val="none"/>
        </w:rPr>
        <w:t>采购项目名称</w:t>
      </w:r>
      <w:r>
        <w:rPr>
          <w:rFonts w:hint="eastAsia" w:ascii="宋体" w:cs="Arial"/>
          <w:b/>
          <w:color w:val="000000"/>
          <w:kern w:val="0"/>
          <w:sz w:val="36"/>
          <w:szCs w:val="36"/>
          <w:highlight w:val="none"/>
          <w:lang w:eastAsia="zh-CN"/>
        </w:rPr>
        <w:t>：</w:t>
      </w:r>
      <w:r>
        <w:rPr>
          <w:rFonts w:hint="default" w:ascii="宋体" w:cs="Arial"/>
          <w:b/>
          <w:color w:val="000000"/>
          <w:kern w:val="0"/>
          <w:sz w:val="36"/>
          <w:szCs w:val="36"/>
          <w:highlight w:val="none"/>
          <w:lang w:eastAsia="zh-CN"/>
        </w:rPr>
        <w:t>湟源县交通管理系统升级改造服</w:t>
      </w:r>
    </w:p>
    <w:p w14:paraId="4BA4F7D8">
      <w:pPr>
        <w:widowControl/>
        <w:adjustRightInd w:val="0"/>
        <w:snapToGrid w:val="0"/>
        <w:spacing w:line="240" w:lineRule="auto"/>
        <w:jc w:val="left"/>
        <w:textAlignment w:val="baseline"/>
        <w:rPr>
          <w:rFonts w:hint="default" w:ascii="宋体" w:cs="Arial"/>
          <w:b/>
          <w:color w:val="000000"/>
          <w:kern w:val="0"/>
          <w:sz w:val="36"/>
          <w:szCs w:val="36"/>
          <w:highlight w:val="none"/>
          <w:lang w:eastAsia="zh-CN"/>
        </w:rPr>
      </w:pPr>
      <w:r>
        <w:rPr>
          <w:rFonts w:hint="default" w:ascii="宋体" w:cs="Arial"/>
          <w:b/>
          <w:color w:val="000000"/>
          <w:kern w:val="0"/>
          <w:sz w:val="36"/>
          <w:szCs w:val="36"/>
          <w:highlight w:val="none"/>
          <w:lang w:eastAsia="zh-CN"/>
        </w:rPr>
        <w:t>项目</w:t>
      </w:r>
    </w:p>
    <w:p w14:paraId="4F9F8A59">
      <w:pPr>
        <w:widowControl/>
        <w:adjustRightInd w:val="0"/>
        <w:snapToGrid w:val="0"/>
        <w:spacing w:line="240" w:lineRule="auto"/>
        <w:jc w:val="left"/>
        <w:textAlignment w:val="baseline"/>
        <w:rPr>
          <w:rFonts w:hint="eastAsia" w:ascii="宋体" w:cs="Arial"/>
          <w:b/>
          <w:color w:val="000000" w:themeColor="text1"/>
          <w:kern w:val="0"/>
          <w:sz w:val="36"/>
          <w:szCs w:val="36"/>
          <w:highlight w:val="none"/>
          <w:lang w:eastAsia="zh-CN"/>
          <w14:textFill>
            <w14:solidFill>
              <w14:schemeClr w14:val="tx1"/>
            </w14:solidFill>
          </w14:textFill>
        </w:rPr>
      </w:pPr>
      <w:r>
        <w:rPr>
          <w:rFonts w:hint="eastAsia" w:ascii="宋体" w:cs="Arial"/>
          <w:b/>
          <w:color w:val="000000"/>
          <w:kern w:val="0"/>
          <w:sz w:val="36"/>
          <w:szCs w:val="36"/>
          <w:highlight w:val="none"/>
        </w:rPr>
        <w:t>采购项目编号：</w:t>
      </w:r>
      <w:r>
        <w:rPr>
          <w:rFonts w:hint="eastAsia" w:ascii="宋体" w:cs="Arial"/>
          <w:b/>
          <w:color w:val="000000" w:themeColor="text1"/>
          <w:kern w:val="0"/>
          <w:sz w:val="36"/>
          <w:szCs w:val="36"/>
          <w:highlight w:val="none"/>
          <w:lang w:eastAsia="zh-CN"/>
          <w14:textFill>
            <w14:solidFill>
              <w14:schemeClr w14:val="tx1"/>
            </w14:solidFill>
          </w14:textFill>
        </w:rPr>
        <w:t>源政采</w:t>
      </w:r>
      <w:r>
        <w:rPr>
          <w:rFonts w:hint="eastAsia" w:ascii="宋体" w:cs="Arial"/>
          <w:b/>
          <w:color w:val="000000" w:themeColor="text1"/>
          <w:kern w:val="0"/>
          <w:sz w:val="36"/>
          <w:szCs w:val="36"/>
          <w:highlight w:val="none"/>
          <w:lang w:val="en-US" w:eastAsia="zh-CN"/>
          <w14:textFill>
            <w14:solidFill>
              <w14:schemeClr w14:val="tx1"/>
            </w14:solidFill>
          </w14:textFill>
        </w:rPr>
        <w:t>公招</w:t>
      </w:r>
      <w:r>
        <w:rPr>
          <w:rFonts w:hint="eastAsia" w:ascii="宋体" w:cs="Arial"/>
          <w:b/>
          <w:color w:val="000000" w:themeColor="text1"/>
          <w:kern w:val="0"/>
          <w:sz w:val="36"/>
          <w:szCs w:val="36"/>
          <w:highlight w:val="none"/>
          <w:lang w:eastAsia="zh-CN"/>
          <w14:textFill>
            <w14:solidFill>
              <w14:schemeClr w14:val="tx1"/>
            </w14:solidFill>
          </w14:textFill>
        </w:rPr>
        <w:t>（货物）202</w:t>
      </w:r>
      <w:r>
        <w:rPr>
          <w:rFonts w:hint="eastAsia" w:ascii="宋体" w:cs="Arial"/>
          <w:b/>
          <w:color w:val="000000" w:themeColor="text1"/>
          <w:kern w:val="0"/>
          <w:sz w:val="36"/>
          <w:szCs w:val="36"/>
          <w:highlight w:val="none"/>
          <w:lang w:val="en-US" w:eastAsia="zh-CN"/>
          <w14:textFill>
            <w14:solidFill>
              <w14:schemeClr w14:val="tx1"/>
            </w14:solidFill>
          </w14:textFill>
        </w:rPr>
        <w:t>5</w:t>
      </w:r>
      <w:r>
        <w:rPr>
          <w:rFonts w:hint="eastAsia" w:ascii="宋体" w:cs="Arial"/>
          <w:b/>
          <w:color w:val="000000" w:themeColor="text1"/>
          <w:kern w:val="0"/>
          <w:sz w:val="36"/>
          <w:szCs w:val="36"/>
          <w:highlight w:val="none"/>
          <w:lang w:eastAsia="zh-CN"/>
          <w14:textFill>
            <w14:solidFill>
              <w14:schemeClr w14:val="tx1"/>
            </w14:solidFill>
          </w14:textFill>
        </w:rPr>
        <w:t>-00</w:t>
      </w:r>
      <w:r>
        <w:rPr>
          <w:rFonts w:hint="eastAsia" w:ascii="宋体" w:cs="Arial"/>
          <w:b/>
          <w:color w:val="000000" w:themeColor="text1"/>
          <w:kern w:val="0"/>
          <w:sz w:val="36"/>
          <w:szCs w:val="36"/>
          <w:highlight w:val="none"/>
          <w:lang w:val="en-US" w:eastAsia="zh-CN"/>
          <w14:textFill>
            <w14:solidFill>
              <w14:schemeClr w14:val="tx1"/>
            </w14:solidFill>
          </w14:textFill>
        </w:rPr>
        <w:t>4</w:t>
      </w:r>
      <w:r>
        <w:rPr>
          <w:rFonts w:hint="eastAsia" w:ascii="宋体" w:cs="Arial"/>
          <w:b/>
          <w:color w:val="000000" w:themeColor="text1"/>
          <w:kern w:val="0"/>
          <w:sz w:val="36"/>
          <w:szCs w:val="36"/>
          <w:highlight w:val="none"/>
          <w:lang w:eastAsia="zh-CN"/>
          <w14:textFill>
            <w14:solidFill>
              <w14:schemeClr w14:val="tx1"/>
            </w14:solidFill>
          </w14:textFill>
        </w:rPr>
        <w:t>号</w:t>
      </w:r>
    </w:p>
    <w:p w14:paraId="36379182">
      <w:pPr>
        <w:pStyle w:val="29"/>
        <w:spacing w:line="240" w:lineRule="auto"/>
        <w:ind w:left="0" w:leftChars="0" w:firstLine="0" w:firstLineChars="0"/>
        <w:rPr>
          <w:rFonts w:hint="eastAsia" w:ascii="宋体"/>
          <w:b/>
          <w:bCs/>
          <w:color w:val="000000"/>
          <w:sz w:val="36"/>
          <w:szCs w:val="36"/>
          <w:highlight w:val="none"/>
          <w:lang w:eastAsia="zh-CN"/>
        </w:rPr>
      </w:pPr>
      <w:r>
        <w:rPr>
          <w:rFonts w:hint="eastAsia" w:ascii="宋体" w:cs="Arial"/>
          <w:b/>
          <w:color w:val="000000"/>
          <w:kern w:val="0"/>
          <w:sz w:val="36"/>
          <w:szCs w:val="36"/>
          <w:highlight w:val="none"/>
        </w:rPr>
        <w:t>采  购 单 位</w:t>
      </w:r>
      <w:r>
        <w:rPr>
          <w:rFonts w:hint="eastAsia" w:ascii="宋体"/>
          <w:color w:val="000000"/>
          <w:sz w:val="36"/>
          <w:szCs w:val="36"/>
          <w:highlight w:val="none"/>
        </w:rPr>
        <w:t>：</w:t>
      </w:r>
      <w:r>
        <w:rPr>
          <w:rFonts w:hint="eastAsia" w:ascii="宋体" w:cs="Arial"/>
          <w:b/>
          <w:color w:val="000000"/>
          <w:kern w:val="0"/>
          <w:sz w:val="36"/>
          <w:szCs w:val="36"/>
          <w:highlight w:val="none"/>
          <w:lang w:eastAsia="zh-CN"/>
        </w:rPr>
        <w:t>湟源县公安局</w:t>
      </w:r>
    </w:p>
    <w:p w14:paraId="3EF6A544">
      <w:pPr>
        <w:spacing w:line="240" w:lineRule="auto"/>
        <w:rPr>
          <w:rFonts w:hint="eastAsia" w:ascii="宋体"/>
          <w:b/>
          <w:bCs/>
          <w:color w:val="000000"/>
          <w:sz w:val="36"/>
          <w:szCs w:val="36"/>
          <w:highlight w:val="none"/>
          <w:lang w:eastAsia="zh-CN"/>
        </w:rPr>
      </w:pPr>
    </w:p>
    <w:p w14:paraId="0405B658">
      <w:pPr>
        <w:pStyle w:val="29"/>
        <w:spacing w:line="240" w:lineRule="auto"/>
        <w:rPr>
          <w:rFonts w:hint="eastAsia"/>
          <w:lang w:eastAsia="zh-CN"/>
        </w:rPr>
      </w:pPr>
    </w:p>
    <w:p w14:paraId="281B8041">
      <w:pPr>
        <w:pStyle w:val="29"/>
        <w:spacing w:line="240" w:lineRule="auto"/>
        <w:rPr>
          <w:rFonts w:hint="eastAsia"/>
          <w:highlight w:val="none"/>
          <w:lang w:eastAsia="zh-CN"/>
        </w:rPr>
      </w:pPr>
    </w:p>
    <w:p w14:paraId="78F413CA">
      <w:pPr>
        <w:widowControl/>
        <w:adjustRightInd w:val="0"/>
        <w:snapToGrid w:val="0"/>
        <w:spacing w:line="240" w:lineRule="auto"/>
        <w:jc w:val="left"/>
        <w:textAlignment w:val="baseline"/>
        <w:rPr>
          <w:rFonts w:ascii="宋体"/>
          <w:b/>
          <w:bCs/>
          <w:color w:val="000000"/>
          <w:sz w:val="36"/>
          <w:szCs w:val="36"/>
          <w:highlight w:val="none"/>
        </w:rPr>
      </w:pPr>
      <w:r>
        <w:rPr>
          <w:rFonts w:hint="eastAsia" w:ascii="宋体"/>
          <w:b/>
          <w:bCs/>
          <w:color w:val="000000"/>
          <w:sz w:val="36"/>
          <w:szCs w:val="36"/>
          <w:highlight w:val="none"/>
          <w:lang w:eastAsia="zh-CN"/>
        </w:rPr>
        <w:t>集中采购机构</w:t>
      </w:r>
      <w:r>
        <w:rPr>
          <w:rFonts w:hint="eastAsia" w:ascii="宋体"/>
          <w:b/>
          <w:bCs/>
          <w:color w:val="000000"/>
          <w:sz w:val="36"/>
          <w:szCs w:val="36"/>
          <w:highlight w:val="none"/>
        </w:rPr>
        <w:t>：</w:t>
      </w:r>
      <w:r>
        <w:rPr>
          <w:rFonts w:hint="eastAsia" w:ascii="宋体"/>
          <w:b/>
          <w:bCs/>
          <w:color w:val="000000"/>
          <w:sz w:val="36"/>
          <w:szCs w:val="36"/>
          <w:highlight w:val="none"/>
          <w:lang w:eastAsia="zh-CN"/>
        </w:rPr>
        <w:t>湟源县政府采购服务中心</w:t>
      </w:r>
    </w:p>
    <w:p w14:paraId="7758050B">
      <w:pPr>
        <w:spacing w:line="240" w:lineRule="auto"/>
        <w:ind w:firstLine="3249" w:firstLineChars="900"/>
        <w:jc w:val="both"/>
        <w:rPr>
          <w:rFonts w:hint="eastAsia" w:ascii="宋体"/>
          <w:b/>
          <w:bCs/>
          <w:color w:val="000000"/>
          <w:sz w:val="36"/>
          <w:szCs w:val="36"/>
          <w:highlight w:val="none"/>
          <w:lang w:eastAsia="zh-CN"/>
        </w:rPr>
      </w:pPr>
      <w:r>
        <w:rPr>
          <w:rFonts w:hint="eastAsia" w:ascii="宋体"/>
          <w:b/>
          <w:bCs/>
          <w:color w:val="000000"/>
          <w:sz w:val="36"/>
          <w:szCs w:val="36"/>
          <w:highlight w:val="none"/>
          <w:lang w:eastAsia="zh-CN"/>
        </w:rPr>
        <w:t>202</w:t>
      </w:r>
      <w:r>
        <w:rPr>
          <w:rFonts w:hint="eastAsia" w:ascii="宋体"/>
          <w:b/>
          <w:bCs/>
          <w:color w:val="000000"/>
          <w:sz w:val="36"/>
          <w:szCs w:val="36"/>
          <w:highlight w:val="none"/>
          <w:lang w:val="en-US" w:eastAsia="zh-CN"/>
        </w:rPr>
        <w:t>5</w:t>
      </w:r>
      <w:r>
        <w:rPr>
          <w:rFonts w:hint="eastAsia" w:ascii="宋体"/>
          <w:b/>
          <w:bCs/>
          <w:color w:val="000000"/>
          <w:sz w:val="36"/>
          <w:szCs w:val="36"/>
          <w:highlight w:val="none"/>
          <w:lang w:eastAsia="zh-CN"/>
        </w:rPr>
        <w:t>年</w:t>
      </w:r>
      <w:r>
        <w:rPr>
          <w:rFonts w:hint="eastAsia" w:ascii="宋体"/>
          <w:b/>
          <w:bCs/>
          <w:color w:val="000000"/>
          <w:sz w:val="36"/>
          <w:szCs w:val="36"/>
          <w:highlight w:val="none"/>
          <w:lang w:val="en-US" w:eastAsia="zh-CN"/>
        </w:rPr>
        <w:t>6</w:t>
      </w:r>
      <w:r>
        <w:rPr>
          <w:rFonts w:hint="eastAsia" w:ascii="宋体"/>
          <w:b/>
          <w:bCs/>
          <w:color w:val="000000"/>
          <w:sz w:val="36"/>
          <w:szCs w:val="36"/>
          <w:highlight w:val="none"/>
          <w:lang w:eastAsia="zh-CN"/>
        </w:rPr>
        <w:t>月</w:t>
      </w:r>
    </w:p>
    <w:p w14:paraId="584B4F1B">
      <w:pPr>
        <w:spacing w:line="240" w:lineRule="auto"/>
        <w:rPr>
          <w:rFonts w:hint="eastAsia" w:ascii="宋体"/>
          <w:b/>
          <w:bCs/>
          <w:color w:val="000000"/>
          <w:sz w:val="36"/>
          <w:szCs w:val="36"/>
          <w:highlight w:val="none"/>
          <w:lang w:eastAsia="zh-CN"/>
        </w:rPr>
      </w:pPr>
    </w:p>
    <w:p w14:paraId="3D8B241E">
      <w:pPr>
        <w:pStyle w:val="29"/>
        <w:spacing w:line="240" w:lineRule="auto"/>
        <w:rPr>
          <w:rFonts w:hint="eastAsia" w:ascii="宋体"/>
          <w:b/>
          <w:bCs/>
          <w:color w:val="000000"/>
          <w:sz w:val="36"/>
          <w:szCs w:val="36"/>
          <w:highlight w:val="none"/>
          <w:lang w:eastAsia="zh-CN"/>
        </w:rPr>
      </w:pPr>
    </w:p>
    <w:p w14:paraId="6F625794">
      <w:pPr>
        <w:spacing w:line="240" w:lineRule="auto"/>
        <w:rPr>
          <w:rFonts w:hint="eastAsia"/>
          <w:lang w:eastAsia="zh-CN"/>
        </w:rPr>
      </w:pPr>
    </w:p>
    <w:p w14:paraId="400D1142">
      <w:pPr>
        <w:widowControl/>
        <w:spacing w:line="240" w:lineRule="auto"/>
        <w:jc w:val="left"/>
        <w:rPr>
          <w:rFonts w:ascii="宋体"/>
          <w:color w:val="000000"/>
          <w:sz w:val="48"/>
          <w:szCs w:val="48"/>
        </w:rPr>
      </w:pPr>
      <w:r>
        <w:rPr>
          <w:rFonts w:ascii="宋体"/>
          <w:color w:val="000000"/>
          <w:sz w:val="48"/>
          <w:szCs w:val="48"/>
        </w:rPr>
        <w:br w:type="page"/>
      </w:r>
    </w:p>
    <w:p w14:paraId="74EE2309">
      <w:pPr>
        <w:spacing w:line="240" w:lineRule="auto"/>
        <w:jc w:val="center"/>
        <w:rPr>
          <w:rFonts w:ascii="宋体"/>
          <w:color w:val="000000"/>
          <w:sz w:val="24"/>
        </w:rPr>
      </w:pPr>
      <w:r>
        <w:rPr>
          <w:rFonts w:ascii="宋体"/>
          <w:color w:val="000000"/>
          <w:sz w:val="48"/>
          <w:szCs w:val="48"/>
        </w:rPr>
        <w:t>目</w:t>
      </w:r>
      <w:r>
        <w:rPr>
          <w:rFonts w:hint="eastAsia" w:ascii="宋体"/>
          <w:color w:val="000000"/>
          <w:sz w:val="48"/>
          <w:szCs w:val="48"/>
        </w:rPr>
        <w:t xml:space="preserve"> </w:t>
      </w:r>
      <w:r>
        <w:rPr>
          <w:rFonts w:ascii="宋体"/>
          <w:color w:val="000000"/>
          <w:sz w:val="48"/>
          <w:szCs w:val="48"/>
        </w:rPr>
        <w:t xml:space="preserve">    录</w:t>
      </w:r>
    </w:p>
    <w:p w14:paraId="3D82CD81">
      <w:pPr>
        <w:pStyle w:val="22"/>
        <w:tabs>
          <w:tab w:val="right" w:leader="dot" w:pos="9026"/>
        </w:tabs>
        <w:spacing w:line="240" w:lineRule="auto"/>
        <w:ind w:left="0" w:leftChars="0" w:firstLine="0" w:firstLineChars="0"/>
        <w:rPr>
          <w:b w:val="0"/>
          <w:bCs w:val="0"/>
        </w:rPr>
      </w:pPr>
      <w:r>
        <w:rPr>
          <w:b w:val="0"/>
          <w:bCs w:val="0"/>
          <w:sz w:val="420"/>
        </w:rPr>
        <w:fldChar w:fldCharType="begin"/>
      </w:r>
      <w:r>
        <w:rPr>
          <w:b w:val="0"/>
          <w:bCs w:val="0"/>
          <w:sz w:val="420"/>
        </w:rPr>
        <w:instrText xml:space="preserve"> TOC \o "1-1" \h \z \t "标题 2,1,标题 3,1,副标题,1" </w:instrText>
      </w:r>
      <w:r>
        <w:rPr>
          <w:b w:val="0"/>
          <w:bCs w:val="0"/>
          <w:sz w:val="420"/>
        </w:rPr>
        <w:fldChar w:fldCharType="separate"/>
      </w:r>
      <w:r>
        <w:rPr>
          <w:b w:val="0"/>
          <w:bCs w:val="0"/>
        </w:rPr>
        <w:fldChar w:fldCharType="begin"/>
      </w:r>
      <w:r>
        <w:rPr>
          <w:b w:val="0"/>
          <w:bCs w:val="0"/>
        </w:rPr>
        <w:instrText xml:space="preserve"> HYPERLINK \l _Toc24812 </w:instrText>
      </w:r>
      <w:r>
        <w:rPr>
          <w:b w:val="0"/>
          <w:bCs w:val="0"/>
        </w:rPr>
        <w:fldChar w:fldCharType="separate"/>
      </w:r>
      <w:r>
        <w:rPr>
          <w:rFonts w:ascii="Times New Roman" w:hAnsi="Times New Roman"/>
          <w:b w:val="0"/>
          <w:bCs w:val="0"/>
          <w:lang w:val="zh-CN"/>
        </w:rPr>
        <w:t>第一部分  投标邀请</w:t>
      </w:r>
      <w:r>
        <w:rPr>
          <w:b w:val="0"/>
          <w:bCs w:val="0"/>
        </w:rPr>
        <w:tab/>
      </w:r>
      <w:r>
        <w:rPr>
          <w:rFonts w:hint="eastAsia"/>
          <w:b w:val="0"/>
          <w:bCs w:val="0"/>
          <w:lang w:val="en-US" w:eastAsia="zh-CN"/>
        </w:rPr>
        <w:t>6</w:t>
      </w:r>
      <w:r>
        <w:rPr>
          <w:b w:val="0"/>
          <w:bCs w:val="0"/>
        </w:rPr>
        <w:fldChar w:fldCharType="end"/>
      </w:r>
    </w:p>
    <w:p w14:paraId="3849F8D5">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_Toc20133 </w:instrText>
      </w:r>
      <w:r>
        <w:rPr>
          <w:rFonts w:ascii="Times New Roman" w:hAnsi="Times New Roman"/>
          <w:b w:val="0"/>
          <w:bCs w:val="0"/>
          <w:szCs w:val="24"/>
        </w:rPr>
        <w:fldChar w:fldCharType="separate"/>
      </w:r>
      <w:r>
        <w:rPr>
          <w:rFonts w:ascii="Times New Roman" w:hAnsi="Times New Roman"/>
          <w:b w:val="0"/>
          <w:bCs w:val="0"/>
          <w:lang w:val="zh-CN"/>
        </w:rPr>
        <w:t>一、说明</w:t>
      </w:r>
      <w:r>
        <w:rPr>
          <w:b w:val="0"/>
          <w:bCs w:val="0"/>
        </w:rPr>
        <w:tab/>
      </w:r>
      <w:r>
        <w:rPr>
          <w:rFonts w:hint="eastAsia"/>
          <w:b w:val="0"/>
          <w:bCs w:val="0"/>
          <w:lang w:val="en-US" w:eastAsia="zh-CN"/>
        </w:rPr>
        <w:t>6</w:t>
      </w:r>
      <w:r>
        <w:rPr>
          <w:rFonts w:ascii="Times New Roman" w:hAnsi="Times New Roman"/>
          <w:b w:val="0"/>
          <w:bCs w:val="0"/>
          <w:szCs w:val="24"/>
        </w:rPr>
        <w:fldChar w:fldCharType="end"/>
      </w:r>
    </w:p>
    <w:p w14:paraId="0E5BA209">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_Toc5648 </w:instrText>
      </w:r>
      <w:r>
        <w:rPr>
          <w:rFonts w:ascii="Times New Roman" w:hAnsi="Times New Roman"/>
          <w:b w:val="0"/>
          <w:bCs w:val="0"/>
          <w:szCs w:val="24"/>
        </w:rPr>
        <w:fldChar w:fldCharType="separate"/>
      </w:r>
      <w:r>
        <w:rPr>
          <w:rFonts w:ascii="Times New Roman" w:hAnsi="Times New Roman"/>
          <w:b w:val="0"/>
          <w:bCs w:val="0"/>
          <w:szCs w:val="28"/>
          <w:lang w:val="zh-CN"/>
        </w:rPr>
        <w:t>1.适用范围</w:t>
      </w:r>
      <w:r>
        <w:rPr>
          <w:b w:val="0"/>
          <w:bCs w:val="0"/>
        </w:rPr>
        <w:tab/>
      </w:r>
      <w:r>
        <w:rPr>
          <w:b w:val="0"/>
          <w:bCs w:val="0"/>
        </w:rPr>
        <w:fldChar w:fldCharType="begin"/>
      </w:r>
      <w:r>
        <w:rPr>
          <w:b w:val="0"/>
          <w:bCs w:val="0"/>
        </w:rPr>
        <w:instrText xml:space="preserve"> PAGEREF _Toc5648 \h </w:instrText>
      </w:r>
      <w:r>
        <w:rPr>
          <w:b w:val="0"/>
          <w:bCs w:val="0"/>
        </w:rPr>
        <w:fldChar w:fldCharType="separate"/>
      </w:r>
      <w:r>
        <w:rPr>
          <w:b w:val="0"/>
          <w:bCs w:val="0"/>
        </w:rPr>
        <w:t>9</w:t>
      </w:r>
      <w:r>
        <w:rPr>
          <w:b w:val="0"/>
          <w:bCs w:val="0"/>
        </w:rPr>
        <w:fldChar w:fldCharType="end"/>
      </w:r>
      <w:r>
        <w:rPr>
          <w:rFonts w:ascii="Times New Roman" w:hAnsi="Times New Roman"/>
          <w:b w:val="0"/>
          <w:bCs w:val="0"/>
          <w:szCs w:val="24"/>
        </w:rPr>
        <w:fldChar w:fldCharType="end"/>
      </w:r>
    </w:p>
    <w:p w14:paraId="7EA069F8">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_Toc23425 </w:instrText>
      </w:r>
      <w:r>
        <w:rPr>
          <w:rFonts w:ascii="Times New Roman" w:hAnsi="Times New Roman"/>
          <w:b w:val="0"/>
          <w:bCs w:val="0"/>
          <w:szCs w:val="24"/>
        </w:rPr>
        <w:fldChar w:fldCharType="separate"/>
      </w:r>
      <w:r>
        <w:rPr>
          <w:rFonts w:ascii="Times New Roman" w:hAnsi="Times New Roman"/>
          <w:b w:val="0"/>
          <w:bCs w:val="0"/>
          <w:szCs w:val="28"/>
          <w:lang w:val="zh-CN"/>
        </w:rPr>
        <w:t>2.采购方式、合格的</w:t>
      </w:r>
      <w:r>
        <w:rPr>
          <w:rFonts w:hint="eastAsia" w:ascii="Times New Roman" w:hAnsi="Times New Roman"/>
          <w:b w:val="0"/>
          <w:bCs w:val="0"/>
          <w:szCs w:val="28"/>
          <w:lang w:val="zh-CN"/>
        </w:rPr>
        <w:t>供应商</w:t>
      </w:r>
      <w:r>
        <w:rPr>
          <w:b w:val="0"/>
          <w:bCs w:val="0"/>
        </w:rPr>
        <w:tab/>
      </w:r>
      <w:r>
        <w:rPr>
          <w:rFonts w:hint="eastAsia"/>
          <w:b w:val="0"/>
          <w:bCs w:val="0"/>
          <w:lang w:val="en-US" w:eastAsia="zh-CN"/>
        </w:rPr>
        <w:t>7</w:t>
      </w:r>
      <w:r>
        <w:rPr>
          <w:rFonts w:ascii="Times New Roman" w:hAnsi="Times New Roman"/>
          <w:b w:val="0"/>
          <w:bCs w:val="0"/>
          <w:szCs w:val="24"/>
        </w:rPr>
        <w:fldChar w:fldCharType="end"/>
      </w:r>
    </w:p>
    <w:p w14:paraId="1733E31D">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_Toc4039 </w:instrText>
      </w:r>
      <w:r>
        <w:rPr>
          <w:rFonts w:ascii="Times New Roman" w:hAnsi="Times New Roman"/>
          <w:b w:val="0"/>
          <w:bCs w:val="0"/>
          <w:szCs w:val="24"/>
        </w:rPr>
        <w:fldChar w:fldCharType="separate"/>
      </w:r>
      <w:r>
        <w:rPr>
          <w:rFonts w:ascii="Times New Roman" w:hAnsi="Times New Roman"/>
          <w:b w:val="0"/>
          <w:bCs w:val="0"/>
          <w:szCs w:val="28"/>
          <w:lang w:val="zh-CN"/>
        </w:rPr>
        <w:t>3.投标费用</w:t>
      </w:r>
      <w:r>
        <w:rPr>
          <w:b w:val="0"/>
          <w:bCs w:val="0"/>
        </w:rPr>
        <w:tab/>
      </w:r>
      <w:r>
        <w:rPr>
          <w:rFonts w:hint="eastAsia"/>
          <w:b w:val="0"/>
          <w:bCs w:val="0"/>
          <w:lang w:val="en-US" w:eastAsia="zh-CN"/>
        </w:rPr>
        <w:t>8</w:t>
      </w:r>
      <w:r>
        <w:rPr>
          <w:rFonts w:ascii="Times New Roman" w:hAnsi="Times New Roman"/>
          <w:b w:val="0"/>
          <w:bCs w:val="0"/>
          <w:szCs w:val="24"/>
        </w:rPr>
        <w:fldChar w:fldCharType="end"/>
      </w:r>
    </w:p>
    <w:p w14:paraId="03C2A657">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_Toc7703 </w:instrText>
      </w:r>
      <w:r>
        <w:rPr>
          <w:rFonts w:ascii="Times New Roman" w:hAnsi="Times New Roman"/>
          <w:b w:val="0"/>
          <w:bCs w:val="0"/>
          <w:szCs w:val="24"/>
        </w:rPr>
        <w:fldChar w:fldCharType="separate"/>
      </w:r>
      <w:r>
        <w:rPr>
          <w:rFonts w:ascii="Times New Roman" w:hAnsi="Times New Roman"/>
          <w:b w:val="0"/>
          <w:bCs w:val="0"/>
          <w:lang w:val="zh-CN"/>
        </w:rPr>
        <w:t>二、招标文件说明</w:t>
      </w:r>
      <w:r>
        <w:rPr>
          <w:b w:val="0"/>
          <w:bCs w:val="0"/>
        </w:rPr>
        <w:tab/>
      </w:r>
      <w:r>
        <w:rPr>
          <w:rFonts w:hint="eastAsia"/>
          <w:b w:val="0"/>
          <w:bCs w:val="0"/>
          <w:lang w:val="en-US" w:eastAsia="zh-CN"/>
        </w:rPr>
        <w:t>9</w:t>
      </w:r>
      <w:r>
        <w:rPr>
          <w:rFonts w:ascii="Times New Roman" w:hAnsi="Times New Roman"/>
          <w:b w:val="0"/>
          <w:bCs w:val="0"/>
          <w:szCs w:val="24"/>
        </w:rPr>
        <w:fldChar w:fldCharType="end"/>
      </w:r>
    </w:p>
    <w:p w14:paraId="77D9AD4D">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_Toc1772 </w:instrText>
      </w:r>
      <w:r>
        <w:rPr>
          <w:rFonts w:ascii="Times New Roman" w:hAnsi="Times New Roman"/>
          <w:b w:val="0"/>
          <w:bCs w:val="0"/>
          <w:szCs w:val="24"/>
        </w:rPr>
        <w:fldChar w:fldCharType="separate"/>
      </w:r>
      <w:r>
        <w:rPr>
          <w:rFonts w:ascii="Times New Roman" w:hAnsi="Times New Roman"/>
          <w:b w:val="0"/>
          <w:bCs w:val="0"/>
          <w:szCs w:val="28"/>
          <w:lang w:val="zh-CN"/>
        </w:rPr>
        <w:t>4.招标文件的构成</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0FEB17D5">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_Toc4493 </w:instrText>
      </w:r>
      <w:r>
        <w:rPr>
          <w:rFonts w:ascii="Times New Roman" w:hAnsi="Times New Roman"/>
          <w:b w:val="0"/>
          <w:bCs w:val="0"/>
          <w:szCs w:val="24"/>
        </w:rPr>
        <w:fldChar w:fldCharType="separate"/>
      </w:r>
      <w:r>
        <w:rPr>
          <w:rFonts w:ascii="Times New Roman" w:hAnsi="Times New Roman"/>
          <w:b w:val="0"/>
          <w:bCs w:val="0"/>
          <w:szCs w:val="28"/>
          <w:lang w:val="zh-CN"/>
        </w:rPr>
        <w:t>5.招标公告、招标文件、采购活动和中标结果的质疑</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3E97DF7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_Toc24827 </w:instrText>
      </w:r>
      <w:r>
        <w:rPr>
          <w:rFonts w:ascii="Times New Roman" w:hAnsi="Times New Roman"/>
          <w:b w:val="0"/>
          <w:bCs w:val="0"/>
          <w:szCs w:val="24"/>
        </w:rPr>
        <w:fldChar w:fldCharType="separate"/>
      </w:r>
      <w:r>
        <w:rPr>
          <w:rFonts w:ascii="Times New Roman" w:hAnsi="Times New Roman"/>
          <w:b w:val="0"/>
          <w:bCs w:val="0"/>
          <w:szCs w:val="28"/>
          <w:lang w:val="zh-CN"/>
        </w:rPr>
        <w:t>6.招标文件的澄清或修改</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69E8065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_Toc10416 </w:instrText>
      </w:r>
      <w:r>
        <w:rPr>
          <w:rFonts w:ascii="Times New Roman" w:hAnsi="Times New Roman"/>
          <w:b w:val="0"/>
          <w:bCs w:val="0"/>
          <w:szCs w:val="24"/>
        </w:rPr>
        <w:fldChar w:fldCharType="separate"/>
      </w:r>
      <w:r>
        <w:rPr>
          <w:rFonts w:ascii="Times New Roman" w:hAnsi="Times New Roman"/>
          <w:b w:val="0"/>
          <w:bCs w:val="0"/>
          <w:lang w:val="zh-CN"/>
        </w:rPr>
        <w:t>三、投标文件的编制</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5C8AFC2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_Toc25538 </w:instrText>
      </w:r>
      <w:r>
        <w:rPr>
          <w:rFonts w:ascii="Times New Roman" w:hAnsi="Times New Roman"/>
          <w:b w:val="0"/>
          <w:bCs w:val="0"/>
          <w:szCs w:val="24"/>
        </w:rPr>
        <w:fldChar w:fldCharType="separate"/>
      </w:r>
      <w:r>
        <w:rPr>
          <w:rFonts w:ascii="Times New Roman" w:hAnsi="Times New Roman"/>
          <w:b w:val="0"/>
          <w:bCs w:val="0"/>
          <w:szCs w:val="28"/>
          <w:lang w:val="zh-CN"/>
        </w:rPr>
        <w:t>7.投标文件的语言及度量衡单位</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0773ED0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_Toc8038 </w:instrText>
      </w:r>
      <w:r>
        <w:rPr>
          <w:rFonts w:ascii="Times New Roman" w:hAnsi="Times New Roman"/>
          <w:b w:val="0"/>
          <w:bCs w:val="0"/>
          <w:szCs w:val="24"/>
        </w:rPr>
        <w:fldChar w:fldCharType="separate"/>
      </w:r>
      <w:r>
        <w:rPr>
          <w:rFonts w:ascii="Times New Roman" w:hAnsi="Times New Roman"/>
          <w:b w:val="0"/>
          <w:bCs w:val="0"/>
          <w:szCs w:val="28"/>
          <w:lang w:val="zh-CN"/>
        </w:rPr>
        <w:t>8.投标报价及币种</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7B8EF707">
      <w:pPr>
        <w:pStyle w:val="22"/>
        <w:tabs>
          <w:tab w:val="right" w:leader="dot" w:pos="9026"/>
        </w:tabs>
        <w:spacing w:line="240" w:lineRule="auto"/>
        <w:rPr>
          <w:rFonts w:hint="default"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_Toc31647 </w:instrText>
      </w:r>
      <w:r>
        <w:rPr>
          <w:rFonts w:ascii="Times New Roman" w:hAnsi="Times New Roman"/>
          <w:b w:val="0"/>
          <w:bCs w:val="0"/>
          <w:szCs w:val="24"/>
        </w:rPr>
        <w:fldChar w:fldCharType="separate"/>
      </w:r>
      <w:r>
        <w:rPr>
          <w:rFonts w:hint="eastAsia"/>
          <w:b w:val="0"/>
          <w:bCs w:val="0"/>
          <w:kern w:val="0"/>
          <w:lang w:val="zh-CN"/>
        </w:rPr>
        <w:t>9.</w:t>
      </w:r>
      <w:r>
        <w:rPr>
          <w:rFonts w:hint="eastAsia" w:ascii="宋体" w:hAnsi="宋体" w:cs="宋体"/>
          <w:b w:val="0"/>
          <w:bCs w:val="0"/>
          <w:szCs w:val="28"/>
          <w:lang w:val="zh-CN"/>
        </w:rPr>
        <w:t xml:space="preserve"> 投标保证金（</w:t>
      </w:r>
      <w:r>
        <w:rPr>
          <w:rFonts w:hint="eastAsia" w:ascii="宋体" w:hAnsi="宋体" w:cs="宋体"/>
          <w:b w:val="0"/>
          <w:bCs w:val="0"/>
          <w:szCs w:val="28"/>
          <w:lang w:val="en-US" w:eastAsia="zh-CN"/>
        </w:rPr>
        <w:t>本项目不收取</w:t>
      </w:r>
      <w:r>
        <w:rPr>
          <w:rFonts w:hint="eastAsia" w:ascii="宋体" w:hAnsi="宋体" w:eastAsia="宋体" w:cs="宋体"/>
          <w:b w:val="0"/>
          <w:bCs w:val="0"/>
          <w:szCs w:val="28"/>
          <w:lang w:val="zh-CN"/>
        </w:rPr>
        <w:t>投标保证金</w:t>
      </w:r>
      <w:r>
        <w:rPr>
          <w:rFonts w:hint="eastAsia" w:ascii="宋体" w:hAnsi="宋体" w:cs="宋体"/>
          <w:b w:val="0"/>
          <w:bCs w:val="0"/>
          <w:szCs w:val="28"/>
          <w:lang w:val="zh-CN"/>
        </w:rPr>
        <w:t>）</w:t>
      </w:r>
      <w:r>
        <w:rPr>
          <w:b w:val="0"/>
          <w:bCs w:val="0"/>
        </w:rPr>
        <w:tab/>
      </w:r>
      <w:r>
        <w:rPr>
          <w:rFonts w:ascii="Times New Roman" w:hAnsi="Times New Roman"/>
          <w:b w:val="0"/>
          <w:bCs w:val="0"/>
          <w:szCs w:val="24"/>
        </w:rPr>
        <w:fldChar w:fldCharType="end"/>
      </w:r>
      <w:r>
        <w:rPr>
          <w:rFonts w:hint="eastAsia" w:ascii="Times New Roman" w:hAnsi="Times New Roman"/>
          <w:b w:val="0"/>
          <w:bCs w:val="0"/>
          <w:szCs w:val="24"/>
          <w:lang w:val="en-US" w:eastAsia="zh-CN"/>
        </w:rPr>
        <w:t>12</w:t>
      </w:r>
    </w:p>
    <w:p w14:paraId="60CEB89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_Toc30841 </w:instrText>
      </w:r>
      <w:r>
        <w:rPr>
          <w:rFonts w:ascii="Times New Roman" w:hAnsi="Times New Roman"/>
          <w:b w:val="0"/>
          <w:bCs w:val="0"/>
          <w:szCs w:val="24"/>
        </w:rPr>
        <w:fldChar w:fldCharType="separate"/>
      </w:r>
      <w:r>
        <w:rPr>
          <w:rFonts w:hint="eastAsia" w:ascii="Times New Roman" w:hAnsi="Times New Roman"/>
          <w:b w:val="0"/>
          <w:bCs w:val="0"/>
          <w:szCs w:val="28"/>
        </w:rPr>
        <w:t>10</w:t>
      </w:r>
      <w:r>
        <w:rPr>
          <w:rFonts w:ascii="Times New Roman" w:hAnsi="Times New Roman"/>
          <w:b w:val="0"/>
          <w:bCs w:val="0"/>
          <w:szCs w:val="28"/>
          <w:lang w:val="zh-CN"/>
        </w:rPr>
        <w:t>.投标有效期</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2</w:t>
      </w:r>
    </w:p>
    <w:p w14:paraId="01AAC16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_Toc20615 </w:instrText>
      </w:r>
      <w:r>
        <w:rPr>
          <w:rFonts w:ascii="Times New Roman" w:hAnsi="Times New Roman"/>
          <w:b w:val="0"/>
          <w:bCs w:val="0"/>
          <w:szCs w:val="24"/>
        </w:rPr>
        <w:fldChar w:fldCharType="separate"/>
      </w:r>
      <w:r>
        <w:rPr>
          <w:rFonts w:hint="eastAsia" w:ascii="Times New Roman" w:hAnsi="Times New Roman"/>
          <w:b w:val="0"/>
          <w:bCs w:val="0"/>
          <w:szCs w:val="28"/>
          <w:lang w:val="zh-CN"/>
        </w:rPr>
        <w:t>11</w:t>
      </w:r>
      <w:r>
        <w:rPr>
          <w:rFonts w:ascii="Times New Roman" w:hAnsi="Times New Roman"/>
          <w:b w:val="0"/>
          <w:bCs w:val="0"/>
          <w:szCs w:val="28"/>
          <w:lang w:val="zh-CN"/>
        </w:rPr>
        <w:t>.投标文件构成</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2</w:t>
      </w:r>
    </w:p>
    <w:p w14:paraId="5179894E">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_Toc4862 </w:instrText>
      </w:r>
      <w:r>
        <w:rPr>
          <w:rFonts w:ascii="Times New Roman" w:hAnsi="Times New Roman"/>
          <w:b w:val="0"/>
          <w:bCs w:val="0"/>
          <w:szCs w:val="24"/>
        </w:rPr>
        <w:fldChar w:fldCharType="separate"/>
      </w:r>
      <w:r>
        <w:rPr>
          <w:rFonts w:hint="eastAsia" w:ascii="宋体" w:hAnsi="宋体" w:cs="宋体"/>
          <w:b w:val="0"/>
          <w:bCs w:val="0"/>
          <w:szCs w:val="28"/>
          <w:lang w:val="zh-CN"/>
        </w:rPr>
        <w:t>12.投标文件的编制要求</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2</w:t>
      </w:r>
    </w:p>
    <w:p w14:paraId="4BF886E7">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_Toc2154 </w:instrText>
      </w:r>
      <w:r>
        <w:rPr>
          <w:rFonts w:ascii="Times New Roman" w:hAnsi="Times New Roman"/>
          <w:b w:val="0"/>
          <w:bCs w:val="0"/>
          <w:szCs w:val="24"/>
        </w:rPr>
        <w:fldChar w:fldCharType="separate"/>
      </w:r>
      <w:r>
        <w:rPr>
          <w:rFonts w:hint="eastAsia" w:ascii="宋体" w:hAnsi="宋体" w:cs="宋体"/>
          <w:b w:val="0"/>
          <w:bCs w:val="0"/>
          <w:lang w:val="zh-CN"/>
        </w:rPr>
        <w:t>四、投标文件的提交</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3</w:t>
      </w:r>
    </w:p>
    <w:p w14:paraId="57283B10">
      <w:pPr>
        <w:pStyle w:val="22"/>
        <w:tabs>
          <w:tab w:val="right" w:leader="dot" w:pos="9026"/>
        </w:tabs>
        <w:spacing w:line="240" w:lineRule="auto"/>
        <w:rPr>
          <w:rFonts w:hint="default"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_Toc23456 </w:instrText>
      </w:r>
      <w:r>
        <w:rPr>
          <w:rFonts w:ascii="Times New Roman" w:hAnsi="Times New Roman"/>
          <w:b w:val="0"/>
          <w:bCs w:val="0"/>
          <w:szCs w:val="24"/>
        </w:rPr>
        <w:fldChar w:fldCharType="separate"/>
      </w:r>
      <w:r>
        <w:rPr>
          <w:rFonts w:hint="eastAsia" w:ascii="宋体" w:hAnsi="宋体" w:cs="宋体"/>
          <w:b w:val="0"/>
          <w:bCs w:val="0"/>
          <w:szCs w:val="28"/>
          <w:lang w:val="zh-CN"/>
        </w:rPr>
        <w:t>13.提交投标文件的时间、地点、方式</w:t>
      </w:r>
      <w:r>
        <w:rPr>
          <w:b w:val="0"/>
          <w:bCs w:val="0"/>
        </w:rPr>
        <w:tab/>
      </w:r>
      <w:r>
        <w:rPr>
          <w:rFonts w:ascii="Times New Roman" w:hAnsi="Times New Roman"/>
          <w:b w:val="0"/>
          <w:bCs w:val="0"/>
          <w:szCs w:val="24"/>
        </w:rPr>
        <w:fldChar w:fldCharType="end"/>
      </w:r>
      <w:r>
        <w:rPr>
          <w:rFonts w:hint="eastAsia" w:ascii="Times New Roman" w:hAnsi="Times New Roman"/>
          <w:b w:val="0"/>
          <w:bCs w:val="0"/>
          <w:szCs w:val="24"/>
          <w:lang w:val="en-US" w:eastAsia="zh-CN"/>
        </w:rPr>
        <w:t>13</w:t>
      </w:r>
    </w:p>
    <w:p w14:paraId="1251A38E">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_Toc18877 </w:instrText>
      </w:r>
      <w:r>
        <w:rPr>
          <w:rFonts w:ascii="Times New Roman" w:hAnsi="Times New Roman"/>
          <w:b w:val="0"/>
          <w:bCs w:val="0"/>
          <w:szCs w:val="24"/>
        </w:rPr>
        <w:fldChar w:fldCharType="separate"/>
      </w:r>
      <w:r>
        <w:rPr>
          <w:rFonts w:hint="eastAsia" w:ascii="宋体" w:hAnsi="宋体" w:cs="宋体"/>
          <w:b w:val="0"/>
          <w:bCs w:val="0"/>
          <w:szCs w:val="28"/>
          <w:lang w:val="zh-CN"/>
        </w:rPr>
        <w:t>14.投标文件的补充、修改或者撤回</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3</w:t>
      </w:r>
    </w:p>
    <w:p w14:paraId="3D52FE02">
      <w:pPr>
        <w:pStyle w:val="22"/>
        <w:tabs>
          <w:tab w:val="right" w:leader="dot" w:pos="9026"/>
        </w:tabs>
        <w:spacing w:line="240" w:lineRule="auto"/>
        <w:rPr>
          <w:rFonts w:hint="eastAsia" w:ascii="Times New Roman" w:hAnsi="Times New Roman"/>
          <w:b w:val="0"/>
          <w:bCs w:val="0"/>
          <w:szCs w:val="24"/>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_Toc408 </w:instrText>
      </w:r>
      <w:r>
        <w:rPr>
          <w:rFonts w:ascii="Times New Roman" w:hAnsi="Times New Roman"/>
          <w:b w:val="0"/>
          <w:bCs w:val="0"/>
          <w:szCs w:val="24"/>
        </w:rPr>
        <w:fldChar w:fldCharType="separate"/>
      </w:r>
      <w:r>
        <w:rPr>
          <w:rFonts w:hint="eastAsia" w:ascii="宋体" w:hAnsi="宋体" w:cs="宋体"/>
          <w:b w:val="0"/>
          <w:bCs w:val="0"/>
          <w:lang w:val="zh-CN"/>
        </w:rPr>
        <w:t>五、开标</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4</w:t>
      </w:r>
    </w:p>
    <w:p w14:paraId="4E7304C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_Toc26403 </w:instrText>
      </w:r>
      <w:r>
        <w:rPr>
          <w:rFonts w:ascii="Times New Roman" w:hAnsi="Times New Roman"/>
          <w:b w:val="0"/>
          <w:bCs w:val="0"/>
          <w:szCs w:val="24"/>
        </w:rPr>
        <w:fldChar w:fldCharType="separate"/>
      </w:r>
      <w:r>
        <w:rPr>
          <w:rFonts w:hint="eastAsia" w:ascii="宋体" w:hAnsi="宋体" w:cs="宋体"/>
          <w:b w:val="0"/>
          <w:bCs w:val="0"/>
          <w:szCs w:val="28"/>
          <w:lang w:val="zh-CN"/>
        </w:rPr>
        <w:t>15.开标</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4</w:t>
      </w:r>
    </w:p>
    <w:p w14:paraId="0C5E8C0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_Toc5149 </w:instrText>
      </w:r>
      <w:r>
        <w:rPr>
          <w:rFonts w:ascii="Times New Roman" w:hAnsi="Times New Roman"/>
          <w:b w:val="0"/>
          <w:bCs w:val="0"/>
          <w:szCs w:val="24"/>
        </w:rPr>
        <w:fldChar w:fldCharType="separate"/>
      </w:r>
      <w:r>
        <w:rPr>
          <w:rFonts w:hint="eastAsia" w:ascii="宋体" w:hAnsi="宋体" w:cs="宋体"/>
          <w:b w:val="0"/>
          <w:bCs w:val="0"/>
          <w:kern w:val="0"/>
          <w:szCs w:val="36"/>
        </w:rPr>
        <w:t>六、资格</w:t>
      </w:r>
      <w:r>
        <w:rPr>
          <w:rFonts w:hint="eastAsia" w:ascii="宋体" w:hAnsi="宋体" w:cs="宋体"/>
          <w:b w:val="0"/>
          <w:bCs w:val="0"/>
          <w:lang w:val="zh-CN"/>
        </w:rPr>
        <w:t>审查</w:t>
      </w:r>
      <w:r>
        <w:rPr>
          <w:rFonts w:hint="eastAsia" w:ascii="宋体" w:hAnsi="宋体" w:cs="宋体"/>
          <w:b w:val="0"/>
          <w:bCs w:val="0"/>
          <w:kern w:val="0"/>
          <w:szCs w:val="36"/>
        </w:rPr>
        <w:t>程序</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22BE5D48">
      <w:pPr>
        <w:pStyle w:val="22"/>
        <w:tabs>
          <w:tab w:val="right" w:leader="dot" w:pos="9026"/>
        </w:tabs>
        <w:spacing w:line="240" w:lineRule="auto"/>
        <w:rPr>
          <w:b w:val="0"/>
          <w:bCs w:val="0"/>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_Toc9614 </w:instrText>
      </w:r>
      <w:r>
        <w:rPr>
          <w:rFonts w:ascii="Times New Roman" w:hAnsi="Times New Roman"/>
          <w:b w:val="0"/>
          <w:bCs w:val="0"/>
          <w:szCs w:val="24"/>
        </w:rPr>
        <w:fldChar w:fldCharType="separate"/>
      </w:r>
      <w:r>
        <w:rPr>
          <w:rFonts w:hint="eastAsia" w:ascii="宋体" w:hAnsi="宋体" w:cs="宋体"/>
          <w:b w:val="0"/>
          <w:bCs w:val="0"/>
          <w:szCs w:val="28"/>
        </w:rPr>
        <w:t>16.资格审查</w:t>
      </w:r>
      <w:r>
        <w:rPr>
          <w:b w:val="0"/>
          <w:bCs w:val="0"/>
        </w:rPr>
        <w:tab/>
      </w:r>
      <w:r>
        <w:rPr>
          <w:b w:val="0"/>
          <w:bCs w:val="0"/>
        </w:rPr>
        <w:fldChar w:fldCharType="begin"/>
      </w:r>
      <w:r>
        <w:rPr>
          <w:b w:val="0"/>
          <w:bCs w:val="0"/>
        </w:rPr>
        <w:instrText xml:space="preserve"> PAGEREF _Toc9614 \h </w:instrText>
      </w:r>
      <w:r>
        <w:rPr>
          <w:b w:val="0"/>
          <w:bCs w:val="0"/>
        </w:rPr>
        <w:fldChar w:fldCharType="separate"/>
      </w:r>
      <w:r>
        <w:rPr>
          <w:b w:val="0"/>
          <w:bCs w:val="0"/>
        </w:rPr>
        <w:t>15</w:t>
      </w:r>
      <w:r>
        <w:rPr>
          <w:b w:val="0"/>
          <w:bCs w:val="0"/>
        </w:rPr>
        <w:fldChar w:fldCharType="end"/>
      </w:r>
      <w:r>
        <w:rPr>
          <w:rFonts w:ascii="Times New Roman" w:hAnsi="Times New Roman"/>
          <w:b w:val="0"/>
          <w:bCs w:val="0"/>
          <w:szCs w:val="24"/>
        </w:rPr>
        <w:fldChar w:fldCharType="end"/>
      </w:r>
    </w:p>
    <w:p w14:paraId="0A71A4F2">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_Toc21643 </w:instrText>
      </w:r>
      <w:r>
        <w:rPr>
          <w:rFonts w:ascii="Times New Roman" w:hAnsi="Times New Roman"/>
          <w:b w:val="0"/>
          <w:bCs w:val="0"/>
          <w:szCs w:val="24"/>
        </w:rPr>
        <w:fldChar w:fldCharType="separate"/>
      </w:r>
      <w:r>
        <w:rPr>
          <w:rFonts w:hint="eastAsia" w:ascii="宋体" w:hAnsi="宋体" w:cs="宋体"/>
          <w:b w:val="0"/>
          <w:bCs w:val="0"/>
          <w:lang w:val="zh-CN"/>
        </w:rPr>
        <w:t>七、评审程序及方法</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1BB6DF3C">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_Toc22616 </w:instrText>
      </w:r>
      <w:r>
        <w:rPr>
          <w:rFonts w:ascii="Times New Roman" w:hAnsi="Times New Roman"/>
          <w:b w:val="0"/>
          <w:bCs w:val="0"/>
          <w:szCs w:val="24"/>
        </w:rPr>
        <w:fldChar w:fldCharType="separate"/>
      </w:r>
      <w:r>
        <w:rPr>
          <w:rFonts w:hint="eastAsia" w:ascii="宋体" w:hAnsi="宋体" w:cs="宋体"/>
          <w:b w:val="0"/>
          <w:bCs w:val="0"/>
          <w:szCs w:val="28"/>
          <w:lang w:val="zh-CN"/>
        </w:rPr>
        <w:t>17.评标委员会</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77329450">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_Toc10901 </w:instrText>
      </w:r>
      <w:r>
        <w:rPr>
          <w:rFonts w:ascii="Times New Roman" w:hAnsi="Times New Roman"/>
          <w:b w:val="0"/>
          <w:bCs w:val="0"/>
          <w:szCs w:val="24"/>
        </w:rPr>
        <w:fldChar w:fldCharType="separate"/>
      </w:r>
      <w:r>
        <w:rPr>
          <w:rFonts w:hint="eastAsia" w:ascii="宋体" w:hAnsi="宋体" w:cs="宋体"/>
          <w:b w:val="0"/>
          <w:bCs w:val="0"/>
          <w:szCs w:val="28"/>
          <w:lang w:val="zh-CN"/>
        </w:rPr>
        <w:t>18.评审工作程序</w:t>
      </w:r>
      <w:r>
        <w:rPr>
          <w:b w:val="0"/>
          <w:bCs w:val="0"/>
        </w:rPr>
        <w:tab/>
      </w:r>
      <w:r>
        <w:rPr>
          <w:rFonts w:hint="eastAsia"/>
          <w:b w:val="0"/>
          <w:bCs w:val="0"/>
          <w:lang w:val="en-US" w:eastAsia="zh-CN"/>
        </w:rPr>
        <w:t>1</w:t>
      </w:r>
      <w:r>
        <w:rPr>
          <w:rFonts w:ascii="Times New Roman" w:hAnsi="Times New Roman"/>
          <w:b w:val="0"/>
          <w:bCs w:val="0"/>
          <w:szCs w:val="24"/>
        </w:rPr>
        <w:fldChar w:fldCharType="end"/>
      </w:r>
      <w:r>
        <w:rPr>
          <w:rFonts w:hint="eastAsia" w:ascii="Times New Roman" w:hAnsi="Times New Roman"/>
          <w:b w:val="0"/>
          <w:bCs w:val="0"/>
          <w:szCs w:val="24"/>
          <w:lang w:val="en-US" w:eastAsia="zh-CN"/>
        </w:rPr>
        <w:t>8</w:t>
      </w:r>
    </w:p>
    <w:p w14:paraId="0AF44F9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_Toc11035 </w:instrText>
      </w:r>
      <w:r>
        <w:rPr>
          <w:rFonts w:ascii="Times New Roman" w:hAnsi="Times New Roman"/>
          <w:b w:val="0"/>
          <w:bCs w:val="0"/>
          <w:szCs w:val="24"/>
        </w:rPr>
        <w:fldChar w:fldCharType="separate"/>
      </w:r>
      <w:r>
        <w:rPr>
          <w:rFonts w:ascii="宋体" w:hAnsi="宋体" w:cs="宋体"/>
          <w:b w:val="0"/>
          <w:bCs w:val="0"/>
          <w:szCs w:val="28"/>
          <w:lang w:val="zh-CN"/>
        </w:rPr>
        <w:t>1</w:t>
      </w:r>
      <w:r>
        <w:rPr>
          <w:rFonts w:hint="eastAsia" w:ascii="宋体" w:hAnsi="宋体" w:cs="宋体"/>
          <w:b w:val="0"/>
          <w:bCs w:val="0"/>
          <w:szCs w:val="28"/>
          <w:lang w:val="zh-CN"/>
        </w:rPr>
        <w:t>9.评审方法和标准</w:t>
      </w:r>
      <w:r>
        <w:rPr>
          <w:b w:val="0"/>
          <w:bCs w:val="0"/>
        </w:rPr>
        <w:tab/>
      </w:r>
      <w:r>
        <w:rPr>
          <w:rFonts w:hint="eastAsia"/>
          <w:b w:val="0"/>
          <w:bCs w:val="0"/>
          <w:lang w:val="en-US" w:eastAsia="zh-CN"/>
        </w:rPr>
        <w:t>2</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6A1076A5">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_Toc21314 </w:instrText>
      </w:r>
      <w:r>
        <w:rPr>
          <w:rFonts w:ascii="Times New Roman" w:hAnsi="Times New Roman"/>
          <w:b w:val="0"/>
          <w:bCs w:val="0"/>
          <w:szCs w:val="24"/>
        </w:rPr>
        <w:fldChar w:fldCharType="separate"/>
      </w:r>
      <w:r>
        <w:rPr>
          <w:rFonts w:hint="eastAsia" w:ascii="宋体" w:hAnsi="宋体" w:cs="宋体"/>
          <w:b w:val="0"/>
          <w:bCs w:val="0"/>
        </w:rPr>
        <w:t>八</w:t>
      </w:r>
      <w:r>
        <w:rPr>
          <w:rFonts w:hint="eastAsia" w:ascii="宋体" w:hAnsi="宋体" w:cs="宋体"/>
          <w:b w:val="0"/>
          <w:bCs w:val="0"/>
          <w:lang w:val="zh-CN"/>
        </w:rPr>
        <w:t>、中标</w:t>
      </w:r>
      <w:r>
        <w:rPr>
          <w:b w:val="0"/>
          <w:bCs w:val="0"/>
        </w:rPr>
        <w:tab/>
      </w:r>
      <w:r>
        <w:rPr>
          <w:rFonts w:hint="eastAsia"/>
          <w:b w:val="0"/>
          <w:bCs w:val="0"/>
          <w:lang w:val="en-US" w:eastAsia="zh-CN"/>
        </w:rPr>
        <w:t>2</w:t>
      </w:r>
      <w:r>
        <w:rPr>
          <w:rFonts w:ascii="Times New Roman" w:hAnsi="Times New Roman"/>
          <w:b w:val="0"/>
          <w:bCs w:val="0"/>
          <w:szCs w:val="24"/>
        </w:rPr>
        <w:fldChar w:fldCharType="end"/>
      </w:r>
      <w:r>
        <w:rPr>
          <w:rFonts w:hint="eastAsia" w:ascii="Times New Roman" w:hAnsi="Times New Roman"/>
          <w:b w:val="0"/>
          <w:bCs w:val="0"/>
          <w:szCs w:val="24"/>
          <w:lang w:val="en-US" w:eastAsia="zh-CN"/>
        </w:rPr>
        <w:t>8</w:t>
      </w:r>
    </w:p>
    <w:p w14:paraId="1376175A">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_Toc28499 </w:instrText>
      </w:r>
      <w:r>
        <w:rPr>
          <w:rFonts w:ascii="Times New Roman" w:hAnsi="Times New Roman"/>
          <w:b w:val="0"/>
          <w:bCs w:val="0"/>
          <w:szCs w:val="24"/>
        </w:rPr>
        <w:fldChar w:fldCharType="separate"/>
      </w:r>
      <w:r>
        <w:rPr>
          <w:rFonts w:hint="eastAsia" w:ascii="宋体" w:hAnsi="宋体" w:cs="宋体"/>
          <w:b w:val="0"/>
          <w:bCs w:val="0"/>
          <w:szCs w:val="28"/>
          <w:lang w:val="zh-CN"/>
        </w:rPr>
        <w:t>20.推荐并确定中标人</w:t>
      </w:r>
      <w:r>
        <w:rPr>
          <w:b w:val="0"/>
          <w:bCs w:val="0"/>
        </w:rPr>
        <w:tab/>
      </w:r>
      <w:r>
        <w:rPr>
          <w:rFonts w:hint="eastAsia"/>
          <w:b w:val="0"/>
          <w:bCs w:val="0"/>
          <w:lang w:val="en-US" w:eastAsia="zh-CN"/>
        </w:rPr>
        <w:t>2</w:t>
      </w:r>
      <w:r>
        <w:rPr>
          <w:rFonts w:ascii="Times New Roman" w:hAnsi="Times New Roman"/>
          <w:b w:val="0"/>
          <w:bCs w:val="0"/>
          <w:szCs w:val="24"/>
        </w:rPr>
        <w:fldChar w:fldCharType="end"/>
      </w:r>
      <w:r>
        <w:rPr>
          <w:rFonts w:hint="eastAsia" w:ascii="Times New Roman" w:hAnsi="Times New Roman"/>
          <w:b w:val="0"/>
          <w:bCs w:val="0"/>
          <w:szCs w:val="24"/>
          <w:lang w:val="en-US" w:eastAsia="zh-CN"/>
        </w:rPr>
        <w:t>8</w:t>
      </w:r>
    </w:p>
    <w:p w14:paraId="319E6F8C">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_Toc26751 </w:instrText>
      </w:r>
      <w:r>
        <w:rPr>
          <w:rFonts w:ascii="Times New Roman" w:hAnsi="Times New Roman"/>
          <w:b w:val="0"/>
          <w:bCs w:val="0"/>
          <w:szCs w:val="24"/>
        </w:rPr>
        <w:fldChar w:fldCharType="separate"/>
      </w:r>
      <w:r>
        <w:rPr>
          <w:rFonts w:hint="eastAsia" w:ascii="宋体" w:hAnsi="宋体" w:cs="宋体"/>
          <w:b w:val="0"/>
          <w:bCs w:val="0"/>
          <w:szCs w:val="28"/>
          <w:lang w:val="zh-CN"/>
        </w:rPr>
        <w:t>21.中标通知</w:t>
      </w:r>
      <w:r>
        <w:rPr>
          <w:b w:val="0"/>
          <w:bCs w:val="0"/>
        </w:rPr>
        <w:tab/>
      </w:r>
      <w:r>
        <w:rPr>
          <w:rFonts w:hint="eastAsia"/>
          <w:b w:val="0"/>
          <w:bCs w:val="0"/>
          <w:lang w:val="en-US" w:eastAsia="zh-CN"/>
        </w:rPr>
        <w:t>2</w:t>
      </w:r>
      <w:r>
        <w:rPr>
          <w:rFonts w:ascii="Times New Roman" w:hAnsi="Times New Roman"/>
          <w:b w:val="0"/>
          <w:bCs w:val="0"/>
          <w:szCs w:val="24"/>
        </w:rPr>
        <w:fldChar w:fldCharType="end"/>
      </w:r>
      <w:r>
        <w:rPr>
          <w:rFonts w:hint="eastAsia" w:ascii="Times New Roman" w:hAnsi="Times New Roman"/>
          <w:b w:val="0"/>
          <w:bCs w:val="0"/>
          <w:szCs w:val="24"/>
          <w:lang w:val="en-US" w:eastAsia="zh-CN"/>
        </w:rPr>
        <w:t>9</w:t>
      </w:r>
    </w:p>
    <w:p w14:paraId="4D31B9C1">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_Toc13330 </w:instrText>
      </w:r>
      <w:r>
        <w:rPr>
          <w:rFonts w:ascii="Times New Roman" w:hAnsi="Times New Roman"/>
          <w:b w:val="0"/>
          <w:bCs w:val="0"/>
          <w:szCs w:val="24"/>
        </w:rPr>
        <w:fldChar w:fldCharType="separate"/>
      </w:r>
      <w:r>
        <w:rPr>
          <w:rFonts w:hint="eastAsia" w:ascii="宋体" w:hAnsi="宋体" w:cs="宋体"/>
          <w:b w:val="0"/>
          <w:bCs w:val="0"/>
        </w:rPr>
        <w:t>九</w:t>
      </w:r>
      <w:r>
        <w:rPr>
          <w:rFonts w:hint="eastAsia" w:ascii="宋体" w:hAnsi="宋体" w:cs="宋体"/>
          <w:b w:val="0"/>
          <w:bCs w:val="0"/>
          <w:lang w:val="zh-CN"/>
        </w:rPr>
        <w:t>、授予合同</w:t>
      </w:r>
      <w:r>
        <w:rPr>
          <w:b w:val="0"/>
          <w:bCs w:val="0"/>
        </w:rPr>
        <w:tab/>
      </w:r>
      <w:r>
        <w:rPr>
          <w:rFonts w:hint="eastAsia"/>
          <w:b w:val="0"/>
          <w:bCs w:val="0"/>
          <w:lang w:val="en-US" w:eastAsia="zh-CN"/>
        </w:rPr>
        <w:t>2</w:t>
      </w:r>
      <w:r>
        <w:rPr>
          <w:rFonts w:ascii="Times New Roman" w:hAnsi="Times New Roman"/>
          <w:b w:val="0"/>
          <w:bCs w:val="0"/>
          <w:szCs w:val="24"/>
        </w:rPr>
        <w:fldChar w:fldCharType="end"/>
      </w:r>
      <w:r>
        <w:rPr>
          <w:rFonts w:hint="eastAsia" w:ascii="Times New Roman" w:hAnsi="Times New Roman"/>
          <w:b w:val="0"/>
          <w:bCs w:val="0"/>
          <w:szCs w:val="24"/>
          <w:lang w:val="en-US" w:eastAsia="zh-CN"/>
        </w:rPr>
        <w:t>9</w:t>
      </w:r>
    </w:p>
    <w:p w14:paraId="1FA407CB">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_Toc3720 </w:instrText>
      </w:r>
      <w:r>
        <w:rPr>
          <w:rFonts w:ascii="Times New Roman" w:hAnsi="Times New Roman"/>
          <w:b w:val="0"/>
          <w:bCs w:val="0"/>
          <w:szCs w:val="24"/>
        </w:rPr>
        <w:fldChar w:fldCharType="separate"/>
      </w:r>
      <w:r>
        <w:rPr>
          <w:rFonts w:hint="eastAsia" w:ascii="宋体" w:hAnsi="宋体" w:cs="宋体"/>
          <w:b w:val="0"/>
          <w:bCs w:val="0"/>
          <w:szCs w:val="28"/>
          <w:lang w:val="zh-CN"/>
        </w:rPr>
        <w:t>22.签订合同</w:t>
      </w:r>
      <w:r>
        <w:rPr>
          <w:b w:val="0"/>
          <w:bCs w:val="0"/>
        </w:rPr>
        <w:tab/>
      </w:r>
      <w:r>
        <w:rPr>
          <w:rFonts w:hint="eastAsia"/>
          <w:b w:val="0"/>
          <w:bCs w:val="0"/>
          <w:lang w:val="en-US" w:eastAsia="zh-CN"/>
        </w:rPr>
        <w:t>3</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130336F2">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_Toc24650 </w:instrText>
      </w:r>
      <w:r>
        <w:rPr>
          <w:rFonts w:ascii="Times New Roman" w:hAnsi="Times New Roman"/>
          <w:b w:val="0"/>
          <w:bCs w:val="0"/>
          <w:szCs w:val="24"/>
        </w:rPr>
        <w:fldChar w:fldCharType="separate"/>
      </w:r>
      <w:r>
        <w:rPr>
          <w:rFonts w:hint="eastAsia" w:ascii="宋体" w:hAnsi="宋体" w:cs="宋体"/>
          <w:b w:val="0"/>
          <w:bCs w:val="0"/>
        </w:rPr>
        <w:t>十</w:t>
      </w:r>
      <w:r>
        <w:rPr>
          <w:rFonts w:hint="eastAsia" w:ascii="宋体" w:hAnsi="宋体" w:cs="宋体"/>
          <w:b w:val="0"/>
          <w:bCs w:val="0"/>
          <w:lang w:val="zh-CN"/>
        </w:rPr>
        <w:t>、招标代理费</w:t>
      </w:r>
      <w:r>
        <w:rPr>
          <w:b w:val="0"/>
          <w:bCs w:val="0"/>
        </w:rPr>
        <w:tab/>
      </w:r>
      <w:r>
        <w:rPr>
          <w:rFonts w:hint="eastAsia"/>
          <w:b w:val="0"/>
          <w:bCs w:val="0"/>
          <w:lang w:val="en-US" w:eastAsia="zh-CN"/>
        </w:rPr>
        <w:t>3</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1B82E07C">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_Toc15749 </w:instrText>
      </w:r>
      <w:r>
        <w:rPr>
          <w:rFonts w:ascii="Times New Roman" w:hAnsi="Times New Roman"/>
          <w:b w:val="0"/>
          <w:bCs w:val="0"/>
          <w:szCs w:val="24"/>
        </w:rPr>
        <w:fldChar w:fldCharType="separate"/>
      </w:r>
      <w:r>
        <w:rPr>
          <w:rFonts w:hint="eastAsia" w:ascii="宋体" w:hAnsi="宋体" w:cs="宋体"/>
          <w:b w:val="0"/>
          <w:bCs w:val="0"/>
          <w:lang w:val="zh-CN"/>
        </w:rPr>
        <w:t>十</w:t>
      </w:r>
      <w:r>
        <w:rPr>
          <w:rFonts w:hint="eastAsia" w:ascii="宋体" w:hAnsi="宋体" w:cs="宋体"/>
          <w:b w:val="0"/>
          <w:bCs w:val="0"/>
        </w:rPr>
        <w:t>一</w:t>
      </w:r>
      <w:r>
        <w:rPr>
          <w:rFonts w:hint="eastAsia" w:ascii="宋体" w:hAnsi="宋体" w:cs="宋体"/>
          <w:b w:val="0"/>
          <w:bCs w:val="0"/>
          <w:lang w:val="zh-CN"/>
        </w:rPr>
        <w:t>、其他</w:t>
      </w:r>
      <w:r>
        <w:rPr>
          <w:b w:val="0"/>
          <w:bCs w:val="0"/>
        </w:rPr>
        <w:tab/>
      </w:r>
      <w:r>
        <w:rPr>
          <w:rFonts w:hint="eastAsia"/>
          <w:b w:val="0"/>
          <w:bCs w:val="0"/>
          <w:lang w:val="en-US" w:eastAsia="zh-CN"/>
        </w:rPr>
        <w:t>3</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421E135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_Toc3198 </w:instrText>
      </w:r>
      <w:r>
        <w:rPr>
          <w:rFonts w:ascii="Times New Roman" w:hAnsi="Times New Roman"/>
          <w:b w:val="0"/>
          <w:bCs w:val="0"/>
          <w:szCs w:val="24"/>
        </w:rPr>
        <w:fldChar w:fldCharType="separate"/>
      </w:r>
      <w:r>
        <w:rPr>
          <w:rFonts w:ascii="Times New Roman" w:hAnsi="Times New Roman"/>
          <w:b w:val="0"/>
          <w:bCs w:val="0"/>
          <w:lang w:val="zh-CN"/>
        </w:rPr>
        <w:t>第三部分  青海省政府采购合同文本样式</w:t>
      </w:r>
      <w:r>
        <w:rPr>
          <w:b w:val="0"/>
          <w:bCs w:val="0"/>
        </w:rPr>
        <w:tab/>
      </w:r>
      <w:r>
        <w:rPr>
          <w:rFonts w:hint="eastAsia"/>
          <w:b w:val="0"/>
          <w:bCs w:val="0"/>
          <w:lang w:val="en-US" w:eastAsia="zh-CN"/>
        </w:rPr>
        <w:t>3</w:t>
      </w:r>
      <w:r>
        <w:rPr>
          <w:rFonts w:ascii="Times New Roman" w:hAnsi="Times New Roman"/>
          <w:b w:val="0"/>
          <w:bCs w:val="0"/>
          <w:szCs w:val="24"/>
        </w:rPr>
        <w:fldChar w:fldCharType="end"/>
      </w:r>
      <w:r>
        <w:rPr>
          <w:rFonts w:hint="eastAsia" w:ascii="Times New Roman" w:hAnsi="Times New Roman"/>
          <w:b w:val="0"/>
          <w:bCs w:val="0"/>
          <w:szCs w:val="24"/>
          <w:lang w:val="en-US" w:eastAsia="zh-CN"/>
        </w:rPr>
        <w:t>3</w:t>
      </w:r>
    </w:p>
    <w:p w14:paraId="0E6FFE6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_Toc4354 </w:instrText>
      </w:r>
      <w:r>
        <w:rPr>
          <w:rFonts w:ascii="Times New Roman" w:hAnsi="Times New Roman"/>
          <w:b w:val="0"/>
          <w:bCs w:val="0"/>
          <w:szCs w:val="24"/>
        </w:rPr>
        <w:fldChar w:fldCharType="separate"/>
      </w:r>
      <w:r>
        <w:rPr>
          <w:rFonts w:ascii="Times New Roman" w:hAnsi="Times New Roman"/>
          <w:b w:val="0"/>
          <w:bCs w:val="0"/>
          <w:lang w:val="zh-CN"/>
        </w:rPr>
        <w:t>第四部分  投标文件格式</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676C596A">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_Toc32470 </w:instrText>
      </w:r>
      <w:r>
        <w:rPr>
          <w:rFonts w:ascii="Times New Roman" w:hAnsi="Times New Roman"/>
          <w:b w:val="0"/>
          <w:bCs w:val="0"/>
          <w:szCs w:val="24"/>
        </w:rPr>
        <w:fldChar w:fldCharType="separate"/>
      </w:r>
      <w:r>
        <w:rPr>
          <w:rFonts w:ascii="Times New Roman" w:hAnsi="Times New Roman"/>
          <w:b w:val="0"/>
          <w:bCs w:val="0"/>
        </w:rPr>
        <w:t>投标文件封面（上册）</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5A785517">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_Toc5165 </w:instrText>
      </w:r>
      <w:r>
        <w:rPr>
          <w:rFonts w:ascii="Times New Roman" w:hAnsi="Times New Roman"/>
          <w:b w:val="0"/>
          <w:bCs w:val="0"/>
          <w:szCs w:val="24"/>
        </w:rPr>
        <w:fldChar w:fldCharType="separate"/>
      </w:r>
      <w:r>
        <w:rPr>
          <w:rFonts w:ascii="Times New Roman" w:hAnsi="Times New Roman"/>
          <w:b w:val="0"/>
          <w:bCs w:val="0"/>
        </w:rPr>
        <w:t>投标文件目录（上册）</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46075C75">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_Toc1252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1</w:t>
      </w:r>
      <w:r>
        <w:rPr>
          <w:rFonts w:ascii="Times New Roman" w:hAnsi="Times New Roman"/>
          <w:b w:val="0"/>
          <w:bCs w:val="0"/>
          <w:lang w:val="zh-CN"/>
        </w:rPr>
        <w:t>：投标函</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2</w:t>
      </w:r>
    </w:p>
    <w:p w14:paraId="4111D227">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_Toc30973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2</w:t>
      </w:r>
      <w:r>
        <w:rPr>
          <w:rFonts w:ascii="Times New Roman" w:hAnsi="Times New Roman"/>
          <w:b w:val="0"/>
          <w:bCs w:val="0"/>
          <w:lang w:val="zh-CN"/>
        </w:rPr>
        <w:t>：法定代表人证明书</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3</w:t>
      </w:r>
    </w:p>
    <w:p w14:paraId="05E4133D">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_Toc166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3</w:t>
      </w:r>
      <w:r>
        <w:rPr>
          <w:rFonts w:ascii="Times New Roman" w:hAnsi="Times New Roman"/>
          <w:b w:val="0"/>
          <w:bCs w:val="0"/>
          <w:lang w:val="zh-CN"/>
        </w:rPr>
        <w:t>：法定代表人授权书</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4</w:t>
      </w:r>
    </w:p>
    <w:p w14:paraId="3770EE3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_Toc22968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4</w:t>
      </w:r>
      <w:r>
        <w:rPr>
          <w:rFonts w:ascii="Times New Roman" w:hAnsi="Times New Roman"/>
          <w:b w:val="0"/>
          <w:bCs w:val="0"/>
          <w:lang w:val="zh-CN"/>
        </w:rPr>
        <w:t>：投标供应商承诺书</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4A52334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_Toc27275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5</w:t>
      </w:r>
      <w:r>
        <w:rPr>
          <w:rFonts w:ascii="Times New Roman" w:hAnsi="Times New Roman"/>
          <w:b w:val="0"/>
          <w:bCs w:val="0"/>
          <w:lang w:val="zh-CN"/>
        </w:rPr>
        <w:t>：投标供应商诚信承诺书</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6</w:t>
      </w:r>
    </w:p>
    <w:p w14:paraId="5A00766E">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_Toc24427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6</w:t>
      </w:r>
      <w:r>
        <w:rPr>
          <w:rFonts w:ascii="Times New Roman" w:hAnsi="Times New Roman"/>
          <w:b w:val="0"/>
          <w:bCs w:val="0"/>
          <w:lang w:val="zh-CN"/>
        </w:rPr>
        <w:t>：资格证明材料</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7</w:t>
      </w:r>
    </w:p>
    <w:p w14:paraId="4046CF3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_Toc22645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7</w:t>
      </w:r>
      <w:r>
        <w:rPr>
          <w:rFonts w:ascii="Times New Roman" w:hAnsi="Times New Roman"/>
          <w:b w:val="0"/>
          <w:bCs w:val="0"/>
          <w:lang w:val="zh-CN"/>
        </w:rPr>
        <w:t>：财务状况、缴纳税收和社会保障资金证明</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8</w:t>
      </w:r>
    </w:p>
    <w:p w14:paraId="3546015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_Toc15691 </w:instrText>
      </w:r>
      <w:r>
        <w:rPr>
          <w:rFonts w:ascii="Times New Roman" w:hAnsi="Times New Roman"/>
          <w:b w:val="0"/>
          <w:bCs w:val="0"/>
          <w:szCs w:val="24"/>
        </w:rPr>
        <w:fldChar w:fldCharType="separate"/>
      </w:r>
      <w:r>
        <w:rPr>
          <w:rFonts w:ascii="Times New Roman" w:hAnsi="Times New Roman"/>
          <w:b w:val="0"/>
          <w:bCs w:val="0"/>
          <w:lang w:val="zh-CN"/>
        </w:rPr>
        <w:t>格式</w:t>
      </w:r>
      <w:r>
        <w:rPr>
          <w:rFonts w:hint="eastAsia" w:ascii="Times New Roman" w:hAnsi="Times New Roman"/>
          <w:b w:val="0"/>
          <w:bCs w:val="0"/>
          <w:lang w:val="zh-CN"/>
        </w:rPr>
        <w:t>8</w:t>
      </w:r>
      <w:r>
        <w:rPr>
          <w:rFonts w:ascii="Times New Roman" w:hAnsi="Times New Roman"/>
          <w:b w:val="0"/>
          <w:bCs w:val="0"/>
          <w:lang w:val="zh-CN"/>
        </w:rPr>
        <w:t>：具备履行合同所必需的设备和专业技术能力证明</w:t>
      </w:r>
      <w:r>
        <w:rPr>
          <w:b w:val="0"/>
          <w:bCs w:val="0"/>
        </w:rPr>
        <w:tab/>
      </w:r>
      <w:r>
        <w:rPr>
          <w:rFonts w:hint="eastAsia"/>
          <w:b w:val="0"/>
          <w:bCs w:val="0"/>
          <w:lang w:val="en-US" w:eastAsia="zh-CN"/>
        </w:rPr>
        <w:t>5</w:t>
      </w:r>
      <w:r>
        <w:rPr>
          <w:rFonts w:ascii="Times New Roman" w:hAnsi="Times New Roman"/>
          <w:b w:val="0"/>
          <w:bCs w:val="0"/>
          <w:szCs w:val="24"/>
        </w:rPr>
        <w:fldChar w:fldCharType="end"/>
      </w:r>
      <w:r>
        <w:rPr>
          <w:rFonts w:hint="eastAsia" w:ascii="Times New Roman" w:hAnsi="Times New Roman"/>
          <w:b w:val="0"/>
          <w:bCs w:val="0"/>
          <w:szCs w:val="24"/>
          <w:lang w:val="en-US" w:eastAsia="zh-CN"/>
        </w:rPr>
        <w:t>9</w:t>
      </w:r>
    </w:p>
    <w:p w14:paraId="074E7884">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_Toc23067 </w:instrText>
      </w:r>
      <w:r>
        <w:rPr>
          <w:rFonts w:ascii="Times New Roman" w:hAnsi="Times New Roman"/>
          <w:b w:val="0"/>
          <w:bCs w:val="0"/>
          <w:szCs w:val="24"/>
        </w:rPr>
        <w:fldChar w:fldCharType="separate"/>
      </w:r>
      <w:r>
        <w:rPr>
          <w:rFonts w:ascii="Times New Roman" w:hAnsi="Times New Roman"/>
          <w:b w:val="0"/>
          <w:bCs w:val="0"/>
        </w:rPr>
        <w:t>格式</w:t>
      </w:r>
      <w:r>
        <w:rPr>
          <w:rFonts w:hint="eastAsia" w:ascii="Times New Roman" w:hAnsi="Times New Roman"/>
          <w:b w:val="0"/>
          <w:bCs w:val="0"/>
        </w:rPr>
        <w:t>9</w:t>
      </w:r>
      <w:r>
        <w:rPr>
          <w:rFonts w:ascii="Times New Roman" w:hAnsi="Times New Roman"/>
          <w:b w:val="0"/>
          <w:bCs w:val="0"/>
        </w:rPr>
        <w:t>：无重大违法记录声明</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43CF490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_Toc12327 </w:instrText>
      </w:r>
      <w:r>
        <w:rPr>
          <w:rFonts w:ascii="Times New Roman" w:hAnsi="Times New Roman"/>
          <w:b w:val="0"/>
          <w:bCs w:val="0"/>
          <w:szCs w:val="24"/>
        </w:rPr>
        <w:fldChar w:fldCharType="separate"/>
      </w:r>
      <w:r>
        <w:rPr>
          <w:b w:val="0"/>
          <w:bCs w:val="0"/>
          <w:lang w:val="zh-CN" w:eastAsia="zh-CN"/>
        </w:rPr>
        <w:t>投标文件封面（下册）</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1</w:t>
      </w:r>
    </w:p>
    <w:p w14:paraId="651B8895">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_Toc15673 </w:instrText>
      </w:r>
      <w:r>
        <w:rPr>
          <w:rFonts w:ascii="Times New Roman" w:hAnsi="Times New Roman"/>
          <w:b w:val="0"/>
          <w:bCs w:val="0"/>
          <w:szCs w:val="24"/>
        </w:rPr>
        <w:fldChar w:fldCharType="separate"/>
      </w:r>
      <w:r>
        <w:rPr>
          <w:rFonts w:ascii="Times New Roman" w:hAnsi="Times New Roman"/>
          <w:b w:val="0"/>
          <w:bCs w:val="0"/>
          <w:szCs w:val="30"/>
          <w:lang w:val="zh-CN"/>
        </w:rPr>
        <w:t>投标文件目录（下册）</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2</w:t>
      </w:r>
    </w:p>
    <w:p w14:paraId="6E62D9B8">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_Toc27212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0</w:t>
      </w:r>
      <w:r>
        <w:rPr>
          <w:rFonts w:hint="eastAsia" w:ascii="Times New Roman" w:hAnsi="Times New Roman"/>
          <w:b w:val="0"/>
          <w:bCs w:val="0"/>
          <w:szCs w:val="30"/>
        </w:rPr>
        <w:t>：</w:t>
      </w:r>
      <w:r>
        <w:rPr>
          <w:rFonts w:ascii="Times New Roman" w:hAnsi="Times New Roman"/>
          <w:b w:val="0"/>
          <w:bCs w:val="0"/>
          <w:szCs w:val="30"/>
          <w:lang w:val="zh-CN"/>
        </w:rPr>
        <w:t>评分对照表</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3</w:t>
      </w:r>
    </w:p>
    <w:p w14:paraId="7A75A712">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_Toc8298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1</w:t>
      </w:r>
      <w:r>
        <w:rPr>
          <w:rFonts w:hint="eastAsia" w:ascii="Times New Roman" w:hAnsi="Times New Roman"/>
          <w:b w:val="0"/>
          <w:bCs w:val="0"/>
          <w:szCs w:val="30"/>
        </w:rPr>
        <w:t>：</w:t>
      </w:r>
      <w:r>
        <w:rPr>
          <w:rFonts w:ascii="Times New Roman" w:hAnsi="Times New Roman"/>
          <w:b w:val="0"/>
          <w:bCs w:val="0"/>
          <w:szCs w:val="30"/>
          <w:lang w:val="zh-CN"/>
        </w:rPr>
        <w:t>开标一览表（报价表）</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4</w:t>
      </w:r>
    </w:p>
    <w:p w14:paraId="21087C18">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_Toc22401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2</w:t>
      </w:r>
      <w:r>
        <w:rPr>
          <w:rFonts w:hint="eastAsia" w:ascii="Times New Roman" w:hAnsi="Times New Roman"/>
          <w:b w:val="0"/>
          <w:bCs w:val="0"/>
          <w:szCs w:val="30"/>
        </w:rPr>
        <w:t>：</w:t>
      </w:r>
      <w:r>
        <w:rPr>
          <w:rFonts w:ascii="Times New Roman" w:hAnsi="Times New Roman"/>
          <w:b w:val="0"/>
          <w:bCs w:val="0"/>
          <w:szCs w:val="30"/>
          <w:lang w:val="zh-CN"/>
        </w:rPr>
        <w:t>分项报价表</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2EBBC3E7">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_Toc12702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3</w:t>
      </w:r>
      <w:r>
        <w:rPr>
          <w:rFonts w:hint="eastAsia" w:ascii="Times New Roman" w:hAnsi="Times New Roman"/>
          <w:b w:val="0"/>
          <w:bCs w:val="0"/>
          <w:szCs w:val="30"/>
        </w:rPr>
        <w:t>：</w:t>
      </w:r>
      <w:r>
        <w:rPr>
          <w:rFonts w:ascii="Times New Roman" w:hAnsi="Times New Roman"/>
          <w:b w:val="0"/>
          <w:bCs w:val="0"/>
          <w:szCs w:val="30"/>
          <w:lang w:val="zh-CN"/>
        </w:rPr>
        <w:t>技术规格响应表</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6</w:t>
      </w:r>
    </w:p>
    <w:p w14:paraId="5D4C125A">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_Toc16911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4</w:t>
      </w:r>
      <w:r>
        <w:rPr>
          <w:rFonts w:hint="eastAsia" w:ascii="Times New Roman" w:hAnsi="Times New Roman"/>
          <w:b w:val="0"/>
          <w:bCs w:val="0"/>
          <w:szCs w:val="30"/>
        </w:rPr>
        <w:t>：</w:t>
      </w:r>
      <w:r>
        <w:rPr>
          <w:rFonts w:ascii="Times New Roman" w:hAnsi="Times New Roman"/>
          <w:b w:val="0"/>
          <w:bCs w:val="0"/>
          <w:szCs w:val="30"/>
          <w:lang w:val="zh-CN"/>
        </w:rPr>
        <w:t>投标产品相关资料</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7</w:t>
      </w:r>
    </w:p>
    <w:p w14:paraId="593CC433">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_Toc7570 </w:instrText>
      </w:r>
      <w:r>
        <w:rPr>
          <w:rFonts w:ascii="Times New Roman" w:hAnsi="Times New Roman"/>
          <w:b w:val="0"/>
          <w:bCs w:val="0"/>
          <w:szCs w:val="24"/>
        </w:rPr>
        <w:fldChar w:fldCharType="separate"/>
      </w:r>
      <w:r>
        <w:rPr>
          <w:rFonts w:hint="eastAsia" w:ascii="Times New Roman" w:hAnsi="Times New Roman"/>
          <w:b w:val="0"/>
          <w:bCs w:val="0"/>
          <w:szCs w:val="30"/>
        </w:rPr>
        <w:t>格式1</w:t>
      </w:r>
      <w:r>
        <w:rPr>
          <w:rFonts w:hint="eastAsia" w:ascii="Times New Roman" w:hAnsi="Times New Roman"/>
          <w:b w:val="0"/>
          <w:bCs w:val="0"/>
          <w:szCs w:val="30"/>
          <w:lang w:val="en-US" w:eastAsia="zh-CN"/>
        </w:rPr>
        <w:t>5</w:t>
      </w:r>
      <w:r>
        <w:rPr>
          <w:rFonts w:hint="eastAsia" w:ascii="Times New Roman" w:hAnsi="Times New Roman"/>
          <w:b w:val="0"/>
          <w:bCs w:val="0"/>
          <w:szCs w:val="30"/>
        </w:rPr>
        <w:t>：</w:t>
      </w:r>
      <w:r>
        <w:rPr>
          <w:rFonts w:ascii="Times New Roman" w:hAnsi="Times New Roman"/>
          <w:b w:val="0"/>
          <w:bCs w:val="0"/>
          <w:lang w:val="zh-CN"/>
        </w:rPr>
        <w:t>投标供应商类似业绩证明材料</w:t>
      </w:r>
      <w:r>
        <w:rPr>
          <w:b w:val="0"/>
          <w:bCs w:val="0"/>
        </w:rPr>
        <w:tab/>
      </w:r>
      <w:r>
        <w:rPr>
          <w:rFonts w:hint="eastAsia"/>
          <w:b w:val="0"/>
          <w:bCs w:val="0"/>
          <w:lang w:val="en-US" w:eastAsia="zh-CN"/>
        </w:rPr>
        <w:t>6</w:t>
      </w:r>
      <w:r>
        <w:rPr>
          <w:rFonts w:ascii="Times New Roman" w:hAnsi="Times New Roman"/>
          <w:b w:val="0"/>
          <w:bCs w:val="0"/>
          <w:szCs w:val="24"/>
        </w:rPr>
        <w:fldChar w:fldCharType="end"/>
      </w:r>
      <w:r>
        <w:rPr>
          <w:rFonts w:hint="eastAsia" w:ascii="Times New Roman" w:hAnsi="Times New Roman"/>
          <w:b w:val="0"/>
          <w:bCs w:val="0"/>
          <w:szCs w:val="24"/>
          <w:lang w:val="en-US" w:eastAsia="zh-CN"/>
        </w:rPr>
        <w:t>8</w:t>
      </w:r>
    </w:p>
    <w:p w14:paraId="5DCC3E22">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_Toc26870 </w:instrText>
      </w:r>
      <w:r>
        <w:rPr>
          <w:rFonts w:ascii="Times New Roman" w:hAnsi="Times New Roman"/>
          <w:b w:val="0"/>
          <w:bCs w:val="0"/>
          <w:szCs w:val="24"/>
        </w:rPr>
        <w:fldChar w:fldCharType="separate"/>
      </w:r>
      <w:r>
        <w:rPr>
          <w:rFonts w:hint="eastAsia" w:ascii="Times New Roman" w:hAnsi="Times New Roman"/>
          <w:b w:val="0"/>
          <w:bCs w:val="0"/>
          <w:lang w:val="zh-CN"/>
        </w:rPr>
        <w:t>格式1</w:t>
      </w:r>
      <w:r>
        <w:rPr>
          <w:rFonts w:hint="eastAsia" w:ascii="Times New Roman" w:hAnsi="Times New Roman"/>
          <w:b w:val="0"/>
          <w:bCs w:val="0"/>
          <w:lang w:val="en-US" w:eastAsia="zh-CN"/>
        </w:rPr>
        <w:t>6</w:t>
      </w:r>
      <w:r>
        <w:rPr>
          <w:rFonts w:hint="eastAsia" w:ascii="Times New Roman" w:hAnsi="Times New Roman"/>
          <w:b w:val="0"/>
          <w:bCs w:val="0"/>
          <w:lang w:val="zh-CN"/>
        </w:rPr>
        <w:t>：享受政府采购政策优惠的证明资料</w:t>
      </w:r>
      <w:r>
        <w:rPr>
          <w:b w:val="0"/>
          <w:bCs w:val="0"/>
        </w:rPr>
        <w:tab/>
      </w:r>
      <w:r>
        <w:rPr>
          <w:rFonts w:hint="eastAsia"/>
          <w:b w:val="0"/>
          <w:bCs w:val="0"/>
          <w:lang w:val="en-US" w:eastAsia="zh-CN"/>
        </w:rPr>
        <w:t>7</w:t>
      </w:r>
      <w:r>
        <w:rPr>
          <w:rFonts w:ascii="Times New Roman" w:hAnsi="Times New Roman"/>
          <w:b w:val="0"/>
          <w:bCs w:val="0"/>
          <w:szCs w:val="24"/>
        </w:rPr>
        <w:fldChar w:fldCharType="end"/>
      </w:r>
      <w:r>
        <w:rPr>
          <w:rFonts w:hint="eastAsia" w:ascii="Times New Roman" w:hAnsi="Times New Roman"/>
          <w:b w:val="0"/>
          <w:bCs w:val="0"/>
          <w:szCs w:val="24"/>
          <w:lang w:val="en-US" w:eastAsia="zh-CN"/>
        </w:rPr>
        <w:t>0</w:t>
      </w:r>
    </w:p>
    <w:p w14:paraId="4D45FEBF">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_Toc22706 </w:instrText>
      </w:r>
      <w:r>
        <w:rPr>
          <w:rFonts w:ascii="Times New Roman" w:hAnsi="Times New Roman"/>
          <w:b w:val="0"/>
          <w:bCs w:val="0"/>
          <w:szCs w:val="24"/>
        </w:rPr>
        <w:fldChar w:fldCharType="separate"/>
      </w:r>
      <w:r>
        <w:rPr>
          <w:rFonts w:ascii="Times New Roman" w:hAnsi="Times New Roman"/>
          <w:b w:val="0"/>
          <w:bCs w:val="0"/>
          <w:lang w:val="zh-CN"/>
        </w:rPr>
        <w:t>第五部分  采购项目要求及技术参数</w:t>
      </w:r>
      <w:r>
        <w:rPr>
          <w:b w:val="0"/>
          <w:bCs w:val="0"/>
        </w:rPr>
        <w:tab/>
      </w:r>
      <w:r>
        <w:rPr>
          <w:rFonts w:hint="eastAsia"/>
          <w:b w:val="0"/>
          <w:bCs w:val="0"/>
          <w:lang w:val="en-US" w:eastAsia="zh-CN"/>
        </w:rPr>
        <w:t>7</w:t>
      </w:r>
      <w:r>
        <w:rPr>
          <w:rFonts w:ascii="Times New Roman" w:hAnsi="Times New Roman"/>
          <w:b w:val="0"/>
          <w:bCs w:val="0"/>
          <w:szCs w:val="24"/>
        </w:rPr>
        <w:fldChar w:fldCharType="end"/>
      </w:r>
      <w:r>
        <w:rPr>
          <w:rFonts w:hint="eastAsia" w:ascii="Times New Roman" w:hAnsi="Times New Roman"/>
          <w:b w:val="0"/>
          <w:bCs w:val="0"/>
          <w:szCs w:val="24"/>
          <w:lang w:val="en-US" w:eastAsia="zh-CN"/>
        </w:rPr>
        <w:t>4</w:t>
      </w:r>
    </w:p>
    <w:p w14:paraId="271D63BB">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_Toc24135 </w:instrText>
      </w:r>
      <w:r>
        <w:rPr>
          <w:rFonts w:ascii="Times New Roman" w:hAnsi="Times New Roman"/>
          <w:b w:val="0"/>
          <w:bCs w:val="0"/>
          <w:szCs w:val="24"/>
        </w:rPr>
        <w:fldChar w:fldCharType="separate"/>
      </w:r>
      <w:r>
        <w:rPr>
          <w:rFonts w:ascii="Times New Roman" w:hAnsi="Times New Roman"/>
          <w:b w:val="0"/>
          <w:bCs w:val="0"/>
          <w:lang w:val="zh-CN"/>
        </w:rPr>
        <w:t>一、投标要求</w:t>
      </w:r>
      <w:r>
        <w:rPr>
          <w:b w:val="0"/>
          <w:bCs w:val="0"/>
        </w:rPr>
        <w:tab/>
      </w:r>
      <w:r>
        <w:rPr>
          <w:rFonts w:hint="eastAsia"/>
          <w:b w:val="0"/>
          <w:bCs w:val="0"/>
          <w:lang w:val="en-US" w:eastAsia="zh-CN"/>
        </w:rPr>
        <w:t>7</w:t>
      </w:r>
      <w:r>
        <w:rPr>
          <w:rFonts w:ascii="Times New Roman" w:hAnsi="Times New Roman"/>
          <w:b w:val="0"/>
          <w:bCs w:val="0"/>
          <w:szCs w:val="24"/>
        </w:rPr>
        <w:fldChar w:fldCharType="end"/>
      </w:r>
      <w:r>
        <w:rPr>
          <w:rFonts w:hint="eastAsia" w:ascii="Times New Roman" w:hAnsi="Times New Roman"/>
          <w:b w:val="0"/>
          <w:bCs w:val="0"/>
          <w:szCs w:val="24"/>
          <w:lang w:val="en-US" w:eastAsia="zh-CN"/>
        </w:rPr>
        <w:t>5</w:t>
      </w:r>
    </w:p>
    <w:p w14:paraId="7E4F0466">
      <w:pPr>
        <w:pStyle w:val="22"/>
        <w:tabs>
          <w:tab w:val="right" w:leader="dot" w:pos="9026"/>
        </w:tabs>
        <w:spacing w:line="240" w:lineRule="auto"/>
        <w:rPr>
          <w:rFonts w:hint="eastAsia" w:eastAsia="宋体"/>
          <w:b w:val="0"/>
          <w:bCs w:val="0"/>
          <w:lang w:val="en-US" w:eastAsia="zh-CN"/>
        </w:rPr>
      </w:pPr>
      <w:r>
        <w:rPr>
          <w:rFonts w:ascii="Times New Roman" w:hAnsi="Times New Roman"/>
          <w:b w:val="0"/>
          <w:bCs w:val="0"/>
          <w:szCs w:val="24"/>
        </w:rPr>
        <w:fldChar w:fldCharType="begin"/>
      </w:r>
      <w:r>
        <w:rPr>
          <w:rFonts w:ascii="Times New Roman" w:hAnsi="Times New Roman"/>
          <w:b w:val="0"/>
          <w:bCs w:val="0"/>
          <w:szCs w:val="24"/>
        </w:rPr>
        <w:instrText xml:space="preserve"> HYPERLINK \l _Toc9023 </w:instrText>
      </w:r>
      <w:r>
        <w:rPr>
          <w:rFonts w:ascii="Times New Roman" w:hAnsi="Times New Roman"/>
          <w:b w:val="0"/>
          <w:bCs w:val="0"/>
          <w:szCs w:val="24"/>
        </w:rPr>
        <w:fldChar w:fldCharType="separate"/>
      </w:r>
      <w:r>
        <w:rPr>
          <w:rFonts w:ascii="Times New Roman" w:hAnsi="Times New Roman"/>
          <w:b w:val="0"/>
          <w:bCs w:val="0"/>
          <w:lang w:val="zh-CN"/>
        </w:rPr>
        <w:t>二、项目概况及技术参数</w:t>
      </w:r>
      <w:r>
        <w:rPr>
          <w:b w:val="0"/>
          <w:bCs w:val="0"/>
        </w:rPr>
        <w:tab/>
      </w:r>
      <w:r>
        <w:rPr>
          <w:rFonts w:hint="eastAsia"/>
          <w:b w:val="0"/>
          <w:bCs w:val="0"/>
          <w:lang w:val="en-US" w:eastAsia="zh-CN"/>
        </w:rPr>
        <w:t>7</w:t>
      </w:r>
      <w:r>
        <w:rPr>
          <w:rFonts w:ascii="Times New Roman" w:hAnsi="Times New Roman"/>
          <w:b w:val="0"/>
          <w:bCs w:val="0"/>
          <w:szCs w:val="24"/>
        </w:rPr>
        <w:fldChar w:fldCharType="end"/>
      </w:r>
      <w:r>
        <w:rPr>
          <w:rFonts w:hint="eastAsia" w:ascii="Times New Roman" w:hAnsi="Times New Roman"/>
          <w:b w:val="0"/>
          <w:bCs w:val="0"/>
          <w:szCs w:val="24"/>
          <w:lang w:val="en-US" w:eastAsia="zh-CN"/>
        </w:rPr>
        <w:t>7</w:t>
      </w:r>
    </w:p>
    <w:p w14:paraId="3378DA9B">
      <w:pPr>
        <w:pStyle w:val="27"/>
        <w:spacing w:before="0" w:after="0" w:line="240" w:lineRule="auto"/>
        <w:rPr>
          <w:rFonts w:hint="eastAsia" w:ascii="宋体" w:hAnsi="宋体" w:eastAsia="宋体" w:cs="宋体"/>
          <w:b w:val="0"/>
          <w:bCs w:val="0"/>
          <w:color w:val="000000"/>
          <w:sz w:val="24"/>
          <w:szCs w:val="24"/>
        </w:rPr>
      </w:pPr>
      <w:r>
        <w:rPr>
          <w:rFonts w:ascii="Times New Roman" w:hAnsi="Times New Roman"/>
          <w:b w:val="0"/>
          <w:bCs w:val="0"/>
          <w:szCs w:val="24"/>
        </w:rPr>
        <w:fldChar w:fldCharType="end"/>
      </w:r>
    </w:p>
    <w:p w14:paraId="5D56D199">
      <w:pPr>
        <w:pStyle w:val="27"/>
        <w:spacing w:before="0" w:after="0" w:line="240" w:lineRule="auto"/>
        <w:rPr>
          <w:rFonts w:hint="eastAsia" w:ascii="宋体" w:hAnsi="宋体" w:eastAsia="宋体" w:cs="宋体"/>
          <w:bCs/>
          <w:color w:val="000000"/>
          <w:sz w:val="24"/>
          <w:szCs w:val="24"/>
        </w:rPr>
      </w:pPr>
    </w:p>
    <w:p w14:paraId="2372BC46">
      <w:pPr>
        <w:pStyle w:val="27"/>
        <w:spacing w:before="0" w:after="0" w:line="240" w:lineRule="auto"/>
        <w:rPr>
          <w:rFonts w:hint="eastAsia" w:ascii="宋体" w:hAnsi="宋体" w:eastAsia="宋体" w:cs="宋体"/>
          <w:bCs/>
          <w:color w:val="000000"/>
          <w:sz w:val="24"/>
          <w:szCs w:val="24"/>
        </w:rPr>
      </w:pPr>
    </w:p>
    <w:p w14:paraId="0E7C24DD">
      <w:pPr>
        <w:pStyle w:val="27"/>
        <w:spacing w:before="0" w:after="0" w:line="240" w:lineRule="auto"/>
        <w:rPr>
          <w:rFonts w:hint="eastAsia" w:ascii="宋体" w:hAnsi="宋体" w:eastAsia="宋体" w:cs="宋体"/>
          <w:bCs/>
          <w:color w:val="000000"/>
          <w:sz w:val="24"/>
          <w:szCs w:val="24"/>
        </w:rPr>
      </w:pPr>
    </w:p>
    <w:p w14:paraId="5E87D6AF">
      <w:pPr>
        <w:pStyle w:val="27"/>
        <w:spacing w:before="0" w:after="0" w:line="240" w:lineRule="auto"/>
        <w:rPr>
          <w:rFonts w:hint="eastAsia" w:ascii="宋体" w:hAnsi="宋体" w:eastAsia="宋体" w:cs="宋体"/>
          <w:bCs/>
          <w:color w:val="000000"/>
          <w:sz w:val="24"/>
          <w:szCs w:val="24"/>
        </w:rPr>
      </w:pPr>
    </w:p>
    <w:p w14:paraId="5C34B8B0">
      <w:pPr>
        <w:pStyle w:val="27"/>
        <w:spacing w:before="0" w:after="0" w:line="240" w:lineRule="auto"/>
        <w:rPr>
          <w:rFonts w:hint="eastAsia" w:ascii="宋体" w:hAnsi="宋体" w:eastAsia="宋体" w:cs="宋体"/>
          <w:bCs/>
          <w:color w:val="000000"/>
          <w:sz w:val="24"/>
          <w:szCs w:val="24"/>
        </w:rPr>
      </w:pPr>
    </w:p>
    <w:p w14:paraId="4149B458">
      <w:pPr>
        <w:pStyle w:val="27"/>
        <w:spacing w:before="0" w:after="0" w:line="240" w:lineRule="auto"/>
        <w:rPr>
          <w:rFonts w:hint="eastAsia" w:ascii="宋体" w:hAnsi="宋体" w:eastAsia="宋体" w:cs="宋体"/>
          <w:bCs/>
          <w:color w:val="000000"/>
          <w:sz w:val="24"/>
          <w:szCs w:val="24"/>
        </w:rPr>
      </w:pPr>
    </w:p>
    <w:p w14:paraId="7CCEA0D7">
      <w:pPr>
        <w:pStyle w:val="27"/>
        <w:spacing w:before="0" w:after="0" w:line="240" w:lineRule="auto"/>
        <w:rPr>
          <w:rFonts w:hint="eastAsia" w:ascii="宋体" w:hAnsi="宋体" w:eastAsia="宋体" w:cs="宋体"/>
          <w:bCs/>
          <w:color w:val="000000"/>
          <w:sz w:val="24"/>
          <w:szCs w:val="24"/>
        </w:rPr>
      </w:pPr>
    </w:p>
    <w:p w14:paraId="43E70305">
      <w:pPr>
        <w:pStyle w:val="27"/>
        <w:spacing w:before="0" w:after="0" w:line="240" w:lineRule="auto"/>
        <w:rPr>
          <w:rFonts w:hint="eastAsia" w:ascii="宋体" w:hAnsi="宋体" w:eastAsia="宋体" w:cs="宋体"/>
          <w:bCs/>
          <w:color w:val="000000"/>
          <w:sz w:val="24"/>
          <w:szCs w:val="24"/>
        </w:rPr>
      </w:pPr>
    </w:p>
    <w:p w14:paraId="1DDE0E1E">
      <w:pPr>
        <w:pStyle w:val="27"/>
        <w:spacing w:before="0" w:after="0" w:line="240" w:lineRule="auto"/>
        <w:rPr>
          <w:rFonts w:hint="eastAsia" w:ascii="宋体" w:hAnsi="宋体" w:eastAsia="宋体" w:cs="宋体"/>
          <w:bCs/>
          <w:color w:val="000000"/>
          <w:sz w:val="24"/>
          <w:szCs w:val="24"/>
        </w:rPr>
      </w:pPr>
    </w:p>
    <w:p w14:paraId="0E9E49C5">
      <w:pPr>
        <w:pStyle w:val="27"/>
        <w:spacing w:before="0" w:after="0" w:line="240" w:lineRule="auto"/>
        <w:rPr>
          <w:rFonts w:hint="eastAsia" w:ascii="宋体" w:hAnsi="宋体" w:eastAsia="宋体" w:cs="宋体"/>
          <w:bCs/>
          <w:color w:val="000000"/>
          <w:sz w:val="24"/>
          <w:szCs w:val="24"/>
        </w:rPr>
      </w:pPr>
    </w:p>
    <w:p w14:paraId="725BAF2D">
      <w:pPr>
        <w:pStyle w:val="27"/>
        <w:spacing w:before="0" w:after="0" w:line="240" w:lineRule="auto"/>
        <w:rPr>
          <w:rFonts w:hint="eastAsia" w:ascii="宋体" w:hAnsi="宋体" w:eastAsia="宋体" w:cs="宋体"/>
          <w:bCs/>
          <w:color w:val="000000"/>
          <w:sz w:val="24"/>
          <w:szCs w:val="24"/>
        </w:rPr>
      </w:pPr>
    </w:p>
    <w:p w14:paraId="7D0315AB">
      <w:pPr>
        <w:pStyle w:val="27"/>
        <w:spacing w:before="0" w:after="0" w:line="240" w:lineRule="auto"/>
        <w:rPr>
          <w:rFonts w:hint="eastAsia" w:ascii="宋体" w:hAnsi="宋体" w:eastAsia="宋体" w:cs="宋体"/>
          <w:bCs/>
          <w:color w:val="000000"/>
          <w:sz w:val="24"/>
          <w:szCs w:val="24"/>
        </w:rPr>
      </w:pPr>
    </w:p>
    <w:p w14:paraId="2879E813">
      <w:pPr>
        <w:pStyle w:val="27"/>
        <w:spacing w:before="0" w:after="0" w:line="240" w:lineRule="auto"/>
        <w:rPr>
          <w:rFonts w:hint="eastAsia" w:ascii="宋体" w:hAnsi="宋体" w:eastAsia="宋体" w:cs="宋体"/>
          <w:bCs/>
          <w:color w:val="000000"/>
          <w:sz w:val="24"/>
          <w:szCs w:val="24"/>
        </w:rPr>
      </w:pPr>
    </w:p>
    <w:p w14:paraId="5BF29ECA">
      <w:pPr>
        <w:pStyle w:val="27"/>
        <w:spacing w:before="0" w:after="0" w:line="240" w:lineRule="auto"/>
        <w:rPr>
          <w:rFonts w:hint="eastAsia" w:ascii="宋体" w:hAnsi="宋体" w:eastAsia="宋体" w:cs="宋体"/>
          <w:bCs/>
          <w:color w:val="000000"/>
          <w:sz w:val="24"/>
          <w:szCs w:val="24"/>
        </w:rPr>
      </w:pPr>
    </w:p>
    <w:p w14:paraId="3B352824">
      <w:pPr>
        <w:pStyle w:val="27"/>
        <w:spacing w:before="0" w:after="0" w:line="240" w:lineRule="auto"/>
        <w:rPr>
          <w:rFonts w:hint="eastAsia" w:ascii="宋体" w:hAnsi="宋体" w:eastAsia="宋体" w:cs="宋体"/>
          <w:bCs/>
          <w:color w:val="000000"/>
          <w:sz w:val="24"/>
          <w:szCs w:val="24"/>
        </w:rPr>
      </w:pPr>
    </w:p>
    <w:p w14:paraId="49D1F6D2">
      <w:pPr>
        <w:pStyle w:val="27"/>
        <w:spacing w:before="0" w:after="0" w:line="240" w:lineRule="auto"/>
        <w:rPr>
          <w:rFonts w:hint="eastAsia" w:ascii="宋体" w:hAnsi="宋体" w:eastAsia="宋体" w:cs="宋体"/>
          <w:bCs/>
          <w:color w:val="000000"/>
          <w:sz w:val="24"/>
          <w:szCs w:val="24"/>
        </w:rPr>
      </w:pPr>
    </w:p>
    <w:p w14:paraId="219F711B">
      <w:pPr>
        <w:pStyle w:val="27"/>
        <w:spacing w:before="0" w:after="0" w:line="240" w:lineRule="auto"/>
        <w:ind w:firstLine="2166" w:firstLineChars="600"/>
        <w:jc w:val="both"/>
        <w:rPr>
          <w:rFonts w:hint="eastAsia" w:ascii="宋体" w:hAnsi="宋体" w:cs="宋体"/>
          <w:szCs w:val="36"/>
          <w:lang w:val="zh-CN"/>
        </w:rPr>
      </w:pPr>
    </w:p>
    <w:p w14:paraId="7759A9C6">
      <w:pPr>
        <w:pStyle w:val="27"/>
        <w:spacing w:before="0" w:after="0" w:line="240" w:lineRule="auto"/>
        <w:ind w:firstLine="2166" w:firstLineChars="600"/>
        <w:jc w:val="both"/>
        <w:rPr>
          <w:rFonts w:ascii="宋体" w:cs="宋体"/>
          <w:szCs w:val="36"/>
          <w:lang w:val="zh-CN"/>
        </w:rPr>
      </w:pPr>
      <w:r>
        <w:rPr>
          <w:rFonts w:hint="eastAsia" w:ascii="宋体" w:hAnsi="宋体" w:cs="宋体"/>
          <w:szCs w:val="36"/>
          <w:lang w:val="zh-CN"/>
        </w:rPr>
        <w:t>第一部分</w:t>
      </w:r>
      <w:r>
        <w:rPr>
          <w:rFonts w:hint="eastAsia" w:ascii="宋体" w:hAnsi="宋体" w:cs="宋体"/>
          <w:szCs w:val="36"/>
          <w:lang w:val="en-US" w:eastAsia="zh-CN"/>
        </w:rPr>
        <w:t xml:space="preserve"> </w:t>
      </w:r>
      <w:r>
        <w:rPr>
          <w:rFonts w:hint="eastAsia" w:ascii="宋体" w:hAnsi="宋体" w:cs="宋体"/>
          <w:szCs w:val="36"/>
          <w:lang w:val="zh-CN"/>
        </w:rPr>
        <w:t>投标邀请</w:t>
      </w:r>
      <w:bookmarkEnd w:id="1"/>
    </w:p>
    <w:p w14:paraId="56190C87">
      <w:pPr>
        <w:autoSpaceDE w:val="0"/>
        <w:autoSpaceDN w:val="0"/>
        <w:adjustRightInd w:val="0"/>
        <w:spacing w:line="240" w:lineRule="auto"/>
        <w:ind w:firstLine="482" w:firstLineChars="200"/>
        <w:jc w:val="left"/>
        <w:rPr>
          <w:rFonts w:ascii="宋体" w:cs="宋体"/>
          <w:kern w:val="0"/>
          <w:lang w:val="zh-CN"/>
        </w:rPr>
      </w:pPr>
      <w:bookmarkStart w:id="2" w:name="_Toc428180535"/>
      <w:r>
        <w:rPr>
          <w:rFonts w:hint="eastAsia" w:cs="宋体"/>
          <w:color w:val="000000"/>
          <w:sz w:val="24"/>
          <w:lang w:val="zh-CN"/>
        </w:rPr>
        <w:t>湟源县政府采购服务中心</w:t>
      </w:r>
      <w:r>
        <w:rPr>
          <w:rFonts w:hint="eastAsia" w:ascii="宋体" w:hAnsi="宋体" w:cs="宋体"/>
          <w:kern w:val="0"/>
          <w:lang w:val="zh-CN"/>
        </w:rPr>
        <w:t>（以下均简称</w:t>
      </w:r>
      <w:r>
        <w:rPr>
          <w:rFonts w:hint="eastAsia" w:cs="宋体"/>
          <w:color w:val="000000"/>
          <w:sz w:val="24"/>
          <w:lang w:val="zh-CN"/>
        </w:rPr>
        <w:t>以下均简称“集中采购机构”</w:t>
      </w:r>
      <w:r>
        <w:rPr>
          <w:rFonts w:hint="eastAsia" w:ascii="宋体" w:hAnsi="宋体" w:cs="宋体"/>
          <w:kern w:val="0"/>
          <w:lang w:val="zh-CN"/>
        </w:rPr>
        <w:t>）受</w:t>
      </w:r>
      <w:r>
        <w:rPr>
          <w:rFonts w:hint="eastAsia" w:ascii="宋体" w:hAnsi="宋体" w:cs="宋体"/>
          <w:kern w:val="0"/>
          <w:lang w:val="en-US" w:eastAsia="zh-CN"/>
        </w:rPr>
        <w:t>湟源县</w:t>
      </w:r>
      <w:r>
        <w:rPr>
          <w:rFonts w:hint="eastAsia" w:ascii="宋体" w:hAnsi="宋体" w:cs="宋体"/>
          <w:kern w:val="0"/>
          <w:lang w:val="zh-CN"/>
        </w:rPr>
        <w:t>人民政府办公室（以下均简称“采购人”）委托</w:t>
      </w:r>
      <w:r>
        <w:rPr>
          <w:rFonts w:ascii="宋体" w:cs="宋体"/>
          <w:kern w:val="0"/>
          <w:lang w:val="zh-CN"/>
        </w:rPr>
        <w:t>,</w:t>
      </w:r>
      <w:r>
        <w:rPr>
          <w:rFonts w:hint="eastAsia" w:ascii="宋体" w:hAnsi="宋体" w:cs="宋体"/>
          <w:kern w:val="0"/>
          <w:lang w:val="zh-CN"/>
        </w:rPr>
        <w:t>拟对</w:t>
      </w:r>
      <w:r>
        <w:rPr>
          <w:rFonts w:hint="eastAsia" w:ascii="宋体" w:hAnsi="宋体"/>
          <w:lang w:val="en-US" w:eastAsia="zh-CN"/>
        </w:rPr>
        <w:t>湟源县交通管理系统升级改造服务项目</w:t>
      </w:r>
      <w:r>
        <w:rPr>
          <w:rFonts w:hint="eastAsia" w:ascii="宋体" w:hAnsi="宋体" w:cs="宋体"/>
          <w:kern w:val="0"/>
          <w:lang w:val="zh-CN"/>
        </w:rPr>
        <w:t>进行国内公开招标，现予以公告，欢迎潜在的供应商参加本次政府采购活动。</w:t>
      </w:r>
    </w:p>
    <w:tbl>
      <w:tblPr>
        <w:tblStyle w:val="31"/>
        <w:tblW w:w="833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816"/>
        <w:gridCol w:w="6516"/>
      </w:tblGrid>
      <w:tr w14:paraId="581D8C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7CF85FF9">
            <w:pPr>
              <w:widowControl/>
              <w:adjustRightInd w:val="0"/>
              <w:snapToGrid w:val="0"/>
              <w:spacing w:line="24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采购项目编号</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57EF97CE">
            <w:pPr>
              <w:widowControl/>
              <w:adjustRightInd w:val="0"/>
              <w:snapToGrid w:val="0"/>
              <w:spacing w:line="24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源政采</w:t>
            </w:r>
            <w:r>
              <w:rPr>
                <w:rFonts w:hint="eastAsia" w:ascii="宋体" w:hAnsi="宋体" w:cs="宋体"/>
                <w:color w:val="000000" w:themeColor="text1"/>
                <w:sz w:val="24"/>
                <w:szCs w:val="24"/>
                <w:lang w:val="en-US" w:eastAsia="zh-CN"/>
                <w14:textFill>
                  <w14:solidFill>
                    <w14:schemeClr w14:val="tx1"/>
                  </w14:solidFill>
                </w14:textFill>
              </w:rPr>
              <w:t>公招</w:t>
            </w:r>
            <w:r>
              <w:rPr>
                <w:rFonts w:hint="eastAsia" w:ascii="宋体" w:hAnsi="宋体" w:cs="宋体"/>
                <w:color w:val="000000" w:themeColor="text1"/>
                <w:sz w:val="24"/>
                <w:szCs w:val="24"/>
                <w:lang w:val="zh-CN"/>
                <w14:textFill>
                  <w14:solidFill>
                    <w14:schemeClr w14:val="tx1"/>
                  </w14:solidFill>
                </w14:textFill>
              </w:rPr>
              <w:t>（货物）2025-00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号</w:t>
            </w:r>
          </w:p>
        </w:tc>
      </w:tr>
      <w:tr w14:paraId="0E82EB8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1FD603DD">
            <w:pPr>
              <w:widowControl/>
              <w:adjustRightInd w:val="0"/>
              <w:snapToGrid w:val="0"/>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采购项目名称</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4EBF4E13">
            <w:pPr>
              <w:widowControl/>
              <w:adjustRightInd w:val="0"/>
              <w:snapToGrid w:val="0"/>
              <w:spacing w:line="240" w:lineRule="auto"/>
              <w:jc w:val="left"/>
              <w:textAlignment w:val="baseline"/>
              <w:rPr>
                <w:rFonts w:hint="eastAsia" w:ascii="宋体" w:hAnsi="宋体" w:eastAsia="宋体" w:cs="宋体"/>
                <w:color w:val="000000"/>
                <w:sz w:val="24"/>
                <w:szCs w:val="24"/>
                <w:lang w:eastAsia="zh-CN"/>
              </w:rPr>
            </w:pPr>
            <w:r>
              <w:rPr>
                <w:rFonts w:hint="eastAsia" w:ascii="宋体" w:hAnsi="宋体" w:cs="宋体"/>
                <w:color w:val="000000" w:themeColor="text1"/>
                <w:sz w:val="24"/>
                <w:szCs w:val="24"/>
                <w:lang w:val="zh-CN" w:eastAsia="zh-CN"/>
                <w14:textFill>
                  <w14:solidFill>
                    <w14:schemeClr w14:val="tx1"/>
                  </w14:solidFill>
                </w14:textFill>
              </w:rPr>
              <w:t>湟源县交通管理系统升级改造服务项目</w:t>
            </w:r>
          </w:p>
        </w:tc>
      </w:tr>
      <w:tr w14:paraId="048B7E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100554C2">
            <w:pPr>
              <w:widowControl/>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采购方式</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289DE73D">
            <w:pPr>
              <w:widowControl/>
              <w:adjustRightInd w:val="0"/>
              <w:snapToGrid w:val="0"/>
              <w:spacing w:line="24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公开招标</w:t>
            </w:r>
          </w:p>
        </w:tc>
      </w:tr>
      <w:tr w14:paraId="2B8C9F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562DE421">
            <w:pPr>
              <w:widowControl/>
              <w:adjustRightInd w:val="0"/>
              <w:snapToGrid w:val="0"/>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采购预算控制额度</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4CF06827">
            <w:pPr>
              <w:widowControl/>
              <w:adjustRightInd w:val="0"/>
              <w:snapToGrid w:val="0"/>
              <w:spacing w:line="24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人民币</w:t>
            </w:r>
            <w:r>
              <w:rPr>
                <w:rFonts w:hint="eastAsia" w:ascii="宋体" w:hAnsi="宋体" w:cs="宋体"/>
                <w:color w:val="000000"/>
                <w:sz w:val="24"/>
                <w:szCs w:val="24"/>
                <w:lang w:eastAsia="zh-CN"/>
              </w:rPr>
              <w:t>1362</w:t>
            </w:r>
            <w:r>
              <w:rPr>
                <w:rFonts w:hint="eastAsia" w:ascii="宋体" w:hAnsi="宋体" w:cs="宋体"/>
                <w:color w:val="000000"/>
                <w:sz w:val="24"/>
                <w:szCs w:val="24"/>
                <w:lang w:val="en-US" w:eastAsia="zh-CN"/>
              </w:rPr>
              <w:t>万</w:t>
            </w:r>
            <w:r>
              <w:rPr>
                <w:rFonts w:hint="eastAsia" w:ascii="宋体" w:hAnsi="宋体" w:eastAsia="宋体" w:cs="宋体"/>
                <w:color w:val="000000"/>
                <w:sz w:val="24"/>
                <w:szCs w:val="24"/>
                <w:lang w:eastAsia="zh-CN"/>
              </w:rPr>
              <w:t>元</w:t>
            </w:r>
          </w:p>
        </w:tc>
      </w:tr>
      <w:tr w14:paraId="6F9D790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1"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33EC56A4">
            <w:pPr>
              <w:widowControl/>
              <w:adjustRightInd w:val="0"/>
              <w:snapToGrid w:val="0"/>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项目分包个数</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77F6E81B">
            <w:pPr>
              <w:widowControl/>
              <w:adjustRightInd w:val="0"/>
              <w:snapToGrid w:val="0"/>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个包</w:t>
            </w:r>
          </w:p>
        </w:tc>
      </w:tr>
      <w:tr w14:paraId="1582E0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1506CBFC">
            <w:pPr>
              <w:widowControl/>
              <w:adjustRightInd w:val="0"/>
              <w:snapToGrid w:val="0"/>
              <w:spacing w:line="24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各包要求</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5E502E10">
            <w:pPr>
              <w:widowControl/>
              <w:adjustRightInd w:val="0"/>
              <w:snapToGrid w:val="0"/>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具体内容详见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公开招标</w:t>
            </w:r>
            <w:r>
              <w:rPr>
                <w:rFonts w:hint="eastAsia" w:asciiTheme="minorEastAsia" w:hAnsiTheme="minorEastAsia" w:eastAsiaTheme="minorEastAsia" w:cstheme="minorEastAsia"/>
                <w:color w:val="auto"/>
                <w:sz w:val="24"/>
                <w:szCs w:val="24"/>
                <w:highlight w:val="none"/>
              </w:rPr>
              <w:t>文件》</w:t>
            </w:r>
          </w:p>
        </w:tc>
      </w:tr>
      <w:tr w14:paraId="4F949CB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364ED202">
            <w:pPr>
              <w:widowControl/>
              <w:adjustRightInd w:val="0"/>
              <w:snapToGrid w:val="0"/>
              <w:spacing w:line="240" w:lineRule="auto"/>
              <w:rPr>
                <w:rFonts w:hint="eastAsia" w:ascii="宋体" w:hAnsi="宋体" w:eastAsia="宋体" w:cs="宋体"/>
                <w:color w:val="000000"/>
                <w:sz w:val="24"/>
                <w:szCs w:val="24"/>
              </w:rPr>
            </w:pPr>
            <w:r>
              <w:rPr>
                <w:rFonts w:hint="eastAsia" w:asciiTheme="minorEastAsia" w:hAnsiTheme="minorEastAsia" w:eastAsiaTheme="minorEastAsia" w:cstheme="minorEastAsia"/>
                <w:color w:val="auto"/>
                <w:kern w:val="0"/>
                <w:sz w:val="24"/>
                <w:szCs w:val="24"/>
                <w:highlight w:val="none"/>
                <w:lang w:val="zh-CN"/>
              </w:rPr>
              <w:t>各包</w:t>
            </w:r>
            <w:r>
              <w:rPr>
                <w:rFonts w:hint="eastAsia" w:ascii="宋体" w:hAnsi="宋体" w:eastAsia="宋体" w:cs="宋体"/>
                <w:color w:val="000000"/>
                <w:sz w:val="24"/>
                <w:szCs w:val="24"/>
                <w:highlight w:val="none"/>
              </w:rPr>
              <w:t>供</w:t>
            </w:r>
            <w:r>
              <w:rPr>
                <w:rFonts w:hint="eastAsia" w:ascii="宋体" w:hAnsi="宋体" w:eastAsia="宋体" w:cs="宋体"/>
                <w:color w:val="000000"/>
                <w:sz w:val="24"/>
                <w:szCs w:val="24"/>
              </w:rPr>
              <w:t>应商资格条件</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0751846D">
            <w:pPr>
              <w:spacing w:line="24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zh-CN" w:eastAsia="zh-CN"/>
              </w:rPr>
              <w:t>符合《中华人民共和国政府采购法》第22条的条件；</w:t>
            </w:r>
          </w:p>
          <w:p w14:paraId="7C11F680">
            <w:pPr>
              <w:spacing w:line="240" w:lineRule="auto"/>
              <w:ind w:firstLine="241"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具有独立承担民事责任的能力</w:t>
            </w:r>
            <w:r>
              <w:rPr>
                <w:rFonts w:hint="eastAsia" w:ascii="宋体" w:hAnsi="宋体" w:eastAsia="宋体" w:cs="宋体"/>
                <w:color w:val="000000"/>
                <w:sz w:val="24"/>
                <w:szCs w:val="24"/>
                <w:lang w:val="zh-CN" w:eastAsia="zh-CN"/>
              </w:rPr>
              <w:t>；</w:t>
            </w:r>
          </w:p>
          <w:p w14:paraId="5732B549">
            <w:pPr>
              <w:spacing w:line="240" w:lineRule="auto"/>
              <w:ind w:firstLine="241" w:firstLineChars="100"/>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具有良好的商业信誉和健全的财务会计制度</w:t>
            </w:r>
            <w:r>
              <w:rPr>
                <w:rFonts w:hint="eastAsia" w:ascii="宋体" w:hAnsi="宋体" w:eastAsia="宋体" w:cs="宋体"/>
                <w:color w:val="000000"/>
                <w:sz w:val="24"/>
                <w:szCs w:val="24"/>
                <w:lang w:val="zh-CN" w:eastAsia="zh-CN"/>
              </w:rPr>
              <w:t>；</w:t>
            </w:r>
          </w:p>
          <w:p w14:paraId="6CCD510E">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具有履行合同所必需的设备和专业技术能力</w:t>
            </w:r>
            <w:r>
              <w:rPr>
                <w:rFonts w:hint="eastAsia" w:ascii="宋体" w:hAnsi="宋体" w:eastAsia="宋体" w:cs="宋体"/>
                <w:color w:val="000000"/>
                <w:sz w:val="24"/>
                <w:szCs w:val="24"/>
                <w:lang w:val="zh-CN" w:eastAsia="zh-CN"/>
              </w:rPr>
              <w:t>；</w:t>
            </w:r>
          </w:p>
          <w:p w14:paraId="6B61303A">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有依法缴纳税收和社会保障金的良好记录</w:t>
            </w:r>
            <w:r>
              <w:rPr>
                <w:rFonts w:hint="eastAsia" w:ascii="宋体" w:hAnsi="宋体" w:eastAsia="宋体" w:cs="宋体"/>
                <w:color w:val="000000"/>
                <w:sz w:val="24"/>
                <w:szCs w:val="24"/>
                <w:lang w:val="zh-CN" w:eastAsia="zh-CN"/>
              </w:rPr>
              <w:t>；</w:t>
            </w:r>
          </w:p>
          <w:p w14:paraId="4BF5DC57">
            <w:pPr>
              <w:keepNext w:val="0"/>
              <w:keepLines w:val="0"/>
              <w:pageBreakBefore w:val="0"/>
              <w:widowControl w:val="0"/>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参加政府采购活动前三年内，在经营活动中没有重大违法记录</w:t>
            </w:r>
            <w:r>
              <w:rPr>
                <w:rFonts w:hint="eastAsia" w:ascii="宋体" w:hAnsi="宋体" w:eastAsia="宋体" w:cs="宋体"/>
                <w:color w:val="000000"/>
                <w:sz w:val="24"/>
                <w:szCs w:val="24"/>
                <w:lang w:val="zh-CN" w:eastAsia="zh-CN"/>
              </w:rPr>
              <w:t>；</w:t>
            </w:r>
          </w:p>
          <w:p w14:paraId="6DA5FBF9">
            <w:pPr>
              <w:pStyle w:val="11"/>
              <w:keepNext w:val="0"/>
              <w:keepLines w:val="0"/>
              <w:pageBreakBefore w:val="0"/>
              <w:widowControl w:val="0"/>
              <w:kinsoku/>
              <w:wordWrap/>
              <w:overflowPunct/>
              <w:topLinePunct w:val="0"/>
              <w:autoSpaceDE/>
              <w:autoSpaceDN/>
              <w:bidi w:val="0"/>
              <w:adjustRightInd/>
              <w:snapToGrid/>
              <w:spacing w:after="0" w:line="240" w:lineRule="auto"/>
              <w:ind w:firstLine="241" w:firstLineChars="1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法律、行政法规规定的其他条件。</w:t>
            </w:r>
          </w:p>
          <w:p w14:paraId="7A3EE7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2.单位负责人为同一人或者存在直接控股、管理关系的不同</w:t>
            </w:r>
            <w:r>
              <w:rPr>
                <w:rFonts w:hint="eastAsia" w:ascii="宋体" w:hAnsi="宋体" w:cs="宋体"/>
                <w:color w:val="000000"/>
                <w:sz w:val="24"/>
                <w:szCs w:val="24"/>
                <w:lang w:val="zh-CN" w:eastAsia="zh-CN"/>
              </w:rPr>
              <w:t>采购</w:t>
            </w:r>
            <w:r>
              <w:rPr>
                <w:rFonts w:hint="eastAsia" w:ascii="宋体" w:hAnsi="宋体" w:eastAsia="宋体" w:cs="宋体"/>
                <w:color w:val="000000"/>
                <w:sz w:val="24"/>
                <w:szCs w:val="24"/>
                <w:lang w:val="zh-CN" w:eastAsia="zh-CN"/>
              </w:rPr>
              <w:t>人，不得参加同一合同项下的政府采购活动。否则，皆取消</w:t>
            </w:r>
            <w:r>
              <w:rPr>
                <w:rFonts w:hint="eastAsia" w:ascii="宋体" w:hAnsi="宋体" w:cs="宋体"/>
                <w:color w:val="000000"/>
                <w:sz w:val="24"/>
                <w:szCs w:val="24"/>
                <w:lang w:val="zh-CN" w:eastAsia="zh-CN"/>
              </w:rPr>
              <w:t>投标资格</w:t>
            </w:r>
            <w:r>
              <w:rPr>
                <w:rFonts w:hint="eastAsia" w:ascii="宋体" w:hAnsi="宋体" w:eastAsia="宋体" w:cs="宋体"/>
                <w:color w:val="000000"/>
                <w:sz w:val="24"/>
                <w:szCs w:val="24"/>
                <w:lang w:val="zh-CN" w:eastAsia="zh-CN"/>
              </w:rPr>
              <w:t>；</w:t>
            </w:r>
          </w:p>
          <w:p w14:paraId="1E9F3D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3.为本采购项目提供整体设计、规范编制或者项目管理、监理、检测等服务的</w:t>
            </w:r>
            <w:r>
              <w:rPr>
                <w:rFonts w:hint="eastAsia" w:ascii="宋体" w:hAnsi="宋体" w:cs="宋体"/>
                <w:color w:val="000000"/>
                <w:sz w:val="24"/>
                <w:szCs w:val="24"/>
                <w:lang w:val="zh-CN" w:eastAsia="zh-CN"/>
              </w:rPr>
              <w:t>采购</w:t>
            </w:r>
            <w:r>
              <w:rPr>
                <w:rFonts w:hint="eastAsia" w:ascii="宋体" w:hAnsi="宋体" w:eastAsia="宋体" w:cs="宋体"/>
                <w:color w:val="000000"/>
                <w:sz w:val="24"/>
                <w:szCs w:val="24"/>
                <w:lang w:val="zh-CN" w:eastAsia="zh-CN"/>
              </w:rPr>
              <w:t>人，不得再参加该采购项目的其他采购活动；</w:t>
            </w:r>
          </w:p>
          <w:p w14:paraId="0649566F">
            <w:pPr>
              <w:spacing w:line="24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本项目不接受</w:t>
            </w:r>
            <w:r>
              <w:rPr>
                <w:rFonts w:hint="eastAsia" w:ascii="宋体" w:hAnsi="宋体" w:cs="宋体"/>
                <w:color w:val="000000"/>
                <w:sz w:val="24"/>
                <w:szCs w:val="24"/>
                <w:lang w:val="zh-CN" w:eastAsia="zh-CN"/>
              </w:rPr>
              <w:t>采购</w:t>
            </w:r>
            <w:r>
              <w:rPr>
                <w:rFonts w:hint="eastAsia" w:ascii="宋体" w:hAnsi="宋体" w:eastAsia="宋体" w:cs="宋体"/>
                <w:color w:val="000000"/>
                <w:sz w:val="24"/>
                <w:szCs w:val="24"/>
                <w:lang w:val="zh-CN" w:eastAsia="zh-CN"/>
              </w:rPr>
              <w:t>人以联合体方式进行</w:t>
            </w:r>
            <w:r>
              <w:rPr>
                <w:rFonts w:hint="eastAsia" w:ascii="宋体" w:hAnsi="宋体" w:cs="宋体"/>
                <w:color w:val="000000"/>
                <w:sz w:val="24"/>
                <w:szCs w:val="24"/>
                <w:lang w:val="zh-CN" w:eastAsia="zh-CN"/>
              </w:rPr>
              <w:t>采购</w:t>
            </w:r>
            <w:r>
              <w:rPr>
                <w:rFonts w:hint="eastAsia" w:ascii="宋体" w:hAnsi="宋体" w:eastAsia="宋体" w:cs="宋体"/>
                <w:color w:val="000000"/>
                <w:sz w:val="24"/>
                <w:szCs w:val="24"/>
                <w:lang w:val="zh-CN" w:eastAsia="zh-CN"/>
              </w:rPr>
              <w:t>；</w:t>
            </w:r>
          </w:p>
          <w:p w14:paraId="77C909EA">
            <w:pPr>
              <w:spacing w:line="24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经信用中国（www.creditchina.gov.cn）、中国政府采购网（www.ccgp.gov.cn）等渠道查询后，列入失信被执行人、重大税收违法黑名单、政府采购严重违法失信行为黑名单的，取消</w:t>
            </w:r>
            <w:r>
              <w:rPr>
                <w:rFonts w:hint="eastAsia" w:ascii="宋体" w:hAnsi="宋体" w:cs="宋体"/>
                <w:color w:val="000000"/>
                <w:sz w:val="24"/>
                <w:szCs w:val="24"/>
                <w:lang w:val="zh-CN" w:eastAsia="zh-CN"/>
              </w:rPr>
              <w:t>投标资格</w:t>
            </w:r>
            <w:r>
              <w:rPr>
                <w:rFonts w:hint="eastAsia" w:ascii="宋体" w:hAnsi="宋体" w:eastAsia="宋体" w:cs="宋体"/>
                <w:color w:val="000000"/>
                <w:sz w:val="24"/>
                <w:szCs w:val="24"/>
                <w:lang w:val="zh-CN" w:eastAsia="zh-CN"/>
              </w:rPr>
              <w:t>(提供“信用中国”网站的查询截图，若查询无果提供相应截图)；</w:t>
            </w:r>
          </w:p>
          <w:p w14:paraId="07D0EE8C">
            <w:pPr>
              <w:pStyle w:val="11"/>
              <w:rPr>
                <w:rFonts w:hint="default" w:eastAsia="宋体"/>
                <w:lang w:val="en-US" w:eastAsia="zh-CN"/>
              </w:rPr>
            </w:pPr>
            <w:r>
              <w:rPr>
                <w:rFonts w:hint="eastAsia"/>
                <w:lang w:val="en-US" w:eastAsia="zh-CN"/>
              </w:rPr>
              <w:t>6</w:t>
            </w:r>
            <w:r>
              <w:rPr>
                <w:rFonts w:hint="eastAsia" w:ascii="宋体" w:hAnsi="宋体" w:eastAsia="宋体" w:cs="宋体"/>
                <w:color w:val="000000"/>
                <w:sz w:val="24"/>
                <w:szCs w:val="24"/>
                <w:lang w:val="en-US" w:eastAsia="zh-CN"/>
              </w:rPr>
              <w:t>.其他：无</w:t>
            </w:r>
          </w:p>
        </w:tc>
      </w:tr>
      <w:tr w14:paraId="20D537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3B7E7685">
            <w:pPr>
              <w:widowControl/>
              <w:adjustRightInd w:val="0"/>
              <w:snapToGrid w:val="0"/>
              <w:spacing w:line="24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公告发布时间</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5C322A2B">
            <w:pPr>
              <w:widowControl/>
              <w:adjustRightInd w:val="0"/>
              <w:snapToGrid w:val="0"/>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2025年6月27日</w:t>
            </w:r>
          </w:p>
        </w:tc>
      </w:tr>
      <w:tr w14:paraId="51B6EA9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2053" w:hRule="atLeast"/>
          <w:jc w:val="center"/>
        </w:trPr>
        <w:tc>
          <w:tcPr>
            <w:tcW w:w="1816" w:type="dxa"/>
            <w:tcBorders>
              <w:top w:val="outset" w:color="000000" w:sz="6" w:space="0"/>
              <w:left w:val="outset" w:color="000000" w:sz="6" w:space="0"/>
              <w:bottom w:val="outset" w:color="000000" w:sz="6" w:space="0"/>
              <w:right w:val="outset" w:color="000000" w:sz="6" w:space="0"/>
            </w:tcBorders>
            <w:noWrap/>
          </w:tcPr>
          <w:p w14:paraId="32F362A1">
            <w:pPr>
              <w:widowControl/>
              <w:adjustRightInd w:val="0"/>
              <w:snapToGrid w:val="0"/>
              <w:spacing w:line="24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网上报名、获取</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时间及方式</w:t>
            </w:r>
          </w:p>
        </w:tc>
        <w:tc>
          <w:tcPr>
            <w:tcW w:w="6516" w:type="dxa"/>
            <w:tcBorders>
              <w:top w:val="outset" w:color="000000" w:sz="6" w:space="0"/>
              <w:left w:val="outset" w:color="000000" w:sz="6" w:space="0"/>
              <w:bottom w:val="outset" w:color="000000" w:sz="6" w:space="0"/>
              <w:right w:val="outset" w:color="000000" w:sz="6" w:space="0"/>
            </w:tcBorders>
            <w:noWrap/>
          </w:tcPr>
          <w:p w14:paraId="05023CDE">
            <w:pPr>
              <w:widowControl/>
              <w:adjustRightInd w:val="0"/>
              <w:snapToGrid w:val="0"/>
              <w:spacing w:line="240" w:lineRule="auto"/>
              <w:rPr>
                <w:rFonts w:hint="eastAsia" w:ascii="宋体" w:hAnsi="宋体" w:eastAsia="宋体" w:cs="宋体"/>
                <w:color w:val="FF000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2025年6</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30</w:t>
            </w:r>
            <w:r>
              <w:rPr>
                <w:rFonts w:hint="eastAsia" w:asciiTheme="minorEastAsia" w:hAnsiTheme="minorEastAsia" w:eastAsiaTheme="minorEastAsia" w:cstheme="minorEastAsia"/>
                <w:color w:val="auto"/>
                <w:kern w:val="0"/>
                <w:sz w:val="24"/>
                <w:szCs w:val="24"/>
                <w:highlight w:val="none"/>
              </w:rPr>
              <w:t>日至</w:t>
            </w:r>
            <w:r>
              <w:rPr>
                <w:rFonts w:hint="eastAsia" w:asciiTheme="minorEastAsia" w:hAnsiTheme="minorEastAsia" w:eastAsiaTheme="minorEastAsia" w:cstheme="minorEastAsia"/>
                <w:color w:val="auto"/>
                <w:kern w:val="0"/>
                <w:sz w:val="24"/>
                <w:szCs w:val="24"/>
                <w:highlight w:val="none"/>
                <w:lang w:val="en-US" w:eastAsia="zh-CN"/>
              </w:rPr>
              <w:t>2025年7月7日</w:t>
            </w:r>
            <w:r>
              <w:rPr>
                <w:rFonts w:hint="eastAsia" w:asciiTheme="minorEastAsia" w:hAnsiTheme="minorEastAsia" w:eastAsiaTheme="minorEastAsia" w:cstheme="minorEastAsia"/>
                <w:color w:val="auto"/>
                <w:kern w:val="0"/>
                <w:sz w:val="24"/>
                <w:szCs w:val="24"/>
                <w:highlight w:val="none"/>
                <w:lang w:val="zh-CN" w:eastAsia="zh-CN"/>
              </w:rPr>
              <w:t>通过政采云平台（www.zcygov.cn）获取，登录政采云平台https://www.zcygov.cn/在线申请获取采购文件（进入“项目采购”应用，在获取采购文件菜单中选择项目，申请获取采购文件），</w:t>
            </w:r>
            <w:r>
              <w:rPr>
                <w:rFonts w:hint="eastAsia" w:asciiTheme="minorEastAsia" w:hAnsiTheme="minorEastAsia" w:eastAsiaTheme="minorEastAsia" w:cstheme="minorEastAsia"/>
                <w:color w:val="auto"/>
                <w:kern w:val="0"/>
                <w:sz w:val="24"/>
                <w:szCs w:val="24"/>
                <w:highlight w:val="none"/>
                <w:lang w:val="en-US" w:eastAsia="zh-CN"/>
              </w:rPr>
              <w:t>在青海省政府采购电子化平台上自行下载采购文件（下载的“采购文件”以澄清确定后的版本为准）。</w:t>
            </w:r>
          </w:p>
        </w:tc>
      </w:tr>
      <w:tr w14:paraId="7EB97F7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41"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420C36DB">
            <w:pPr>
              <w:autoSpaceDE w:val="0"/>
              <w:autoSpaceDN w:val="0"/>
              <w:adjustRightInd w:val="0"/>
              <w:spacing w:line="240" w:lineRule="auto"/>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提交投标文件及开标方式</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14A80669">
            <w:pPr>
              <w:autoSpaceDE w:val="0"/>
              <w:autoSpaceDN w:val="0"/>
              <w:adjustRightInd w:val="0"/>
              <w:spacing w:line="240" w:lineRule="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线上：政采云投标客户端 </w:t>
            </w:r>
          </w:p>
          <w:p w14:paraId="548C67CE">
            <w:pPr>
              <w:autoSpaceDE w:val="0"/>
              <w:autoSpaceDN w:val="0"/>
              <w:adjustRightInd w:val="0"/>
              <w:spacing w:line="240" w:lineRule="auto"/>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供应商应在投标截止时间前按招标文件要求使用政采云电子投标客户端制作上传电子投标文件，并在开标后30分钟内远程解密投标文件。</w:t>
            </w:r>
          </w:p>
        </w:tc>
      </w:tr>
      <w:tr w14:paraId="6C7CD1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6A1B1F23">
            <w:pPr>
              <w:autoSpaceDE w:val="0"/>
              <w:autoSpaceDN w:val="0"/>
              <w:adjustRightInd w:val="0"/>
              <w:spacing w:line="240" w:lineRule="auto"/>
              <w:rPr>
                <w:rFonts w:hint="eastAsia" w:ascii="宋体" w:hAnsi="宋体" w:eastAsia="宋体" w:cs="宋体"/>
                <w:color w:val="FF0000"/>
                <w:sz w:val="24"/>
                <w:szCs w:val="24"/>
                <w:highlight w:val="none"/>
              </w:rPr>
            </w:pPr>
            <w:r>
              <w:rPr>
                <w:rFonts w:hint="eastAsia" w:asciiTheme="minorEastAsia" w:hAnsiTheme="minorEastAsia" w:eastAsiaTheme="minorEastAsia" w:cstheme="minorEastAsia"/>
                <w:color w:val="auto"/>
                <w:sz w:val="24"/>
                <w:szCs w:val="24"/>
                <w:highlight w:val="none"/>
              </w:rPr>
              <w:t>投标截止及开标时间</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3285391A">
            <w:pPr>
              <w:autoSpaceDE w:val="0"/>
              <w:autoSpaceDN w:val="0"/>
              <w:adjustRightInd w:val="0"/>
              <w:spacing w:line="240" w:lineRule="auto"/>
              <w:rPr>
                <w:rFonts w:hint="default" w:ascii="宋体" w:hAnsi="宋体" w:eastAsia="宋体" w:cs="宋体"/>
                <w:color w:val="FF000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eastAsia="zh-CN"/>
              </w:rPr>
              <w:t>2025年07月21日 09:00（北京时间）</w:t>
            </w:r>
          </w:p>
        </w:tc>
      </w:tr>
      <w:tr w14:paraId="3324BB8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37"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4750AEFE">
            <w:pPr>
              <w:widowControl/>
              <w:adjustRightInd w:val="0"/>
              <w:snapToGrid w:val="0"/>
              <w:spacing w:line="240" w:lineRule="auto"/>
              <w:jc w:val="left"/>
              <w:rPr>
                <w:rFonts w:hint="eastAsia" w:ascii="宋体" w:hAnsi="宋体" w:eastAsia="宋体" w:cs="宋体"/>
                <w:color w:val="000000"/>
                <w:sz w:val="24"/>
                <w:szCs w:val="24"/>
              </w:rPr>
            </w:pP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地点</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4B224E50">
            <w:pPr>
              <w:widowControl/>
              <w:adjustRightInd w:val="0"/>
              <w:snapToGrid w:val="0"/>
              <w:spacing w:line="240" w:lineRule="auto"/>
              <w:rPr>
                <w:rFonts w:hint="eastAsia" w:ascii="宋体" w:hAnsi="宋体" w:eastAsia="宋体" w:cs="宋体"/>
                <w:color w:val="000000"/>
                <w:sz w:val="24"/>
                <w:szCs w:val="24"/>
                <w:lang w:eastAsia="zh-CN"/>
              </w:rPr>
            </w:pPr>
            <w:r>
              <w:rPr>
                <w:rFonts w:hint="eastAsia" w:ascii="宋体" w:hAnsi="宋体" w:eastAsia="宋体" w:cs="宋体"/>
                <w:kern w:val="0"/>
                <w:sz w:val="24"/>
                <w:szCs w:val="24"/>
                <w:lang w:eastAsia="zh-CN"/>
              </w:rPr>
              <w:t>政采云平台（www.zcygov.cn） 如非系统原因造成无法解密的或非系统原因加密文件上传不成功的或没办理CA锁而造成加密文件无法解密、加密文件无法上传的视为无效投标。</w:t>
            </w:r>
          </w:p>
        </w:tc>
      </w:tr>
      <w:tr w14:paraId="71FD7B7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351C3A73">
            <w:pPr>
              <w:widowControl/>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采购单位及联系人电话</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4A8B2C37">
            <w:pPr>
              <w:widowControl/>
              <w:adjustRightInd w:val="0"/>
              <w:snapToGrid w:val="0"/>
              <w:spacing w:line="240" w:lineRule="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eastAsia="zh-CN"/>
              </w:rPr>
              <w:t>湟源县公安局</w:t>
            </w:r>
          </w:p>
          <w:p w14:paraId="673417C6">
            <w:pPr>
              <w:widowControl/>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：杨</w:t>
            </w:r>
            <w:r>
              <w:rPr>
                <w:rFonts w:hint="eastAsia" w:ascii="宋体" w:hAnsi="宋体" w:cs="宋体"/>
                <w:color w:val="auto"/>
                <w:sz w:val="24"/>
                <w:szCs w:val="24"/>
                <w:highlight w:val="none"/>
                <w:lang w:val="en-US" w:eastAsia="zh-CN"/>
              </w:rPr>
              <w:t>老师</w:t>
            </w:r>
          </w:p>
          <w:p w14:paraId="546656D2">
            <w:pPr>
              <w:widowControl/>
              <w:adjustRightInd w:val="0"/>
              <w:snapToGrid w:val="0"/>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lang w:eastAsia="zh-CN"/>
              </w:rPr>
              <w:t>18097189010</w:t>
            </w:r>
          </w:p>
          <w:p w14:paraId="002630F3">
            <w:pPr>
              <w:widowControl/>
              <w:adjustRightInd w:val="0"/>
              <w:snapToGrid w:val="0"/>
              <w:spacing w:line="24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联系地址：青海省西宁市湟源县城关镇北大路636号</w:t>
            </w:r>
          </w:p>
        </w:tc>
      </w:tr>
      <w:tr w14:paraId="343319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2C3306EA">
            <w:pPr>
              <w:widowControl/>
              <w:adjustRightInd w:val="0"/>
              <w:snapToGrid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及联系人电话</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1A7D1E94">
            <w:pPr>
              <w:widowControl/>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集中采购机构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湟源县政府采购服务中心</w:t>
            </w:r>
          </w:p>
          <w:p w14:paraId="3AF35033">
            <w:pPr>
              <w:widowControl/>
              <w:adjustRightInd w:val="0"/>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eastAsia="zh-CN"/>
              </w:rPr>
              <w:t>马</w:t>
            </w:r>
            <w:r>
              <w:rPr>
                <w:rFonts w:hint="eastAsia" w:ascii="宋体" w:hAnsi="宋体" w:eastAsia="宋体" w:cs="宋体"/>
                <w:color w:val="auto"/>
                <w:sz w:val="24"/>
                <w:szCs w:val="24"/>
                <w:lang w:val="en-US" w:eastAsia="zh-CN"/>
              </w:rPr>
              <w:t>老师</w:t>
            </w:r>
          </w:p>
          <w:p w14:paraId="6C6EA109">
            <w:pPr>
              <w:widowControl/>
              <w:adjustRightInd w:val="0"/>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电 话：</w:t>
            </w:r>
            <w:r>
              <w:rPr>
                <w:rFonts w:hint="eastAsia" w:ascii="宋体" w:hAnsi="宋体" w:eastAsia="宋体" w:cs="宋体"/>
                <w:color w:val="auto"/>
                <w:sz w:val="24"/>
                <w:szCs w:val="24"/>
                <w:lang w:val="en-US" w:eastAsia="zh-CN"/>
              </w:rPr>
              <w:t>0971-2</w:t>
            </w:r>
            <w:r>
              <w:rPr>
                <w:rFonts w:hint="eastAsia" w:ascii="宋体" w:hAnsi="宋体" w:cs="宋体"/>
                <w:color w:val="auto"/>
                <w:sz w:val="24"/>
                <w:szCs w:val="24"/>
                <w:lang w:val="en-US" w:eastAsia="zh-CN"/>
              </w:rPr>
              <w:t>480721</w:t>
            </w:r>
          </w:p>
          <w:p w14:paraId="0F4F7B9C">
            <w:pPr>
              <w:widowControl/>
              <w:adjustRightInd w:val="0"/>
              <w:snapToGrid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地 址：</w:t>
            </w:r>
            <w:r>
              <w:rPr>
                <w:rFonts w:hint="eastAsia" w:ascii="宋体" w:hAnsi="宋体" w:eastAsia="宋体" w:cs="宋体"/>
                <w:color w:val="auto"/>
                <w:sz w:val="24"/>
                <w:szCs w:val="24"/>
                <w:lang w:eastAsia="zh-CN"/>
              </w:rPr>
              <w:t>湟源县建设西路</w:t>
            </w:r>
            <w:r>
              <w:rPr>
                <w:rFonts w:hint="eastAsia" w:ascii="宋体" w:hAnsi="宋体" w:eastAsia="宋体" w:cs="宋体"/>
                <w:color w:val="auto"/>
                <w:sz w:val="24"/>
                <w:szCs w:val="24"/>
                <w:lang w:val="en-US" w:eastAsia="zh-CN"/>
              </w:rPr>
              <w:t>35号</w:t>
            </w:r>
          </w:p>
        </w:tc>
      </w:tr>
      <w:tr w14:paraId="704605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645" w:hRule="atLeast"/>
          <w:jc w:val="center"/>
        </w:trPr>
        <w:tc>
          <w:tcPr>
            <w:tcW w:w="1816" w:type="dxa"/>
            <w:tcBorders>
              <w:top w:val="outset" w:color="000000" w:sz="6" w:space="0"/>
              <w:left w:val="outset" w:color="000000" w:sz="6" w:space="0"/>
              <w:bottom w:val="outset" w:color="000000" w:sz="6" w:space="0"/>
              <w:right w:val="outset" w:color="000000" w:sz="6" w:space="0"/>
            </w:tcBorders>
            <w:noWrap/>
            <w:vAlign w:val="center"/>
          </w:tcPr>
          <w:p w14:paraId="7114D794">
            <w:pPr>
              <w:widowControl/>
              <w:adjustRightInd w:val="0"/>
              <w:snapToGrid w:val="0"/>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其他事项</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15A60BB9">
            <w:pPr>
              <w:widowControl/>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本公告发布于《青海政府采购网》（公告期限：自青海政府采购网发布之日起5个工作日；公告内容以青海政府采购网发布的为准）。</w:t>
            </w:r>
          </w:p>
          <w:p w14:paraId="311DB598">
            <w:pPr>
              <w:widowControl/>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本次招标采用线上提交</w:t>
            </w:r>
            <w:r>
              <w:rPr>
                <w:rFonts w:hint="eastAsia" w:ascii="宋体" w:hAnsi="宋体" w:cs="宋体"/>
                <w:color w:val="auto"/>
                <w:sz w:val="24"/>
                <w:szCs w:val="24"/>
                <w:lang w:eastAsia="zh-CN"/>
              </w:rPr>
              <w:t>采购响应文件</w:t>
            </w:r>
            <w:r>
              <w:rPr>
                <w:rFonts w:hint="eastAsia" w:ascii="宋体" w:hAnsi="宋体" w:eastAsia="宋体" w:cs="宋体"/>
                <w:color w:val="auto"/>
                <w:sz w:val="24"/>
                <w:szCs w:val="24"/>
              </w:rPr>
              <w:t>的方式进行采购，</w:t>
            </w:r>
            <w:r>
              <w:rPr>
                <w:rFonts w:hint="eastAsia" w:ascii="宋体" w:hAnsi="宋体" w:cs="宋体"/>
                <w:color w:val="auto"/>
                <w:sz w:val="24"/>
                <w:szCs w:val="24"/>
                <w:lang w:eastAsia="zh-CN"/>
              </w:rPr>
              <w:t>采购响应文件</w:t>
            </w:r>
            <w:r>
              <w:rPr>
                <w:rFonts w:hint="eastAsia" w:ascii="宋体" w:hAnsi="宋体" w:eastAsia="宋体" w:cs="宋体"/>
                <w:color w:val="auto"/>
                <w:sz w:val="24"/>
                <w:szCs w:val="24"/>
              </w:rPr>
              <w:t>必须在</w:t>
            </w:r>
            <w:r>
              <w:rPr>
                <w:rFonts w:hint="eastAsia" w:ascii="宋体" w:hAnsi="宋体" w:cs="宋体"/>
                <w:color w:val="auto"/>
                <w:sz w:val="24"/>
                <w:szCs w:val="24"/>
                <w:lang w:eastAsia="zh-CN"/>
              </w:rPr>
              <w:t>采购响应文件</w:t>
            </w:r>
            <w:r>
              <w:rPr>
                <w:rFonts w:hint="eastAsia" w:ascii="宋体" w:hAnsi="宋体" w:eastAsia="宋体" w:cs="宋体"/>
                <w:color w:val="auto"/>
                <w:sz w:val="24"/>
                <w:szCs w:val="24"/>
              </w:rPr>
              <w:t>递交截止时间前上传平台。</w:t>
            </w:r>
          </w:p>
          <w:p w14:paraId="3BACC771">
            <w:pPr>
              <w:widowControl/>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szCs w:val="24"/>
                <w:lang w:val="en-US" w:eastAsia="zh-CN"/>
              </w:rPr>
              <w:t>95763</w:t>
            </w:r>
            <w:r>
              <w:rPr>
                <w:rFonts w:hint="eastAsia" w:ascii="宋体" w:hAnsi="宋体" w:eastAsia="宋体" w:cs="宋体"/>
                <w:color w:val="auto"/>
                <w:sz w:val="24"/>
                <w:szCs w:val="24"/>
              </w:rPr>
              <w:t>获取热线服务帮助。 CA问题PC咨询网址（可及时反馈问题截图，让客服快速定位问题）:http://tseal.cn/k.html，联系电话（人工）：400-087-8198。</w:t>
            </w:r>
          </w:p>
          <w:p w14:paraId="4F1318FF">
            <w:pPr>
              <w:widowControl/>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解密和</w:t>
            </w:r>
            <w:r>
              <w:rPr>
                <w:rFonts w:hint="eastAsia" w:ascii="宋体" w:hAnsi="宋体" w:cs="宋体"/>
                <w:color w:val="auto"/>
                <w:sz w:val="24"/>
                <w:szCs w:val="24"/>
                <w:lang w:eastAsia="zh-CN"/>
              </w:rPr>
              <w:t>投标报价</w:t>
            </w:r>
            <w:r>
              <w:rPr>
                <w:rFonts w:hint="eastAsia" w:ascii="宋体" w:hAnsi="宋体" w:eastAsia="宋体" w:cs="宋体"/>
                <w:color w:val="auto"/>
                <w:sz w:val="24"/>
                <w:szCs w:val="24"/>
              </w:rPr>
              <w:t>时必须由e签宝注册人办理，</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须在固定电脑设备前登陆等待解密和</w:t>
            </w:r>
            <w:r>
              <w:rPr>
                <w:rFonts w:hint="eastAsia" w:ascii="宋体" w:hAnsi="宋体" w:cs="宋体"/>
                <w:color w:val="auto"/>
                <w:sz w:val="24"/>
                <w:szCs w:val="24"/>
                <w:lang w:eastAsia="zh-CN"/>
              </w:rPr>
              <w:t>投标报价</w:t>
            </w:r>
            <w:r>
              <w:rPr>
                <w:rFonts w:hint="eastAsia" w:ascii="宋体" w:hAnsi="宋体" w:eastAsia="宋体" w:cs="宋体"/>
                <w:color w:val="auto"/>
                <w:sz w:val="24"/>
                <w:szCs w:val="24"/>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须在规定的时间内完成，如超时，则视为无效投标。</w:t>
            </w:r>
          </w:p>
          <w:p w14:paraId="6E91C812">
            <w:pPr>
              <w:widowControl/>
              <w:numPr>
                <w:ilvl w:val="0"/>
                <w:numId w:val="0"/>
              </w:numPr>
              <w:spacing w:line="24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sz w:val="24"/>
                <w:szCs w:val="24"/>
              </w:rPr>
              <w:t>投标保证金免缴，资格后审。</w:t>
            </w:r>
          </w:p>
        </w:tc>
      </w:tr>
      <w:tr w14:paraId="34118A6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816" w:type="dxa"/>
            <w:tcBorders>
              <w:top w:val="outset" w:color="000000" w:sz="6" w:space="0"/>
              <w:left w:val="outset" w:color="000000" w:sz="6" w:space="0"/>
              <w:bottom w:val="outset" w:color="000000" w:sz="6" w:space="0"/>
              <w:right w:val="outset" w:color="000000" w:sz="6" w:space="0"/>
            </w:tcBorders>
            <w:noWrap/>
          </w:tcPr>
          <w:p w14:paraId="61E636AD">
            <w:pPr>
              <w:widowControl/>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财政部门监督电话</w:t>
            </w:r>
          </w:p>
        </w:tc>
        <w:tc>
          <w:tcPr>
            <w:tcW w:w="6516" w:type="dxa"/>
            <w:tcBorders>
              <w:top w:val="outset" w:color="000000" w:sz="6" w:space="0"/>
              <w:left w:val="outset" w:color="000000" w:sz="6" w:space="0"/>
              <w:bottom w:val="outset" w:color="000000" w:sz="6" w:space="0"/>
              <w:right w:val="outset" w:color="000000" w:sz="6" w:space="0"/>
            </w:tcBorders>
            <w:noWrap/>
            <w:vAlign w:val="center"/>
          </w:tcPr>
          <w:p w14:paraId="7DFFFC14">
            <w:pPr>
              <w:widowControl/>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监督单位：</w:t>
            </w:r>
            <w:r>
              <w:rPr>
                <w:rFonts w:hint="eastAsia" w:ascii="宋体" w:hAnsi="宋体" w:eastAsia="宋体" w:cs="宋体"/>
                <w:color w:val="auto"/>
                <w:sz w:val="24"/>
                <w:szCs w:val="24"/>
                <w:lang w:val="en-US" w:eastAsia="zh-CN"/>
              </w:rPr>
              <w:t xml:space="preserve">湟源县财政局         </w:t>
            </w:r>
            <w:r>
              <w:rPr>
                <w:rFonts w:hint="eastAsia" w:ascii="宋体" w:hAnsi="宋体" w:eastAsia="宋体" w:cs="宋体"/>
                <w:color w:val="auto"/>
                <w:sz w:val="24"/>
                <w:szCs w:val="24"/>
              </w:rPr>
              <w:t>联系电话：0971-24</w:t>
            </w:r>
            <w:r>
              <w:rPr>
                <w:rFonts w:hint="eastAsia" w:ascii="宋体" w:hAnsi="宋体" w:cs="宋体"/>
                <w:color w:val="auto"/>
                <w:sz w:val="24"/>
                <w:szCs w:val="24"/>
                <w:lang w:eastAsia="zh-CN"/>
              </w:rPr>
              <w:t>32297</w:t>
            </w:r>
          </w:p>
        </w:tc>
      </w:tr>
    </w:tbl>
    <w:p w14:paraId="4989F2AC">
      <w:pPr>
        <w:adjustRightInd w:val="0"/>
        <w:spacing w:line="240" w:lineRule="auto"/>
        <w:jc w:val="both"/>
        <w:textAlignment w:val="baseline"/>
        <w:rPr>
          <w:rFonts w:hint="eastAsia" w:ascii="宋体"/>
          <w:color w:val="auto"/>
          <w:sz w:val="24"/>
          <w:lang w:eastAsia="zh-CN"/>
        </w:rPr>
      </w:pPr>
    </w:p>
    <w:p w14:paraId="650B4ECA">
      <w:pPr>
        <w:adjustRightInd w:val="0"/>
        <w:spacing w:line="240" w:lineRule="auto"/>
        <w:jc w:val="right"/>
        <w:textAlignment w:val="baseline"/>
        <w:rPr>
          <w:rFonts w:hint="eastAsia" w:ascii="宋体" w:eastAsia="宋体"/>
          <w:color w:val="auto"/>
          <w:sz w:val="24"/>
          <w:lang w:eastAsia="zh-CN"/>
        </w:rPr>
      </w:pPr>
      <w:r>
        <w:rPr>
          <w:rFonts w:hint="eastAsia" w:ascii="宋体"/>
          <w:color w:val="auto"/>
          <w:sz w:val="24"/>
          <w:lang w:eastAsia="zh-CN"/>
        </w:rPr>
        <w:t>湟源县政府采购服务中心</w:t>
      </w:r>
    </w:p>
    <w:p w14:paraId="00864828">
      <w:pPr>
        <w:autoSpaceDE w:val="0"/>
        <w:autoSpaceDN w:val="0"/>
        <w:adjustRightInd w:val="0"/>
        <w:spacing w:line="240" w:lineRule="auto"/>
        <w:ind w:firstLine="482" w:firstLineChars="200"/>
        <w:jc w:val="left"/>
        <w:rPr>
          <w:rFonts w:ascii="宋体" w:cs="宋体"/>
          <w:kern w:val="0"/>
          <w:lang w:val="zh-CN"/>
        </w:rPr>
      </w:pPr>
      <w:r>
        <w:rPr>
          <w:rFonts w:hint="eastAsia" w:ascii="宋体"/>
          <w:color w:val="auto"/>
          <w:sz w:val="24"/>
          <w:lang w:val="en-US" w:eastAsia="zh-CN"/>
        </w:rPr>
        <w:t xml:space="preserve">                                             </w:t>
      </w:r>
      <w:r>
        <w:rPr>
          <w:rFonts w:hint="eastAsia" w:ascii="宋体"/>
          <w:color w:val="auto"/>
          <w:sz w:val="24"/>
        </w:rPr>
        <w:t>202</w:t>
      </w:r>
      <w:r>
        <w:rPr>
          <w:rFonts w:hint="eastAsia" w:ascii="宋体"/>
          <w:color w:val="auto"/>
          <w:sz w:val="24"/>
          <w:lang w:val="en-US" w:eastAsia="zh-CN"/>
        </w:rPr>
        <w:t>5</w:t>
      </w:r>
      <w:r>
        <w:rPr>
          <w:rFonts w:hint="eastAsia" w:ascii="宋体"/>
          <w:color w:val="auto"/>
          <w:sz w:val="24"/>
        </w:rPr>
        <w:t>年</w:t>
      </w:r>
      <w:r>
        <w:rPr>
          <w:rFonts w:hint="eastAsia" w:ascii="宋体"/>
          <w:color w:val="auto"/>
          <w:sz w:val="24"/>
          <w:lang w:val="en-US" w:eastAsia="zh-CN"/>
        </w:rPr>
        <w:t>06</w:t>
      </w:r>
      <w:r>
        <w:rPr>
          <w:rFonts w:hint="eastAsia" w:ascii="宋体"/>
          <w:color w:val="auto"/>
          <w:sz w:val="24"/>
        </w:rPr>
        <w:t>月</w:t>
      </w:r>
      <w:r>
        <w:rPr>
          <w:rFonts w:hint="eastAsia" w:ascii="宋体"/>
          <w:color w:val="auto"/>
          <w:sz w:val="24"/>
          <w:lang w:val="en-US" w:eastAsia="zh-CN"/>
        </w:rPr>
        <w:t>27</w:t>
      </w:r>
      <w:r>
        <w:rPr>
          <w:rFonts w:hint="eastAsia" w:ascii="宋体"/>
          <w:color w:val="auto"/>
          <w:sz w:val="24"/>
        </w:rPr>
        <w:t>日</w:t>
      </w:r>
    </w:p>
    <w:bookmarkEnd w:id="2"/>
    <w:p w14:paraId="5D40178E">
      <w:pPr>
        <w:pStyle w:val="23"/>
        <w:spacing w:before="0" w:after="0" w:line="240" w:lineRule="auto"/>
        <w:rPr>
          <w:rFonts w:hint="eastAsia" w:ascii="宋体"/>
          <w:color w:val="000000"/>
          <w:sz w:val="48"/>
        </w:rPr>
      </w:pPr>
      <w:bookmarkStart w:id="3" w:name="_Toc444715734"/>
      <w:bookmarkStart w:id="4" w:name="_Toc15531"/>
      <w:bookmarkStart w:id="5" w:name="_Toc85217084"/>
    </w:p>
    <w:p w14:paraId="7EEB7926">
      <w:pPr>
        <w:pStyle w:val="23"/>
        <w:spacing w:before="0" w:after="0" w:line="240" w:lineRule="auto"/>
        <w:rPr>
          <w:rFonts w:hint="eastAsia" w:ascii="宋体"/>
          <w:color w:val="000000"/>
          <w:sz w:val="48"/>
        </w:rPr>
      </w:pPr>
    </w:p>
    <w:p w14:paraId="6E41AF43">
      <w:pPr>
        <w:rPr>
          <w:rFonts w:hint="eastAsia"/>
        </w:rPr>
      </w:pPr>
    </w:p>
    <w:bookmarkEnd w:id="3"/>
    <w:bookmarkEnd w:id="4"/>
    <w:bookmarkEnd w:id="5"/>
    <w:p w14:paraId="2E070E32">
      <w:pPr>
        <w:bidi w:val="0"/>
        <w:spacing w:line="240" w:lineRule="auto"/>
        <w:jc w:val="center"/>
        <w:rPr>
          <w:b/>
          <w:bCs/>
          <w:lang w:val="zh-CN"/>
        </w:rPr>
      </w:pPr>
      <w:r>
        <w:rPr>
          <w:rFonts w:ascii="Times New Roman" w:hAnsi="Times New Roman" w:eastAsia="宋体" w:cs="Times New Roman"/>
          <w:b/>
          <w:bCs/>
          <w:kern w:val="2"/>
          <w:sz w:val="36"/>
          <w:szCs w:val="32"/>
          <w:lang w:val="zh-CN" w:eastAsia="zh-CN" w:bidi="ar-SA"/>
        </w:rPr>
        <w:t xml:space="preserve">第二部分  </w:t>
      </w:r>
      <w:r>
        <w:rPr>
          <w:rFonts w:hint="eastAsia" w:cs="Times New Roman"/>
          <w:b/>
          <w:bCs/>
          <w:kern w:val="2"/>
          <w:sz w:val="36"/>
          <w:szCs w:val="32"/>
          <w:lang w:val="zh-CN" w:eastAsia="zh-CN" w:bidi="ar-SA"/>
        </w:rPr>
        <w:t>供应商</w:t>
      </w:r>
      <w:r>
        <w:rPr>
          <w:rFonts w:ascii="Times New Roman" w:hAnsi="Times New Roman" w:eastAsia="宋体" w:cs="Times New Roman"/>
          <w:b/>
          <w:bCs/>
          <w:kern w:val="2"/>
          <w:sz w:val="36"/>
          <w:szCs w:val="32"/>
          <w:lang w:val="zh-CN" w:eastAsia="zh-CN" w:bidi="ar-SA"/>
        </w:rPr>
        <w:t>须知</w:t>
      </w:r>
    </w:p>
    <w:p w14:paraId="66C2F698">
      <w:pPr>
        <w:pStyle w:val="27"/>
        <w:spacing w:before="0" w:after="0" w:line="240" w:lineRule="auto"/>
        <w:rPr>
          <w:rFonts w:ascii="Times New Roman" w:hAnsi="Times New Roman"/>
        </w:rPr>
      </w:pPr>
      <w:bookmarkStart w:id="6" w:name="_Toc10961"/>
      <w:bookmarkStart w:id="7" w:name="_Toc20133"/>
      <w:r>
        <w:rPr>
          <w:rFonts w:ascii="Times New Roman" w:hAnsi="Times New Roman"/>
          <w:lang w:val="zh-CN"/>
        </w:rPr>
        <w:t>一、说明</w:t>
      </w:r>
      <w:bookmarkEnd w:id="6"/>
      <w:bookmarkEnd w:id="7"/>
    </w:p>
    <w:p w14:paraId="7EBC64B0">
      <w:pPr>
        <w:pStyle w:val="27"/>
        <w:spacing w:before="0" w:after="0" w:line="240" w:lineRule="auto"/>
        <w:jc w:val="left"/>
        <w:rPr>
          <w:rFonts w:ascii="Times New Roman" w:hAnsi="Times New Roman"/>
          <w:lang w:val="zh-CN"/>
        </w:rPr>
      </w:pPr>
      <w:bookmarkStart w:id="8" w:name="_Toc5648"/>
      <w:bookmarkStart w:id="9" w:name="_Toc31605"/>
      <w:r>
        <w:rPr>
          <w:rFonts w:ascii="Times New Roman" w:hAnsi="Times New Roman"/>
          <w:sz w:val="28"/>
          <w:szCs w:val="28"/>
          <w:lang w:val="zh-CN"/>
        </w:rPr>
        <w:t>1.适用范围</w:t>
      </w:r>
      <w:bookmarkEnd w:id="8"/>
      <w:bookmarkEnd w:id="9"/>
    </w:p>
    <w:p w14:paraId="311F720A">
      <w:pPr>
        <w:autoSpaceDE w:val="0"/>
        <w:autoSpaceDN w:val="0"/>
        <w:spacing w:line="240" w:lineRule="auto"/>
        <w:ind w:firstLine="361" w:firstLineChars="150"/>
        <w:rPr>
          <w:kern w:val="0"/>
          <w:sz w:val="24"/>
          <w:lang w:val="zh-CN"/>
        </w:rPr>
      </w:pPr>
      <w:r>
        <w:rPr>
          <w:kern w:val="0"/>
          <w:sz w:val="24"/>
          <w:lang w:val="zh-CN"/>
        </w:rPr>
        <w:t>本次招标依据采购人的采购计划，仅适用于本招标文件中所叙述的项目。</w:t>
      </w:r>
    </w:p>
    <w:p w14:paraId="0253ABBF">
      <w:pPr>
        <w:pStyle w:val="27"/>
        <w:spacing w:before="0" w:after="0" w:line="240" w:lineRule="auto"/>
        <w:jc w:val="left"/>
        <w:rPr>
          <w:rFonts w:ascii="Times New Roman" w:hAnsi="Times New Roman"/>
          <w:lang w:val="zh-CN"/>
        </w:rPr>
      </w:pPr>
      <w:bookmarkStart w:id="10" w:name="_Toc21356"/>
      <w:bookmarkStart w:id="11" w:name="_Toc23425"/>
      <w:r>
        <w:rPr>
          <w:rFonts w:ascii="Times New Roman" w:hAnsi="Times New Roman"/>
          <w:sz w:val="28"/>
          <w:szCs w:val="28"/>
          <w:lang w:val="zh-CN"/>
        </w:rPr>
        <w:t>2.采购方式、合格的</w:t>
      </w:r>
      <w:bookmarkEnd w:id="10"/>
      <w:bookmarkEnd w:id="11"/>
      <w:r>
        <w:rPr>
          <w:rFonts w:hint="eastAsia" w:ascii="Times New Roman" w:hAnsi="Times New Roman"/>
          <w:sz w:val="28"/>
          <w:szCs w:val="28"/>
          <w:lang w:val="zh-CN"/>
        </w:rPr>
        <w:t>供应商</w:t>
      </w:r>
    </w:p>
    <w:p w14:paraId="2425669F">
      <w:pPr>
        <w:autoSpaceDE w:val="0"/>
        <w:autoSpaceDN w:val="0"/>
        <w:spacing w:line="240" w:lineRule="auto"/>
        <w:ind w:firstLine="361" w:firstLineChars="150"/>
        <w:rPr>
          <w:b/>
          <w:bCs/>
          <w:kern w:val="0"/>
          <w:sz w:val="24"/>
          <w:lang w:val="zh-CN"/>
        </w:rPr>
      </w:pPr>
      <w:r>
        <w:rPr>
          <w:kern w:val="0"/>
          <w:sz w:val="24"/>
          <w:lang w:val="zh-CN"/>
        </w:rPr>
        <w:t>2.1</w:t>
      </w:r>
      <w:r>
        <w:rPr>
          <w:kern w:val="0"/>
          <w:sz w:val="24"/>
        </w:rPr>
        <w:t xml:space="preserve"> </w:t>
      </w:r>
      <w:r>
        <w:rPr>
          <w:kern w:val="0"/>
          <w:sz w:val="24"/>
          <w:lang w:val="zh-CN"/>
        </w:rPr>
        <w:t>本次招标采取公开招标方式。</w:t>
      </w:r>
    </w:p>
    <w:p w14:paraId="16D78582">
      <w:pPr>
        <w:autoSpaceDE w:val="0"/>
        <w:autoSpaceDN w:val="0"/>
        <w:spacing w:line="240" w:lineRule="auto"/>
        <w:ind w:firstLine="361" w:firstLineChars="150"/>
        <w:rPr>
          <w:kern w:val="0"/>
          <w:sz w:val="24"/>
          <w:lang w:val="zh-CN"/>
        </w:rPr>
      </w:pPr>
      <w:r>
        <w:rPr>
          <w:kern w:val="0"/>
          <w:sz w:val="24"/>
          <w:lang w:val="zh-CN"/>
        </w:rPr>
        <w:t>2.2</w:t>
      </w:r>
      <w:r>
        <w:rPr>
          <w:kern w:val="0"/>
          <w:sz w:val="24"/>
        </w:rPr>
        <w:t xml:space="preserve"> </w:t>
      </w:r>
      <w:r>
        <w:rPr>
          <w:kern w:val="0"/>
          <w:sz w:val="24"/>
          <w:lang w:val="zh-CN"/>
        </w:rPr>
        <w:t>合格的</w:t>
      </w:r>
      <w:r>
        <w:rPr>
          <w:rFonts w:hint="eastAsia"/>
          <w:kern w:val="0"/>
          <w:sz w:val="24"/>
          <w:lang w:val="zh-CN"/>
        </w:rPr>
        <w:t>供应商</w:t>
      </w:r>
      <w:r>
        <w:rPr>
          <w:kern w:val="0"/>
          <w:sz w:val="24"/>
          <w:lang w:val="zh-CN"/>
        </w:rPr>
        <w:t>：详见第一部分</w:t>
      </w:r>
      <w:r>
        <w:rPr>
          <w:kern w:val="0"/>
          <w:sz w:val="24"/>
        </w:rPr>
        <w:t>“</w:t>
      </w:r>
      <w:r>
        <w:rPr>
          <w:rFonts w:hint="eastAsia"/>
          <w:kern w:val="0"/>
          <w:sz w:val="24"/>
          <w:lang w:val="zh-CN"/>
        </w:rPr>
        <w:t>供应商</w:t>
      </w:r>
      <w:r>
        <w:rPr>
          <w:kern w:val="0"/>
          <w:sz w:val="24"/>
          <w:lang w:val="zh-CN"/>
        </w:rPr>
        <w:t>资格要求</w:t>
      </w:r>
      <w:r>
        <w:rPr>
          <w:kern w:val="0"/>
          <w:sz w:val="24"/>
        </w:rPr>
        <w:t>”。</w:t>
      </w:r>
    </w:p>
    <w:p w14:paraId="5175DB7C">
      <w:pPr>
        <w:pStyle w:val="27"/>
        <w:spacing w:before="0" w:after="0" w:line="240" w:lineRule="auto"/>
        <w:jc w:val="left"/>
        <w:rPr>
          <w:rFonts w:ascii="Times New Roman" w:hAnsi="Times New Roman"/>
          <w:lang w:val="zh-CN"/>
        </w:rPr>
      </w:pPr>
      <w:bookmarkStart w:id="12" w:name="_Toc28175"/>
      <w:bookmarkStart w:id="13" w:name="_Toc4039"/>
      <w:r>
        <w:rPr>
          <w:rFonts w:ascii="Times New Roman" w:hAnsi="Times New Roman"/>
          <w:sz w:val="28"/>
          <w:szCs w:val="28"/>
          <w:lang w:val="zh-CN"/>
        </w:rPr>
        <w:t>3.投标费用</w:t>
      </w:r>
      <w:bookmarkEnd w:id="12"/>
      <w:bookmarkEnd w:id="13"/>
    </w:p>
    <w:p w14:paraId="1A81A60C">
      <w:pPr>
        <w:autoSpaceDE w:val="0"/>
        <w:autoSpaceDN w:val="0"/>
        <w:spacing w:line="240" w:lineRule="auto"/>
        <w:ind w:firstLine="482" w:firstLineChars="200"/>
        <w:rPr>
          <w:kern w:val="0"/>
          <w:sz w:val="24"/>
          <w:lang w:val="zh-CN"/>
        </w:rPr>
      </w:pPr>
      <w:r>
        <w:rPr>
          <w:rFonts w:hint="eastAsia"/>
          <w:kern w:val="0"/>
          <w:sz w:val="24"/>
          <w:lang w:val="zh-CN"/>
        </w:rPr>
        <w:t>供应商</w:t>
      </w:r>
      <w:r>
        <w:rPr>
          <w:kern w:val="0"/>
          <w:sz w:val="24"/>
          <w:lang w:val="zh-CN"/>
        </w:rPr>
        <w:t>应自愿承担与参加本次投标有关的费用。</w:t>
      </w:r>
      <w:r>
        <w:rPr>
          <w:rFonts w:hint="eastAsia"/>
          <w:kern w:val="0"/>
          <w:sz w:val="24"/>
          <w:lang w:val="zh-CN"/>
        </w:rPr>
        <w:t>集中采购机构</w:t>
      </w:r>
      <w:r>
        <w:rPr>
          <w:kern w:val="0"/>
          <w:sz w:val="24"/>
          <w:lang w:val="zh-CN"/>
        </w:rPr>
        <w:t>对</w:t>
      </w:r>
      <w:r>
        <w:rPr>
          <w:rFonts w:hint="eastAsia"/>
          <w:kern w:val="0"/>
          <w:sz w:val="24"/>
          <w:lang w:val="zh-CN"/>
        </w:rPr>
        <w:t>供应商</w:t>
      </w:r>
      <w:r>
        <w:rPr>
          <w:kern w:val="0"/>
          <w:sz w:val="24"/>
          <w:lang w:val="zh-CN"/>
        </w:rPr>
        <w:t>发生的费用不承担任何责任。</w:t>
      </w:r>
    </w:p>
    <w:p w14:paraId="67FA0908">
      <w:pPr>
        <w:pStyle w:val="27"/>
        <w:spacing w:before="0" w:after="0" w:line="240" w:lineRule="auto"/>
        <w:rPr>
          <w:rFonts w:ascii="Times New Roman" w:hAnsi="Times New Roman"/>
        </w:rPr>
      </w:pPr>
      <w:bookmarkStart w:id="14" w:name="_Toc30204"/>
      <w:bookmarkStart w:id="15" w:name="_Toc7703"/>
      <w:r>
        <w:rPr>
          <w:rFonts w:ascii="Times New Roman" w:hAnsi="Times New Roman"/>
          <w:lang w:val="zh-CN"/>
        </w:rPr>
        <w:t>二、招标文件说明</w:t>
      </w:r>
      <w:bookmarkEnd w:id="14"/>
      <w:bookmarkEnd w:id="15"/>
    </w:p>
    <w:p w14:paraId="595ACF58">
      <w:pPr>
        <w:pStyle w:val="27"/>
        <w:spacing w:before="0" w:after="0" w:line="240" w:lineRule="auto"/>
        <w:jc w:val="left"/>
        <w:rPr>
          <w:rFonts w:ascii="Times New Roman" w:hAnsi="Times New Roman"/>
          <w:lang w:val="zh-CN"/>
        </w:rPr>
      </w:pPr>
      <w:bookmarkStart w:id="16" w:name="_Toc22632"/>
      <w:bookmarkStart w:id="17" w:name="_Toc1772"/>
      <w:r>
        <w:rPr>
          <w:rFonts w:ascii="Times New Roman" w:hAnsi="Times New Roman"/>
          <w:sz w:val="28"/>
          <w:szCs w:val="28"/>
          <w:lang w:val="zh-CN"/>
        </w:rPr>
        <w:t>4.招标文件的构成</w:t>
      </w:r>
      <w:bookmarkEnd w:id="16"/>
      <w:bookmarkEnd w:id="17"/>
    </w:p>
    <w:p w14:paraId="3C894C25">
      <w:pPr>
        <w:autoSpaceDE w:val="0"/>
        <w:autoSpaceDN w:val="0"/>
        <w:spacing w:line="240" w:lineRule="auto"/>
        <w:ind w:firstLine="361" w:firstLineChars="150"/>
        <w:rPr>
          <w:kern w:val="0"/>
          <w:sz w:val="24"/>
          <w:lang w:val="zh-CN"/>
        </w:rPr>
      </w:pPr>
      <w:r>
        <w:rPr>
          <w:kern w:val="0"/>
          <w:sz w:val="24"/>
          <w:lang w:val="zh-CN"/>
        </w:rPr>
        <w:t>4.1</w:t>
      </w:r>
      <w:r>
        <w:rPr>
          <w:kern w:val="0"/>
          <w:sz w:val="24"/>
        </w:rPr>
        <w:t xml:space="preserve"> </w:t>
      </w:r>
      <w:r>
        <w:rPr>
          <w:kern w:val="0"/>
          <w:sz w:val="24"/>
          <w:lang w:val="zh-CN"/>
        </w:rPr>
        <w:t>招标文件包括：</w:t>
      </w:r>
    </w:p>
    <w:p w14:paraId="06C2B57E">
      <w:pPr>
        <w:autoSpaceDE w:val="0"/>
        <w:autoSpaceDN w:val="0"/>
        <w:spacing w:line="240" w:lineRule="auto"/>
        <w:ind w:firstLine="482" w:firstLineChars="200"/>
        <w:rPr>
          <w:kern w:val="0"/>
          <w:sz w:val="24"/>
          <w:lang w:val="zh-CN"/>
        </w:rPr>
      </w:pPr>
      <w:r>
        <w:rPr>
          <w:kern w:val="0"/>
          <w:sz w:val="24"/>
          <w:lang w:val="zh-CN"/>
        </w:rPr>
        <w:t>（1）投标邀请</w:t>
      </w:r>
    </w:p>
    <w:p w14:paraId="046E6442">
      <w:pPr>
        <w:autoSpaceDE w:val="0"/>
        <w:autoSpaceDN w:val="0"/>
        <w:spacing w:line="240" w:lineRule="auto"/>
        <w:ind w:firstLine="482" w:firstLineChars="200"/>
        <w:rPr>
          <w:kern w:val="0"/>
          <w:sz w:val="24"/>
          <w:lang w:val="zh-CN"/>
        </w:rPr>
      </w:pPr>
      <w:r>
        <w:rPr>
          <w:kern w:val="0"/>
          <w:sz w:val="24"/>
          <w:lang w:val="zh-CN"/>
        </w:rPr>
        <w:t>（</w:t>
      </w:r>
      <w:r>
        <w:rPr>
          <w:kern w:val="0"/>
          <w:sz w:val="24"/>
        </w:rPr>
        <w:t>2</w:t>
      </w:r>
      <w:r>
        <w:rPr>
          <w:kern w:val="0"/>
          <w:sz w:val="24"/>
          <w:lang w:val="zh-CN"/>
        </w:rPr>
        <w:t>）</w:t>
      </w:r>
      <w:r>
        <w:rPr>
          <w:rFonts w:hint="eastAsia"/>
          <w:kern w:val="0"/>
          <w:sz w:val="24"/>
          <w:lang w:val="zh-CN"/>
        </w:rPr>
        <w:t>供应商</w:t>
      </w:r>
      <w:r>
        <w:rPr>
          <w:kern w:val="0"/>
          <w:sz w:val="24"/>
          <w:lang w:val="zh-CN"/>
        </w:rPr>
        <w:t>须知</w:t>
      </w:r>
    </w:p>
    <w:p w14:paraId="07D345F1">
      <w:pPr>
        <w:autoSpaceDE w:val="0"/>
        <w:autoSpaceDN w:val="0"/>
        <w:spacing w:line="240" w:lineRule="auto"/>
        <w:ind w:firstLine="482" w:firstLineChars="200"/>
        <w:rPr>
          <w:kern w:val="0"/>
          <w:sz w:val="24"/>
          <w:lang w:val="zh-CN"/>
        </w:rPr>
      </w:pPr>
      <w:r>
        <w:rPr>
          <w:kern w:val="0"/>
          <w:sz w:val="24"/>
          <w:lang w:val="zh-CN"/>
        </w:rPr>
        <w:t>（</w:t>
      </w:r>
      <w:r>
        <w:rPr>
          <w:kern w:val="0"/>
          <w:sz w:val="24"/>
        </w:rPr>
        <w:t>3</w:t>
      </w:r>
      <w:r>
        <w:rPr>
          <w:kern w:val="0"/>
          <w:sz w:val="24"/>
          <w:lang w:val="zh-CN"/>
        </w:rPr>
        <w:t>）</w:t>
      </w:r>
      <w:r>
        <w:rPr>
          <w:rFonts w:hint="eastAsia"/>
          <w:kern w:val="0"/>
          <w:sz w:val="24"/>
          <w:lang w:val="zh-CN"/>
        </w:rPr>
        <w:t>湟源县政府采购项目合同书</w:t>
      </w:r>
      <w:r>
        <w:rPr>
          <w:kern w:val="0"/>
          <w:sz w:val="24"/>
          <w:lang w:val="zh-CN"/>
        </w:rPr>
        <w:t>范本</w:t>
      </w:r>
    </w:p>
    <w:p w14:paraId="38FE7211">
      <w:pPr>
        <w:autoSpaceDE w:val="0"/>
        <w:autoSpaceDN w:val="0"/>
        <w:spacing w:line="240" w:lineRule="auto"/>
        <w:ind w:firstLine="482" w:firstLineChars="200"/>
        <w:rPr>
          <w:kern w:val="0"/>
          <w:sz w:val="24"/>
          <w:lang w:val="zh-CN"/>
        </w:rPr>
      </w:pPr>
      <w:r>
        <w:rPr>
          <w:kern w:val="0"/>
          <w:sz w:val="24"/>
          <w:lang w:val="zh-CN"/>
        </w:rPr>
        <w:t>（</w:t>
      </w:r>
      <w:r>
        <w:rPr>
          <w:kern w:val="0"/>
          <w:sz w:val="24"/>
        </w:rPr>
        <w:t>4</w:t>
      </w:r>
      <w:r>
        <w:rPr>
          <w:kern w:val="0"/>
          <w:sz w:val="24"/>
          <w:lang w:val="zh-CN"/>
        </w:rPr>
        <w:t>）投标文件格式</w:t>
      </w:r>
    </w:p>
    <w:p w14:paraId="1169C1AF">
      <w:pPr>
        <w:autoSpaceDE w:val="0"/>
        <w:autoSpaceDN w:val="0"/>
        <w:spacing w:line="240" w:lineRule="auto"/>
        <w:ind w:firstLine="482" w:firstLineChars="200"/>
        <w:rPr>
          <w:kern w:val="0"/>
          <w:sz w:val="24"/>
          <w:lang w:val="zh-CN"/>
        </w:rPr>
      </w:pPr>
      <w:r>
        <w:rPr>
          <w:kern w:val="0"/>
          <w:sz w:val="24"/>
          <w:lang w:val="zh-CN"/>
        </w:rPr>
        <w:t>（</w:t>
      </w:r>
      <w:r>
        <w:rPr>
          <w:kern w:val="0"/>
          <w:sz w:val="24"/>
        </w:rPr>
        <w:t>5</w:t>
      </w:r>
      <w:r>
        <w:rPr>
          <w:kern w:val="0"/>
          <w:sz w:val="24"/>
          <w:lang w:val="zh-CN"/>
        </w:rPr>
        <w:t>）采购项目要求及技术参数</w:t>
      </w:r>
      <w:r>
        <w:rPr>
          <w:rFonts w:hint="eastAsia"/>
          <w:kern w:val="0"/>
          <w:sz w:val="24"/>
          <w:lang w:val="zh-CN"/>
        </w:rPr>
        <w:t xml:space="preserve">                                               </w:t>
      </w:r>
    </w:p>
    <w:p w14:paraId="2709400B">
      <w:pPr>
        <w:autoSpaceDE w:val="0"/>
        <w:autoSpaceDN w:val="0"/>
        <w:spacing w:line="240" w:lineRule="auto"/>
        <w:ind w:firstLine="482" w:firstLineChars="200"/>
        <w:rPr>
          <w:kern w:val="0"/>
          <w:sz w:val="24"/>
          <w:lang w:val="zh-CN"/>
        </w:rPr>
      </w:pPr>
      <w:r>
        <w:rPr>
          <w:kern w:val="0"/>
          <w:sz w:val="24"/>
          <w:lang w:val="zh-CN"/>
        </w:rPr>
        <w:t>（</w:t>
      </w:r>
      <w:r>
        <w:rPr>
          <w:kern w:val="0"/>
          <w:sz w:val="24"/>
        </w:rPr>
        <w:t>6</w:t>
      </w:r>
      <w:r>
        <w:rPr>
          <w:kern w:val="0"/>
          <w:sz w:val="24"/>
          <w:lang w:val="zh-CN"/>
        </w:rPr>
        <w:t>）采购过程中发生的澄清、变更和补充文件</w:t>
      </w:r>
    </w:p>
    <w:p w14:paraId="54D58715">
      <w:pPr>
        <w:autoSpaceDE w:val="0"/>
        <w:autoSpaceDN w:val="0"/>
        <w:spacing w:line="240" w:lineRule="auto"/>
        <w:ind w:firstLine="361" w:firstLineChars="150"/>
        <w:rPr>
          <w:kern w:val="0"/>
          <w:sz w:val="24"/>
          <w:lang w:val="zh-CN"/>
        </w:rPr>
      </w:pPr>
      <w:r>
        <w:rPr>
          <w:kern w:val="0"/>
          <w:sz w:val="24"/>
          <w:lang w:val="zh-CN"/>
        </w:rPr>
        <w:t xml:space="preserve">4.2 </w:t>
      </w:r>
      <w:r>
        <w:rPr>
          <w:rFonts w:hint="eastAsia" w:ascii="宋体" w:hAnsi="宋体" w:cs="宋体"/>
          <w:kern w:val="0"/>
          <w:sz w:val="24"/>
          <w:lang w:val="zh-CN"/>
        </w:rPr>
        <w:t>供应商应认真阅读招标文件中列示的事项、格式、条款和要求等内容。如果供应商未按招标文件要求提交全部资料，或者对招标文件未作出实质性响应的，根据相关法律法规要求，此类投标将被拒绝（视为无效投标）。</w:t>
      </w:r>
      <w:r>
        <w:rPr>
          <w:rFonts w:hint="eastAsia" w:ascii="宋体" w:hAnsi="宋体" w:cs="宋体"/>
          <w:kern w:val="0"/>
          <w:sz w:val="24"/>
          <w:lang w:val="zh-CN"/>
        </w:rPr>
        <w:tab/>
      </w:r>
    </w:p>
    <w:p w14:paraId="14A1A2EC">
      <w:pPr>
        <w:pStyle w:val="27"/>
        <w:spacing w:before="0" w:after="0" w:line="240" w:lineRule="auto"/>
        <w:jc w:val="left"/>
        <w:rPr>
          <w:rFonts w:ascii="Times New Roman" w:hAnsi="Times New Roman"/>
          <w:sz w:val="28"/>
          <w:szCs w:val="28"/>
          <w:lang w:val="zh-CN"/>
        </w:rPr>
      </w:pPr>
      <w:bookmarkStart w:id="18" w:name="_Toc32125"/>
      <w:bookmarkStart w:id="19" w:name="_Toc4493"/>
      <w:r>
        <w:rPr>
          <w:rFonts w:ascii="Times New Roman" w:hAnsi="Times New Roman"/>
          <w:sz w:val="28"/>
          <w:szCs w:val="28"/>
          <w:lang w:val="zh-CN"/>
        </w:rPr>
        <w:t>5.招标公告、招标文件、采购活动和中标结果的质疑</w:t>
      </w:r>
      <w:bookmarkEnd w:id="18"/>
      <w:bookmarkEnd w:id="19"/>
    </w:p>
    <w:p w14:paraId="37136408">
      <w:pPr>
        <w:autoSpaceDE w:val="0"/>
        <w:autoSpaceDN w:val="0"/>
        <w:spacing w:line="240" w:lineRule="auto"/>
        <w:ind w:firstLine="482" w:firstLineChars="200"/>
        <w:rPr>
          <w:kern w:val="0"/>
          <w:sz w:val="24"/>
          <w:lang w:val="zh-CN"/>
        </w:rPr>
      </w:pPr>
      <w:r>
        <w:rPr>
          <w:rFonts w:hint="eastAsia"/>
          <w:kern w:val="0"/>
          <w:sz w:val="24"/>
          <w:lang w:val="zh-CN"/>
        </w:rPr>
        <w:t>供应商</w:t>
      </w:r>
      <w:r>
        <w:rPr>
          <w:kern w:val="0"/>
          <w:sz w:val="24"/>
          <w:lang w:val="zh-CN"/>
        </w:rPr>
        <w:t>认为招标文件、采购过程和中标结果使自己的权益受到损害的，可以在知道或者应知其权益受到损害之日起7个工作日内以书面形式（如信件、传真等）向采购人或者</w:t>
      </w:r>
      <w:r>
        <w:rPr>
          <w:rFonts w:hint="eastAsia"/>
          <w:kern w:val="0"/>
          <w:sz w:val="24"/>
          <w:lang w:val="zh-CN"/>
        </w:rPr>
        <w:t>集中采购机构</w:t>
      </w:r>
      <w:r>
        <w:rPr>
          <w:kern w:val="0"/>
          <w:sz w:val="24"/>
          <w:lang w:val="zh-CN"/>
        </w:rPr>
        <w:t>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w:t>
      </w:r>
      <w:r>
        <w:rPr>
          <w:rFonts w:hint="eastAsia"/>
          <w:kern w:val="0"/>
          <w:sz w:val="24"/>
          <w:lang w:val="zh-CN"/>
        </w:rPr>
        <w:t>集中采购机构</w:t>
      </w:r>
      <w:r>
        <w:rPr>
          <w:kern w:val="0"/>
          <w:sz w:val="24"/>
          <w:lang w:val="zh-CN"/>
        </w:rPr>
        <w:t>在收到书面质疑函后7个工作日内作出答复。</w:t>
      </w:r>
    </w:p>
    <w:p w14:paraId="6EBB37B5">
      <w:pPr>
        <w:autoSpaceDE w:val="0"/>
        <w:autoSpaceDN w:val="0"/>
        <w:spacing w:line="240" w:lineRule="auto"/>
        <w:ind w:firstLine="482" w:firstLineChars="200"/>
        <w:rPr>
          <w:kern w:val="0"/>
          <w:sz w:val="24"/>
          <w:lang w:val="zh-CN"/>
        </w:rPr>
      </w:pPr>
      <w:r>
        <w:rPr>
          <w:kern w:val="0"/>
          <w:sz w:val="24"/>
          <w:lang w:val="zh-CN"/>
        </w:rPr>
        <w:t>参与采购活动的</w:t>
      </w:r>
      <w:r>
        <w:rPr>
          <w:rFonts w:hint="eastAsia"/>
          <w:kern w:val="0"/>
          <w:sz w:val="24"/>
          <w:lang w:val="zh-CN"/>
        </w:rPr>
        <w:t>供应商</w:t>
      </w:r>
      <w:r>
        <w:rPr>
          <w:kern w:val="0"/>
          <w:sz w:val="24"/>
          <w:lang w:val="zh-CN"/>
        </w:rPr>
        <w:t>对评审过程或者结果提出质疑的，采购人或</w:t>
      </w:r>
      <w:r>
        <w:rPr>
          <w:rFonts w:hint="eastAsia"/>
          <w:kern w:val="0"/>
          <w:sz w:val="24"/>
          <w:lang w:val="zh-CN"/>
        </w:rPr>
        <w:t>集中采购机构</w:t>
      </w:r>
      <w:r>
        <w:rPr>
          <w:kern w:val="0"/>
          <w:sz w:val="24"/>
          <w:lang w:val="zh-CN"/>
        </w:rPr>
        <w:t>可以组织原评审委员会协助处理质疑事项，并依据评审委员会出具的意见进行答复。质疑事项处理完成后，采购人或</w:t>
      </w:r>
      <w:r>
        <w:rPr>
          <w:rFonts w:hint="eastAsia"/>
          <w:kern w:val="0"/>
          <w:sz w:val="24"/>
          <w:lang w:val="zh-CN"/>
        </w:rPr>
        <w:t>集中采购机构</w:t>
      </w:r>
      <w:r>
        <w:rPr>
          <w:kern w:val="0"/>
          <w:sz w:val="24"/>
          <w:lang w:val="zh-CN"/>
        </w:rPr>
        <w:t>应按照规定填写《青海省政府采购</w:t>
      </w:r>
      <w:r>
        <w:rPr>
          <w:rFonts w:hint="eastAsia"/>
          <w:kern w:val="0"/>
          <w:sz w:val="24"/>
          <w:lang w:val="zh-CN"/>
        </w:rPr>
        <w:t>供应商</w:t>
      </w:r>
      <w:r>
        <w:rPr>
          <w:kern w:val="0"/>
          <w:sz w:val="24"/>
          <w:lang w:val="zh-CN"/>
        </w:rPr>
        <w:t>质疑处理情况表》，并在15日内报同级政府采购监督管理部门备案。</w:t>
      </w:r>
    </w:p>
    <w:p w14:paraId="6BF75649">
      <w:pPr>
        <w:autoSpaceDE w:val="0"/>
        <w:autoSpaceDN w:val="0"/>
        <w:spacing w:line="240" w:lineRule="auto"/>
        <w:ind w:firstLine="482" w:firstLineChars="200"/>
        <w:rPr>
          <w:kern w:val="0"/>
          <w:sz w:val="24"/>
          <w:lang w:val="zh-CN"/>
        </w:rPr>
      </w:pPr>
      <w:r>
        <w:rPr>
          <w:rFonts w:hint="eastAsia"/>
          <w:kern w:val="0"/>
          <w:sz w:val="24"/>
          <w:lang w:val="zh-CN"/>
        </w:rPr>
        <w:t>供应商</w:t>
      </w:r>
      <w:r>
        <w:rPr>
          <w:kern w:val="0"/>
          <w:sz w:val="24"/>
          <w:lang w:val="zh-CN"/>
        </w:rPr>
        <w:t>应知其权益受到损害之日，是指：</w:t>
      </w:r>
    </w:p>
    <w:p w14:paraId="1C519113">
      <w:pPr>
        <w:autoSpaceDE w:val="0"/>
        <w:autoSpaceDN w:val="0"/>
        <w:spacing w:line="240" w:lineRule="auto"/>
        <w:ind w:firstLine="482" w:firstLineChars="200"/>
        <w:rPr>
          <w:kern w:val="0"/>
          <w:sz w:val="24"/>
          <w:lang w:val="zh-CN"/>
        </w:rPr>
      </w:pPr>
      <w:r>
        <w:rPr>
          <w:kern w:val="0"/>
          <w:sz w:val="24"/>
          <w:lang w:val="zh-CN"/>
        </w:rPr>
        <w:t>（一）对可以质疑的招标文件提出质疑的，为收到招标文件之日或者招标文件公告期限届满之日；</w:t>
      </w:r>
    </w:p>
    <w:p w14:paraId="762A0F05">
      <w:pPr>
        <w:autoSpaceDE w:val="0"/>
        <w:autoSpaceDN w:val="0"/>
        <w:spacing w:line="240" w:lineRule="auto"/>
        <w:ind w:firstLine="482" w:firstLineChars="200"/>
        <w:rPr>
          <w:kern w:val="0"/>
          <w:sz w:val="24"/>
          <w:lang w:val="zh-CN"/>
        </w:rPr>
      </w:pPr>
      <w:r>
        <w:rPr>
          <w:kern w:val="0"/>
          <w:sz w:val="24"/>
          <w:lang w:val="zh-CN"/>
        </w:rPr>
        <w:t>（二）对采购过程提出质疑的，为各采购程序环节结束之日；</w:t>
      </w:r>
    </w:p>
    <w:p w14:paraId="3174516C">
      <w:pPr>
        <w:autoSpaceDE w:val="0"/>
        <w:autoSpaceDN w:val="0"/>
        <w:spacing w:line="240" w:lineRule="auto"/>
        <w:ind w:firstLine="482" w:firstLineChars="200"/>
        <w:rPr>
          <w:kern w:val="0"/>
          <w:lang w:val="zh-CN"/>
        </w:rPr>
      </w:pPr>
      <w:r>
        <w:rPr>
          <w:kern w:val="0"/>
          <w:sz w:val="24"/>
          <w:lang w:val="zh-CN"/>
        </w:rPr>
        <w:t>（三）对中标结果提出质疑的，为中标结果公告期限届满之日。</w:t>
      </w:r>
    </w:p>
    <w:p w14:paraId="5A57550A">
      <w:pPr>
        <w:pStyle w:val="27"/>
        <w:spacing w:before="0" w:after="0" w:line="240" w:lineRule="auto"/>
        <w:jc w:val="left"/>
        <w:rPr>
          <w:rFonts w:ascii="Times New Roman" w:hAnsi="Times New Roman"/>
          <w:lang w:val="zh-CN"/>
        </w:rPr>
      </w:pPr>
      <w:bookmarkStart w:id="20" w:name="_Toc14432"/>
      <w:bookmarkStart w:id="21" w:name="_Toc24827"/>
      <w:r>
        <w:rPr>
          <w:rFonts w:ascii="Times New Roman" w:hAnsi="Times New Roman"/>
          <w:sz w:val="28"/>
          <w:szCs w:val="28"/>
          <w:lang w:val="zh-CN"/>
        </w:rPr>
        <w:t>6.招标文件的澄清或修改</w:t>
      </w:r>
      <w:bookmarkEnd w:id="20"/>
      <w:bookmarkEnd w:id="21"/>
    </w:p>
    <w:p w14:paraId="72EBA9FC">
      <w:pPr>
        <w:autoSpaceDE w:val="0"/>
        <w:autoSpaceDN w:val="0"/>
        <w:spacing w:line="240" w:lineRule="auto"/>
        <w:ind w:firstLine="482" w:firstLineChars="200"/>
        <w:rPr>
          <w:kern w:val="0"/>
          <w:sz w:val="24"/>
          <w:lang w:val="zh-CN"/>
        </w:rPr>
      </w:pPr>
      <w:r>
        <w:rPr>
          <w:kern w:val="0"/>
          <w:sz w:val="24"/>
          <w:lang w:val="zh-CN"/>
        </w:rPr>
        <w:t>6.1 采购人或者</w:t>
      </w:r>
      <w:r>
        <w:rPr>
          <w:rFonts w:hint="eastAsia"/>
          <w:kern w:val="0"/>
          <w:sz w:val="24"/>
          <w:lang w:val="zh-CN"/>
        </w:rPr>
        <w:t>集中采购机构</w:t>
      </w:r>
      <w:r>
        <w:rPr>
          <w:kern w:val="0"/>
          <w:sz w:val="24"/>
          <w:lang w:val="zh-CN"/>
        </w:rPr>
        <w:t>可以对已发出的招标文件进行必要的澄清或者修改，但不得改变采购标的和资格条件。澄清或者修改应当在原公告发布媒体上发布澄清公告。澄清或者修改的内容为招标文件的组成部分。</w:t>
      </w:r>
    </w:p>
    <w:p w14:paraId="0AB833AE">
      <w:pPr>
        <w:autoSpaceDE w:val="0"/>
        <w:autoSpaceDN w:val="0"/>
        <w:spacing w:line="240" w:lineRule="auto"/>
        <w:ind w:firstLine="482" w:firstLineChars="200"/>
        <w:rPr>
          <w:kern w:val="0"/>
          <w:sz w:val="24"/>
          <w:lang w:val="zh-CN"/>
        </w:rPr>
      </w:pPr>
      <w:r>
        <w:rPr>
          <w:rFonts w:hint="eastAsia" w:ascii="宋体" w:hAnsi="宋体" w:cs="宋体"/>
          <w:kern w:val="0"/>
          <w:sz w:val="24"/>
          <w:lang w:val="zh-CN"/>
        </w:rPr>
        <w:t>澄清或者修改的内容可能影响投标文件编制的，采购人或者集中采购机构应当在投标截止时间至少15日前，以书面形式通知所有获取招标文件的潜在供应商；不足15日的，采购人或者集中采购机构应当顺延提交投标文件的截止时间。</w:t>
      </w:r>
    </w:p>
    <w:p w14:paraId="4CCA853F">
      <w:pPr>
        <w:autoSpaceDE w:val="0"/>
        <w:autoSpaceDN w:val="0"/>
        <w:spacing w:line="240" w:lineRule="auto"/>
        <w:ind w:firstLine="482" w:firstLineChars="200"/>
        <w:rPr>
          <w:kern w:val="0"/>
          <w:sz w:val="24"/>
          <w:lang w:val="zh-CN"/>
        </w:rPr>
      </w:pPr>
      <w:r>
        <w:rPr>
          <w:kern w:val="0"/>
          <w:sz w:val="24"/>
          <w:lang w:val="zh-CN"/>
        </w:rPr>
        <w:t>6.2 澄清或者修改的内容可能影响投标文件编制的，采购人或者</w:t>
      </w:r>
      <w:r>
        <w:rPr>
          <w:rFonts w:hint="eastAsia"/>
          <w:kern w:val="0"/>
          <w:sz w:val="24"/>
          <w:lang w:val="zh-CN"/>
        </w:rPr>
        <w:t>集中采购机构</w:t>
      </w:r>
      <w:r>
        <w:rPr>
          <w:kern w:val="0"/>
          <w:sz w:val="24"/>
          <w:lang w:val="zh-CN"/>
        </w:rPr>
        <w:t>应当在投标截止时间至少15日前，以书面形式通知所有获取招标文件的潜在</w:t>
      </w:r>
      <w:r>
        <w:rPr>
          <w:rFonts w:hint="eastAsia"/>
          <w:kern w:val="0"/>
          <w:sz w:val="24"/>
          <w:lang w:val="zh-CN"/>
        </w:rPr>
        <w:t>供应商</w:t>
      </w:r>
      <w:r>
        <w:rPr>
          <w:kern w:val="0"/>
          <w:sz w:val="24"/>
          <w:lang w:val="zh-CN"/>
        </w:rPr>
        <w:t>；不足15日的，采购人或者</w:t>
      </w:r>
      <w:r>
        <w:rPr>
          <w:rFonts w:hint="eastAsia"/>
          <w:kern w:val="0"/>
          <w:sz w:val="24"/>
          <w:lang w:val="zh-CN"/>
        </w:rPr>
        <w:t>集中采购机构</w:t>
      </w:r>
      <w:r>
        <w:rPr>
          <w:kern w:val="0"/>
          <w:sz w:val="24"/>
          <w:lang w:val="zh-CN"/>
        </w:rPr>
        <w:t>应当顺延提交投标文件的截止时间。</w:t>
      </w:r>
    </w:p>
    <w:p w14:paraId="34C31A19">
      <w:pPr>
        <w:pStyle w:val="27"/>
        <w:spacing w:before="0" w:after="0" w:line="240" w:lineRule="auto"/>
        <w:rPr>
          <w:rFonts w:ascii="Times New Roman" w:hAnsi="Times New Roman"/>
        </w:rPr>
      </w:pPr>
      <w:bookmarkStart w:id="22" w:name="_Toc7106"/>
      <w:bookmarkStart w:id="23" w:name="_Toc10416"/>
      <w:r>
        <w:rPr>
          <w:rFonts w:ascii="Times New Roman" w:hAnsi="Times New Roman"/>
          <w:lang w:val="zh-CN"/>
        </w:rPr>
        <w:t>三、投标文件的编制</w:t>
      </w:r>
      <w:bookmarkEnd w:id="22"/>
      <w:bookmarkEnd w:id="23"/>
    </w:p>
    <w:p w14:paraId="15E282F3">
      <w:pPr>
        <w:pStyle w:val="27"/>
        <w:spacing w:before="0" w:after="0" w:line="240" w:lineRule="auto"/>
        <w:jc w:val="left"/>
        <w:rPr>
          <w:rFonts w:ascii="Times New Roman" w:hAnsi="Times New Roman"/>
          <w:lang w:val="zh-CN"/>
        </w:rPr>
      </w:pPr>
      <w:bookmarkStart w:id="24" w:name="_Toc25538"/>
      <w:bookmarkStart w:id="25" w:name="_Toc15916"/>
      <w:r>
        <w:rPr>
          <w:rFonts w:ascii="Times New Roman" w:hAnsi="Times New Roman"/>
          <w:sz w:val="28"/>
          <w:szCs w:val="28"/>
          <w:lang w:val="zh-CN"/>
        </w:rPr>
        <w:t>7.投标文件的语言及度量衡单位</w:t>
      </w:r>
      <w:bookmarkEnd w:id="24"/>
      <w:bookmarkEnd w:id="25"/>
    </w:p>
    <w:p w14:paraId="3BFC2F35">
      <w:pPr>
        <w:autoSpaceDE w:val="0"/>
        <w:autoSpaceDN w:val="0"/>
        <w:spacing w:line="240" w:lineRule="auto"/>
        <w:ind w:firstLine="482" w:firstLineChars="200"/>
        <w:rPr>
          <w:kern w:val="0"/>
          <w:sz w:val="24"/>
          <w:lang w:val="zh-CN"/>
        </w:rPr>
      </w:pPr>
      <w:r>
        <w:rPr>
          <w:kern w:val="0"/>
          <w:sz w:val="24"/>
          <w:lang w:val="zh-CN"/>
        </w:rPr>
        <w:t>7.1</w:t>
      </w:r>
      <w:r>
        <w:rPr>
          <w:kern w:val="0"/>
          <w:sz w:val="24"/>
        </w:rPr>
        <w:t xml:space="preserve"> </w:t>
      </w:r>
      <w:r>
        <w:rPr>
          <w:rFonts w:hint="eastAsia"/>
          <w:kern w:val="0"/>
          <w:sz w:val="24"/>
          <w:lang w:val="zh-CN"/>
        </w:rPr>
        <w:t>供应商</w:t>
      </w:r>
      <w:r>
        <w:rPr>
          <w:kern w:val="0"/>
          <w:sz w:val="24"/>
          <w:lang w:val="zh-CN"/>
        </w:rPr>
        <w:t>提交的投标文件以及</w:t>
      </w:r>
      <w:r>
        <w:rPr>
          <w:rFonts w:hint="eastAsia"/>
          <w:kern w:val="0"/>
          <w:sz w:val="24"/>
          <w:lang w:val="zh-CN"/>
        </w:rPr>
        <w:t>供应商</w:t>
      </w:r>
      <w:r>
        <w:rPr>
          <w:kern w:val="0"/>
          <w:sz w:val="24"/>
          <w:lang w:val="zh-CN"/>
        </w:rPr>
        <w:t>与</w:t>
      </w:r>
      <w:r>
        <w:rPr>
          <w:rFonts w:hint="eastAsia"/>
          <w:kern w:val="0"/>
          <w:sz w:val="24"/>
          <w:lang w:val="zh-CN"/>
        </w:rPr>
        <w:t>集中采购机构</w:t>
      </w:r>
      <w:r>
        <w:rPr>
          <w:kern w:val="0"/>
          <w:sz w:val="24"/>
          <w:lang w:val="zh-CN"/>
        </w:rPr>
        <w:t>就此投标发生的所有来往函电均应使用简体中文。</w:t>
      </w:r>
      <w:r>
        <w:rPr>
          <w:sz w:val="24"/>
        </w:rPr>
        <w:t>除签名、盖章、专用名称等特殊情形外，以中文汉语以外的文字表述的投标文件视同未提供。</w:t>
      </w:r>
    </w:p>
    <w:p w14:paraId="1B5C50EA">
      <w:pPr>
        <w:autoSpaceDE w:val="0"/>
        <w:autoSpaceDN w:val="0"/>
        <w:spacing w:line="240" w:lineRule="auto"/>
        <w:ind w:firstLine="482" w:firstLineChars="200"/>
        <w:rPr>
          <w:kern w:val="0"/>
          <w:sz w:val="24"/>
          <w:lang w:val="zh-CN"/>
        </w:rPr>
      </w:pPr>
      <w:r>
        <w:rPr>
          <w:kern w:val="0"/>
          <w:sz w:val="24"/>
          <w:lang w:val="zh-CN"/>
        </w:rPr>
        <w:t>7.2 除招标文件中另有规定外，投标文件所使用的度量衡单位，均须采用国家法定计量单位。</w:t>
      </w:r>
    </w:p>
    <w:p w14:paraId="09325B54">
      <w:pPr>
        <w:autoSpaceDE w:val="0"/>
        <w:autoSpaceDN w:val="0"/>
        <w:spacing w:line="240" w:lineRule="auto"/>
        <w:ind w:firstLine="482" w:firstLineChars="200"/>
        <w:rPr>
          <w:kern w:val="0"/>
          <w:lang w:val="zh-CN"/>
        </w:rPr>
      </w:pPr>
      <w:r>
        <w:rPr>
          <w:kern w:val="0"/>
          <w:sz w:val="24"/>
          <w:lang w:val="zh-CN"/>
        </w:rPr>
        <w:t>7.3 附有外文资料的须翻译成中文，并加盖</w:t>
      </w:r>
      <w:r>
        <w:rPr>
          <w:rFonts w:hint="eastAsia"/>
          <w:kern w:val="0"/>
          <w:sz w:val="24"/>
          <w:lang w:val="zh-CN"/>
        </w:rPr>
        <w:t>供应商</w:t>
      </w:r>
      <w:r>
        <w:rPr>
          <w:kern w:val="0"/>
          <w:sz w:val="24"/>
          <w:lang w:val="zh-CN"/>
        </w:rPr>
        <w:t>公章，如果翻译的中文资料与外文资料出现差异与矛盾时，以中文为准，其准确性由</w:t>
      </w:r>
      <w:r>
        <w:rPr>
          <w:rFonts w:hint="eastAsia"/>
          <w:kern w:val="0"/>
          <w:sz w:val="24"/>
          <w:lang w:val="zh-CN"/>
        </w:rPr>
        <w:t>供应商</w:t>
      </w:r>
      <w:r>
        <w:rPr>
          <w:kern w:val="0"/>
          <w:sz w:val="24"/>
          <w:lang w:val="zh-CN"/>
        </w:rPr>
        <w:t>负责。</w:t>
      </w:r>
    </w:p>
    <w:p w14:paraId="3302AA8F">
      <w:pPr>
        <w:pStyle w:val="27"/>
        <w:spacing w:before="0" w:after="0" w:line="240" w:lineRule="auto"/>
        <w:jc w:val="left"/>
        <w:rPr>
          <w:rFonts w:ascii="Times New Roman" w:hAnsi="Times New Roman"/>
          <w:lang w:val="zh-CN"/>
        </w:rPr>
      </w:pPr>
      <w:bookmarkStart w:id="26" w:name="_Toc8038"/>
      <w:bookmarkStart w:id="27" w:name="_Toc5931"/>
      <w:r>
        <w:rPr>
          <w:rFonts w:ascii="Times New Roman" w:hAnsi="Times New Roman"/>
          <w:sz w:val="28"/>
          <w:szCs w:val="28"/>
          <w:lang w:val="zh-CN"/>
        </w:rPr>
        <w:t>8.投标报价及币种</w:t>
      </w:r>
      <w:bookmarkEnd w:id="26"/>
      <w:bookmarkEnd w:id="27"/>
    </w:p>
    <w:p w14:paraId="3B4938FB">
      <w:pPr>
        <w:autoSpaceDE w:val="0"/>
        <w:autoSpaceDN w:val="0"/>
        <w:spacing w:line="240" w:lineRule="auto"/>
        <w:ind w:firstLine="482" w:firstLineChars="200"/>
        <w:rPr>
          <w:rFonts w:hint="eastAsia" w:eastAsia="宋体"/>
          <w:kern w:val="0"/>
          <w:sz w:val="24"/>
          <w:lang w:val="zh-CN" w:eastAsia="zh-CN"/>
        </w:rPr>
      </w:pPr>
      <w:r>
        <w:rPr>
          <w:kern w:val="0"/>
          <w:sz w:val="24"/>
          <w:lang w:val="zh-CN"/>
        </w:rPr>
        <w:t>8.1</w:t>
      </w:r>
      <w:r>
        <w:rPr>
          <w:kern w:val="0"/>
          <w:sz w:val="24"/>
        </w:rPr>
        <w:t xml:space="preserve"> </w:t>
      </w:r>
      <w:r>
        <w:rPr>
          <w:kern w:val="0"/>
          <w:sz w:val="24"/>
          <w:lang w:val="zh-CN"/>
        </w:rPr>
        <w:t>投标报价为投标总价。</w:t>
      </w:r>
      <w:r>
        <w:rPr>
          <w:sz w:val="24"/>
        </w:rPr>
        <w:t>投标报价应包含全部</w:t>
      </w:r>
      <w:r>
        <w:rPr>
          <w:rFonts w:hint="eastAsia"/>
          <w:sz w:val="24"/>
          <w:lang w:eastAsia="zh-CN"/>
        </w:rPr>
        <w:t>产品费、验收费、手续费、包装费、运输费、保险费、售前、售中、售后服务费、招标</w:t>
      </w:r>
      <w:r>
        <w:rPr>
          <w:rFonts w:hint="eastAsia"/>
          <w:color w:val="auto"/>
          <w:sz w:val="24"/>
          <w:lang w:eastAsia="zh-CN"/>
        </w:rPr>
        <w:t>代理费、税金、抽样检测费及不</w:t>
      </w:r>
      <w:r>
        <w:rPr>
          <w:rFonts w:hint="eastAsia"/>
          <w:sz w:val="24"/>
          <w:lang w:eastAsia="zh-CN"/>
        </w:rPr>
        <w:t>可预见费等全部费用。</w:t>
      </w:r>
    </w:p>
    <w:p w14:paraId="3EFD3C3C">
      <w:pPr>
        <w:autoSpaceDE w:val="0"/>
        <w:autoSpaceDN w:val="0"/>
        <w:spacing w:line="240" w:lineRule="auto"/>
        <w:ind w:firstLine="482" w:firstLineChars="200"/>
        <w:rPr>
          <w:kern w:val="0"/>
          <w:sz w:val="24"/>
          <w:lang w:val="zh-CN"/>
        </w:rPr>
      </w:pPr>
      <w:r>
        <w:rPr>
          <w:kern w:val="0"/>
          <w:sz w:val="24"/>
          <w:lang w:val="zh-CN"/>
        </w:rPr>
        <w:t>8.2</w:t>
      </w:r>
      <w:r>
        <w:rPr>
          <w:kern w:val="0"/>
          <w:sz w:val="24"/>
        </w:rPr>
        <w:t xml:space="preserve"> </w:t>
      </w:r>
      <w:r>
        <w:rPr>
          <w:kern w:val="0"/>
          <w:sz w:val="24"/>
          <w:lang w:val="zh-CN"/>
        </w:rPr>
        <w:t>投标报价有效期与投标有效期一致。</w:t>
      </w:r>
    </w:p>
    <w:p w14:paraId="2B7B09F3">
      <w:pPr>
        <w:autoSpaceDE w:val="0"/>
        <w:autoSpaceDN w:val="0"/>
        <w:spacing w:line="240" w:lineRule="auto"/>
        <w:ind w:firstLine="482" w:firstLineChars="200"/>
        <w:rPr>
          <w:kern w:val="0"/>
          <w:sz w:val="24"/>
          <w:lang w:val="zh-CN"/>
        </w:rPr>
      </w:pPr>
      <w:r>
        <w:rPr>
          <w:kern w:val="0"/>
          <w:sz w:val="24"/>
          <w:lang w:val="zh-CN"/>
        </w:rPr>
        <w:t>8.</w:t>
      </w:r>
      <w:r>
        <w:rPr>
          <w:kern w:val="0"/>
          <w:sz w:val="24"/>
        </w:rPr>
        <w:t xml:space="preserve">3 </w:t>
      </w:r>
      <w:r>
        <w:rPr>
          <w:kern w:val="0"/>
          <w:sz w:val="24"/>
          <w:lang w:val="zh-CN"/>
        </w:rPr>
        <w:t>投标报价为闭口价，即中标后在合同有效期内价格不变。</w:t>
      </w:r>
    </w:p>
    <w:p w14:paraId="1CABF795">
      <w:pPr>
        <w:autoSpaceDE w:val="0"/>
        <w:autoSpaceDN w:val="0"/>
        <w:spacing w:line="240" w:lineRule="auto"/>
        <w:ind w:firstLine="482" w:firstLineChars="200"/>
        <w:rPr>
          <w:rFonts w:hint="eastAsia"/>
          <w:kern w:val="0"/>
          <w:sz w:val="24"/>
          <w:lang w:val="zh-CN"/>
        </w:rPr>
      </w:pPr>
      <w:r>
        <w:rPr>
          <w:kern w:val="0"/>
          <w:sz w:val="24"/>
          <w:lang w:val="zh-CN"/>
        </w:rPr>
        <w:t>8.</w:t>
      </w:r>
      <w:r>
        <w:rPr>
          <w:kern w:val="0"/>
          <w:sz w:val="24"/>
        </w:rPr>
        <w:t xml:space="preserve">4 </w:t>
      </w:r>
      <w:r>
        <w:rPr>
          <w:kern w:val="0"/>
          <w:sz w:val="24"/>
          <w:lang w:val="zh-CN"/>
        </w:rPr>
        <w:t>投标币种是人民币。</w:t>
      </w:r>
    </w:p>
    <w:p w14:paraId="2D39F176">
      <w:pPr>
        <w:pStyle w:val="27"/>
        <w:spacing w:before="0" w:after="0" w:line="240" w:lineRule="auto"/>
        <w:jc w:val="left"/>
        <w:rPr>
          <w:rFonts w:hint="eastAsia" w:ascii="宋体" w:hAnsi="宋体" w:cs="宋体"/>
          <w:lang w:val="zh-CN"/>
        </w:rPr>
      </w:pPr>
      <w:bookmarkStart w:id="28" w:name="_Toc31647"/>
      <w:r>
        <w:rPr>
          <w:rFonts w:hint="eastAsia"/>
          <w:kern w:val="0"/>
          <w:sz w:val="24"/>
          <w:lang w:val="zh-CN"/>
        </w:rPr>
        <w:t>9.</w:t>
      </w:r>
      <w:r>
        <w:rPr>
          <w:rFonts w:hint="eastAsia" w:ascii="宋体" w:hAnsi="宋体" w:cs="宋体"/>
          <w:sz w:val="28"/>
          <w:szCs w:val="28"/>
          <w:lang w:val="zh-CN"/>
        </w:rPr>
        <w:t xml:space="preserve"> 投标保证金（</w:t>
      </w:r>
      <w:r>
        <w:rPr>
          <w:rFonts w:hint="eastAsia" w:ascii="宋体" w:hAnsi="宋体" w:cs="宋体"/>
          <w:sz w:val="28"/>
          <w:szCs w:val="28"/>
          <w:lang w:val="en-US" w:eastAsia="zh-CN"/>
        </w:rPr>
        <w:t>本项目不收取</w:t>
      </w:r>
      <w:r>
        <w:rPr>
          <w:rFonts w:hint="eastAsia" w:ascii="宋体" w:hAnsi="宋体" w:eastAsia="宋体" w:cs="宋体"/>
          <w:sz w:val="28"/>
          <w:szCs w:val="28"/>
          <w:lang w:val="zh-CN"/>
        </w:rPr>
        <w:t>投标保证金</w:t>
      </w:r>
      <w:r>
        <w:rPr>
          <w:rFonts w:hint="eastAsia" w:ascii="宋体" w:hAnsi="宋体" w:cs="宋体"/>
          <w:sz w:val="28"/>
          <w:szCs w:val="28"/>
          <w:lang w:val="zh-CN"/>
        </w:rPr>
        <w:t>）</w:t>
      </w:r>
      <w:bookmarkEnd w:id="28"/>
    </w:p>
    <w:p w14:paraId="49009358">
      <w:pPr>
        <w:pStyle w:val="27"/>
        <w:spacing w:before="0" w:after="0" w:line="240" w:lineRule="auto"/>
        <w:jc w:val="left"/>
        <w:rPr>
          <w:rFonts w:ascii="Times New Roman" w:hAnsi="Times New Roman"/>
          <w:lang w:val="zh-CN"/>
        </w:rPr>
      </w:pPr>
      <w:bookmarkStart w:id="29" w:name="_Toc16192"/>
      <w:bookmarkStart w:id="30" w:name="_Toc30841"/>
      <w:r>
        <w:rPr>
          <w:rFonts w:hint="eastAsia" w:ascii="Times New Roman" w:hAnsi="Times New Roman"/>
          <w:sz w:val="28"/>
          <w:szCs w:val="28"/>
        </w:rPr>
        <w:t>10</w:t>
      </w:r>
      <w:r>
        <w:rPr>
          <w:rFonts w:ascii="Times New Roman" w:hAnsi="Times New Roman"/>
          <w:sz w:val="28"/>
          <w:szCs w:val="28"/>
          <w:lang w:val="zh-CN"/>
        </w:rPr>
        <w:t>.投标有效期</w:t>
      </w:r>
      <w:bookmarkEnd w:id="29"/>
      <w:bookmarkEnd w:id="30"/>
    </w:p>
    <w:p w14:paraId="54C2F724">
      <w:pPr>
        <w:autoSpaceDE w:val="0"/>
        <w:autoSpaceDN w:val="0"/>
        <w:spacing w:line="240" w:lineRule="auto"/>
        <w:ind w:firstLine="482" w:firstLineChars="200"/>
        <w:rPr>
          <w:kern w:val="0"/>
          <w:sz w:val="24"/>
          <w:lang w:val="zh-CN"/>
        </w:rPr>
      </w:pPr>
      <w:r>
        <w:rPr>
          <w:rFonts w:ascii="宋体" w:hAnsi="Times New Roman" w:eastAsia="宋体" w:cs="Arial"/>
          <w:color w:val="000000"/>
          <w:kern w:val="0"/>
          <w:sz w:val="24"/>
          <w:szCs w:val="24"/>
          <w:highlight w:val="none"/>
          <w:lang w:val="en-US" w:eastAsia="zh-CN" w:bidi="ar-SA"/>
        </w:rPr>
        <w:t xml:space="preserve">从提交投标文件的截止之日起 </w:t>
      </w:r>
      <w:r>
        <w:rPr>
          <w:rFonts w:hint="eastAsia" w:ascii="宋体" w:hAnsi="Times New Roman" w:eastAsia="宋体" w:cs="Arial"/>
          <w:color w:val="000000"/>
          <w:kern w:val="0"/>
          <w:sz w:val="24"/>
          <w:szCs w:val="24"/>
          <w:highlight w:val="none"/>
          <w:lang w:val="zh-CN" w:eastAsia="zh-CN" w:bidi="ar-SA"/>
        </w:rPr>
        <w:t>60</w:t>
      </w:r>
      <w:r>
        <w:rPr>
          <w:rFonts w:ascii="宋体" w:hAnsi="Times New Roman" w:eastAsia="宋体" w:cs="Arial"/>
          <w:color w:val="000000"/>
          <w:kern w:val="0"/>
          <w:sz w:val="24"/>
          <w:szCs w:val="24"/>
          <w:highlight w:val="none"/>
          <w:lang w:val="zh-CN" w:eastAsia="zh-CN" w:bidi="ar-SA"/>
        </w:rPr>
        <w:t xml:space="preserve"> </w:t>
      </w:r>
      <w:r>
        <w:rPr>
          <w:rFonts w:hint="eastAsia" w:ascii="宋体" w:hAnsi="Times New Roman" w:eastAsia="宋体" w:cs="Arial"/>
          <w:color w:val="000000"/>
          <w:kern w:val="0"/>
          <w:sz w:val="24"/>
          <w:szCs w:val="24"/>
          <w:highlight w:val="none"/>
          <w:lang w:val="zh-CN" w:eastAsia="zh-CN" w:bidi="ar-SA"/>
        </w:rPr>
        <w:t>日历</w:t>
      </w:r>
      <w:r>
        <w:rPr>
          <w:rFonts w:ascii="宋体" w:hAnsi="Times New Roman" w:eastAsia="宋体" w:cs="Arial"/>
          <w:color w:val="000000"/>
          <w:kern w:val="0"/>
          <w:sz w:val="24"/>
          <w:szCs w:val="24"/>
          <w:highlight w:val="none"/>
          <w:lang w:val="zh-CN" w:eastAsia="zh-CN" w:bidi="ar-SA"/>
        </w:rPr>
        <w:t>日。</w:t>
      </w:r>
      <w:r>
        <w:rPr>
          <w:kern w:val="0"/>
          <w:sz w:val="24"/>
          <w:highlight w:val="none"/>
          <w:lang w:val="zh-CN"/>
        </w:rPr>
        <w:t>投标文</w:t>
      </w:r>
      <w:r>
        <w:rPr>
          <w:kern w:val="0"/>
          <w:sz w:val="24"/>
          <w:lang w:val="zh-CN"/>
        </w:rPr>
        <w:t>件中承诺的投标有效期应当不少于招标文件中载明的投标有效期。</w:t>
      </w:r>
    </w:p>
    <w:p w14:paraId="4CEEB438">
      <w:pPr>
        <w:pStyle w:val="27"/>
        <w:spacing w:before="0" w:after="0" w:line="240" w:lineRule="auto"/>
        <w:jc w:val="left"/>
        <w:rPr>
          <w:rFonts w:ascii="Times New Roman" w:hAnsi="Times New Roman"/>
          <w:lang w:val="zh-CN"/>
        </w:rPr>
      </w:pPr>
      <w:bookmarkStart w:id="31" w:name="_Toc20615"/>
      <w:bookmarkStart w:id="32" w:name="_Toc1791"/>
      <w:r>
        <w:rPr>
          <w:rFonts w:hint="eastAsia" w:ascii="Times New Roman" w:hAnsi="Times New Roman"/>
          <w:sz w:val="28"/>
          <w:szCs w:val="28"/>
          <w:lang w:val="zh-CN"/>
        </w:rPr>
        <w:t>11</w:t>
      </w:r>
      <w:r>
        <w:rPr>
          <w:rFonts w:ascii="Times New Roman" w:hAnsi="Times New Roman"/>
          <w:sz w:val="28"/>
          <w:szCs w:val="28"/>
          <w:lang w:val="zh-CN"/>
        </w:rPr>
        <w:t>.投标文件构成</w:t>
      </w:r>
      <w:bookmarkEnd w:id="31"/>
      <w:bookmarkEnd w:id="32"/>
    </w:p>
    <w:p w14:paraId="3E65EA1F">
      <w:pPr>
        <w:autoSpaceDE w:val="0"/>
        <w:autoSpaceDN w:val="0"/>
        <w:spacing w:line="240" w:lineRule="auto"/>
        <w:ind w:firstLine="482" w:firstLineChars="200"/>
        <w:rPr>
          <w:kern w:val="0"/>
          <w:sz w:val="24"/>
          <w:lang w:val="zh-CN"/>
        </w:rPr>
      </w:pPr>
      <w:r>
        <w:rPr>
          <w:rFonts w:hint="eastAsia"/>
          <w:kern w:val="0"/>
          <w:sz w:val="24"/>
          <w:lang w:val="zh-CN"/>
        </w:rPr>
        <w:t>供应商</w:t>
      </w:r>
      <w:r>
        <w:rPr>
          <w:kern w:val="0"/>
          <w:sz w:val="24"/>
          <w:lang w:val="zh-CN"/>
        </w:rPr>
        <w:t>应提交相关证明材料，作为其参加投标和中标后有能力履行合同的证明。编写的投标文件须包括以下内容（格式见招标文件第四部分）：</w:t>
      </w:r>
    </w:p>
    <w:p w14:paraId="07E079DA">
      <w:pPr>
        <w:autoSpaceDE w:val="0"/>
        <w:autoSpaceDN w:val="0"/>
        <w:spacing w:line="240" w:lineRule="auto"/>
        <w:ind w:left="284"/>
        <w:rPr>
          <w:kern w:val="0"/>
          <w:sz w:val="24"/>
          <w:lang w:val="zh-CN"/>
        </w:rPr>
      </w:pPr>
      <w:r>
        <w:rPr>
          <w:rFonts w:hint="eastAsia"/>
          <w:kern w:val="0"/>
          <w:sz w:val="24"/>
        </w:rPr>
        <w:t xml:space="preserve">11.1 </w:t>
      </w:r>
      <w:r>
        <w:rPr>
          <w:kern w:val="0"/>
          <w:sz w:val="24"/>
          <w:lang w:val="zh-CN"/>
        </w:rPr>
        <w:t>投标文件（上册）（资格审查）</w:t>
      </w:r>
    </w:p>
    <w:p w14:paraId="16117FD4">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zh-CN"/>
        </w:rPr>
        <w:t>）</w:t>
      </w:r>
      <w:r>
        <w:rPr>
          <w:kern w:val="0"/>
          <w:sz w:val="24"/>
          <w:lang w:val="zh-CN"/>
        </w:rPr>
        <w:t>投标函</w:t>
      </w:r>
    </w:p>
    <w:p w14:paraId="486934B2">
      <w:pPr>
        <w:autoSpaceDE w:val="0"/>
        <w:autoSpaceDN w:val="0"/>
        <w:spacing w:line="240" w:lineRule="auto"/>
        <w:ind w:firstLine="482" w:firstLineChars="200"/>
        <w:rPr>
          <w:kern w:val="0"/>
          <w:sz w:val="24"/>
          <w:lang w:val="zh-CN"/>
        </w:rPr>
      </w:pPr>
      <w:r>
        <w:rPr>
          <w:rFonts w:hint="eastAsia"/>
          <w:kern w:val="0"/>
          <w:sz w:val="24"/>
          <w:lang w:val="zh-CN"/>
        </w:rPr>
        <w:t>（2）</w:t>
      </w:r>
      <w:r>
        <w:rPr>
          <w:kern w:val="0"/>
          <w:sz w:val="24"/>
          <w:lang w:val="zh-CN"/>
        </w:rPr>
        <w:t>法定代表人证明书</w:t>
      </w:r>
    </w:p>
    <w:p w14:paraId="2A29C7C1">
      <w:pPr>
        <w:autoSpaceDE w:val="0"/>
        <w:autoSpaceDN w:val="0"/>
        <w:spacing w:line="240" w:lineRule="auto"/>
        <w:ind w:firstLine="482" w:firstLineChars="200"/>
        <w:rPr>
          <w:kern w:val="0"/>
          <w:sz w:val="24"/>
          <w:lang w:val="zh-CN"/>
        </w:rPr>
      </w:pPr>
      <w:r>
        <w:rPr>
          <w:rFonts w:hint="eastAsia"/>
          <w:kern w:val="0"/>
          <w:sz w:val="24"/>
          <w:lang w:val="zh-CN"/>
        </w:rPr>
        <w:t>（3）</w:t>
      </w:r>
      <w:r>
        <w:rPr>
          <w:kern w:val="0"/>
          <w:sz w:val="24"/>
          <w:lang w:val="zh-CN"/>
        </w:rPr>
        <w:t>法定代表人授权书</w:t>
      </w:r>
    </w:p>
    <w:p w14:paraId="4334521E">
      <w:pPr>
        <w:autoSpaceDE w:val="0"/>
        <w:autoSpaceDN w:val="0"/>
        <w:spacing w:line="240" w:lineRule="auto"/>
        <w:ind w:firstLine="482" w:firstLineChars="200"/>
        <w:rPr>
          <w:kern w:val="0"/>
          <w:sz w:val="24"/>
          <w:lang w:val="zh-CN"/>
        </w:rPr>
      </w:pPr>
      <w:r>
        <w:rPr>
          <w:rFonts w:hint="eastAsia"/>
          <w:kern w:val="0"/>
          <w:sz w:val="24"/>
          <w:lang w:val="zh-CN"/>
        </w:rPr>
        <w:t>（4）供应商</w:t>
      </w:r>
      <w:r>
        <w:rPr>
          <w:kern w:val="0"/>
          <w:sz w:val="24"/>
          <w:lang w:val="zh-CN"/>
        </w:rPr>
        <w:t>承诺函</w:t>
      </w:r>
    </w:p>
    <w:p w14:paraId="30611412">
      <w:pPr>
        <w:autoSpaceDE w:val="0"/>
        <w:autoSpaceDN w:val="0"/>
        <w:spacing w:line="240" w:lineRule="auto"/>
        <w:ind w:firstLine="482" w:firstLineChars="200"/>
        <w:rPr>
          <w:kern w:val="0"/>
          <w:sz w:val="24"/>
          <w:lang w:val="zh-CN"/>
        </w:rPr>
      </w:pPr>
      <w:r>
        <w:rPr>
          <w:rFonts w:hint="eastAsia"/>
          <w:kern w:val="0"/>
          <w:sz w:val="24"/>
          <w:lang w:val="zh-CN"/>
        </w:rPr>
        <w:t>（5）供应商</w:t>
      </w:r>
      <w:r>
        <w:rPr>
          <w:kern w:val="0"/>
          <w:sz w:val="24"/>
          <w:lang w:val="zh-CN"/>
        </w:rPr>
        <w:t>诚信承诺书</w:t>
      </w:r>
    </w:p>
    <w:p w14:paraId="7686B6C2">
      <w:pPr>
        <w:autoSpaceDE w:val="0"/>
        <w:autoSpaceDN w:val="0"/>
        <w:spacing w:line="240" w:lineRule="auto"/>
        <w:ind w:firstLine="482" w:firstLineChars="200"/>
        <w:rPr>
          <w:kern w:val="0"/>
          <w:sz w:val="24"/>
          <w:lang w:val="zh-CN"/>
        </w:rPr>
      </w:pPr>
      <w:r>
        <w:rPr>
          <w:rFonts w:hint="eastAsia"/>
          <w:kern w:val="0"/>
          <w:sz w:val="24"/>
          <w:lang w:val="zh-CN"/>
        </w:rPr>
        <w:t>（6）</w:t>
      </w:r>
      <w:r>
        <w:rPr>
          <w:kern w:val="0"/>
          <w:sz w:val="24"/>
          <w:lang w:val="zh-CN"/>
        </w:rPr>
        <w:t>资格证明材料</w:t>
      </w:r>
    </w:p>
    <w:p w14:paraId="0CD12DD6">
      <w:pPr>
        <w:autoSpaceDE w:val="0"/>
        <w:autoSpaceDN w:val="0"/>
        <w:spacing w:line="240" w:lineRule="auto"/>
        <w:ind w:firstLine="482" w:firstLineChars="200"/>
        <w:rPr>
          <w:kern w:val="0"/>
          <w:sz w:val="24"/>
          <w:lang w:val="zh-CN"/>
        </w:rPr>
      </w:pPr>
      <w:r>
        <w:rPr>
          <w:rFonts w:hint="eastAsia"/>
          <w:kern w:val="0"/>
          <w:sz w:val="24"/>
          <w:lang w:val="zh-CN"/>
        </w:rPr>
        <w:t>（7）</w:t>
      </w:r>
      <w:r>
        <w:rPr>
          <w:kern w:val="0"/>
          <w:sz w:val="24"/>
          <w:lang w:val="zh-CN"/>
        </w:rPr>
        <w:t>财务状况报告，依法缴纳税收和社会保障资金的相关证明</w:t>
      </w:r>
    </w:p>
    <w:p w14:paraId="184386BA">
      <w:pPr>
        <w:autoSpaceDE w:val="0"/>
        <w:autoSpaceDN w:val="0"/>
        <w:spacing w:line="240" w:lineRule="auto"/>
        <w:ind w:firstLine="482" w:firstLineChars="200"/>
        <w:rPr>
          <w:kern w:val="0"/>
          <w:sz w:val="24"/>
          <w:lang w:val="zh-CN"/>
        </w:rPr>
      </w:pPr>
      <w:r>
        <w:rPr>
          <w:rFonts w:hint="eastAsia"/>
          <w:kern w:val="0"/>
          <w:sz w:val="24"/>
          <w:lang w:val="zh-CN"/>
        </w:rPr>
        <w:t>（8）</w:t>
      </w:r>
      <w:r>
        <w:rPr>
          <w:kern w:val="0"/>
          <w:sz w:val="24"/>
          <w:lang w:val="zh-CN"/>
        </w:rPr>
        <w:t>具备履行合同所必需的设备和专业技术能力的证明材料</w:t>
      </w:r>
    </w:p>
    <w:p w14:paraId="330289AA">
      <w:pPr>
        <w:autoSpaceDE w:val="0"/>
        <w:autoSpaceDN w:val="0"/>
        <w:spacing w:line="240" w:lineRule="auto"/>
        <w:ind w:firstLine="482" w:firstLineChars="200"/>
        <w:rPr>
          <w:rFonts w:hint="eastAsia"/>
          <w:kern w:val="0"/>
          <w:sz w:val="24"/>
        </w:rPr>
      </w:pPr>
      <w:r>
        <w:rPr>
          <w:rFonts w:hint="eastAsia"/>
          <w:kern w:val="0"/>
          <w:sz w:val="24"/>
          <w:lang w:val="zh-CN"/>
        </w:rPr>
        <w:t>（9）</w:t>
      </w:r>
      <w:r>
        <w:rPr>
          <w:kern w:val="0"/>
          <w:sz w:val="24"/>
          <w:lang w:val="zh-CN"/>
        </w:rPr>
        <w:t>无重大违法记录声明</w:t>
      </w:r>
    </w:p>
    <w:p w14:paraId="2E2F2695">
      <w:pPr>
        <w:autoSpaceDE w:val="0"/>
        <w:autoSpaceDN w:val="0"/>
        <w:spacing w:line="240" w:lineRule="auto"/>
        <w:ind w:left="284"/>
        <w:rPr>
          <w:kern w:val="0"/>
          <w:sz w:val="24"/>
          <w:lang w:val="zh-CN"/>
        </w:rPr>
      </w:pPr>
      <w:r>
        <w:rPr>
          <w:rFonts w:hint="eastAsia"/>
          <w:kern w:val="0"/>
          <w:sz w:val="24"/>
        </w:rPr>
        <w:t xml:space="preserve">11.2 </w:t>
      </w:r>
      <w:r>
        <w:rPr>
          <w:kern w:val="0"/>
          <w:sz w:val="24"/>
          <w:lang w:val="zh-CN"/>
        </w:rPr>
        <w:t>投标文件（下册）</w:t>
      </w:r>
    </w:p>
    <w:p w14:paraId="676786DA">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0</w:t>
      </w:r>
      <w:r>
        <w:rPr>
          <w:rFonts w:hint="eastAsia"/>
          <w:kern w:val="0"/>
          <w:sz w:val="24"/>
          <w:lang w:val="zh-CN"/>
        </w:rPr>
        <w:t>）</w:t>
      </w:r>
      <w:r>
        <w:rPr>
          <w:kern w:val="0"/>
          <w:sz w:val="24"/>
          <w:lang w:val="zh-CN"/>
        </w:rPr>
        <w:t>评分对照表</w:t>
      </w:r>
    </w:p>
    <w:p w14:paraId="757988D5">
      <w:pPr>
        <w:autoSpaceDE w:val="0"/>
        <w:autoSpaceDN w:val="0"/>
        <w:spacing w:line="240" w:lineRule="auto"/>
        <w:ind w:firstLine="482" w:firstLineChars="200"/>
        <w:rPr>
          <w:kern w:val="0"/>
          <w:sz w:val="24"/>
        </w:rPr>
      </w:pPr>
      <w:r>
        <w:rPr>
          <w:rFonts w:hint="eastAsia"/>
          <w:kern w:val="0"/>
          <w:sz w:val="24"/>
          <w:lang w:val="zh-CN"/>
        </w:rPr>
        <w:t>（</w:t>
      </w:r>
      <w:r>
        <w:rPr>
          <w:kern w:val="0"/>
          <w:sz w:val="24"/>
          <w:lang w:val="zh-CN"/>
        </w:rPr>
        <w:t>1</w:t>
      </w:r>
      <w:r>
        <w:rPr>
          <w:rFonts w:hint="eastAsia"/>
          <w:kern w:val="0"/>
          <w:sz w:val="24"/>
          <w:lang w:val="en-US" w:eastAsia="zh-CN"/>
        </w:rPr>
        <w:t>1</w:t>
      </w:r>
      <w:r>
        <w:rPr>
          <w:rFonts w:hint="eastAsia"/>
          <w:kern w:val="0"/>
          <w:sz w:val="24"/>
          <w:lang w:val="zh-CN"/>
        </w:rPr>
        <w:t>）</w:t>
      </w:r>
      <w:r>
        <w:rPr>
          <w:kern w:val="0"/>
          <w:sz w:val="24"/>
          <w:lang w:val="zh-CN"/>
        </w:rPr>
        <w:t>开标一览表（报价表）</w:t>
      </w:r>
    </w:p>
    <w:p w14:paraId="45440572">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2</w:t>
      </w:r>
      <w:r>
        <w:rPr>
          <w:rFonts w:hint="eastAsia"/>
          <w:kern w:val="0"/>
          <w:sz w:val="24"/>
          <w:lang w:val="zh-CN"/>
        </w:rPr>
        <w:t>）</w:t>
      </w:r>
      <w:r>
        <w:rPr>
          <w:kern w:val="0"/>
          <w:sz w:val="24"/>
          <w:lang w:val="zh-CN"/>
        </w:rPr>
        <w:t>分项报价表</w:t>
      </w:r>
    </w:p>
    <w:p w14:paraId="1BBDA426">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3</w:t>
      </w:r>
      <w:r>
        <w:rPr>
          <w:rFonts w:hint="eastAsia"/>
          <w:kern w:val="0"/>
          <w:sz w:val="24"/>
          <w:lang w:val="zh-CN"/>
        </w:rPr>
        <w:t>）</w:t>
      </w:r>
      <w:r>
        <w:rPr>
          <w:kern w:val="0"/>
          <w:sz w:val="24"/>
          <w:lang w:val="zh-CN"/>
        </w:rPr>
        <w:t>技术规格响应表</w:t>
      </w:r>
    </w:p>
    <w:p w14:paraId="3AB04421">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4</w:t>
      </w:r>
      <w:r>
        <w:rPr>
          <w:rFonts w:hint="eastAsia"/>
          <w:kern w:val="0"/>
          <w:sz w:val="24"/>
          <w:lang w:val="zh-CN"/>
        </w:rPr>
        <w:t>）</w:t>
      </w:r>
      <w:r>
        <w:rPr>
          <w:kern w:val="0"/>
          <w:sz w:val="24"/>
          <w:lang w:val="zh-CN"/>
        </w:rPr>
        <w:t>投标产品相关资料</w:t>
      </w:r>
    </w:p>
    <w:p w14:paraId="0743EE07">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5</w:t>
      </w:r>
      <w:r>
        <w:rPr>
          <w:rFonts w:hint="eastAsia"/>
          <w:kern w:val="0"/>
          <w:sz w:val="24"/>
          <w:lang w:val="zh-CN"/>
        </w:rPr>
        <w:t>）供应商</w:t>
      </w:r>
      <w:r>
        <w:rPr>
          <w:kern w:val="0"/>
          <w:sz w:val="24"/>
          <w:lang w:val="zh-CN"/>
        </w:rPr>
        <w:t>的类似业绩证明材料</w:t>
      </w:r>
    </w:p>
    <w:p w14:paraId="10DD7BD1">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6</w:t>
      </w:r>
      <w:r>
        <w:rPr>
          <w:rFonts w:hint="eastAsia"/>
          <w:kern w:val="0"/>
          <w:sz w:val="24"/>
          <w:lang w:val="zh-CN"/>
        </w:rPr>
        <w:t>）享受政府采购政策优惠的证明资料</w:t>
      </w:r>
    </w:p>
    <w:p w14:paraId="31D630D6">
      <w:pPr>
        <w:autoSpaceDE w:val="0"/>
        <w:autoSpaceDN w:val="0"/>
        <w:spacing w:line="240" w:lineRule="auto"/>
        <w:ind w:firstLine="482" w:firstLineChars="200"/>
        <w:rPr>
          <w:kern w:val="0"/>
          <w:sz w:val="24"/>
          <w:lang w:val="zh-CN"/>
        </w:rPr>
      </w:pPr>
      <w:r>
        <w:rPr>
          <w:rFonts w:hint="eastAsia"/>
          <w:kern w:val="0"/>
          <w:sz w:val="24"/>
          <w:lang w:val="zh-CN"/>
        </w:rPr>
        <w:t>（</w:t>
      </w:r>
      <w:r>
        <w:rPr>
          <w:kern w:val="0"/>
          <w:sz w:val="24"/>
          <w:lang w:val="zh-CN"/>
        </w:rPr>
        <w:t>1</w:t>
      </w:r>
      <w:r>
        <w:rPr>
          <w:rFonts w:hint="eastAsia"/>
          <w:kern w:val="0"/>
          <w:sz w:val="24"/>
          <w:lang w:val="en-US" w:eastAsia="zh-CN"/>
        </w:rPr>
        <w:t>7</w:t>
      </w:r>
      <w:r>
        <w:rPr>
          <w:rFonts w:hint="eastAsia"/>
          <w:kern w:val="0"/>
          <w:sz w:val="24"/>
          <w:lang w:val="zh-CN"/>
        </w:rPr>
        <w:t>）供应商</w:t>
      </w:r>
      <w:r>
        <w:rPr>
          <w:kern w:val="0"/>
          <w:sz w:val="24"/>
          <w:lang w:val="zh-CN"/>
        </w:rPr>
        <w:t>认为在其他方面有必要说明的事项</w:t>
      </w:r>
    </w:p>
    <w:p w14:paraId="1B9EA685">
      <w:pPr>
        <w:autoSpaceDE w:val="0"/>
        <w:autoSpaceDN w:val="0"/>
        <w:spacing w:line="240" w:lineRule="auto"/>
        <w:ind w:firstLine="602" w:firstLineChars="250"/>
        <w:rPr>
          <w:kern w:val="0"/>
          <w:lang w:val="zh-CN"/>
        </w:rPr>
      </w:pPr>
      <w:r>
        <w:rPr>
          <w:kern w:val="0"/>
          <w:sz w:val="24"/>
          <w:lang w:val="zh-CN"/>
        </w:rPr>
        <w:t>注：</w:t>
      </w:r>
      <w:r>
        <w:rPr>
          <w:rFonts w:hint="eastAsia"/>
          <w:kern w:val="0"/>
          <w:sz w:val="24"/>
          <w:lang w:val="zh-CN"/>
        </w:rPr>
        <w:t>供应商</w:t>
      </w:r>
      <w:r>
        <w:rPr>
          <w:kern w:val="0"/>
          <w:sz w:val="24"/>
          <w:lang w:val="zh-CN"/>
        </w:rPr>
        <w:t>须按上述内容、顺序和格式编制投标文件，并按要求编制目录、页码，并保证所提供的全部资料真实可信，自愿承担相应责任。</w:t>
      </w:r>
    </w:p>
    <w:p w14:paraId="5FBF22E7">
      <w:pPr>
        <w:pStyle w:val="27"/>
        <w:spacing w:before="0" w:after="0" w:line="240" w:lineRule="auto"/>
        <w:jc w:val="left"/>
        <w:rPr>
          <w:rFonts w:hint="eastAsia" w:ascii="宋体" w:hAnsi="宋体" w:cs="宋体"/>
          <w:lang w:val="zh-CN"/>
        </w:rPr>
      </w:pPr>
      <w:bookmarkStart w:id="33" w:name="_Toc88234626"/>
      <w:bookmarkStart w:id="34" w:name="_Toc1806"/>
      <w:bookmarkStart w:id="35" w:name="_Toc4862"/>
      <w:r>
        <w:rPr>
          <w:rFonts w:hint="eastAsia" w:ascii="宋体" w:hAnsi="宋体" w:cs="宋体"/>
          <w:sz w:val="28"/>
          <w:szCs w:val="28"/>
          <w:lang w:val="zh-CN"/>
        </w:rPr>
        <w:t>12.投标文件的编制要求</w:t>
      </w:r>
      <w:bookmarkEnd w:id="33"/>
      <w:bookmarkEnd w:id="34"/>
      <w:bookmarkEnd w:id="35"/>
    </w:p>
    <w:p w14:paraId="76E53EAD">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12.1</w:t>
      </w:r>
      <w:r>
        <w:rPr>
          <w:rFonts w:hint="eastAsia" w:ascii="宋体" w:hAnsi="宋体" w:cs="宋体"/>
          <w:kern w:val="0"/>
          <w:sz w:val="24"/>
        </w:rPr>
        <w:t xml:space="preserve"> </w:t>
      </w:r>
      <w:r>
        <w:rPr>
          <w:rFonts w:hint="eastAsia"/>
          <w:kern w:val="0"/>
          <w:sz w:val="24"/>
          <w:lang w:val="zh-CN"/>
        </w:rPr>
        <w:t>供应商</w:t>
      </w:r>
      <w:r>
        <w:rPr>
          <w:kern w:val="0"/>
          <w:sz w:val="24"/>
          <w:lang w:val="zh-CN"/>
        </w:rPr>
        <w:t>应按照招标文件所提供的投标文件格式，分别填写招标文件第</w:t>
      </w:r>
      <w:r>
        <w:rPr>
          <w:rFonts w:hint="eastAsia"/>
          <w:kern w:val="0"/>
          <w:sz w:val="24"/>
        </w:rPr>
        <w:t>四</w:t>
      </w:r>
      <w:r>
        <w:rPr>
          <w:kern w:val="0"/>
          <w:sz w:val="24"/>
          <w:lang w:val="zh-CN"/>
        </w:rPr>
        <w:t>部分的内容，应分别注明所提供货物的名称、技术配置及参数、数量和价格等内容；招标文件要求签字、盖章的地方必须由</w:t>
      </w:r>
      <w:r>
        <w:rPr>
          <w:rFonts w:hint="eastAsia"/>
          <w:kern w:val="0"/>
          <w:sz w:val="24"/>
          <w:lang w:val="zh-CN"/>
        </w:rPr>
        <w:t>供应商</w:t>
      </w:r>
      <w:r>
        <w:rPr>
          <w:kern w:val="0"/>
          <w:sz w:val="24"/>
          <w:lang w:val="zh-CN"/>
        </w:rPr>
        <w:t>的法定代表人或委托代理人按要求签字、盖章。</w:t>
      </w:r>
    </w:p>
    <w:p w14:paraId="2B621288">
      <w:pPr>
        <w:pStyle w:val="27"/>
        <w:spacing w:before="0" w:after="0" w:line="240" w:lineRule="auto"/>
        <w:rPr>
          <w:rFonts w:hint="eastAsia" w:ascii="宋体" w:hAnsi="宋体" w:cs="宋体"/>
        </w:rPr>
      </w:pPr>
      <w:bookmarkStart w:id="36" w:name="_Toc88234627"/>
      <w:bookmarkStart w:id="37" w:name="_Toc2154"/>
      <w:bookmarkStart w:id="38" w:name="_Toc15912"/>
      <w:r>
        <w:rPr>
          <w:rFonts w:hint="eastAsia" w:ascii="宋体" w:hAnsi="宋体" w:cs="宋体"/>
          <w:lang w:val="zh-CN"/>
        </w:rPr>
        <w:t>四、投标文件的提交</w:t>
      </w:r>
      <w:bookmarkEnd w:id="36"/>
      <w:bookmarkEnd w:id="37"/>
      <w:bookmarkEnd w:id="38"/>
    </w:p>
    <w:p w14:paraId="35A311B3">
      <w:pPr>
        <w:pStyle w:val="27"/>
        <w:spacing w:before="0" w:after="0" w:line="240" w:lineRule="auto"/>
        <w:jc w:val="left"/>
        <w:rPr>
          <w:rFonts w:hint="eastAsia" w:ascii="宋体" w:hAnsi="宋体" w:cs="宋体"/>
          <w:lang w:val="zh-CN"/>
        </w:rPr>
      </w:pPr>
      <w:bookmarkStart w:id="39" w:name="_Toc88234628"/>
      <w:bookmarkStart w:id="40" w:name="_Toc17012"/>
      <w:bookmarkStart w:id="41" w:name="_Toc23456"/>
      <w:r>
        <w:rPr>
          <w:rFonts w:hint="eastAsia" w:ascii="宋体" w:hAnsi="宋体" w:cs="宋体"/>
          <w:sz w:val="28"/>
          <w:szCs w:val="28"/>
          <w:lang w:val="zh-CN"/>
        </w:rPr>
        <w:t>13.提交投标文件的时间、地点、方式</w:t>
      </w:r>
      <w:bookmarkEnd w:id="39"/>
      <w:bookmarkEnd w:id="40"/>
      <w:bookmarkEnd w:id="41"/>
    </w:p>
    <w:p w14:paraId="48331B8A">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13.1</w:t>
      </w:r>
      <w:r>
        <w:rPr>
          <w:rFonts w:hint="eastAsia" w:ascii="宋体" w:hAnsi="宋体" w:cs="宋体"/>
          <w:kern w:val="0"/>
          <w:sz w:val="24"/>
        </w:rPr>
        <w:t xml:space="preserve"> </w:t>
      </w:r>
      <w:r>
        <w:rPr>
          <w:rFonts w:hint="eastAsia" w:ascii="宋体" w:hAnsi="宋体" w:cs="宋体"/>
          <w:kern w:val="0"/>
          <w:sz w:val="24"/>
          <w:lang w:val="zh-CN"/>
        </w:rPr>
        <w:t>供应商应当在招标文件要求提交投标文件的截止时间前，将投标文件加密上传至政采云平台。采购人或者集中采购机构应当在招标文件规定的开启时间内开启投标文件。</w:t>
      </w:r>
    </w:p>
    <w:p w14:paraId="732C74C3">
      <w:pPr>
        <w:pStyle w:val="27"/>
        <w:spacing w:before="0" w:after="0" w:line="240" w:lineRule="auto"/>
        <w:jc w:val="left"/>
        <w:rPr>
          <w:rFonts w:hint="eastAsia" w:ascii="宋体" w:hAnsi="宋体" w:cs="宋体"/>
          <w:lang w:val="zh-CN"/>
        </w:rPr>
      </w:pPr>
      <w:bookmarkStart w:id="42" w:name="_Toc88234629"/>
      <w:bookmarkStart w:id="43" w:name="_Toc15550"/>
      <w:bookmarkStart w:id="44" w:name="_Toc18877"/>
      <w:r>
        <w:rPr>
          <w:rFonts w:hint="eastAsia" w:ascii="宋体" w:hAnsi="宋体" w:cs="宋体"/>
          <w:sz w:val="28"/>
          <w:szCs w:val="28"/>
          <w:lang w:val="zh-CN"/>
        </w:rPr>
        <w:t>14.投标文件的补充、修改或者撤回</w:t>
      </w:r>
      <w:bookmarkEnd w:id="42"/>
      <w:bookmarkEnd w:id="43"/>
      <w:bookmarkEnd w:id="44"/>
    </w:p>
    <w:p w14:paraId="570883E5">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14.1</w:t>
      </w:r>
      <w:r>
        <w:rPr>
          <w:rFonts w:hint="eastAsia" w:ascii="宋体" w:hAnsi="宋体" w:cs="宋体"/>
          <w:kern w:val="0"/>
          <w:sz w:val="24"/>
        </w:rPr>
        <w:t xml:space="preserve"> </w:t>
      </w:r>
      <w:r>
        <w:rPr>
          <w:rFonts w:hint="eastAsia" w:ascii="宋体" w:hAnsi="宋体" w:cs="宋体"/>
          <w:kern w:val="0"/>
          <w:sz w:val="24"/>
          <w:lang w:eastAsia="zh-CN"/>
        </w:rPr>
        <w:t>供应商</w:t>
      </w:r>
      <w:r>
        <w:rPr>
          <w:rFonts w:hint="eastAsia" w:ascii="宋体" w:hAnsi="宋体" w:cs="宋体"/>
          <w:kern w:val="0"/>
          <w:sz w:val="24"/>
        </w:rPr>
        <w:t>在投标截止时间前，可以对所递交的投标文件进行补充、修改或者撤回，可登录政采云操作。投标截止期后不得</w:t>
      </w:r>
      <w:r>
        <w:rPr>
          <w:rFonts w:hint="eastAsia" w:ascii="宋体" w:hAnsi="宋体" w:cs="宋体"/>
          <w:sz w:val="24"/>
          <w:szCs w:val="28"/>
        </w:rPr>
        <w:t>撤回其投标。</w:t>
      </w:r>
    </w:p>
    <w:p w14:paraId="4C089A69">
      <w:pPr>
        <w:pStyle w:val="27"/>
        <w:spacing w:before="0" w:after="0" w:line="240" w:lineRule="auto"/>
        <w:rPr>
          <w:rFonts w:hint="eastAsia" w:ascii="宋体" w:hAnsi="宋体" w:cs="宋体"/>
          <w:lang w:val="zh-CN"/>
        </w:rPr>
      </w:pPr>
      <w:bookmarkStart w:id="45" w:name="_Toc15412"/>
      <w:bookmarkStart w:id="46" w:name="_Toc88234630"/>
      <w:bookmarkStart w:id="47" w:name="_Toc408"/>
    </w:p>
    <w:p w14:paraId="6363399D">
      <w:pPr>
        <w:pStyle w:val="27"/>
        <w:spacing w:before="0" w:after="0" w:line="240" w:lineRule="auto"/>
        <w:rPr>
          <w:rFonts w:hint="eastAsia" w:ascii="宋体" w:hAnsi="宋体" w:cs="宋体"/>
          <w:lang w:val="zh-CN"/>
        </w:rPr>
      </w:pPr>
    </w:p>
    <w:p w14:paraId="6EC33C6C">
      <w:pPr>
        <w:pStyle w:val="27"/>
        <w:spacing w:before="0" w:after="0" w:line="240" w:lineRule="auto"/>
        <w:rPr>
          <w:rFonts w:hint="eastAsia" w:ascii="宋体" w:hAnsi="宋体" w:cs="宋体"/>
          <w:highlight w:val="green"/>
        </w:rPr>
      </w:pPr>
      <w:r>
        <w:rPr>
          <w:rFonts w:hint="eastAsia" w:ascii="宋体" w:hAnsi="宋体" w:cs="宋体"/>
          <w:lang w:val="zh-CN"/>
        </w:rPr>
        <w:t>五、开标</w:t>
      </w:r>
      <w:bookmarkEnd w:id="45"/>
      <w:bookmarkEnd w:id="46"/>
      <w:bookmarkEnd w:id="47"/>
    </w:p>
    <w:p w14:paraId="1FD5BE20">
      <w:pPr>
        <w:pStyle w:val="27"/>
        <w:spacing w:before="0" w:after="0" w:line="240" w:lineRule="auto"/>
        <w:jc w:val="left"/>
        <w:rPr>
          <w:rFonts w:hint="eastAsia" w:ascii="宋体" w:hAnsi="宋体" w:cs="宋体"/>
          <w:lang w:val="zh-CN"/>
        </w:rPr>
      </w:pPr>
      <w:bookmarkStart w:id="48" w:name="_Toc7749"/>
      <w:bookmarkStart w:id="49" w:name="_Toc88234631"/>
      <w:bookmarkStart w:id="50" w:name="_Toc26403"/>
      <w:r>
        <w:rPr>
          <w:rFonts w:hint="eastAsia" w:ascii="宋体" w:hAnsi="宋体" w:cs="宋体"/>
          <w:sz w:val="28"/>
          <w:szCs w:val="28"/>
          <w:lang w:val="zh-CN"/>
        </w:rPr>
        <w:t>15.开标</w:t>
      </w:r>
      <w:bookmarkEnd w:id="48"/>
      <w:bookmarkEnd w:id="49"/>
      <w:bookmarkEnd w:id="50"/>
    </w:p>
    <w:p w14:paraId="0966D342">
      <w:pPr>
        <w:autoSpaceDE w:val="0"/>
        <w:autoSpaceDN w:val="0"/>
        <w:spacing w:line="240" w:lineRule="auto"/>
        <w:ind w:firstLine="482" w:firstLineChars="200"/>
        <w:rPr>
          <w:rFonts w:hint="eastAsia" w:ascii="宋体" w:hAnsi="宋体" w:cs="宋体"/>
          <w:sz w:val="24"/>
          <w:szCs w:val="28"/>
        </w:rPr>
      </w:pPr>
      <w:r>
        <w:rPr>
          <w:rFonts w:hint="eastAsia" w:ascii="宋体" w:hAnsi="宋体" w:cs="宋体"/>
          <w:kern w:val="0"/>
          <w:sz w:val="24"/>
          <w:lang w:val="zh-CN"/>
        </w:rPr>
        <w:t>15.1</w:t>
      </w:r>
      <w:r>
        <w:rPr>
          <w:rFonts w:hint="eastAsia" w:ascii="宋体" w:hAnsi="宋体" w:cs="宋体"/>
          <w:kern w:val="0"/>
          <w:sz w:val="24"/>
        </w:rPr>
        <w:t xml:space="preserve"> </w:t>
      </w:r>
      <w:r>
        <w:rPr>
          <w:rFonts w:hint="eastAsia" w:ascii="宋体" w:hAnsi="宋体" w:cs="宋体"/>
          <w:kern w:val="0"/>
          <w:sz w:val="24"/>
          <w:lang w:val="zh-CN"/>
        </w:rPr>
        <w:t>开标应当在招标文件确定的提交投标文件截止时间的同一时间进行。集中采购机构应当按本文件中确定的时间和地点组织开标活动。</w:t>
      </w:r>
      <w:r>
        <w:rPr>
          <w:rFonts w:hint="eastAsia" w:ascii="宋体" w:hAnsi="宋体" w:cs="宋体"/>
          <w:sz w:val="24"/>
          <w:szCs w:val="28"/>
          <w:lang w:eastAsia="zh-CN"/>
        </w:rPr>
        <w:t>集中采购机构</w:t>
      </w:r>
      <w:r>
        <w:rPr>
          <w:rFonts w:hint="eastAsia" w:ascii="宋体" w:hAnsi="宋体" w:cs="宋体"/>
          <w:sz w:val="24"/>
          <w:szCs w:val="28"/>
        </w:rPr>
        <w:t>按本文件中确定的时间和地点组织招标开标。投标供应商须按本文件中确定的时间和地点由法定代表人或委托代理人在政采云平台上参加并解密投标文件证明其出席开标会议，否则视为自动放弃；</w:t>
      </w:r>
    </w:p>
    <w:p w14:paraId="103240D4">
      <w:pPr>
        <w:autoSpaceDE w:val="0"/>
        <w:autoSpaceDN w:val="0"/>
        <w:spacing w:line="240" w:lineRule="auto"/>
        <w:ind w:firstLine="482" w:firstLineChars="200"/>
        <w:rPr>
          <w:rFonts w:hint="eastAsia" w:ascii="宋体" w:hAnsi="宋体" w:cs="宋体"/>
          <w:sz w:val="24"/>
          <w:szCs w:val="28"/>
        </w:rPr>
      </w:pPr>
      <w:r>
        <w:rPr>
          <w:rFonts w:hint="eastAsia" w:ascii="宋体" w:hAnsi="宋体" w:cs="宋体"/>
          <w:sz w:val="24"/>
          <w:szCs w:val="28"/>
          <w:lang w:eastAsia="zh-CN"/>
        </w:rPr>
        <w:t>集中采购机构</w:t>
      </w:r>
      <w:r>
        <w:rPr>
          <w:rFonts w:hint="eastAsia" w:ascii="宋体" w:hAnsi="宋体" w:cs="宋体"/>
          <w:sz w:val="24"/>
          <w:szCs w:val="28"/>
        </w:rPr>
        <w:t>应当对开标、评标现场活动进行全程录音录像。录音录像应当清晰可辨，音像资料作为采购文件一并存档。</w:t>
      </w:r>
    </w:p>
    <w:p w14:paraId="14415126">
      <w:pPr>
        <w:autoSpaceDE w:val="0"/>
        <w:autoSpaceDN w:val="0"/>
        <w:spacing w:line="240" w:lineRule="auto"/>
        <w:ind w:firstLine="482" w:firstLineChars="200"/>
        <w:rPr>
          <w:rFonts w:hint="eastAsia" w:ascii="宋体" w:hAnsi="宋体" w:cs="宋体"/>
          <w:sz w:val="24"/>
          <w:szCs w:val="28"/>
        </w:rPr>
      </w:pPr>
      <w:r>
        <w:rPr>
          <w:rFonts w:hint="eastAsia" w:ascii="宋体" w:hAnsi="宋体" w:cs="宋体"/>
          <w:sz w:val="24"/>
          <w:szCs w:val="28"/>
        </w:rPr>
        <w:t>15.2 开标由</w:t>
      </w:r>
      <w:r>
        <w:rPr>
          <w:rFonts w:hint="eastAsia" w:ascii="宋体" w:hAnsi="宋体" w:cs="宋体"/>
          <w:sz w:val="24"/>
          <w:szCs w:val="28"/>
          <w:lang w:eastAsia="zh-CN"/>
        </w:rPr>
        <w:t>集中采购机构</w:t>
      </w:r>
      <w:r>
        <w:rPr>
          <w:rFonts w:hint="eastAsia" w:ascii="宋体" w:hAnsi="宋体" w:cs="宋体"/>
          <w:sz w:val="24"/>
          <w:szCs w:val="28"/>
        </w:rPr>
        <w:t>在政采云平台上主持，邀请</w:t>
      </w:r>
      <w:r>
        <w:rPr>
          <w:rFonts w:hint="eastAsia" w:ascii="宋体" w:hAnsi="宋体" w:cs="宋体"/>
          <w:sz w:val="24"/>
          <w:szCs w:val="28"/>
          <w:lang w:eastAsia="zh-CN"/>
        </w:rPr>
        <w:t>供应商</w:t>
      </w:r>
      <w:r>
        <w:rPr>
          <w:rFonts w:hint="eastAsia" w:ascii="宋体" w:hAnsi="宋体" w:cs="宋体"/>
          <w:sz w:val="24"/>
          <w:szCs w:val="28"/>
        </w:rPr>
        <w:t>参加。评标委员会成员（包括采购人代表）不得参加开标活动。</w:t>
      </w:r>
    </w:p>
    <w:p w14:paraId="079B97A5">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zCs w:val="28"/>
        </w:rPr>
        <w:t>15.3 开标时，应当由</w:t>
      </w:r>
      <w:r>
        <w:rPr>
          <w:rFonts w:hint="eastAsia" w:ascii="宋体" w:hAnsi="宋体" w:cs="宋体"/>
          <w:sz w:val="24"/>
          <w:szCs w:val="28"/>
          <w:lang w:eastAsia="zh-CN"/>
        </w:rPr>
        <w:t>供应商</w:t>
      </w:r>
      <w:r>
        <w:rPr>
          <w:rFonts w:hint="eastAsia" w:ascii="宋体" w:hAnsi="宋体" w:cs="宋体"/>
          <w:sz w:val="24"/>
          <w:szCs w:val="28"/>
        </w:rPr>
        <w:t>登录政采云对</w:t>
      </w:r>
      <w:r>
        <w:rPr>
          <w:rFonts w:hint="eastAsia" w:ascii="宋体" w:hAnsi="宋体" w:cs="宋体"/>
          <w:sz w:val="24"/>
          <w:shd w:val="clear" w:color="auto" w:fill="FFFFFF"/>
        </w:rPr>
        <w:t>投标文件进行C</w:t>
      </w:r>
      <w:r>
        <w:rPr>
          <w:rFonts w:ascii="宋体" w:hAnsi="宋体" w:cs="宋体"/>
          <w:sz w:val="24"/>
          <w:shd w:val="clear" w:color="auto" w:fill="FFFFFF"/>
        </w:rPr>
        <w:t>A</w:t>
      </w:r>
      <w:r>
        <w:rPr>
          <w:rFonts w:hint="eastAsia" w:ascii="宋体" w:hAnsi="宋体" w:cs="宋体"/>
          <w:sz w:val="24"/>
          <w:shd w:val="clear" w:color="auto" w:fill="FFFFFF"/>
        </w:rPr>
        <w:t>密封。</w:t>
      </w:r>
    </w:p>
    <w:p w14:paraId="7769DE71">
      <w:pPr>
        <w:autoSpaceDE w:val="0"/>
        <w:autoSpaceDN w:val="0"/>
        <w:spacing w:line="240" w:lineRule="auto"/>
        <w:ind w:firstLine="482" w:firstLineChars="200"/>
        <w:rPr>
          <w:rFonts w:hint="eastAsia" w:ascii="宋体" w:hAnsi="宋体" w:cs="宋体"/>
          <w:sz w:val="24"/>
          <w:shd w:val="clear" w:color="auto" w:fill="FFFFFF"/>
          <w:lang w:val="zh-CN"/>
        </w:rPr>
      </w:pPr>
      <w:r>
        <w:rPr>
          <w:rFonts w:hint="eastAsia" w:ascii="宋体" w:hAnsi="宋体" w:cs="宋体"/>
          <w:sz w:val="24"/>
          <w:shd w:val="clear" w:color="auto" w:fill="FFFFFF"/>
          <w:lang w:val="zh-CN"/>
        </w:rPr>
        <w:t>供应商不足3家的，不得开标。</w:t>
      </w:r>
    </w:p>
    <w:p w14:paraId="75E02B4F">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15.4 开标过程应当由</w:t>
      </w:r>
      <w:r>
        <w:rPr>
          <w:rFonts w:hint="eastAsia" w:ascii="宋体" w:hAnsi="宋体" w:cs="宋体"/>
          <w:kern w:val="0"/>
          <w:sz w:val="24"/>
          <w:lang w:val="zh-CN"/>
        </w:rPr>
        <w:t>集中采购机构</w:t>
      </w:r>
      <w:r>
        <w:rPr>
          <w:rFonts w:hint="eastAsia" w:ascii="宋体" w:hAnsi="宋体" w:cs="宋体"/>
          <w:kern w:val="0"/>
          <w:sz w:val="24"/>
        </w:rPr>
        <w:t>负责记录，由参加开标相关工作人员签字确认。</w:t>
      </w:r>
    </w:p>
    <w:p w14:paraId="0412657E">
      <w:pPr>
        <w:autoSpaceDE w:val="0"/>
        <w:autoSpaceDN w:val="0"/>
        <w:spacing w:line="240" w:lineRule="auto"/>
        <w:ind w:firstLine="482" w:firstLineChars="200"/>
        <w:rPr>
          <w:rFonts w:hint="eastAsia" w:ascii="宋体" w:hAnsi="宋体" w:cs="宋体"/>
          <w:sz w:val="24"/>
          <w:szCs w:val="28"/>
        </w:rPr>
      </w:pPr>
      <w:r>
        <w:rPr>
          <w:rFonts w:hint="eastAsia" w:ascii="宋体" w:hAnsi="宋体" w:cs="宋体"/>
          <w:kern w:val="0"/>
          <w:sz w:val="24"/>
        </w:rPr>
        <w:t>15.5</w:t>
      </w:r>
      <w:r>
        <w:rPr>
          <w:rFonts w:hint="eastAsia" w:ascii="宋体" w:hAnsi="宋体" w:cs="宋体"/>
          <w:kern w:val="0"/>
          <w:sz w:val="24"/>
          <w:lang w:val="en-US" w:eastAsia="zh-CN"/>
        </w:rPr>
        <w:t xml:space="preserve"> </w:t>
      </w:r>
      <w:r>
        <w:rPr>
          <w:rFonts w:hint="eastAsia" w:ascii="宋体" w:hAnsi="宋体" w:cs="宋体"/>
          <w:kern w:val="0"/>
          <w:sz w:val="24"/>
        </w:rPr>
        <w:t>开标时，投</w:t>
      </w:r>
      <w:r>
        <w:rPr>
          <w:rFonts w:hint="eastAsia" w:ascii="宋体" w:hAnsi="宋体" w:cs="宋体"/>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供应商拒绝接受，其投标将被拒绝；</w:t>
      </w:r>
    </w:p>
    <w:p w14:paraId="6AE9BDA6">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15.</w:t>
      </w:r>
      <w:r>
        <w:rPr>
          <w:rFonts w:ascii="宋体" w:hAnsi="宋体" w:cs="宋体"/>
          <w:kern w:val="0"/>
          <w:sz w:val="24"/>
        </w:rPr>
        <w:t>6</w:t>
      </w:r>
      <w:r>
        <w:rPr>
          <w:rFonts w:hint="eastAsia" w:ascii="宋体" w:hAnsi="宋体" w:cs="宋体"/>
          <w:kern w:val="0"/>
          <w:sz w:val="24"/>
          <w:lang w:val="en-US" w:eastAsia="zh-CN"/>
        </w:rPr>
        <w:t xml:space="preserve"> </w:t>
      </w:r>
      <w:r>
        <w:rPr>
          <w:rFonts w:hint="eastAsia" w:ascii="宋体" w:hAnsi="宋体" w:cs="宋体"/>
          <w:sz w:val="24"/>
          <w:szCs w:val="28"/>
        </w:rPr>
        <w:t>答疑：本项目的评标委员会对投标供应商的投标文件进行评审，并根据评审情况确定答疑时间，投标供应商应在规定的时间内</w:t>
      </w:r>
      <w:r>
        <w:rPr>
          <w:rFonts w:hint="eastAsia" w:ascii="宋体" w:hAnsi="宋体" w:cs="宋体"/>
          <w:kern w:val="0"/>
          <w:sz w:val="24"/>
          <w:lang w:val="zh-CN"/>
        </w:rPr>
        <w:t>通过政采云平台进行答疑澄清，如在规定的时间内未按要求进行澄清，视同放弃答疑。</w:t>
      </w:r>
    </w:p>
    <w:p w14:paraId="3E05D13A">
      <w:pPr>
        <w:pStyle w:val="27"/>
        <w:spacing w:before="0" w:after="0" w:line="240" w:lineRule="auto"/>
        <w:rPr>
          <w:rFonts w:hint="eastAsia" w:ascii="宋体" w:hAnsi="宋体" w:cs="宋体"/>
          <w:kern w:val="0"/>
          <w:szCs w:val="36"/>
        </w:rPr>
      </w:pPr>
      <w:bookmarkStart w:id="51" w:name="_Toc496004006"/>
      <w:bookmarkStart w:id="52" w:name="_Toc88234632"/>
      <w:bookmarkStart w:id="53" w:name="_Toc5149"/>
      <w:bookmarkStart w:id="54" w:name="_Toc14913"/>
    </w:p>
    <w:p w14:paraId="7583ADF5">
      <w:pPr>
        <w:pStyle w:val="27"/>
        <w:spacing w:before="0" w:after="0" w:line="240" w:lineRule="auto"/>
        <w:rPr>
          <w:rFonts w:hint="eastAsia" w:ascii="宋体" w:hAnsi="宋体" w:cs="宋体"/>
          <w:kern w:val="0"/>
          <w:szCs w:val="36"/>
        </w:rPr>
      </w:pPr>
    </w:p>
    <w:p w14:paraId="08E3448F">
      <w:pPr>
        <w:pStyle w:val="27"/>
        <w:spacing w:before="0" w:after="0" w:line="240" w:lineRule="auto"/>
        <w:rPr>
          <w:rFonts w:hint="eastAsia" w:ascii="宋体" w:hAnsi="宋体" w:cs="宋体"/>
          <w:kern w:val="0"/>
        </w:rPr>
      </w:pP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1"/>
      <w:bookmarkEnd w:id="52"/>
      <w:bookmarkEnd w:id="53"/>
      <w:bookmarkEnd w:id="54"/>
    </w:p>
    <w:p w14:paraId="6C179228">
      <w:pPr>
        <w:pStyle w:val="27"/>
        <w:spacing w:before="0" w:after="0" w:line="240" w:lineRule="auto"/>
        <w:jc w:val="left"/>
        <w:rPr>
          <w:rFonts w:hint="eastAsia" w:ascii="宋体" w:hAnsi="宋体" w:cs="宋体"/>
          <w:sz w:val="28"/>
          <w:szCs w:val="28"/>
        </w:rPr>
      </w:pPr>
      <w:bookmarkStart w:id="55" w:name="_Toc29485"/>
      <w:bookmarkStart w:id="56" w:name="_Toc9614"/>
      <w:bookmarkStart w:id="57" w:name="_Toc88234633"/>
      <w:r>
        <w:rPr>
          <w:rFonts w:hint="eastAsia" w:ascii="宋体" w:hAnsi="宋体" w:cs="宋体"/>
          <w:sz w:val="28"/>
          <w:szCs w:val="28"/>
        </w:rPr>
        <w:t>16.资格审查</w:t>
      </w:r>
      <w:bookmarkEnd w:id="55"/>
      <w:bookmarkEnd w:id="56"/>
      <w:bookmarkEnd w:id="57"/>
    </w:p>
    <w:p w14:paraId="7379EBD3">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16.1 开标结束后，采购人或者</w:t>
      </w:r>
      <w:r>
        <w:rPr>
          <w:rFonts w:hint="eastAsia" w:ascii="宋体" w:hAnsi="宋体" w:cs="宋体"/>
          <w:kern w:val="0"/>
          <w:sz w:val="24"/>
          <w:lang w:eastAsia="zh-CN"/>
        </w:rPr>
        <w:t>集中采购机构</w:t>
      </w:r>
      <w:r>
        <w:rPr>
          <w:rFonts w:hint="eastAsia" w:ascii="宋体" w:hAnsi="宋体" w:cs="宋体"/>
          <w:kern w:val="0"/>
          <w:sz w:val="24"/>
        </w:rPr>
        <w:t>应当依法对</w:t>
      </w:r>
      <w:r>
        <w:rPr>
          <w:rFonts w:hint="eastAsia" w:ascii="宋体" w:hAnsi="宋体" w:cs="宋体"/>
          <w:kern w:val="0"/>
          <w:sz w:val="24"/>
          <w:lang w:eastAsia="zh-CN"/>
        </w:rPr>
        <w:t>供应商</w:t>
      </w:r>
      <w:r>
        <w:rPr>
          <w:rFonts w:hint="eastAsia" w:ascii="宋体" w:hAnsi="宋体" w:cs="宋体"/>
          <w:kern w:val="0"/>
          <w:sz w:val="24"/>
        </w:rPr>
        <w:t>的资格性审查文件（上册）进行审查。</w:t>
      </w:r>
    </w:p>
    <w:p w14:paraId="7D497F7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16.2 合格</w:t>
      </w:r>
      <w:r>
        <w:rPr>
          <w:rFonts w:hint="eastAsia" w:ascii="宋体" w:hAnsi="宋体" w:cs="宋体"/>
          <w:kern w:val="0"/>
          <w:sz w:val="24"/>
          <w:lang w:eastAsia="zh-CN"/>
        </w:rPr>
        <w:t>供应商</w:t>
      </w:r>
      <w:r>
        <w:rPr>
          <w:rFonts w:hint="eastAsia" w:ascii="宋体" w:hAnsi="宋体" w:cs="宋体"/>
          <w:kern w:val="0"/>
          <w:sz w:val="24"/>
        </w:rPr>
        <w:t>不足3家的，不得评标。</w:t>
      </w:r>
    </w:p>
    <w:p w14:paraId="6BDE6A3A">
      <w:pPr>
        <w:autoSpaceDE w:val="0"/>
        <w:autoSpaceDN w:val="0"/>
        <w:spacing w:line="240" w:lineRule="auto"/>
        <w:ind w:firstLine="482" w:firstLineChars="200"/>
        <w:rPr>
          <w:rFonts w:hint="eastAsia" w:ascii="宋体" w:hAnsi="宋体" w:cs="宋体"/>
          <w:sz w:val="24"/>
        </w:rPr>
      </w:pPr>
      <w:bookmarkStart w:id="58" w:name="_Toc497503449"/>
      <w:bookmarkStart w:id="59" w:name="_Toc497503516"/>
      <w:bookmarkStart w:id="60" w:name="_Toc497503249"/>
      <w:bookmarkStart w:id="61" w:name="_Toc497503315"/>
      <w:bookmarkStart w:id="62" w:name="_Toc30809"/>
      <w:r>
        <w:rPr>
          <w:rFonts w:hint="eastAsia" w:ascii="宋体" w:hAnsi="宋体" w:cs="宋体"/>
          <w:kern w:val="0"/>
          <w:sz w:val="24"/>
        </w:rPr>
        <w:t>16.3 资格审查时，</w:t>
      </w:r>
      <w:r>
        <w:rPr>
          <w:rFonts w:hint="eastAsia" w:ascii="宋体" w:hAnsi="宋体" w:cs="宋体"/>
          <w:kern w:val="0"/>
          <w:sz w:val="24"/>
          <w:lang w:eastAsia="zh-CN"/>
        </w:rPr>
        <w:t>供应商</w:t>
      </w:r>
      <w:r>
        <w:rPr>
          <w:rFonts w:hint="eastAsia" w:ascii="宋体" w:hAnsi="宋体" w:cs="宋体"/>
          <w:kern w:val="0"/>
          <w:sz w:val="24"/>
        </w:rPr>
        <w:t>存在下列情况之一的，按无效投标处理：</w:t>
      </w:r>
      <w:bookmarkEnd w:id="58"/>
      <w:bookmarkEnd w:id="59"/>
      <w:bookmarkEnd w:id="60"/>
      <w:bookmarkEnd w:id="61"/>
      <w:bookmarkEnd w:id="62"/>
    </w:p>
    <w:p w14:paraId="29F91ACC">
      <w:pPr>
        <w:numPr>
          <w:ilvl w:val="0"/>
          <w:numId w:val="1"/>
        </w:numPr>
        <w:tabs>
          <w:tab w:val="left" w:pos="960"/>
        </w:tabs>
        <w:autoSpaceDE w:val="0"/>
        <w:autoSpaceDN w:val="0"/>
        <w:spacing w:line="240" w:lineRule="auto"/>
        <w:ind w:firstLine="482" w:firstLineChars="200"/>
        <w:rPr>
          <w:rFonts w:hint="eastAsia"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第2.2款“合格的供应商”</w:t>
      </w:r>
      <w:r>
        <w:rPr>
          <w:rFonts w:hint="eastAsia" w:ascii="宋体" w:hAnsi="宋体" w:cs="宋体"/>
          <w:sz w:val="24"/>
          <w:shd w:val="clear" w:color="auto" w:fill="FFFFFF"/>
        </w:rPr>
        <w:t>规定的资格要求的；</w:t>
      </w:r>
    </w:p>
    <w:p w14:paraId="2E0304BB">
      <w:pPr>
        <w:numPr>
          <w:ilvl w:val="0"/>
          <w:numId w:val="1"/>
        </w:numPr>
        <w:tabs>
          <w:tab w:val="left" w:pos="960"/>
        </w:tabs>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zh-CN"/>
        </w:rPr>
        <w:t>.1</w:t>
      </w:r>
      <w:r>
        <w:rPr>
          <w:rFonts w:hint="eastAsia" w:ascii="宋体" w:hAnsi="宋体" w:cs="宋体"/>
          <w:kern w:val="0"/>
          <w:sz w:val="24"/>
        </w:rPr>
        <w:t>要求提供相关资料的；</w:t>
      </w:r>
    </w:p>
    <w:p w14:paraId="40F0D940">
      <w:pPr>
        <w:numPr>
          <w:ilvl w:val="0"/>
          <w:numId w:val="1"/>
        </w:numPr>
        <w:tabs>
          <w:tab w:val="left" w:pos="960"/>
        </w:tabs>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kern w:val="0"/>
          <w:sz w:val="24"/>
        </w:rPr>
        <w:t>资格性审查文件未按招标文件规定和要求签字、盖章的；</w:t>
      </w:r>
    </w:p>
    <w:p w14:paraId="75ACFE87">
      <w:pPr>
        <w:pStyle w:val="27"/>
        <w:spacing w:before="0" w:after="0" w:line="240" w:lineRule="auto"/>
        <w:rPr>
          <w:rFonts w:hint="eastAsia" w:ascii="宋体" w:hAnsi="宋体" w:cs="宋体"/>
        </w:rPr>
      </w:pPr>
      <w:bookmarkStart w:id="63" w:name="_Toc21643"/>
      <w:bookmarkStart w:id="64" w:name="_Toc5224"/>
      <w:bookmarkStart w:id="65" w:name="_Toc88234634"/>
      <w:r>
        <w:rPr>
          <w:rFonts w:hint="eastAsia" w:ascii="宋体" w:hAnsi="宋体" w:cs="宋体"/>
          <w:lang w:val="zh-CN"/>
        </w:rPr>
        <w:t>七、评审程序及方法</w:t>
      </w:r>
      <w:bookmarkEnd w:id="63"/>
      <w:bookmarkEnd w:id="64"/>
      <w:bookmarkEnd w:id="65"/>
    </w:p>
    <w:p w14:paraId="5E9C4D8A">
      <w:pPr>
        <w:pStyle w:val="27"/>
        <w:spacing w:before="0" w:after="0" w:line="240" w:lineRule="auto"/>
        <w:jc w:val="left"/>
        <w:rPr>
          <w:rFonts w:hint="eastAsia" w:ascii="宋体" w:hAnsi="宋体" w:cs="宋体"/>
          <w:lang w:val="zh-CN"/>
        </w:rPr>
      </w:pPr>
      <w:bookmarkStart w:id="66" w:name="_Toc22616"/>
      <w:bookmarkStart w:id="67" w:name="_Toc88234635"/>
      <w:bookmarkStart w:id="68" w:name="_Toc25584"/>
      <w:r>
        <w:rPr>
          <w:rFonts w:hint="eastAsia" w:ascii="宋体" w:hAnsi="宋体" w:cs="宋体"/>
          <w:sz w:val="28"/>
          <w:szCs w:val="28"/>
          <w:lang w:val="zh-CN"/>
        </w:rPr>
        <w:t>17.评标委员会</w:t>
      </w:r>
      <w:bookmarkEnd w:id="66"/>
      <w:bookmarkEnd w:id="67"/>
      <w:bookmarkEnd w:id="68"/>
    </w:p>
    <w:p w14:paraId="793F03DA">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rPr>
        <w:t>17.1</w:t>
      </w:r>
      <w:r>
        <w:rPr>
          <w:rFonts w:hint="eastAsia" w:ascii="宋体" w:hAnsi="宋体" w:cs="宋体"/>
          <w:kern w:val="0"/>
          <w:sz w:val="24"/>
          <w:lang w:val="zh-CN"/>
        </w:rPr>
        <w:t>集中采购机构负责组织评标工作，并履行下列职责：</w:t>
      </w:r>
    </w:p>
    <w:p w14:paraId="52959816">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14:paraId="1146AD02">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）宣布评标纪律；</w:t>
      </w:r>
    </w:p>
    <w:p w14:paraId="3BA557D9">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）公布供应商名单，告知评审专家应当回避的情形；</w:t>
      </w:r>
    </w:p>
    <w:p w14:paraId="244C1113">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）组织评标委员会推选评标组长，采购人代表不得担任组长；</w:t>
      </w:r>
    </w:p>
    <w:p w14:paraId="5127F11E">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14:paraId="7B728087">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）根据评标委员会的要求介绍政府采购相关政策法规、招标文件；</w:t>
      </w:r>
    </w:p>
    <w:p w14:paraId="6EFF8320">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14:paraId="25973AAE">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）核对评标结果，有</w:t>
      </w:r>
      <w:r>
        <w:rPr>
          <w:rFonts w:ascii="宋体" w:hAnsi="宋体" w:cs="宋体"/>
          <w:kern w:val="0"/>
          <w:sz w:val="24"/>
        </w:rPr>
        <w:t>18</w:t>
      </w:r>
      <w:r>
        <w:rPr>
          <w:rFonts w:hint="eastAsia" w:ascii="宋体" w:hAnsi="宋体" w:cs="宋体"/>
          <w:kern w:val="0"/>
          <w:sz w:val="24"/>
        </w:rPr>
        <w:t>.4</w:t>
      </w:r>
      <w:r>
        <w:rPr>
          <w:rFonts w:hint="eastAsia" w:ascii="宋体" w:hAnsi="宋体" w:cs="宋体"/>
          <w:kern w:val="0"/>
          <w:sz w:val="24"/>
          <w:lang w:val="zh-CN"/>
        </w:rPr>
        <w:t>规定情形的，要求评标委员会复核或者书面说明理由，评标委员会拒绝的，应予记录并向本级财政部门报告；</w:t>
      </w:r>
    </w:p>
    <w:p w14:paraId="758C9179">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14:paraId="1E6ECBC4">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）处理与评标有关的其他事项。</w:t>
      </w:r>
    </w:p>
    <w:p w14:paraId="66B76182">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14:paraId="1FF59642">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17.2 评标委员会负责具体评标事务，并独立履行下列职责：</w:t>
      </w:r>
    </w:p>
    <w:p w14:paraId="7FC958DC">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严格遵守评审工作纪律,按照客观、公正、审慎的原则,根据采购文件规定的评审程序、评审方法和评审标准进行独立评审</w:t>
      </w:r>
      <w:r>
        <w:rPr>
          <w:rFonts w:hint="eastAsia" w:ascii="宋体" w:hAnsi="宋体" w:cs="宋体"/>
          <w:kern w:val="0"/>
          <w:sz w:val="24"/>
          <w:lang w:val="zh-CN"/>
        </w:rPr>
        <w:t>；</w:t>
      </w:r>
    </w:p>
    <w:p w14:paraId="2F362DAC">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现采购文件内容违反国家有关强制性规定或者采购文件存在歧义、重大缺陷导致评审工作无法进行时,应当停止评审并向采购人或者</w:t>
      </w:r>
      <w:r>
        <w:rPr>
          <w:rFonts w:hint="eastAsia" w:ascii="宋体" w:hAnsi="宋体" w:cs="宋体"/>
          <w:kern w:val="0"/>
          <w:sz w:val="24"/>
          <w:lang w:eastAsia="zh-CN"/>
        </w:rPr>
        <w:t>集中采购机构</w:t>
      </w:r>
      <w:r>
        <w:rPr>
          <w:rFonts w:hint="eastAsia" w:ascii="宋体" w:hAnsi="宋体" w:cs="宋体"/>
          <w:kern w:val="0"/>
          <w:sz w:val="24"/>
        </w:rPr>
        <w:t>书面说明情况；</w:t>
      </w:r>
    </w:p>
    <w:p w14:paraId="1EE8889D">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审查、评价投标文件是否符合招标文件的商务、技术等实质性要求；</w:t>
      </w:r>
    </w:p>
    <w:p w14:paraId="5E9CAF35">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要求</w:t>
      </w:r>
      <w:r>
        <w:rPr>
          <w:rFonts w:hint="eastAsia" w:ascii="宋体" w:hAnsi="宋体" w:cs="宋体"/>
          <w:kern w:val="0"/>
          <w:sz w:val="24"/>
          <w:lang w:eastAsia="zh-CN"/>
        </w:rPr>
        <w:t>供应商</w:t>
      </w:r>
      <w:r>
        <w:rPr>
          <w:rFonts w:hint="eastAsia" w:ascii="宋体" w:hAnsi="宋体" w:cs="宋体"/>
          <w:kern w:val="0"/>
          <w:sz w:val="24"/>
        </w:rPr>
        <w:t>对投标文件有关事项作出澄清或者说明；</w:t>
      </w:r>
    </w:p>
    <w:p w14:paraId="21DC9895">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对投标文件进行比较和评价；</w:t>
      </w:r>
    </w:p>
    <w:p w14:paraId="39C3EE40">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确定中标候选人名单，以及根据采购人委托直接确定中标人；</w:t>
      </w:r>
    </w:p>
    <w:p w14:paraId="25B78CB0">
      <w:pPr>
        <w:numPr>
          <w:ilvl w:val="0"/>
          <w:numId w:val="2"/>
        </w:numPr>
        <w:autoSpaceDE w:val="0"/>
        <w:autoSpaceDN w:val="0"/>
        <w:spacing w:line="240" w:lineRule="auto"/>
        <w:rPr>
          <w:rFonts w:hint="eastAsia" w:ascii="宋体" w:hAnsi="宋体" w:cs="宋体"/>
          <w:kern w:val="0"/>
          <w:sz w:val="24"/>
        </w:rPr>
      </w:pPr>
      <w:r>
        <w:rPr>
          <w:rFonts w:hint="eastAsia" w:ascii="宋体" w:hAnsi="宋体" w:cs="宋体"/>
          <w:kern w:val="0"/>
          <w:sz w:val="24"/>
        </w:rPr>
        <w:t>配合答复供应商的询问、质疑和投诉等事项,不得泄露评审文件、评审情况和在评审过程中获悉的商业秘密；</w:t>
      </w:r>
    </w:p>
    <w:p w14:paraId="7538944C">
      <w:pPr>
        <w:numPr>
          <w:ilvl w:val="0"/>
          <w:numId w:val="2"/>
        </w:numPr>
        <w:autoSpaceDE w:val="0"/>
        <w:autoSpaceDN w:val="0"/>
        <w:spacing w:line="240" w:lineRule="auto"/>
        <w:rPr>
          <w:rFonts w:hint="eastAsia" w:ascii="宋体" w:hAnsi="宋体" w:cs="宋体"/>
          <w:kern w:val="0"/>
        </w:rPr>
      </w:pPr>
      <w:r>
        <w:rPr>
          <w:rFonts w:hint="eastAsia" w:ascii="宋体" w:hAnsi="宋体" w:cs="宋体"/>
          <w:kern w:val="0"/>
          <w:sz w:val="24"/>
        </w:rPr>
        <w:t>向采购人、</w:t>
      </w:r>
      <w:r>
        <w:rPr>
          <w:rFonts w:hint="eastAsia" w:ascii="宋体" w:hAnsi="宋体" w:cs="宋体"/>
          <w:kern w:val="0"/>
          <w:sz w:val="24"/>
          <w:lang w:eastAsia="zh-CN"/>
        </w:rPr>
        <w:t>集中采购机构</w:t>
      </w:r>
      <w:r>
        <w:rPr>
          <w:rFonts w:hint="eastAsia" w:ascii="宋体" w:hAnsi="宋体" w:cs="宋体"/>
          <w:kern w:val="0"/>
          <w:sz w:val="24"/>
        </w:rPr>
        <w:t>或者有关部门报告评标中发现的违法行为。</w:t>
      </w:r>
    </w:p>
    <w:p w14:paraId="216E42BF">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17.3 评标委员会由采购人代表和评审专家组成，成员人数应当为5人以上单数，其中评审专家不得少于成员总数的三分之二。</w:t>
      </w:r>
    </w:p>
    <w:p w14:paraId="63B5893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采购项目符合下列情形之一的，评标委员会成员人数应当为7人以上单数：</w:t>
      </w:r>
    </w:p>
    <w:p w14:paraId="568CA3B1">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（1）采购预算金额在1000万元以上；</w:t>
      </w:r>
    </w:p>
    <w:p w14:paraId="06B913C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（2）技术复杂；</w:t>
      </w:r>
    </w:p>
    <w:p w14:paraId="28B5DC08">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（3）社会影响较大。</w:t>
      </w:r>
    </w:p>
    <w:p w14:paraId="1EFAB223">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评审专家对本单位的采购项目只能作为采购人代表参与评标。</w:t>
      </w:r>
      <w:r>
        <w:rPr>
          <w:rFonts w:hint="eastAsia" w:ascii="宋体" w:hAnsi="宋体" w:cs="宋体"/>
          <w:kern w:val="0"/>
          <w:sz w:val="24"/>
          <w:lang w:eastAsia="zh-CN"/>
        </w:rPr>
        <w:t>集中采购机构</w:t>
      </w:r>
      <w:r>
        <w:rPr>
          <w:rFonts w:hint="eastAsia" w:ascii="宋体" w:hAnsi="宋体" w:cs="宋体"/>
          <w:kern w:val="0"/>
          <w:sz w:val="24"/>
        </w:rPr>
        <w:t>工作人员不得参加由本机构代理的政府采购项目的评标。</w:t>
      </w:r>
    </w:p>
    <w:p w14:paraId="6C0A6F91">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评标委员会成员名单在评标结果公告前应当保密。</w:t>
      </w:r>
    </w:p>
    <w:p w14:paraId="55A881D5">
      <w:pPr>
        <w:autoSpaceDE w:val="0"/>
        <w:autoSpaceDN w:val="0"/>
        <w:spacing w:line="240" w:lineRule="auto"/>
        <w:ind w:firstLine="482" w:firstLineChars="200"/>
        <w:rPr>
          <w:rFonts w:hint="eastAsia" w:ascii="宋体" w:hAnsi="宋体" w:cs="宋体"/>
          <w:kern w:val="0"/>
        </w:rPr>
      </w:pPr>
      <w:r>
        <w:rPr>
          <w:rFonts w:hint="eastAsia" w:ascii="宋体" w:hAnsi="宋体" w:cs="宋体"/>
          <w:kern w:val="0"/>
          <w:sz w:val="24"/>
        </w:rPr>
        <w:t xml:space="preserve">17.4 </w:t>
      </w:r>
      <w:r>
        <w:rPr>
          <w:rFonts w:hint="eastAsia" w:ascii="宋体" w:hAnsi="宋体" w:cs="宋体"/>
          <w:kern w:val="0"/>
          <w:sz w:val="24"/>
          <w:lang w:val="zh-CN"/>
        </w:rPr>
        <w:t>采购人或集中采购机构</w:t>
      </w:r>
      <w:r>
        <w:rPr>
          <w:rFonts w:hint="eastAsia" w:ascii="宋体" w:hAnsi="宋体" w:cs="宋体"/>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63550AD">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lang w:val="zh-CN"/>
        </w:rPr>
        <w:t>17.</w:t>
      </w:r>
      <w:r>
        <w:rPr>
          <w:rFonts w:hint="eastAsia" w:ascii="宋体" w:hAnsi="宋体" w:cs="宋体"/>
          <w:kern w:val="0"/>
          <w:sz w:val="24"/>
        </w:rPr>
        <w:t>5 评标中因评标委员会成员缺席、回避或者健康等特殊原因导致评标委员会组成不符合规定的，采购人或者</w:t>
      </w:r>
      <w:r>
        <w:rPr>
          <w:rFonts w:hint="eastAsia" w:ascii="宋体" w:hAnsi="宋体" w:cs="宋体"/>
          <w:kern w:val="0"/>
          <w:sz w:val="24"/>
          <w:lang w:eastAsia="zh-CN"/>
        </w:rPr>
        <w:t>集中采购机构</w:t>
      </w:r>
      <w:r>
        <w:rPr>
          <w:rFonts w:hint="eastAsia" w:ascii="宋体" w:hAnsi="宋体" w:cs="宋体"/>
          <w:kern w:val="0"/>
          <w:sz w:val="24"/>
        </w:rPr>
        <w:t>应当依法补足后继续评标。被更换的评标委员会成员所作出的评标意见无效。无法及时补足评标委员会成员的，</w:t>
      </w:r>
      <w:r>
        <w:rPr>
          <w:rFonts w:hint="eastAsia" w:ascii="宋体" w:hAnsi="宋体" w:cs="宋体"/>
          <w:kern w:val="0"/>
          <w:sz w:val="24"/>
          <w:lang w:eastAsia="zh-CN"/>
        </w:rPr>
        <w:t>集中采购机构</w:t>
      </w:r>
      <w:r>
        <w:rPr>
          <w:rFonts w:hint="eastAsia" w:ascii="宋体" w:hAnsi="宋体" w:cs="宋体"/>
          <w:kern w:val="0"/>
          <w:sz w:val="24"/>
        </w:rPr>
        <w:t>应当停止评标活动，封存所有投标文件和开标、评标资料，依法重新组建评标委员会进行评标。原评标委员会所作出的评标意见无效。</w:t>
      </w:r>
    </w:p>
    <w:p w14:paraId="1382784E">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集中采购机构</w:t>
      </w:r>
      <w:r>
        <w:rPr>
          <w:rFonts w:hint="eastAsia" w:ascii="宋体" w:hAnsi="宋体" w:cs="宋体"/>
          <w:kern w:val="0"/>
          <w:sz w:val="24"/>
        </w:rPr>
        <w:t>应当将变更、重新组建评标委员会的情况予以记录，并随采购文件一并存档。</w:t>
      </w:r>
    </w:p>
    <w:p w14:paraId="2096E5E5">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lang w:val="zh-CN"/>
        </w:rPr>
        <w:t>17.</w:t>
      </w:r>
      <w:r>
        <w:rPr>
          <w:rFonts w:hint="eastAsia" w:ascii="宋体" w:hAnsi="宋体" w:cs="宋体"/>
          <w:kern w:val="0"/>
          <w:sz w:val="24"/>
        </w:rPr>
        <w:t>6 采购人、</w:t>
      </w:r>
      <w:r>
        <w:rPr>
          <w:rFonts w:hint="eastAsia" w:ascii="宋体" w:hAnsi="宋体" w:cs="宋体"/>
          <w:kern w:val="0"/>
          <w:sz w:val="24"/>
          <w:lang w:eastAsia="zh-CN"/>
        </w:rPr>
        <w:t>集中采购机构</w:t>
      </w:r>
      <w:r>
        <w:rPr>
          <w:rFonts w:hint="eastAsia" w:ascii="宋体" w:hAnsi="宋体" w:cs="宋体"/>
          <w:kern w:val="0"/>
          <w:sz w:val="24"/>
        </w:rPr>
        <w:t>应当采取必要措施，保证评标在严格保密的情况下进行。除采购人代表、评标现场组织人员外，采购人的其他工作人员以及与评标工作无关的人员不得进入评标现场。</w:t>
      </w:r>
    </w:p>
    <w:p w14:paraId="6D42D9E7">
      <w:pPr>
        <w:autoSpaceDE w:val="0"/>
        <w:autoSpaceDN w:val="0"/>
        <w:spacing w:line="240" w:lineRule="auto"/>
        <w:ind w:firstLine="482" w:firstLineChars="200"/>
        <w:rPr>
          <w:rFonts w:hint="eastAsia" w:ascii="宋体" w:hAnsi="宋体" w:cs="宋体"/>
          <w:kern w:val="0"/>
          <w:lang w:val="zh-CN"/>
        </w:rPr>
      </w:pPr>
      <w:r>
        <w:rPr>
          <w:rFonts w:hint="eastAsia" w:ascii="宋体" w:hAnsi="宋体" w:cs="宋体"/>
          <w:kern w:val="0"/>
          <w:sz w:val="24"/>
        </w:rPr>
        <w:t>有关人员对评标情况以及在评标过程中获悉的国家秘密、商业秘密负有保密责任。</w:t>
      </w:r>
    </w:p>
    <w:p w14:paraId="0E030085">
      <w:pPr>
        <w:pStyle w:val="27"/>
        <w:spacing w:before="0" w:after="0" w:line="240" w:lineRule="auto"/>
        <w:jc w:val="left"/>
        <w:rPr>
          <w:rFonts w:hint="eastAsia" w:ascii="宋体" w:hAnsi="宋体" w:cs="宋体"/>
          <w:lang w:val="zh-CN"/>
        </w:rPr>
      </w:pPr>
      <w:bookmarkStart w:id="69" w:name="_Toc88234636"/>
      <w:bookmarkStart w:id="70" w:name="_Toc10901"/>
      <w:bookmarkStart w:id="71" w:name="_Toc2739"/>
      <w:r>
        <w:rPr>
          <w:rFonts w:hint="eastAsia" w:ascii="宋体" w:hAnsi="宋体" w:cs="宋体"/>
          <w:sz w:val="28"/>
          <w:szCs w:val="28"/>
          <w:lang w:val="zh-CN"/>
        </w:rPr>
        <w:t>18.评审工作程序</w:t>
      </w:r>
      <w:bookmarkEnd w:id="69"/>
      <w:bookmarkEnd w:id="70"/>
      <w:bookmarkEnd w:id="71"/>
    </w:p>
    <w:p w14:paraId="61BF8C14">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bCs/>
          <w:kern w:val="0"/>
          <w:sz w:val="24"/>
          <w:lang w:val="zh-CN"/>
        </w:rPr>
        <w:t>18.1</w:t>
      </w:r>
      <w:r>
        <w:rPr>
          <w:rFonts w:hint="eastAsia" w:ascii="宋体" w:hAnsi="宋体" w:cs="宋体"/>
          <w:kern w:val="0"/>
          <w:sz w:val="24"/>
        </w:rPr>
        <w:t xml:space="preserve"> </w:t>
      </w:r>
      <w:r>
        <w:rPr>
          <w:rFonts w:hint="eastAsia" w:ascii="宋体" w:hAnsi="宋体" w:cs="宋体"/>
          <w:kern w:val="0"/>
          <w:sz w:val="24"/>
          <w:lang w:val="zh-CN"/>
        </w:rPr>
        <w:t>评标委员会应当对符合资格的供应商的投标文件进行符合性审查，以确定其是否满足招标文件的实质性要求。</w:t>
      </w:r>
    </w:p>
    <w:p w14:paraId="5C0A4E5F">
      <w:pPr>
        <w:autoSpaceDE w:val="0"/>
        <w:autoSpaceDN w:val="0"/>
        <w:spacing w:line="240" w:lineRule="auto"/>
        <w:ind w:firstLine="482" w:firstLineChars="200"/>
        <w:rPr>
          <w:rFonts w:ascii="宋体" w:hAnsi="宋体" w:cs="宋体"/>
          <w:kern w:val="0"/>
          <w:sz w:val="24"/>
          <w:lang w:val="zh-CN"/>
        </w:rPr>
      </w:pPr>
      <w:r>
        <w:rPr>
          <w:rFonts w:hint="eastAsia" w:ascii="宋体" w:hAnsi="宋体" w:cs="宋体"/>
          <w:bCs/>
          <w:kern w:val="0"/>
          <w:sz w:val="24"/>
        </w:rPr>
        <w:t>18.1.1</w:t>
      </w:r>
      <w:r>
        <w:rPr>
          <w:rFonts w:hint="eastAsia" w:ascii="宋体" w:hAnsi="宋体" w:cs="宋体"/>
          <w:kern w:val="0"/>
          <w:sz w:val="24"/>
          <w:lang w:val="zh-CN"/>
        </w:rPr>
        <w:t xml:space="preserve"> </w:t>
      </w:r>
    </w:p>
    <w:p w14:paraId="7494441F">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（1）投标文件中含义不明确、同类问题表述不一致或者有明显文字和计算错误的内容，评标委员会应当以书面形式要求供应商作出必要的澄清、说明或者补正。</w:t>
      </w:r>
    </w:p>
    <w:p w14:paraId="1AD1C9FC">
      <w:pPr>
        <w:autoSpaceDE w:val="0"/>
        <w:autoSpaceDN w:val="0"/>
        <w:spacing w:line="240" w:lineRule="auto"/>
        <w:ind w:firstLine="482" w:firstLineChars="200"/>
        <w:rPr>
          <w:rFonts w:hint="eastAsia" w:ascii="宋体" w:hAnsi="宋体" w:cs="宋体"/>
          <w:b/>
          <w:bCs/>
          <w:kern w:val="0"/>
          <w:sz w:val="24"/>
        </w:rPr>
      </w:pPr>
      <w:r>
        <w:rPr>
          <w:rFonts w:hint="eastAsia" w:ascii="宋体" w:hAnsi="宋体" w:cs="宋体"/>
          <w:kern w:val="0"/>
          <w:sz w:val="24"/>
          <w:lang w:val="zh-CN"/>
        </w:rPr>
        <w:t>（2）供应商的澄清、说明或者补正应当采用书面形式，并加盖公章，或者由法定代表人或其授权的代表签字。供应商的澄清、说明或者补正不得超出投标文件的范围或者改变投标文件的实质性内容。</w:t>
      </w:r>
    </w:p>
    <w:p w14:paraId="48C1F976">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1</w:t>
      </w:r>
      <w:r>
        <w:rPr>
          <w:rFonts w:hint="eastAsia" w:ascii="宋体" w:hAnsi="宋体" w:cs="宋体"/>
          <w:kern w:val="0"/>
          <w:sz w:val="24"/>
          <w:lang w:val="zh-CN"/>
        </w:rPr>
        <w:t>.2 供应商存在下列情况之一的，投标无效:</w:t>
      </w:r>
    </w:p>
    <w:p w14:paraId="34FE3A60">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符合性审查文件未按招标文件要求签署、盖章的；</w:t>
      </w:r>
    </w:p>
    <w:p w14:paraId="0FF9C599">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投标文件含有采购人不能接受的附加条件的；</w:t>
      </w:r>
    </w:p>
    <w:p w14:paraId="2479E5A7">
      <w:pPr>
        <w:numPr>
          <w:ilvl w:val="0"/>
          <w:numId w:val="3"/>
        </w:numPr>
        <w:autoSpaceDE w:val="0"/>
        <w:autoSpaceDN w:val="0"/>
        <w:spacing w:line="240" w:lineRule="auto"/>
        <w:rPr>
          <w:rFonts w:hint="eastAsia" w:ascii="宋体" w:hAnsi="宋体" w:cs="宋体"/>
          <w:kern w:val="0"/>
          <w:sz w:val="24"/>
          <w:lang w:val="zh-CN"/>
        </w:rPr>
      </w:pPr>
      <w:r>
        <w:rPr>
          <w:kern w:val="0"/>
          <w:sz w:val="24"/>
          <w:lang w:val="zh-CN"/>
        </w:rPr>
        <w:t>交货</w:t>
      </w:r>
      <w:r>
        <w:rPr>
          <w:rFonts w:hint="eastAsia"/>
          <w:kern w:val="0"/>
          <w:sz w:val="24"/>
        </w:rPr>
        <w:t>期</w:t>
      </w:r>
      <w:r>
        <w:rPr>
          <w:rFonts w:hint="eastAsia"/>
          <w:kern w:val="0"/>
          <w:sz w:val="24"/>
          <w:lang w:eastAsia="zh-CN"/>
        </w:rPr>
        <w:t>、</w:t>
      </w:r>
      <w:r>
        <w:rPr>
          <w:rFonts w:hint="eastAsia"/>
          <w:kern w:val="0"/>
          <w:sz w:val="24"/>
          <w:lang w:val="en-US" w:eastAsia="zh-CN"/>
        </w:rPr>
        <w:t>投标有效期</w:t>
      </w:r>
      <w:r>
        <w:rPr>
          <w:rFonts w:hint="eastAsia" w:ascii="宋体" w:hAnsi="宋体" w:cs="宋体"/>
          <w:kern w:val="0"/>
          <w:sz w:val="24"/>
          <w:lang w:val="zh-CN"/>
        </w:rPr>
        <w:t>不能满足招标文件要求的；</w:t>
      </w:r>
    </w:p>
    <w:p w14:paraId="6177066C">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投标总报价超过招标文件规定的采购预算额度或者最高限价的；</w:t>
      </w:r>
    </w:p>
    <w:p w14:paraId="566032ED">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存在串通投标行为；</w:t>
      </w:r>
    </w:p>
    <w:p w14:paraId="3E983148">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投标报价出现前后不一致，又不按1</w:t>
      </w:r>
      <w:r>
        <w:rPr>
          <w:rFonts w:hint="eastAsia" w:ascii="宋体" w:hAnsi="宋体" w:cs="宋体"/>
          <w:kern w:val="0"/>
          <w:sz w:val="24"/>
          <w:lang w:val="en-US" w:eastAsia="zh-CN"/>
        </w:rPr>
        <w:t>8</w:t>
      </w:r>
      <w:r>
        <w:rPr>
          <w:rFonts w:hint="eastAsia" w:ascii="宋体" w:hAnsi="宋体" w:cs="宋体"/>
          <w:kern w:val="0"/>
          <w:sz w:val="24"/>
          <w:lang w:val="zh-CN"/>
        </w:rPr>
        <w:t>.1.</w:t>
      </w:r>
      <w:r>
        <w:rPr>
          <w:rFonts w:ascii="宋体" w:hAnsi="宋体" w:cs="宋体"/>
          <w:kern w:val="0"/>
          <w:sz w:val="24"/>
          <w:lang w:val="zh-CN"/>
        </w:rPr>
        <w:t>3</w:t>
      </w:r>
      <w:r>
        <w:rPr>
          <w:rFonts w:hint="eastAsia" w:ascii="宋体" w:hAnsi="宋体" w:cs="宋体"/>
          <w:kern w:val="0"/>
          <w:sz w:val="24"/>
          <w:lang w:val="zh-CN"/>
        </w:rPr>
        <w:t>进行确认的；</w:t>
      </w:r>
    </w:p>
    <w:p w14:paraId="7F8A7280">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评标委员会认为应按无效投标处理的其他情况；</w:t>
      </w:r>
    </w:p>
    <w:p w14:paraId="1A42FDCC">
      <w:pPr>
        <w:numPr>
          <w:ilvl w:val="0"/>
          <w:numId w:val="3"/>
        </w:numPr>
        <w:autoSpaceDE w:val="0"/>
        <w:autoSpaceDN w:val="0"/>
        <w:spacing w:line="240" w:lineRule="auto"/>
        <w:rPr>
          <w:rFonts w:hint="eastAsia" w:ascii="宋体" w:hAnsi="宋体" w:cs="宋体"/>
          <w:kern w:val="0"/>
          <w:sz w:val="24"/>
          <w:lang w:val="zh-CN"/>
        </w:rPr>
      </w:pPr>
      <w:r>
        <w:rPr>
          <w:rFonts w:hint="eastAsia" w:ascii="宋体" w:hAnsi="宋体" w:cs="宋体"/>
          <w:kern w:val="0"/>
          <w:sz w:val="24"/>
          <w:lang w:val="zh-CN"/>
        </w:rPr>
        <w:t>法律、法规和招标文件规定的其他无效情形。</w:t>
      </w:r>
    </w:p>
    <w:p w14:paraId="1C37B675">
      <w:pPr>
        <w:autoSpaceDE w:val="0"/>
        <w:autoSpaceDN w:val="0"/>
        <w:spacing w:line="240" w:lineRule="auto"/>
        <w:ind w:firstLine="482" w:firstLineChars="200"/>
        <w:rPr>
          <w:rFonts w:hint="eastAsia" w:ascii="宋体" w:hAnsi="宋体" w:cs="宋体"/>
          <w:kern w:val="0"/>
          <w:lang w:val="zh-CN"/>
        </w:rPr>
      </w:pPr>
      <w:r>
        <w:rPr>
          <w:rFonts w:hint="eastAsia" w:ascii="宋体" w:hAnsi="宋体" w:cs="宋体"/>
          <w:kern w:val="0"/>
          <w:sz w:val="24"/>
        </w:rPr>
        <w:t>对投标无效的</w:t>
      </w:r>
      <w:r>
        <w:rPr>
          <w:rFonts w:hint="eastAsia" w:ascii="宋体" w:hAnsi="宋体" w:cs="宋体"/>
          <w:kern w:val="0"/>
          <w:sz w:val="24"/>
          <w:lang w:eastAsia="zh-CN"/>
        </w:rPr>
        <w:t>供应商</w:t>
      </w:r>
      <w:r>
        <w:rPr>
          <w:rFonts w:hint="eastAsia" w:ascii="宋体" w:hAnsi="宋体" w:cs="宋体"/>
          <w:kern w:val="0"/>
          <w:sz w:val="24"/>
        </w:rPr>
        <w:t>，采购人或</w:t>
      </w:r>
      <w:r>
        <w:rPr>
          <w:rFonts w:hint="eastAsia" w:ascii="宋体" w:hAnsi="宋体" w:cs="宋体"/>
          <w:kern w:val="0"/>
          <w:sz w:val="24"/>
          <w:lang w:eastAsia="zh-CN"/>
        </w:rPr>
        <w:t>集中采购机构</w:t>
      </w:r>
      <w:r>
        <w:rPr>
          <w:rFonts w:hint="eastAsia" w:ascii="宋体" w:hAnsi="宋体" w:cs="宋体"/>
          <w:kern w:val="0"/>
          <w:sz w:val="24"/>
        </w:rPr>
        <w:t>应当告知其投标无效的原因。</w:t>
      </w:r>
    </w:p>
    <w:p w14:paraId="33CC37D5">
      <w:pPr>
        <w:autoSpaceDE w:val="0"/>
        <w:autoSpaceDN w:val="0"/>
        <w:spacing w:line="240" w:lineRule="auto"/>
        <w:ind w:firstLine="482" w:firstLineChars="200"/>
        <w:rPr>
          <w:rFonts w:hint="eastAsia" w:ascii="宋体" w:hAnsi="宋体" w:cs="宋体"/>
          <w:color w:val="auto"/>
          <w:kern w:val="0"/>
          <w:sz w:val="24"/>
        </w:rPr>
      </w:pPr>
      <w:r>
        <w:rPr>
          <w:rFonts w:hint="eastAsia" w:ascii="宋体" w:hAnsi="宋体" w:cs="宋体"/>
          <w:color w:val="auto"/>
          <w:kern w:val="0"/>
          <w:sz w:val="24"/>
        </w:rPr>
        <w:t>18.1.3 投标文件报价出现前后不一致的，按照下列规定修正：</w:t>
      </w:r>
    </w:p>
    <w:p w14:paraId="0187D647">
      <w:pPr>
        <w:autoSpaceDE w:val="0"/>
        <w:autoSpaceDN w:val="0"/>
        <w:spacing w:line="240" w:lineRule="auto"/>
        <w:ind w:firstLine="482" w:firstLineChars="200"/>
        <w:rPr>
          <w:rFonts w:hint="eastAsia" w:ascii="宋体" w:hAnsi="宋体" w:cs="宋体"/>
          <w:color w:val="auto"/>
          <w:kern w:val="0"/>
          <w:sz w:val="24"/>
        </w:rPr>
      </w:pPr>
      <w:r>
        <w:rPr>
          <w:rFonts w:hint="eastAsia" w:ascii="宋体" w:hAnsi="宋体" w:cs="宋体"/>
          <w:color w:val="auto"/>
          <w:kern w:val="0"/>
          <w:sz w:val="24"/>
        </w:rPr>
        <w:t>（1）大写金额和小写金额不一致的，以大写金额为准；</w:t>
      </w:r>
    </w:p>
    <w:p w14:paraId="525A2BD5">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）单价金额小数点或者百分比有明显错位的，以开标一览表的总价为准，并修改单价；</w:t>
      </w:r>
    </w:p>
    <w:p w14:paraId="585998DC">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）总价金额与按单价汇总金额不一致的，以单价金额计算结果为准。</w:t>
      </w:r>
    </w:p>
    <w:p w14:paraId="32D0467D">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同时出现两种以上不一致的，按照前款规定的顺序修正。修正后的报价按18.1.1第二款的规定经</w:t>
      </w:r>
      <w:r>
        <w:rPr>
          <w:rFonts w:hint="eastAsia" w:ascii="宋体" w:hAnsi="宋体" w:cs="宋体"/>
          <w:kern w:val="0"/>
          <w:sz w:val="24"/>
          <w:lang w:eastAsia="zh-CN"/>
        </w:rPr>
        <w:t>供应商</w:t>
      </w:r>
      <w:r>
        <w:rPr>
          <w:rFonts w:hint="eastAsia" w:ascii="宋体" w:hAnsi="宋体" w:cs="宋体"/>
          <w:kern w:val="0"/>
          <w:sz w:val="24"/>
        </w:rPr>
        <w:t>确认后产生约束力，</w:t>
      </w:r>
      <w:r>
        <w:rPr>
          <w:rFonts w:hint="eastAsia" w:ascii="宋体" w:hAnsi="宋体" w:cs="宋体"/>
          <w:kern w:val="0"/>
          <w:sz w:val="24"/>
          <w:lang w:eastAsia="zh-CN"/>
        </w:rPr>
        <w:t>供应商</w:t>
      </w:r>
      <w:r>
        <w:rPr>
          <w:rFonts w:hint="eastAsia" w:ascii="宋体" w:hAnsi="宋体" w:cs="宋体"/>
          <w:kern w:val="0"/>
          <w:sz w:val="24"/>
        </w:rPr>
        <w:t>不确认的，其投标无效。</w:t>
      </w:r>
    </w:p>
    <w:p w14:paraId="53722833">
      <w:pPr>
        <w:autoSpaceDE w:val="0"/>
        <w:autoSpaceDN w:val="0"/>
        <w:spacing w:line="240" w:lineRule="auto"/>
        <w:ind w:left="426"/>
        <w:rPr>
          <w:rFonts w:hint="eastAsia" w:ascii="宋体" w:hAnsi="宋体" w:cs="宋体"/>
          <w:kern w:val="0"/>
          <w:sz w:val="24"/>
          <w:lang w:val="zh-CN"/>
        </w:rPr>
      </w:pPr>
      <w:r>
        <w:rPr>
          <w:rFonts w:hint="eastAsia" w:ascii="宋体" w:hAnsi="宋体" w:cs="宋体"/>
          <w:kern w:val="0"/>
          <w:sz w:val="24"/>
        </w:rPr>
        <w:t>18.2</w:t>
      </w:r>
      <w:r>
        <w:rPr>
          <w:rFonts w:hint="eastAsia" w:ascii="宋体" w:hAnsi="宋体" w:cs="宋体"/>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64D61AA">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供应商为小型、微型企业，且提供本企业生产的货物或者提供其他小型、微型企业生产的货物，价格按相关规定给予</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0%的价格折扣，用扣除后的价格参与评审。本项所称货物不包括使用大型企业注册商标的货物；</w:t>
      </w:r>
    </w:p>
    <w:p w14:paraId="609F7F45">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%的扣除，用扣除后的价格参加评审；</w:t>
      </w:r>
    </w:p>
    <w:p w14:paraId="1FCE3888">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监狱企业、残疾人福利性单位视同小型、微型企业，享受评审中价格扣除等促进中小企业发展的政府采购政策。</w:t>
      </w:r>
    </w:p>
    <w:p w14:paraId="056FE304">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供应商同时符合小型、微型企业及监狱企业、残疾人福利性单位要求的，评审时只有一种类型享受价格评审优惠政策；</w:t>
      </w:r>
    </w:p>
    <w:p w14:paraId="16B5B798">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rPr>
        <w:t>投标文件符合本章前款规定的，供应商应提供相关证明资料，且所提供资料必须真实可信。如有虚假，将依法承担相应责任。</w:t>
      </w:r>
    </w:p>
    <w:p w14:paraId="1D7B4BFE">
      <w:pPr>
        <w:autoSpaceDE w:val="0"/>
        <w:autoSpaceDN w:val="0"/>
        <w:spacing w:line="240" w:lineRule="auto"/>
        <w:ind w:firstLine="482" w:firstLineChars="200"/>
        <w:rPr>
          <w:rFonts w:hint="eastAsia" w:ascii="宋体" w:hAnsi="宋体" w:cs="宋体"/>
          <w:kern w:val="0"/>
          <w:lang w:val="zh-CN"/>
        </w:rPr>
      </w:pPr>
      <w:r>
        <w:rPr>
          <w:rFonts w:hint="eastAsia" w:ascii="宋体" w:hAnsi="宋体" w:cs="宋体"/>
          <w:kern w:val="0"/>
          <w:sz w:val="24"/>
        </w:rPr>
        <w:t>18</w:t>
      </w:r>
      <w:r>
        <w:rPr>
          <w:rFonts w:ascii="宋体" w:hAnsi="宋体" w:cs="宋体"/>
          <w:kern w:val="0"/>
          <w:sz w:val="24"/>
        </w:rPr>
        <w:t>.</w:t>
      </w:r>
      <w:r>
        <w:rPr>
          <w:rFonts w:hint="eastAsia" w:ascii="宋体" w:hAnsi="宋体" w:cs="宋体"/>
          <w:kern w:val="0"/>
          <w:sz w:val="24"/>
        </w:rPr>
        <w:t xml:space="preserve">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7E3D4D94">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18.</w:t>
      </w:r>
      <w:r>
        <w:rPr>
          <w:rFonts w:hint="eastAsia" w:ascii="宋体" w:hAnsi="宋体" w:cs="宋体"/>
          <w:kern w:val="0"/>
          <w:sz w:val="24"/>
        </w:rPr>
        <w:t>4</w:t>
      </w:r>
      <w:r>
        <w:rPr>
          <w:rFonts w:hint="eastAsia" w:ascii="宋体" w:hAnsi="宋体" w:cs="宋体"/>
          <w:kern w:val="0"/>
          <w:sz w:val="24"/>
          <w:lang w:val="zh-CN"/>
        </w:rPr>
        <w:t xml:space="preserve"> </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14:paraId="29B891B2">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kern w:val="0"/>
          <w:sz w:val="24"/>
          <w:lang w:val="zh-CN"/>
        </w:rPr>
        <w:t>18.</w:t>
      </w:r>
      <w:r>
        <w:rPr>
          <w:rFonts w:hint="eastAsia" w:ascii="宋体" w:hAnsi="宋体" w:cs="宋体"/>
          <w:kern w:val="0"/>
          <w:sz w:val="24"/>
        </w:rPr>
        <w:t xml:space="preserve">5 </w:t>
      </w:r>
      <w:r>
        <w:rPr>
          <w:rFonts w:hint="eastAsia" w:ascii="宋体" w:hAnsi="宋体" w:cs="宋体"/>
          <w:sz w:val="24"/>
          <w:shd w:val="clear" w:color="auto" w:fill="FFFFFF"/>
        </w:rPr>
        <w:t>评标委员会认为</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的报价明显低于其他通过符合性审查</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的报价，有可能影响服务质量或者不能诚信履约的，应当要求其在评标现场合理的时间内提供书面说明，必要时提交相关证明材料；</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不能证明其报价合理性的，评标委员会应当将其作为无效投标处理。</w:t>
      </w:r>
    </w:p>
    <w:p w14:paraId="02044761">
      <w:pPr>
        <w:autoSpaceDE w:val="0"/>
        <w:autoSpaceDN w:val="0"/>
        <w:spacing w:line="240" w:lineRule="auto"/>
        <w:ind w:firstLine="482"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18.6 </w:t>
      </w:r>
      <w:r>
        <w:rPr>
          <w:rFonts w:hint="eastAsia" w:ascii="宋体" w:hAnsi="宋体" w:eastAsia="宋体" w:cs="宋体"/>
          <w:kern w:val="0"/>
          <w:sz w:val="24"/>
          <w:lang w:val="zh-CN"/>
        </w:rPr>
        <w:t>使用综合评分法的采购项目，提供相同品牌产品且通过资格审查、符合性审查的不同</w:t>
      </w:r>
      <w:r>
        <w:rPr>
          <w:rFonts w:hint="eastAsia" w:ascii="宋体" w:hAnsi="宋体" w:cs="宋体"/>
          <w:kern w:val="0"/>
          <w:sz w:val="24"/>
          <w:lang w:val="zh-CN"/>
        </w:rPr>
        <w:t>供应商</w:t>
      </w:r>
      <w:r>
        <w:rPr>
          <w:rFonts w:hint="eastAsia" w:ascii="宋体" w:hAnsi="宋体" w:eastAsia="宋体" w:cs="宋体"/>
          <w:kern w:val="0"/>
          <w:sz w:val="24"/>
          <w:lang w:val="zh-CN"/>
        </w:rPr>
        <w:t>参加同一合同项下投标的，按一家</w:t>
      </w:r>
      <w:r>
        <w:rPr>
          <w:rFonts w:hint="eastAsia" w:ascii="宋体" w:hAnsi="宋体" w:cs="宋体"/>
          <w:kern w:val="0"/>
          <w:sz w:val="24"/>
          <w:lang w:val="zh-CN"/>
        </w:rPr>
        <w:t>供应商</w:t>
      </w:r>
      <w:r>
        <w:rPr>
          <w:rFonts w:hint="eastAsia" w:ascii="宋体" w:hAnsi="宋体" w:eastAsia="宋体" w:cs="宋体"/>
          <w:kern w:val="0"/>
          <w:sz w:val="24"/>
          <w:lang w:val="zh-CN"/>
        </w:rPr>
        <w:t>计算，评审后得分最高的同品牌</w:t>
      </w:r>
      <w:r>
        <w:rPr>
          <w:rFonts w:hint="eastAsia" w:ascii="宋体" w:hAnsi="宋体" w:cs="宋体"/>
          <w:kern w:val="0"/>
          <w:sz w:val="24"/>
          <w:lang w:val="zh-CN"/>
        </w:rPr>
        <w:t>供应商</w:t>
      </w:r>
      <w:r>
        <w:rPr>
          <w:rFonts w:hint="eastAsia" w:ascii="宋体" w:hAnsi="宋体" w:eastAsia="宋体" w:cs="宋体"/>
          <w:kern w:val="0"/>
          <w:sz w:val="24"/>
          <w:lang w:val="zh-CN"/>
        </w:rPr>
        <w:t>获得中标人推荐资格；评审得分相同的，由采购人或者采购人委托评标委员会按照招标文件规定的方式确定一个</w:t>
      </w:r>
      <w:r>
        <w:rPr>
          <w:rFonts w:hint="eastAsia" w:ascii="宋体" w:hAnsi="宋体" w:cs="宋体"/>
          <w:kern w:val="0"/>
          <w:sz w:val="24"/>
          <w:lang w:val="zh-CN"/>
        </w:rPr>
        <w:t>供应商</w:t>
      </w:r>
      <w:r>
        <w:rPr>
          <w:rFonts w:hint="eastAsia" w:ascii="宋体" w:hAnsi="宋体" w:eastAsia="宋体" w:cs="宋体"/>
          <w:kern w:val="0"/>
          <w:sz w:val="24"/>
          <w:lang w:val="zh-CN"/>
        </w:rPr>
        <w:t>获得中标人推荐资格，招标文件未规定的采取随机抽取方式确定，其他同品牌</w:t>
      </w:r>
      <w:r>
        <w:rPr>
          <w:rFonts w:hint="eastAsia" w:ascii="宋体" w:hAnsi="宋体" w:cs="宋体"/>
          <w:kern w:val="0"/>
          <w:sz w:val="24"/>
          <w:lang w:val="zh-CN"/>
        </w:rPr>
        <w:t>供应商</w:t>
      </w:r>
      <w:r>
        <w:rPr>
          <w:rFonts w:hint="eastAsia" w:ascii="宋体" w:hAnsi="宋体" w:eastAsia="宋体" w:cs="宋体"/>
          <w:kern w:val="0"/>
          <w:sz w:val="24"/>
          <w:lang w:val="zh-CN"/>
        </w:rPr>
        <w:t>不作为中标候选人。非单一产品采购项目，采购人应当根据采购项目技术构成、产品价格比重等合理确定核心产品，并在招标文件中载明。多家</w:t>
      </w:r>
      <w:r>
        <w:rPr>
          <w:rFonts w:hint="eastAsia" w:ascii="宋体" w:hAnsi="宋体" w:cs="宋体"/>
          <w:kern w:val="0"/>
          <w:sz w:val="24"/>
          <w:lang w:val="zh-CN"/>
        </w:rPr>
        <w:t>供应商</w:t>
      </w:r>
      <w:r>
        <w:rPr>
          <w:rFonts w:hint="eastAsia" w:ascii="宋体" w:hAnsi="宋体" w:eastAsia="宋体" w:cs="宋体"/>
          <w:kern w:val="0"/>
          <w:sz w:val="24"/>
          <w:lang w:val="zh-CN"/>
        </w:rPr>
        <w:t>提供的核心产品品牌相同的，按前款规定处理。</w:t>
      </w:r>
    </w:p>
    <w:p w14:paraId="74600281">
      <w:pPr>
        <w:pStyle w:val="20"/>
        <w:spacing w:line="240" w:lineRule="auto"/>
        <w:rPr>
          <w:rFonts w:hint="eastAsia"/>
        </w:rPr>
      </w:pPr>
    </w:p>
    <w:p w14:paraId="2E46ADAF">
      <w:pPr>
        <w:pStyle w:val="27"/>
        <w:spacing w:before="0" w:after="0" w:line="240" w:lineRule="auto"/>
        <w:jc w:val="left"/>
        <w:rPr>
          <w:rFonts w:hint="eastAsia" w:ascii="宋体" w:hAnsi="宋体" w:cs="宋体"/>
          <w:sz w:val="28"/>
          <w:szCs w:val="28"/>
          <w:lang w:val="zh-CN"/>
        </w:rPr>
      </w:pPr>
      <w:bookmarkStart w:id="72" w:name="_Toc11035"/>
      <w:bookmarkStart w:id="73" w:name="_Toc5315"/>
      <w:bookmarkStart w:id="74" w:name="_Toc88234637"/>
      <w:r>
        <w:rPr>
          <w:rFonts w:ascii="宋体" w:hAnsi="宋体" w:cs="宋体"/>
          <w:sz w:val="28"/>
          <w:szCs w:val="28"/>
          <w:lang w:val="zh-CN"/>
        </w:rPr>
        <w:t>1</w:t>
      </w:r>
      <w:r>
        <w:rPr>
          <w:rFonts w:hint="eastAsia" w:ascii="宋体" w:hAnsi="宋体" w:cs="宋体"/>
          <w:sz w:val="28"/>
          <w:szCs w:val="28"/>
          <w:lang w:val="zh-CN"/>
        </w:rPr>
        <w:t>9.评审方法和标准</w:t>
      </w:r>
      <w:bookmarkEnd w:id="72"/>
      <w:bookmarkEnd w:id="73"/>
      <w:bookmarkEnd w:id="74"/>
    </w:p>
    <w:p w14:paraId="78EADF86">
      <w:pPr>
        <w:autoSpaceDE w:val="0"/>
        <w:autoSpaceDN w:val="0"/>
        <w:spacing w:line="240" w:lineRule="auto"/>
        <w:ind w:firstLine="482" w:firstLineChars="200"/>
        <w:rPr>
          <w:rFonts w:hint="eastAsia" w:ascii="宋体" w:hAns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9.1</w:t>
      </w:r>
      <w:r>
        <w:rPr>
          <w:rFonts w:hint="eastAsia" w:ascii="宋体" w:hAnsi="宋体" w:cs="宋体"/>
          <w:kern w:val="0"/>
          <w:sz w:val="24"/>
        </w:rPr>
        <w:t xml:space="preserve"> </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14:paraId="0DBA9522">
      <w:pPr>
        <w:autoSpaceDE w:val="0"/>
        <w:autoSpaceDN w:val="0"/>
        <w:spacing w:line="240" w:lineRule="auto"/>
        <w:ind w:firstLine="482" w:firstLineChars="200"/>
        <w:rPr>
          <w:rFonts w:hint="eastAsia" w:ascii="宋体" w:hAnsi="宋体" w:cs="宋体"/>
          <w:kern w:val="0"/>
          <w:u w:val="dashDotHeavy"/>
        </w:rPr>
      </w:pPr>
      <w:r>
        <w:rPr>
          <w:rFonts w:ascii="宋体" w:hAnsi="宋体" w:cs="宋体"/>
          <w:kern w:val="0"/>
          <w:sz w:val="24"/>
          <w:lang w:val="zh-CN"/>
        </w:rPr>
        <w:t>1</w:t>
      </w:r>
      <w:r>
        <w:rPr>
          <w:rFonts w:hint="eastAsia" w:ascii="宋体" w:hAnsi="宋体" w:cs="宋体"/>
          <w:kern w:val="0"/>
          <w:sz w:val="24"/>
          <w:lang w:val="zh-CN"/>
        </w:rPr>
        <w:t>9</w:t>
      </w:r>
      <w:r>
        <w:rPr>
          <w:rFonts w:ascii="宋体" w:hAnsi="宋体" w:cs="宋体"/>
          <w:kern w:val="0"/>
          <w:sz w:val="24"/>
          <w:lang w:val="zh-CN"/>
        </w:rPr>
        <w:t>.</w:t>
      </w:r>
      <w:r>
        <w:rPr>
          <w:rFonts w:hint="eastAsia" w:ascii="宋体" w:hAnsi="宋体" w:cs="宋体"/>
          <w:kern w:val="0"/>
          <w:sz w:val="24"/>
          <w:lang w:val="zh-CN"/>
        </w:rPr>
        <w:t>2</w:t>
      </w:r>
      <w:r>
        <w:rPr>
          <w:rFonts w:hint="eastAsia" w:ascii="宋体" w:hAnsi="宋体" w:cs="宋体"/>
          <w:kern w:val="0"/>
          <w:sz w:val="24"/>
        </w:rPr>
        <w:t xml:space="preserve"> </w:t>
      </w:r>
      <w:r>
        <w:rPr>
          <w:rFonts w:hint="eastAsia" w:ascii="宋体" w:hAnsi="宋体" w:cs="宋体"/>
          <w:kern w:val="0"/>
          <w:sz w:val="24"/>
          <w:lang w:val="zh-CN"/>
        </w:rPr>
        <w:t>本次评审方法采用综合评分法</w:t>
      </w:r>
      <w:r>
        <w:rPr>
          <w:rFonts w:hint="eastAsia" w:ascii="宋体" w:hAnsi="宋体" w:cs="宋体"/>
          <w:kern w:val="0"/>
          <w:sz w:val="24"/>
        </w:rPr>
        <w:t>。</w:t>
      </w:r>
    </w:p>
    <w:p w14:paraId="11C837CF">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b/>
          <w:bCs/>
          <w:kern w:val="0"/>
          <w:sz w:val="24"/>
        </w:rPr>
        <w:t>评审方法：采用</w:t>
      </w:r>
      <w:r>
        <w:rPr>
          <w:rFonts w:hint="eastAsia" w:ascii="宋体" w:hAnsi="宋体" w:cs="宋体"/>
          <w:b/>
          <w:bCs/>
          <w:kern w:val="0"/>
          <w:sz w:val="24"/>
          <w:lang w:val="zh-CN"/>
        </w:rPr>
        <w:t>综合评分法</w:t>
      </w:r>
    </w:p>
    <w:p w14:paraId="53593703">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综合评分法，</w:t>
      </w:r>
      <w:r>
        <w:rPr>
          <w:rFonts w:hint="eastAsia" w:ascii="宋体" w:hAnsi="宋体" w:cs="宋体"/>
          <w:sz w:val="24"/>
          <w:shd w:val="clear" w:color="auto" w:fill="FFFFFF"/>
        </w:rPr>
        <w:t>是指投标文件满足招标文件全部实质性要求，且按照评审因素的量化指标评审得分最高的</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为中标候选人的评标方法</w:t>
      </w:r>
      <w:r>
        <w:rPr>
          <w:rFonts w:hint="eastAsia" w:ascii="宋体" w:hAnsi="宋体" w:cs="宋体"/>
          <w:kern w:val="0"/>
          <w:sz w:val="24"/>
          <w:lang w:val="zh-CN"/>
        </w:rPr>
        <w:t>。</w:t>
      </w:r>
    </w:p>
    <w:p w14:paraId="2AD7DA5A">
      <w:pPr>
        <w:autoSpaceDE w:val="0"/>
        <w:autoSpaceDN w:val="0"/>
        <w:spacing w:line="240" w:lineRule="auto"/>
        <w:ind w:firstLine="482"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评审因素的设定应当与</w:t>
      </w:r>
      <w:r>
        <w:rPr>
          <w:rFonts w:hint="eastAsia" w:ascii="宋体" w:hAnsi="宋体" w:cs="宋体"/>
          <w:sz w:val="24"/>
          <w:shd w:val="clear" w:color="auto" w:fill="FFFFFF"/>
          <w:lang w:eastAsia="zh-CN"/>
        </w:rPr>
        <w:t>供应商</w:t>
      </w:r>
      <w:r>
        <w:rPr>
          <w:rFonts w:hint="eastAsia" w:ascii="宋体" w:hAnsi="宋体" w:eastAsia="宋体" w:cs="宋体"/>
          <w:sz w:val="24"/>
          <w:shd w:val="clear" w:color="auto" w:fill="FFFFFF"/>
        </w:rPr>
        <w:t>所提供服务的质量相关，包括投标报价、</w:t>
      </w:r>
      <w:r>
        <w:rPr>
          <w:rFonts w:hint="eastAsia" w:ascii="宋体" w:hAnsi="宋体" w:eastAsia="宋体" w:cs="宋体"/>
          <w:sz w:val="24"/>
          <w:shd w:val="clear" w:color="auto" w:fill="FFFFFF"/>
          <w:lang w:val="zh-CN"/>
        </w:rPr>
        <w:t>商务评价</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zh-CN"/>
        </w:rPr>
        <w:t>技术水平、</w:t>
      </w:r>
      <w:r>
        <w:rPr>
          <w:rFonts w:hint="eastAsia" w:ascii="宋体" w:hAnsi="宋体" w:eastAsia="宋体" w:cs="宋体"/>
          <w:sz w:val="24"/>
          <w:shd w:val="clear" w:color="auto" w:fill="FFFFFF"/>
        </w:rPr>
        <w:t>售后服务等。资格条件不得作为评审因素。</w:t>
      </w:r>
    </w:p>
    <w:p w14:paraId="5E3731A0">
      <w:pPr>
        <w:autoSpaceDE w:val="0"/>
        <w:autoSpaceDN w:val="0"/>
        <w:spacing w:line="240" w:lineRule="auto"/>
        <w:ind w:firstLine="482"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14:paraId="6D910E5D">
      <w:pPr>
        <w:autoSpaceDE w:val="0"/>
        <w:autoSpaceDN w:val="0"/>
        <w:spacing w:line="240" w:lineRule="auto"/>
        <w:ind w:firstLine="482" w:firstLineChars="200"/>
        <w:rPr>
          <w:rFonts w:hint="eastAsia" w:ascii="宋体" w:hAnsi="宋体" w:cs="宋体"/>
          <w:sz w:val="24"/>
          <w:shd w:val="clear" w:color="auto" w:fill="FFFFFF"/>
          <w:lang w:val="en-US" w:eastAsia="zh-CN"/>
        </w:rPr>
      </w:pPr>
      <w:r>
        <w:rPr>
          <w:rFonts w:hint="eastAsia" w:ascii="宋体" w:hAnsi="宋体" w:eastAsia="宋体" w:cs="宋体"/>
          <w:b/>
          <w:bCs/>
          <w:sz w:val="24"/>
          <w:shd w:val="clear" w:color="auto" w:fill="FFFFFF"/>
        </w:rPr>
        <w:t>具体项目及评分细则</w:t>
      </w:r>
    </w:p>
    <w:tbl>
      <w:tblPr>
        <w:tblStyle w:val="3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960"/>
        <w:gridCol w:w="918"/>
        <w:gridCol w:w="5245"/>
      </w:tblGrid>
      <w:tr w14:paraId="785F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Align w:val="center"/>
          </w:tcPr>
          <w:p w14:paraId="5A6EE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类别</w:t>
            </w:r>
          </w:p>
        </w:tc>
        <w:tc>
          <w:tcPr>
            <w:tcW w:w="604" w:type="pct"/>
            <w:vAlign w:val="center"/>
          </w:tcPr>
          <w:p w14:paraId="6CE5A0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评分项目</w:t>
            </w:r>
          </w:p>
        </w:tc>
        <w:tc>
          <w:tcPr>
            <w:tcW w:w="578" w:type="pct"/>
            <w:vAlign w:val="center"/>
          </w:tcPr>
          <w:p w14:paraId="40398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满分</w:t>
            </w:r>
            <w:r>
              <w:rPr>
                <w:rFonts w:hint="eastAsia" w:ascii="宋体" w:hAnsi="宋体" w:eastAsia="宋体" w:cs="宋体"/>
                <w:b/>
                <w:bCs/>
                <w:sz w:val="21"/>
                <w:szCs w:val="21"/>
              </w:rPr>
              <w:br w:type="textWrapping"/>
            </w:r>
            <w:r>
              <w:rPr>
                <w:rFonts w:hint="eastAsia" w:ascii="宋体" w:hAnsi="宋体" w:eastAsia="宋体" w:cs="宋体"/>
                <w:b/>
                <w:bCs/>
                <w:sz w:val="21"/>
                <w:szCs w:val="21"/>
              </w:rPr>
              <w:t>分值</w:t>
            </w:r>
          </w:p>
        </w:tc>
        <w:tc>
          <w:tcPr>
            <w:tcW w:w="3301" w:type="pct"/>
            <w:vAlign w:val="center"/>
          </w:tcPr>
          <w:p w14:paraId="7A826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评审标准</w:t>
            </w:r>
          </w:p>
        </w:tc>
      </w:tr>
      <w:tr w14:paraId="0E4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Align w:val="center"/>
          </w:tcPr>
          <w:p w14:paraId="122614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投标报价30分</w:t>
            </w:r>
          </w:p>
        </w:tc>
        <w:tc>
          <w:tcPr>
            <w:tcW w:w="604" w:type="pct"/>
            <w:vAlign w:val="center"/>
          </w:tcPr>
          <w:p w14:paraId="59FD8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报价分</w:t>
            </w:r>
          </w:p>
        </w:tc>
        <w:tc>
          <w:tcPr>
            <w:tcW w:w="578" w:type="pct"/>
            <w:vAlign w:val="center"/>
          </w:tcPr>
          <w:p w14:paraId="6D82F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3301" w:type="pct"/>
            <w:vAlign w:val="center"/>
          </w:tcPr>
          <w:p w14:paraId="551128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在所有的有效投标报价中，以最低投标报价为基准价，其价格分为满分。其他投标人的报价分统一按下列公式计算：投标报价得分=(评标基准价／投标报价)×价格权值（30%）×100（四舍五入后保留小数点后两位）。</w:t>
            </w:r>
            <w:r>
              <w:rPr>
                <w:rFonts w:hint="eastAsia" w:ascii="宋体" w:hAnsi="宋体" w:eastAsia="宋体" w:cs="宋体"/>
                <w:sz w:val="21"/>
                <w:szCs w:val="21"/>
              </w:rPr>
              <w:br w:type="textWrapping"/>
            </w:r>
            <w:r>
              <w:rPr>
                <w:rFonts w:hint="eastAsia" w:ascii="宋体" w:hAnsi="宋体" w:eastAsia="宋体" w:cs="宋体"/>
                <w:sz w:val="21"/>
                <w:szCs w:val="21"/>
              </w:rPr>
              <w:t>注：根据《政府采购促进中小企业发展管理办法》、《关于促进残疾人就业政府采购政策的通知》的相关规定，对残疾人福利性单位、小型和微型企业制造（生产）产品的价格给予10%的扣除，用扣除后的价格参与评标。</w:t>
            </w:r>
            <w:r>
              <w:rPr>
                <w:rFonts w:hint="eastAsia" w:ascii="宋体" w:hAnsi="宋体" w:eastAsia="宋体" w:cs="宋体"/>
                <w:sz w:val="21"/>
                <w:szCs w:val="21"/>
              </w:rPr>
              <w:br w:type="textWrapping"/>
            </w:r>
            <w:r>
              <w:rPr>
                <w:rFonts w:hint="eastAsia" w:ascii="宋体" w:hAnsi="宋体" w:eastAsia="宋体" w:cs="宋体"/>
                <w:sz w:val="21"/>
                <w:szCs w:val="21"/>
              </w:rPr>
              <w:t>残疾人福利性单位属于小型、微型企业的，不重复享受政策。</w:t>
            </w:r>
          </w:p>
        </w:tc>
      </w:tr>
      <w:tr w14:paraId="430F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restart"/>
            <w:shd w:val="clear" w:color="auto" w:fill="auto"/>
            <w:vAlign w:val="center"/>
          </w:tcPr>
          <w:p w14:paraId="55F8C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服务及类似业绩</w:t>
            </w:r>
            <w:r>
              <w:rPr>
                <w:rFonts w:hint="eastAsia" w:ascii="宋体" w:hAnsi="宋体" w:eastAsia="宋体" w:cs="宋体"/>
                <w:sz w:val="21"/>
                <w:szCs w:val="21"/>
                <w:lang w:val="en-US" w:eastAsia="zh-CN"/>
              </w:rPr>
              <w:t>14</w:t>
            </w:r>
            <w:r>
              <w:rPr>
                <w:rFonts w:hint="eastAsia" w:ascii="宋体" w:hAnsi="宋体" w:eastAsia="宋体" w:cs="宋体"/>
                <w:sz w:val="21"/>
                <w:szCs w:val="21"/>
              </w:rPr>
              <w:t>分</w:t>
            </w:r>
          </w:p>
        </w:tc>
        <w:tc>
          <w:tcPr>
            <w:tcW w:w="604" w:type="pct"/>
            <w:shd w:val="clear" w:color="auto" w:fill="auto"/>
            <w:vAlign w:val="center"/>
          </w:tcPr>
          <w:p w14:paraId="56832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综合实力</w:t>
            </w:r>
          </w:p>
        </w:tc>
        <w:tc>
          <w:tcPr>
            <w:tcW w:w="578" w:type="pct"/>
            <w:shd w:val="clear" w:color="auto" w:fill="auto"/>
            <w:vAlign w:val="center"/>
          </w:tcPr>
          <w:p w14:paraId="59FC3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3301" w:type="pct"/>
            <w:shd w:val="clear" w:color="auto" w:fill="auto"/>
            <w:vAlign w:val="center"/>
          </w:tcPr>
          <w:p w14:paraId="5EDEFD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1.投标人具有 TL9000 质量管理体系认证证书的得1分。不提供的不得分。</w:t>
            </w:r>
            <w:r>
              <w:rPr>
                <w:rFonts w:hint="eastAsia" w:ascii="宋体" w:hAnsi="宋体" w:eastAsia="宋体" w:cs="宋体"/>
                <w:sz w:val="21"/>
                <w:szCs w:val="21"/>
              </w:rPr>
              <w:br w:type="textWrapping"/>
            </w:r>
            <w:r>
              <w:rPr>
                <w:rFonts w:hint="eastAsia" w:ascii="宋体" w:hAnsi="宋体" w:eastAsia="宋体" w:cs="宋体"/>
                <w:sz w:val="21"/>
                <w:szCs w:val="21"/>
              </w:rPr>
              <w:t>2.投标人具有信息安全服务（安全集成）二级及以上的得1分。不提供的不得分。</w:t>
            </w:r>
            <w:r>
              <w:rPr>
                <w:rFonts w:hint="eastAsia" w:ascii="宋体" w:hAnsi="宋体" w:eastAsia="宋体" w:cs="宋体"/>
                <w:sz w:val="21"/>
                <w:szCs w:val="21"/>
              </w:rPr>
              <w:br w:type="textWrapping"/>
            </w:r>
            <w:r>
              <w:rPr>
                <w:rFonts w:hint="eastAsia" w:ascii="宋体" w:hAnsi="宋体" w:cs="宋体"/>
                <w:sz w:val="21"/>
                <w:szCs w:val="21"/>
                <w:lang w:val="en-US" w:eastAsia="zh-CN"/>
              </w:rPr>
              <w:t>3</w:t>
            </w:r>
            <w:r>
              <w:rPr>
                <w:rFonts w:hint="eastAsia" w:ascii="宋体" w:hAnsi="宋体" w:eastAsia="宋体" w:cs="宋体"/>
                <w:sz w:val="21"/>
                <w:szCs w:val="21"/>
              </w:rPr>
              <w:t>.投标人具有信息系统建设和服务能力四级及以上认证证书得1分。不提供的不得分。</w:t>
            </w:r>
          </w:p>
        </w:tc>
      </w:tr>
      <w:tr w14:paraId="7C2E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18281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shd w:val="clear" w:color="auto" w:fill="auto"/>
            <w:vAlign w:val="center"/>
          </w:tcPr>
          <w:p w14:paraId="305B8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类似业绩情况</w:t>
            </w:r>
          </w:p>
        </w:tc>
        <w:tc>
          <w:tcPr>
            <w:tcW w:w="578" w:type="pct"/>
            <w:shd w:val="clear" w:color="auto" w:fill="auto"/>
            <w:vAlign w:val="center"/>
          </w:tcPr>
          <w:p w14:paraId="2D361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3301" w:type="pct"/>
            <w:shd w:val="clear" w:color="auto" w:fill="auto"/>
            <w:vAlign w:val="center"/>
          </w:tcPr>
          <w:p w14:paraId="53DA70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提供自202</w:t>
            </w:r>
            <w:r>
              <w:rPr>
                <w:rFonts w:hint="eastAsia" w:ascii="宋体" w:hAnsi="宋体" w:eastAsia="宋体" w:cs="宋体"/>
                <w:sz w:val="21"/>
                <w:szCs w:val="21"/>
                <w:lang w:val="en-US" w:eastAsia="zh-CN"/>
              </w:rPr>
              <w:t>2</w:t>
            </w:r>
            <w:r>
              <w:rPr>
                <w:rFonts w:hint="eastAsia" w:ascii="宋体" w:hAnsi="宋体" w:eastAsia="宋体" w:cs="宋体"/>
                <w:sz w:val="21"/>
                <w:szCs w:val="21"/>
              </w:rPr>
              <w:t>年以来的类似业绩证明材料。提供5项以上（含5项）的，得5分；提供5项以下的，每提供1项得1分；不提供不得分。需提供</w:t>
            </w:r>
            <w:r>
              <w:rPr>
                <w:rFonts w:hint="eastAsia" w:ascii="宋体" w:hAnsi="宋体" w:eastAsia="宋体" w:cs="宋体"/>
                <w:sz w:val="21"/>
                <w:szCs w:val="21"/>
                <w:lang w:val="en-US" w:eastAsia="zh-CN"/>
              </w:rPr>
              <w:t>中标通知书及</w:t>
            </w:r>
            <w:r>
              <w:rPr>
                <w:rFonts w:hint="eastAsia" w:ascii="宋体" w:hAnsi="宋体" w:eastAsia="宋体" w:cs="宋体"/>
                <w:sz w:val="21"/>
                <w:szCs w:val="21"/>
              </w:rPr>
              <w:t>包含合同首页、标的及金额所在页、供货合同签字盖章页的扫描（或复印）件。</w:t>
            </w:r>
          </w:p>
        </w:tc>
      </w:tr>
      <w:tr w14:paraId="03BE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5D257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shd w:val="clear" w:color="auto" w:fill="auto"/>
            <w:vAlign w:val="center"/>
          </w:tcPr>
          <w:p w14:paraId="2E070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服务人员配置</w:t>
            </w:r>
          </w:p>
        </w:tc>
        <w:tc>
          <w:tcPr>
            <w:tcW w:w="578" w:type="pct"/>
            <w:shd w:val="clear" w:color="auto" w:fill="auto"/>
            <w:vAlign w:val="center"/>
          </w:tcPr>
          <w:p w14:paraId="2E280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3301" w:type="pct"/>
            <w:shd w:val="clear" w:color="auto" w:fill="auto"/>
            <w:vAlign w:val="center"/>
          </w:tcPr>
          <w:p w14:paraId="78D819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1.安排项目负责人，具有信息系统项目管理师证书、系统规划与管理师证书、系统分析师证书、信息安全保障人员认证证书、信息安全工程师证书，同时具备上述证书得</w:t>
            </w:r>
            <w:r>
              <w:rPr>
                <w:rFonts w:hint="eastAsia" w:ascii="宋体" w:hAnsi="宋体" w:eastAsia="宋体" w:cs="宋体"/>
                <w:sz w:val="21"/>
                <w:szCs w:val="21"/>
                <w:lang w:val="en-US" w:eastAsia="zh-CN"/>
              </w:rPr>
              <w:t>3</w:t>
            </w:r>
            <w:r>
              <w:rPr>
                <w:rFonts w:hint="eastAsia" w:ascii="宋体" w:hAnsi="宋体" w:eastAsia="宋体" w:cs="宋体"/>
                <w:sz w:val="21"/>
                <w:szCs w:val="21"/>
              </w:rPr>
              <w:t>分。不提供不得分。</w:t>
            </w:r>
          </w:p>
          <w:p w14:paraId="478D9D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.实施团队人员，</w:t>
            </w:r>
            <w:r>
              <w:rPr>
                <w:rFonts w:hint="eastAsia" w:ascii="宋体" w:hAnsi="宋体" w:eastAsia="宋体" w:cs="宋体"/>
                <w:sz w:val="21"/>
                <w:szCs w:val="21"/>
                <w:lang w:val="en-US" w:eastAsia="zh-CN"/>
              </w:rPr>
              <w:t>供应商为本项目配置项目实施团队中，每提供一名具有</w:t>
            </w:r>
            <w:r>
              <w:rPr>
                <w:rFonts w:hint="eastAsia" w:ascii="宋体" w:hAnsi="宋体" w:eastAsia="宋体" w:cs="宋体"/>
                <w:sz w:val="21"/>
                <w:szCs w:val="21"/>
              </w:rPr>
              <w:t>软件设计师证书、通信工程师证书</w:t>
            </w:r>
            <w:r>
              <w:rPr>
                <w:rFonts w:hint="eastAsia" w:ascii="宋体" w:hAnsi="宋体" w:eastAsia="宋体" w:cs="宋体"/>
                <w:sz w:val="21"/>
                <w:szCs w:val="21"/>
                <w:lang w:eastAsia="zh-CN"/>
              </w:rPr>
              <w:t>、</w:t>
            </w:r>
            <w:r>
              <w:rPr>
                <w:rFonts w:hint="eastAsia" w:ascii="宋体" w:hAnsi="宋体" w:eastAsia="宋体" w:cs="宋体"/>
                <w:sz w:val="21"/>
                <w:szCs w:val="21"/>
              </w:rPr>
              <w:t>系统规划与管理师、信息安全工程师、数据库系统工程师、信息安全保障人员认证证书</w:t>
            </w:r>
            <w:r>
              <w:rPr>
                <w:rFonts w:hint="eastAsia" w:ascii="宋体" w:hAnsi="宋体" w:eastAsia="宋体" w:cs="宋体"/>
                <w:sz w:val="21"/>
                <w:szCs w:val="21"/>
                <w:lang w:val="en-US" w:eastAsia="zh-CN"/>
              </w:rPr>
              <w:t>中任意一项证书人员的</w:t>
            </w:r>
            <w:r>
              <w:rPr>
                <w:rFonts w:hint="eastAsia" w:ascii="宋体" w:hAnsi="宋体" w:eastAsia="宋体" w:cs="宋体"/>
                <w:sz w:val="21"/>
                <w:szCs w:val="21"/>
              </w:rPr>
              <w:t>，每提供1</w:t>
            </w:r>
            <w:r>
              <w:rPr>
                <w:rFonts w:hint="eastAsia" w:ascii="宋体" w:hAnsi="宋体" w:eastAsia="宋体" w:cs="宋体"/>
                <w:sz w:val="21"/>
                <w:szCs w:val="21"/>
                <w:lang w:val="en-US" w:eastAsia="zh-CN"/>
              </w:rPr>
              <w:t>人</w:t>
            </w:r>
            <w:r>
              <w:rPr>
                <w:rFonts w:hint="eastAsia" w:ascii="宋体" w:hAnsi="宋体" w:eastAsia="宋体" w:cs="宋体"/>
                <w:sz w:val="21"/>
                <w:szCs w:val="21"/>
              </w:rPr>
              <w:t>得0.5分，满分</w:t>
            </w:r>
            <w:r>
              <w:rPr>
                <w:rFonts w:hint="eastAsia" w:ascii="宋体" w:hAnsi="宋体" w:eastAsia="宋体" w:cs="宋体"/>
                <w:sz w:val="21"/>
                <w:szCs w:val="21"/>
                <w:lang w:val="en-US" w:eastAsia="zh-CN"/>
              </w:rPr>
              <w:t>3</w:t>
            </w:r>
            <w:r>
              <w:rPr>
                <w:rFonts w:hint="eastAsia" w:ascii="宋体" w:hAnsi="宋体" w:eastAsia="宋体" w:cs="宋体"/>
                <w:sz w:val="21"/>
                <w:szCs w:val="21"/>
              </w:rPr>
              <w:t>分。不提供不得分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各证书不重复计分</w:t>
            </w:r>
            <w:r>
              <w:rPr>
                <w:rFonts w:hint="eastAsia" w:ascii="宋体" w:hAnsi="宋体" w:eastAsia="宋体" w:cs="宋体"/>
                <w:sz w:val="21"/>
                <w:szCs w:val="21"/>
                <w:lang w:eastAsia="zh-CN"/>
              </w:rPr>
              <w:t>）。</w:t>
            </w:r>
          </w:p>
          <w:p w14:paraId="2ACBFF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注：需提供</w:t>
            </w:r>
            <w:r>
              <w:rPr>
                <w:rFonts w:hint="eastAsia" w:ascii="宋体" w:hAnsi="宋体" w:eastAsia="宋体" w:cs="宋体"/>
                <w:b/>
                <w:bCs/>
                <w:sz w:val="21"/>
                <w:szCs w:val="21"/>
                <w:lang w:val="en-US" w:eastAsia="zh-CN"/>
              </w:rPr>
              <w:t>人员相关证书、</w:t>
            </w:r>
            <w:r>
              <w:rPr>
                <w:rFonts w:hint="eastAsia" w:ascii="宋体" w:hAnsi="宋体" w:eastAsia="宋体" w:cs="宋体"/>
                <w:b/>
                <w:bCs/>
                <w:sz w:val="21"/>
                <w:szCs w:val="21"/>
              </w:rPr>
              <w:t>劳务合同及</w:t>
            </w:r>
            <w:r>
              <w:rPr>
                <w:rFonts w:hint="eastAsia" w:ascii="宋体" w:hAnsi="宋体" w:eastAsia="宋体" w:cs="宋体"/>
                <w:b/>
                <w:bCs/>
                <w:sz w:val="21"/>
                <w:szCs w:val="21"/>
                <w:lang w:val="en-US" w:eastAsia="zh-CN"/>
              </w:rPr>
              <w:t>近半年内任意三个月的</w:t>
            </w:r>
            <w:r>
              <w:rPr>
                <w:rFonts w:hint="eastAsia" w:ascii="宋体" w:hAnsi="宋体" w:eastAsia="宋体" w:cs="宋体"/>
                <w:b/>
                <w:bCs/>
                <w:sz w:val="21"/>
                <w:szCs w:val="21"/>
              </w:rPr>
              <w:t>社保缴纳证明材料。</w:t>
            </w:r>
          </w:p>
        </w:tc>
      </w:tr>
      <w:tr w14:paraId="21E3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restart"/>
            <w:vAlign w:val="center"/>
          </w:tcPr>
          <w:p w14:paraId="7AAE9C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项目管理及售后服务</w:t>
            </w:r>
            <w:r>
              <w:rPr>
                <w:rFonts w:hint="eastAsia" w:ascii="宋体" w:hAnsi="宋体" w:eastAsia="宋体" w:cs="宋体"/>
                <w:sz w:val="21"/>
                <w:szCs w:val="21"/>
                <w:lang w:val="en-US" w:eastAsia="zh-CN"/>
              </w:rPr>
              <w:t>56</w:t>
            </w:r>
            <w:r>
              <w:rPr>
                <w:rFonts w:hint="eastAsia" w:ascii="宋体" w:hAnsi="宋体" w:eastAsia="宋体" w:cs="宋体"/>
                <w:sz w:val="21"/>
                <w:szCs w:val="21"/>
              </w:rPr>
              <w:t>分</w:t>
            </w:r>
          </w:p>
        </w:tc>
        <w:tc>
          <w:tcPr>
            <w:tcW w:w="604" w:type="pct"/>
            <w:vAlign w:val="center"/>
          </w:tcPr>
          <w:p w14:paraId="17B7C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技术水平</w:t>
            </w:r>
          </w:p>
        </w:tc>
        <w:tc>
          <w:tcPr>
            <w:tcW w:w="578" w:type="pct"/>
            <w:vAlign w:val="center"/>
          </w:tcPr>
          <w:p w14:paraId="001BE8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3301" w:type="pct"/>
            <w:vAlign w:val="center"/>
          </w:tcPr>
          <w:p w14:paraId="49A389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投标产品技术参数和配置完全满足或高于招标文件要求的，得30分；每有一项负偏离扣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r>
              <w:rPr>
                <w:rFonts w:hint="eastAsia" w:ascii="宋体" w:hAnsi="宋体" w:eastAsia="宋体" w:cs="宋体"/>
                <w:sz w:val="21"/>
                <w:szCs w:val="21"/>
                <w:lang w:eastAsia="zh-CN"/>
              </w:rPr>
              <w:t>（此项评分以生产厂商出具的证明文件或产品彩页或检测报告等为依据。）</w:t>
            </w:r>
          </w:p>
        </w:tc>
      </w:tr>
      <w:tr w14:paraId="779F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3A328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vAlign w:val="center"/>
          </w:tcPr>
          <w:p w14:paraId="407BE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环保和</w:t>
            </w:r>
          </w:p>
          <w:p w14:paraId="6CF935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节能</w:t>
            </w:r>
          </w:p>
        </w:tc>
        <w:tc>
          <w:tcPr>
            <w:tcW w:w="578" w:type="pct"/>
            <w:vAlign w:val="center"/>
          </w:tcPr>
          <w:p w14:paraId="2F862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301" w:type="pct"/>
            <w:vAlign w:val="center"/>
          </w:tcPr>
          <w:p w14:paraId="29031D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投标产品为节能产品得1分；投标产品为环保产品得1分；未提供</w:t>
            </w:r>
            <w:r>
              <w:rPr>
                <w:rFonts w:hint="eastAsia" w:ascii="宋体" w:hAnsi="宋体" w:eastAsia="宋体" w:cs="宋体"/>
                <w:sz w:val="21"/>
                <w:szCs w:val="21"/>
                <w:lang w:eastAsia="zh-CN"/>
              </w:rPr>
              <w:t>的</w:t>
            </w:r>
            <w:r>
              <w:rPr>
                <w:rFonts w:hint="eastAsia" w:ascii="宋体" w:hAnsi="宋体" w:eastAsia="宋体" w:cs="宋体"/>
                <w:sz w:val="21"/>
                <w:szCs w:val="21"/>
              </w:rPr>
              <w:t>不得分。该项得分的认定以《国家节能产品认证证书》、《中国环境标志产品认证证书》为准。</w:t>
            </w:r>
          </w:p>
        </w:tc>
      </w:tr>
      <w:tr w14:paraId="7B30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471E9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vAlign w:val="center"/>
          </w:tcPr>
          <w:p w14:paraId="7B1CD3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项目管理及实施方案</w:t>
            </w:r>
          </w:p>
        </w:tc>
        <w:tc>
          <w:tcPr>
            <w:tcW w:w="578" w:type="pct"/>
            <w:vAlign w:val="center"/>
          </w:tcPr>
          <w:p w14:paraId="1BDA1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301" w:type="pct"/>
            <w:vAlign w:val="center"/>
          </w:tcPr>
          <w:p w14:paraId="19CA26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针对本项目特点制定详细的项目管理及实施方案，方案内容包含：①项目管理机构及人员配置情况；②项目管理措施及质量保障方案；③培训方案；④质量控制及保证措施。评标委员会对以上内容进行评审，满分12分，每缺少一项内容扣3分；所提供的每项内容中每存在一处缺陷扣1分，未提供的不得分。</w:t>
            </w:r>
          </w:p>
        </w:tc>
      </w:tr>
      <w:tr w14:paraId="1BC2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31F98C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vAlign w:val="center"/>
          </w:tcPr>
          <w:p w14:paraId="044C5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供货服务方案</w:t>
            </w:r>
          </w:p>
        </w:tc>
        <w:tc>
          <w:tcPr>
            <w:tcW w:w="578" w:type="pct"/>
            <w:vAlign w:val="center"/>
          </w:tcPr>
          <w:p w14:paraId="4AA5C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3301" w:type="pct"/>
            <w:vAlign w:val="center"/>
          </w:tcPr>
          <w:p w14:paraId="1812AD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供应商针对本项目特点制定详细的货物供货及配送方案，方案内容包含：①完善的供货计划；②完善的运输计划及运输配置、应急措施；③完善的供货保证措施；④进度计划与措施。评标委员会对以上内容进行评审，满分8分，每缺少一项内容扣2分；所提供的每项内容中每存在一处缺陷扣0.5分，未提供的不得分。</w:t>
            </w:r>
          </w:p>
        </w:tc>
      </w:tr>
      <w:tr w14:paraId="35B8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6" w:type="pct"/>
            <w:vMerge w:val="continue"/>
            <w:vAlign w:val="center"/>
          </w:tcPr>
          <w:p w14:paraId="006B4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604" w:type="pct"/>
            <w:vAlign w:val="center"/>
          </w:tcPr>
          <w:p w14:paraId="1CD08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售后服务及相关承诺</w:t>
            </w:r>
          </w:p>
        </w:tc>
        <w:tc>
          <w:tcPr>
            <w:tcW w:w="578" w:type="pct"/>
            <w:vAlign w:val="center"/>
          </w:tcPr>
          <w:p w14:paraId="060BD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301" w:type="pct"/>
            <w:vAlign w:val="center"/>
          </w:tcPr>
          <w:p w14:paraId="1094C0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供应商针对本项目特点制定详细的</w:t>
            </w:r>
            <w:r>
              <w:rPr>
                <w:rFonts w:hint="eastAsia" w:ascii="宋体" w:hAnsi="宋体" w:eastAsia="宋体" w:cs="宋体"/>
                <w:sz w:val="21"/>
                <w:szCs w:val="21"/>
              </w:rPr>
              <w:t>售后服务</w:t>
            </w:r>
            <w:r>
              <w:rPr>
                <w:rFonts w:hint="eastAsia" w:ascii="宋体" w:hAnsi="宋体" w:eastAsia="宋体" w:cs="宋体"/>
                <w:sz w:val="21"/>
                <w:szCs w:val="21"/>
                <w:lang w:val="en-US" w:eastAsia="zh-CN"/>
              </w:rPr>
              <w:t>方案，方案内容包含</w:t>
            </w:r>
            <w:r>
              <w:rPr>
                <w:rFonts w:hint="eastAsia" w:ascii="宋体" w:hAnsi="宋体" w:eastAsia="宋体" w:cs="宋体"/>
                <w:sz w:val="21"/>
                <w:szCs w:val="21"/>
              </w:rPr>
              <w:t>：①售后服务机构和人员②售后服务内容和流程③售后服务响应时间和质量④售后服务方式特色和应急处理能力方案。以上因素每实质性响应一项得</w:t>
            </w:r>
            <w:r>
              <w:rPr>
                <w:rFonts w:hint="eastAsia" w:ascii="宋体" w:hAnsi="宋体" w:eastAsia="宋体" w:cs="宋体"/>
                <w:sz w:val="21"/>
                <w:szCs w:val="21"/>
                <w:lang w:val="en-US" w:eastAsia="zh-CN"/>
              </w:rPr>
              <w:t>1</w:t>
            </w:r>
            <w:r>
              <w:rPr>
                <w:rFonts w:hint="eastAsia" w:ascii="宋体" w:hAnsi="宋体" w:eastAsia="宋体" w:cs="宋体"/>
                <w:sz w:val="21"/>
                <w:szCs w:val="21"/>
              </w:rPr>
              <w:t>分，满分</w:t>
            </w:r>
            <w:r>
              <w:rPr>
                <w:rFonts w:hint="eastAsia" w:ascii="宋体" w:hAnsi="宋体" w:eastAsia="宋体" w:cs="宋体"/>
                <w:sz w:val="21"/>
                <w:szCs w:val="21"/>
                <w:lang w:val="en-US" w:eastAsia="zh-CN"/>
              </w:rPr>
              <w:t>4</w:t>
            </w:r>
            <w:r>
              <w:rPr>
                <w:rFonts w:hint="eastAsia" w:ascii="宋体" w:hAnsi="宋体" w:eastAsia="宋体" w:cs="宋体"/>
                <w:sz w:val="21"/>
                <w:szCs w:val="21"/>
              </w:rPr>
              <w:t>分。上述内容无针对性或与采购项目无关的每有1处按</w:t>
            </w:r>
            <w:r>
              <w:rPr>
                <w:rFonts w:hint="eastAsia" w:ascii="宋体" w:hAnsi="宋体" w:eastAsia="宋体" w:cs="宋体"/>
                <w:sz w:val="21"/>
                <w:szCs w:val="21"/>
                <w:lang w:val="en-US" w:eastAsia="zh-CN"/>
              </w:rPr>
              <w:t>0.5</w:t>
            </w:r>
            <w:r>
              <w:rPr>
                <w:rFonts w:hint="eastAsia" w:ascii="宋体" w:hAnsi="宋体" w:eastAsia="宋体" w:cs="宋体"/>
                <w:sz w:val="21"/>
                <w:szCs w:val="21"/>
              </w:rPr>
              <w:t>分扣减，扣完为止，未提供的不得分。</w:t>
            </w:r>
          </w:p>
        </w:tc>
      </w:tr>
    </w:tbl>
    <w:p w14:paraId="19C46515">
      <w:pPr>
        <w:bidi w:val="0"/>
        <w:rPr>
          <w:rFonts w:hint="eastAsia"/>
        </w:rPr>
      </w:pPr>
    </w:p>
    <w:p w14:paraId="7C523A31">
      <w:pPr>
        <w:autoSpaceDE w:val="0"/>
        <w:autoSpaceDN w:val="0"/>
        <w:spacing w:line="240" w:lineRule="auto"/>
        <w:ind w:firstLine="482" w:firstLineChars="200"/>
        <w:rPr>
          <w:rFonts w:hint="eastAsia" w:ascii="宋体" w:hAnsi="宋体" w:cs="宋体"/>
          <w:sz w:val="24"/>
          <w:shd w:val="clear" w:color="auto" w:fill="FFFFFF"/>
        </w:rPr>
      </w:pPr>
      <w:bookmarkStart w:id="75" w:name="_Toc18752"/>
      <w:r>
        <w:rPr>
          <w:rFonts w:ascii="宋体" w:hAnsi="宋体" w:cs="宋体"/>
          <w:sz w:val="24"/>
          <w:shd w:val="clear" w:color="auto" w:fill="FFFFFF"/>
        </w:rPr>
        <w:t>1</w:t>
      </w:r>
      <w:r>
        <w:rPr>
          <w:rFonts w:hint="eastAsia" w:ascii="宋体" w:hAnsi="宋体" w:cs="宋体"/>
          <w:sz w:val="24"/>
          <w:shd w:val="clear" w:color="auto" w:fill="FFFFFF"/>
        </w:rPr>
        <w:t>9.3</w:t>
      </w:r>
      <w:r>
        <w:rPr>
          <w:rFonts w:hint="eastAsia" w:ascii="宋体" w:hAnsi="宋体" w:cs="宋体"/>
          <w:shd w:val="clear" w:color="auto" w:fill="FFFFFF"/>
        </w:rPr>
        <w:t xml:space="preserve"> </w:t>
      </w:r>
      <w:r>
        <w:rPr>
          <w:rFonts w:hint="eastAsia" w:ascii="宋体" w:hAnsi="宋体" w:cs="宋体"/>
          <w:bCs/>
          <w:kern w:val="0"/>
          <w:sz w:val="24"/>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为排名第一的中标候选人。</w:t>
      </w:r>
    </w:p>
    <w:p w14:paraId="4E853395">
      <w:pPr>
        <w:autoSpaceDE w:val="0"/>
        <w:autoSpaceDN w:val="0"/>
        <w:spacing w:line="240" w:lineRule="auto"/>
        <w:ind w:firstLine="482" w:firstLineChars="200"/>
        <w:rPr>
          <w:rFonts w:hint="eastAsia" w:ascii="宋体" w:hAnsi="宋体" w:cs="宋体"/>
          <w:sz w:val="24"/>
          <w:shd w:val="clear" w:color="auto" w:fill="FFFFFF"/>
        </w:rPr>
      </w:pPr>
      <w:r>
        <w:rPr>
          <w:rFonts w:ascii="宋体" w:hAnsi="宋体" w:cs="宋体"/>
          <w:sz w:val="24"/>
          <w:shd w:val="clear" w:color="auto" w:fill="FFFFFF"/>
        </w:rPr>
        <w:t>1</w:t>
      </w:r>
      <w:r>
        <w:rPr>
          <w:rFonts w:hint="eastAsia" w:ascii="宋体" w:hAnsi="宋体" w:cs="宋体"/>
          <w:sz w:val="24"/>
          <w:shd w:val="clear" w:color="auto" w:fill="FFFFFF"/>
        </w:rPr>
        <w:t>9.4 评标结果汇总完成后，除下列情形外，任何人不得修改评标结果：</w:t>
      </w:r>
    </w:p>
    <w:p w14:paraId="58E5BEB4">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hd w:val="clear" w:color="auto" w:fill="FFFFFF"/>
        </w:rPr>
        <w:t>（1）分值汇总计算错误的；</w:t>
      </w:r>
    </w:p>
    <w:p w14:paraId="5112EA0B">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hd w:val="clear" w:color="auto" w:fill="FFFFFF"/>
        </w:rPr>
        <w:t>（2）分项评分超出评分标准范围的；</w:t>
      </w:r>
    </w:p>
    <w:p w14:paraId="5F00DD5C">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hd w:val="clear" w:color="auto" w:fill="FFFFFF"/>
        </w:rPr>
        <w:t>（3）评标委员会成员对客观评审因素评分不一致的；</w:t>
      </w:r>
    </w:p>
    <w:p w14:paraId="6ADD65C6">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hd w:val="clear" w:color="auto" w:fill="FFFFFF"/>
        </w:rPr>
        <w:t>（4）经评标委员会认定评分畸高、畸低的。</w:t>
      </w:r>
    </w:p>
    <w:p w14:paraId="6AA062A8">
      <w:pPr>
        <w:autoSpaceDE w:val="0"/>
        <w:autoSpaceDN w:val="0"/>
        <w:spacing w:line="240" w:lineRule="auto"/>
        <w:ind w:firstLine="482" w:firstLineChars="200"/>
        <w:rPr>
          <w:rFonts w:hint="eastAsia"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w:t>
      </w:r>
      <w:r>
        <w:rPr>
          <w:rFonts w:hint="eastAsia" w:ascii="宋体" w:hAnsi="宋体" w:cs="宋体"/>
          <w:sz w:val="24"/>
          <w:shd w:val="clear" w:color="auto" w:fill="FFFFFF"/>
          <w:lang w:eastAsia="zh-CN"/>
        </w:rPr>
        <w:t>集中采购机构</w:t>
      </w:r>
      <w:r>
        <w:rPr>
          <w:rFonts w:hint="eastAsia" w:ascii="宋体" w:hAnsi="宋体" w:cs="宋体"/>
          <w:sz w:val="24"/>
          <w:shd w:val="clear" w:color="auto" w:fill="FFFFFF"/>
        </w:rPr>
        <w:t>发现存在以上情形之一的，应当组织原评标委员会进行重新评审，重新评审改变评标结果的，书面报告本级财政部门。</w:t>
      </w:r>
    </w:p>
    <w:p w14:paraId="1853FFE9">
      <w:pPr>
        <w:autoSpaceDE w:val="0"/>
        <w:autoSpaceDN w:val="0"/>
        <w:spacing w:line="240" w:lineRule="auto"/>
        <w:ind w:firstLine="482" w:firstLineChars="200"/>
        <w:rPr>
          <w:rFonts w:hint="eastAsia" w:ascii="宋体" w:hAnsi="宋体" w:cs="宋体"/>
          <w:shd w:val="clear" w:color="auto" w:fill="FFFFFF"/>
        </w:rPr>
      </w:pPr>
      <w:r>
        <w:rPr>
          <w:rFonts w:hint="eastAsia" w:ascii="宋体" w:hAnsi="宋体" w:cs="宋体"/>
          <w:sz w:val="24"/>
          <w:shd w:val="clear" w:color="auto" w:fill="FFFFFF"/>
          <w:lang w:eastAsia="zh-CN"/>
        </w:rPr>
        <w:t>供应商</w:t>
      </w:r>
      <w:r>
        <w:rPr>
          <w:rFonts w:hint="eastAsia" w:ascii="宋体" w:hAnsi="宋体" w:cs="宋体"/>
          <w:sz w:val="24"/>
          <w:shd w:val="clear" w:color="auto" w:fill="FFFFFF"/>
        </w:rPr>
        <w:t>对以上情形提出质疑的，采购人或者</w:t>
      </w:r>
      <w:r>
        <w:rPr>
          <w:rFonts w:hint="eastAsia" w:ascii="宋体" w:hAnsi="宋体" w:cs="宋体"/>
          <w:sz w:val="24"/>
          <w:shd w:val="clear" w:color="auto" w:fill="FFFFFF"/>
          <w:lang w:eastAsia="zh-CN"/>
        </w:rPr>
        <w:t>集中采购机构</w:t>
      </w:r>
      <w:r>
        <w:rPr>
          <w:rFonts w:hint="eastAsia" w:ascii="宋体" w:hAnsi="宋体" w:cs="宋体"/>
          <w:sz w:val="24"/>
          <w:shd w:val="clear" w:color="auto" w:fill="FFFFFF"/>
        </w:rPr>
        <w:t>可以组织原评标委员会进行重新评审，重新评审改变评标结果的，应当书面报告本级财政部门。</w:t>
      </w:r>
    </w:p>
    <w:p w14:paraId="686277A2">
      <w:pPr>
        <w:pStyle w:val="27"/>
        <w:spacing w:before="0" w:after="0" w:line="240" w:lineRule="auto"/>
        <w:rPr>
          <w:rFonts w:hint="eastAsia" w:ascii="宋体" w:hAnsi="宋体" w:cs="宋体"/>
        </w:rPr>
      </w:pPr>
      <w:bookmarkStart w:id="76" w:name="_Toc54"/>
      <w:bookmarkStart w:id="77" w:name="_Toc88234638"/>
      <w:bookmarkStart w:id="78" w:name="_Toc21314"/>
    </w:p>
    <w:p w14:paraId="673E9722">
      <w:pPr>
        <w:pStyle w:val="27"/>
        <w:spacing w:before="0" w:after="0" w:line="240" w:lineRule="auto"/>
        <w:rPr>
          <w:rFonts w:hint="eastAsia" w:ascii="宋体" w:hAnsi="宋体" w:cs="宋体"/>
        </w:rPr>
      </w:pPr>
    </w:p>
    <w:p w14:paraId="3FE6460E">
      <w:pPr>
        <w:pStyle w:val="27"/>
        <w:spacing w:before="0" w:after="0" w:line="240" w:lineRule="auto"/>
        <w:rPr>
          <w:rFonts w:hint="eastAsia" w:ascii="宋体" w:hAnsi="宋体" w:cs="宋体"/>
          <w:lang w:val="zh-CN"/>
        </w:rPr>
      </w:pPr>
      <w:r>
        <w:rPr>
          <w:rFonts w:hint="eastAsia" w:ascii="宋体" w:hAnsi="宋体" w:cs="宋体"/>
        </w:rPr>
        <w:t>八</w:t>
      </w:r>
      <w:r>
        <w:rPr>
          <w:rFonts w:hint="eastAsia" w:ascii="宋体" w:hAnsi="宋体" w:cs="宋体"/>
          <w:lang w:val="zh-CN"/>
        </w:rPr>
        <w:t>、中标</w:t>
      </w:r>
      <w:bookmarkEnd w:id="76"/>
      <w:bookmarkEnd w:id="77"/>
      <w:bookmarkEnd w:id="78"/>
    </w:p>
    <w:p w14:paraId="2E66456F">
      <w:pPr>
        <w:pStyle w:val="27"/>
        <w:spacing w:before="0" w:after="0" w:line="240" w:lineRule="auto"/>
        <w:jc w:val="left"/>
        <w:rPr>
          <w:rFonts w:hint="eastAsia" w:ascii="宋体" w:hAnsi="宋体" w:cs="宋体"/>
          <w:lang w:val="zh-CN"/>
        </w:rPr>
      </w:pPr>
      <w:bookmarkStart w:id="79" w:name="_Toc28499"/>
      <w:bookmarkStart w:id="80" w:name="_Toc21218"/>
      <w:bookmarkStart w:id="81" w:name="_Toc88234639"/>
      <w:r>
        <w:rPr>
          <w:rFonts w:hint="eastAsia" w:ascii="宋体" w:hAnsi="宋体" w:cs="宋体"/>
          <w:sz w:val="28"/>
          <w:szCs w:val="28"/>
          <w:lang w:val="zh-CN"/>
        </w:rPr>
        <w:t>20.推荐并确定中标人</w:t>
      </w:r>
      <w:bookmarkEnd w:id="79"/>
      <w:bookmarkEnd w:id="80"/>
      <w:bookmarkEnd w:id="81"/>
    </w:p>
    <w:p w14:paraId="01D6BAF9">
      <w:pPr>
        <w:autoSpaceDE w:val="0"/>
        <w:autoSpaceDN w:val="0"/>
        <w:spacing w:line="240" w:lineRule="auto"/>
        <w:ind w:firstLine="482" w:firstLineChars="200"/>
        <w:rPr>
          <w:rFonts w:hint="eastAsia" w:ascii="宋体" w:hAnsi="宋体" w:cs="宋体"/>
          <w:sz w:val="24"/>
        </w:rPr>
      </w:pPr>
      <w:r>
        <w:rPr>
          <w:rFonts w:hint="eastAsia" w:ascii="宋体" w:hAnsi="宋体" w:cs="宋体"/>
          <w:sz w:val="24"/>
        </w:rPr>
        <w:t>20.1</w:t>
      </w:r>
      <w:r>
        <w:rPr>
          <w:rFonts w:hint="eastAsia" w:ascii="宋体" w:hAnsi="宋体" w:cs="宋体"/>
          <w:sz w:val="24"/>
          <w:lang w:eastAsia="zh-CN"/>
        </w:rPr>
        <w:t>集中采购机构</w:t>
      </w:r>
      <w:r>
        <w:rPr>
          <w:rFonts w:hint="eastAsia" w:ascii="宋体" w:hAnsi="宋体" w:cs="宋体"/>
          <w:sz w:val="24"/>
        </w:rPr>
        <w:t>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A567CF6">
      <w:pPr>
        <w:autoSpaceDE w:val="0"/>
        <w:autoSpaceDN w:val="0"/>
        <w:spacing w:line="240" w:lineRule="auto"/>
        <w:ind w:firstLine="482" w:firstLineChars="200"/>
        <w:rPr>
          <w:rFonts w:hint="eastAsia" w:ascii="宋体" w:hAnsi="宋体" w:cs="宋体"/>
          <w:sz w:val="24"/>
        </w:rPr>
      </w:pPr>
      <w:r>
        <w:rPr>
          <w:rFonts w:hint="eastAsia" w:ascii="宋体" w:hAnsi="宋体" w:cs="宋体"/>
          <w:sz w:val="24"/>
        </w:rPr>
        <w:t>20.2 采购人自行组织招标的，应当在评标结束后5个工作日内确定中标人。</w:t>
      </w:r>
    </w:p>
    <w:p w14:paraId="590F2C53">
      <w:pPr>
        <w:autoSpaceDE w:val="0"/>
        <w:autoSpaceDN w:val="0"/>
        <w:spacing w:line="240" w:lineRule="auto"/>
        <w:ind w:firstLine="482" w:firstLineChars="200"/>
        <w:rPr>
          <w:rFonts w:hint="eastAsia" w:ascii="宋体" w:hAnsi="宋体" w:cs="宋体"/>
          <w:sz w:val="24"/>
        </w:rPr>
      </w:pPr>
      <w:r>
        <w:rPr>
          <w:rFonts w:hint="eastAsia" w:ascii="宋体" w:hAnsi="宋体" w:cs="宋体"/>
          <w:sz w:val="24"/>
        </w:rPr>
        <w:t>20.3采购人在收到评标报告5个工作日内未按评标报告推荐的中标候选人顺序确定中标人，又不能说明合法理由的，视同按评标报告推荐的顺序确定排名第一的中标候选人为中标人。</w:t>
      </w:r>
    </w:p>
    <w:p w14:paraId="6E066D43">
      <w:pPr>
        <w:pStyle w:val="27"/>
        <w:spacing w:before="0" w:after="0" w:line="240" w:lineRule="auto"/>
        <w:jc w:val="left"/>
        <w:rPr>
          <w:rFonts w:hint="eastAsia" w:ascii="宋体" w:hAnsi="宋体" w:cs="宋体"/>
          <w:lang w:val="zh-CN"/>
        </w:rPr>
      </w:pPr>
      <w:bookmarkStart w:id="82" w:name="_Toc17920"/>
      <w:bookmarkStart w:id="83" w:name="_Toc26751"/>
      <w:bookmarkStart w:id="84" w:name="_Toc88234640"/>
      <w:r>
        <w:rPr>
          <w:rFonts w:hint="eastAsia" w:ascii="宋体" w:hAnsi="宋体" w:cs="宋体"/>
          <w:sz w:val="28"/>
          <w:szCs w:val="28"/>
          <w:lang w:val="zh-CN"/>
        </w:rPr>
        <w:t>21.中标通知</w:t>
      </w:r>
      <w:bookmarkEnd w:id="82"/>
      <w:bookmarkEnd w:id="83"/>
      <w:bookmarkEnd w:id="84"/>
    </w:p>
    <w:p w14:paraId="3DFF9676">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21.1 采购人或者</w:t>
      </w:r>
      <w:r>
        <w:rPr>
          <w:rFonts w:hint="eastAsia" w:ascii="宋体" w:hAnsi="宋体" w:cs="宋体"/>
          <w:kern w:val="0"/>
          <w:sz w:val="24"/>
          <w:lang w:eastAsia="zh-CN"/>
        </w:rPr>
        <w:t>集中采购机构</w:t>
      </w:r>
      <w:r>
        <w:rPr>
          <w:rFonts w:hint="eastAsia" w:ascii="宋体" w:hAnsi="宋体" w:cs="宋体"/>
          <w:kern w:val="0"/>
          <w:sz w:val="24"/>
        </w:rPr>
        <w:t>应当自中标人确定之日起2个工作日内，在省级以上财政部门指定的媒体上公告中标结果，招标文件应当随中标结果同时公告。</w:t>
      </w:r>
    </w:p>
    <w:p w14:paraId="70DB48E1">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21.2 中标结果公告内容应当包括采购人及其委托的</w:t>
      </w:r>
      <w:r>
        <w:rPr>
          <w:rFonts w:hint="eastAsia" w:ascii="宋体" w:hAnsi="宋体" w:cs="宋体"/>
          <w:kern w:val="0"/>
          <w:sz w:val="24"/>
          <w:lang w:eastAsia="zh-CN"/>
        </w:rPr>
        <w:t>集中采购机构</w:t>
      </w:r>
      <w:r>
        <w:rPr>
          <w:rFonts w:hint="eastAsia" w:ascii="宋体" w:hAnsi="宋体" w:cs="宋体"/>
          <w:kern w:val="0"/>
          <w:sz w:val="24"/>
        </w:rPr>
        <w:t>的名称、地址、联系方式，项目名称和项目编号，中标人名称、地址和中标金额，主要中标标的的名称、服务内容、数量、单价、服务要求，中标公告期限以及评审专家名单。</w:t>
      </w:r>
    </w:p>
    <w:p w14:paraId="71D2474D">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21.3 中标公告期限为1个工作日。</w:t>
      </w:r>
    </w:p>
    <w:p w14:paraId="79D14556">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21.4 在公告中标结果的同时，</w:t>
      </w:r>
      <w:r>
        <w:rPr>
          <w:rFonts w:hint="eastAsia" w:ascii="宋体" w:hAnsi="宋体" w:cs="宋体"/>
          <w:sz w:val="24"/>
          <w:shd w:val="clear" w:color="auto" w:fill="FFFFFF"/>
          <w:lang w:eastAsia="zh-CN"/>
        </w:rPr>
        <w:t>集中采购机构</w:t>
      </w:r>
      <w:r>
        <w:rPr>
          <w:rFonts w:hint="eastAsia" w:ascii="宋体" w:hAnsi="宋体" w:cs="宋体"/>
          <w:kern w:val="0"/>
          <w:sz w:val="24"/>
        </w:rPr>
        <w:t>应当向中标人发出中标通知书；采用综合评分法评审的，还应当告知未中标人本人的评审得分与排序。</w:t>
      </w:r>
    </w:p>
    <w:p w14:paraId="6BF9B828">
      <w:pPr>
        <w:autoSpaceDE w:val="0"/>
        <w:autoSpaceDN w:val="0"/>
        <w:spacing w:line="240" w:lineRule="auto"/>
        <w:ind w:firstLine="482" w:firstLineChars="200"/>
        <w:rPr>
          <w:rFonts w:hint="eastAsia" w:ascii="宋体" w:hAnsi="宋体" w:cs="宋体"/>
          <w:kern w:val="0"/>
        </w:rPr>
      </w:pPr>
      <w:r>
        <w:rPr>
          <w:rFonts w:hint="eastAsia" w:ascii="宋体" w:hAnsi="宋体" w:cs="宋体"/>
          <w:kern w:val="0"/>
          <w:sz w:val="24"/>
        </w:rPr>
        <w:t>2</w:t>
      </w:r>
      <w:r>
        <w:rPr>
          <w:rFonts w:ascii="宋体" w:hAnsi="宋体" w:cs="宋体"/>
          <w:kern w:val="0"/>
          <w:sz w:val="24"/>
        </w:rPr>
        <w:t>0</w:t>
      </w:r>
      <w:r>
        <w:rPr>
          <w:rFonts w:hint="eastAsia" w:ascii="宋体" w:hAnsi="宋体" w:cs="宋体"/>
          <w:kern w:val="0"/>
          <w:sz w:val="24"/>
        </w:rPr>
        <w:t>.5 中标通知书发出后，采购人不得违法改变中标结果，中标人无正当理由不得放弃中标。</w:t>
      </w:r>
    </w:p>
    <w:p w14:paraId="2B1B0E63">
      <w:pPr>
        <w:pStyle w:val="27"/>
        <w:spacing w:before="0" w:after="0" w:line="240" w:lineRule="auto"/>
        <w:rPr>
          <w:rFonts w:hint="eastAsia" w:ascii="宋体" w:hAnsi="宋体" w:cs="宋体"/>
          <w:lang w:val="zh-CN"/>
        </w:rPr>
      </w:pPr>
      <w:bookmarkStart w:id="85" w:name="_Toc27825"/>
      <w:bookmarkStart w:id="86" w:name="_Toc13330"/>
      <w:bookmarkStart w:id="87" w:name="_Toc88234641"/>
      <w:r>
        <w:rPr>
          <w:rFonts w:hint="eastAsia" w:ascii="宋体" w:hAnsi="宋体" w:cs="宋体"/>
        </w:rPr>
        <w:t>九</w:t>
      </w:r>
      <w:r>
        <w:rPr>
          <w:rFonts w:hint="eastAsia" w:ascii="宋体" w:hAnsi="宋体" w:cs="宋体"/>
          <w:lang w:val="zh-CN"/>
        </w:rPr>
        <w:t>、授予合同</w:t>
      </w:r>
      <w:bookmarkEnd w:id="85"/>
      <w:bookmarkEnd w:id="86"/>
      <w:bookmarkEnd w:id="87"/>
    </w:p>
    <w:p w14:paraId="4F6501AF">
      <w:pPr>
        <w:pStyle w:val="27"/>
        <w:spacing w:before="0" w:after="0" w:line="240" w:lineRule="auto"/>
        <w:jc w:val="left"/>
        <w:rPr>
          <w:rFonts w:hint="eastAsia" w:ascii="宋体" w:hAnsi="宋体" w:cs="宋体"/>
          <w:kern w:val="0"/>
          <w:sz w:val="24"/>
        </w:rPr>
      </w:pPr>
      <w:bookmarkStart w:id="88" w:name="_Toc88234642"/>
      <w:bookmarkStart w:id="89" w:name="_Toc3720"/>
      <w:bookmarkStart w:id="90" w:name="_Toc29743"/>
      <w:r>
        <w:rPr>
          <w:rFonts w:hint="eastAsia" w:ascii="宋体" w:hAnsi="宋体" w:cs="宋体"/>
          <w:sz w:val="28"/>
          <w:szCs w:val="28"/>
          <w:lang w:val="zh-CN"/>
        </w:rPr>
        <w:t>22.签订合同</w:t>
      </w:r>
      <w:bookmarkEnd w:id="88"/>
      <w:bookmarkEnd w:id="89"/>
      <w:bookmarkEnd w:id="90"/>
    </w:p>
    <w:p w14:paraId="6388BB80">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lang w:val="zh-CN"/>
        </w:rPr>
        <w:t>22.1</w:t>
      </w:r>
      <w:r>
        <w:rPr>
          <w:rFonts w:hint="eastAsia" w:ascii="宋体" w:hAnsi="宋体" w:cs="宋体"/>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7B114FB4">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采购人不得向中标人提出任何不合理的要求作为签订合同的条件。</w:t>
      </w:r>
    </w:p>
    <w:p w14:paraId="0E4D3425">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22.2 签订合同时，中标人应当以支票、汇票、本票等非现金形式向采购人指定的账户交纳采购合同总金额</w:t>
      </w:r>
      <w:r>
        <w:rPr>
          <w:rFonts w:hint="eastAsia" w:ascii="宋体" w:hAnsi="宋体" w:cs="宋体"/>
          <w:kern w:val="0"/>
          <w:sz w:val="24"/>
        </w:rPr>
        <w:t>5</w:t>
      </w:r>
      <w:r>
        <w:rPr>
          <w:rFonts w:hint="eastAsia" w:ascii="宋体" w:hAnsi="宋体" w:cs="宋体"/>
          <w:kern w:val="0"/>
          <w:sz w:val="24"/>
          <w:lang w:val="zh-CN"/>
        </w:rPr>
        <w:t>%的履约保证金。</w:t>
      </w:r>
    </w:p>
    <w:p w14:paraId="347FD024">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22.3</w:t>
      </w:r>
      <w:r>
        <w:rPr>
          <w:rFonts w:hint="eastAsia" w:ascii="宋体" w:hAnsi="宋体" w:cs="宋体"/>
          <w:kern w:val="0"/>
          <w:sz w:val="24"/>
        </w:rPr>
        <w:t xml:space="preserve"> 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14:paraId="225A450D">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22.4</w:t>
      </w:r>
      <w:r>
        <w:rPr>
          <w:rFonts w:hint="eastAsia" w:ascii="宋体" w:hAnsi="宋体" w:cs="宋体"/>
          <w:kern w:val="0"/>
          <w:sz w:val="24"/>
          <w:lang w:bidi="ar"/>
        </w:rPr>
        <w:t xml:space="preserve"> </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14:paraId="11EDDF1C">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 xml:space="preserve">22.5 </w:t>
      </w:r>
      <w:r>
        <w:rPr>
          <w:rFonts w:hint="eastAsia" w:ascii="宋体" w:hAnsi="宋体" w:cs="宋体"/>
          <w:kern w:val="0"/>
          <w:sz w:val="24"/>
          <w:lang w:val="zh-CN"/>
        </w:rPr>
        <w:t>采购合同签订之日起</w:t>
      </w:r>
      <w:r>
        <w:rPr>
          <w:rFonts w:hint="eastAsia"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14:paraId="1269AF12">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22.6 采购人与中标人应当根据合同的约定依法履行合同义务。政府采购合同的履行、违约责任和解决争议的方法等适用《中华人民共和国民法典》。</w:t>
      </w:r>
    </w:p>
    <w:p w14:paraId="69ABEC63">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22.7 采购人应当及时对采购项目进行验收。采购人可以邀请参加本项目的其他</w:t>
      </w:r>
      <w:r>
        <w:rPr>
          <w:rFonts w:hint="eastAsia" w:ascii="宋体" w:hAnsi="宋体" w:cs="宋体"/>
          <w:kern w:val="0"/>
          <w:sz w:val="24"/>
          <w:lang w:eastAsia="zh-CN"/>
        </w:rPr>
        <w:t>供应商</w:t>
      </w:r>
      <w:r>
        <w:rPr>
          <w:rFonts w:hint="eastAsia" w:ascii="宋体" w:hAnsi="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cs="宋体"/>
          <w:kern w:val="0"/>
          <w:sz w:val="24"/>
        </w:rPr>
        <w:t>或者第三方机构的意见作为验收书的参考资料一并存档。</w:t>
      </w:r>
    </w:p>
    <w:p w14:paraId="6F148D19">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22.8 采购人应当加强对中标人的履约管理，并按照采购合同约定，及时向中标人支付采购资金。对于中标人违反采购合同约定的行为，采购人应当及时处理，依法追究其违约责任。</w:t>
      </w:r>
    </w:p>
    <w:p w14:paraId="7E1D94AA">
      <w:pPr>
        <w:autoSpaceDE w:val="0"/>
        <w:autoSpaceDN w:val="0"/>
        <w:spacing w:line="240" w:lineRule="auto"/>
        <w:ind w:firstLine="482" w:firstLineChars="200"/>
        <w:rPr>
          <w:rFonts w:hint="eastAsia" w:ascii="宋体" w:hAnsi="宋体" w:cs="宋体"/>
          <w:kern w:val="0"/>
        </w:rPr>
      </w:pPr>
      <w:r>
        <w:rPr>
          <w:rFonts w:hint="eastAsia" w:ascii="宋体" w:hAnsi="宋体" w:cs="宋体"/>
          <w:kern w:val="0"/>
          <w:sz w:val="24"/>
        </w:rPr>
        <w:t>22.9 采购人、</w:t>
      </w:r>
      <w:r>
        <w:rPr>
          <w:rFonts w:hint="eastAsia" w:ascii="宋体" w:hAnsi="宋体" w:cs="宋体"/>
          <w:kern w:val="0"/>
          <w:sz w:val="24"/>
          <w:lang w:eastAsia="zh-CN"/>
        </w:rPr>
        <w:t>集中采购机构</w:t>
      </w:r>
      <w:r>
        <w:rPr>
          <w:rFonts w:hint="eastAsia" w:ascii="宋体" w:hAnsi="宋体" w:cs="宋体"/>
          <w:kern w:val="0"/>
          <w:sz w:val="24"/>
        </w:rPr>
        <w:t>应当建立真实完整的招标采购档案，妥善保存每项采购活动的采购文件。</w:t>
      </w:r>
    </w:p>
    <w:p w14:paraId="32381B95">
      <w:pPr>
        <w:pStyle w:val="27"/>
        <w:spacing w:before="0" w:after="0" w:line="240" w:lineRule="auto"/>
        <w:rPr>
          <w:rFonts w:hint="eastAsia" w:ascii="宋体" w:hAnsi="宋体" w:cs="宋体"/>
          <w:lang w:val="zh-CN"/>
        </w:rPr>
      </w:pPr>
      <w:bookmarkStart w:id="91" w:name="_Toc24650"/>
      <w:bookmarkStart w:id="92" w:name="_Toc14330"/>
      <w:bookmarkStart w:id="93" w:name="_Toc88234643"/>
      <w:r>
        <w:rPr>
          <w:rFonts w:hint="eastAsia" w:ascii="宋体" w:hAnsi="宋体" w:cs="宋体"/>
        </w:rPr>
        <w:t>十</w:t>
      </w:r>
      <w:r>
        <w:rPr>
          <w:rFonts w:hint="eastAsia" w:ascii="宋体" w:hAnsi="宋体" w:cs="宋体"/>
          <w:lang w:val="zh-CN"/>
        </w:rPr>
        <w:t>、招标代理费</w:t>
      </w:r>
      <w:bookmarkEnd w:id="91"/>
      <w:bookmarkEnd w:id="92"/>
      <w:bookmarkEnd w:id="93"/>
    </w:p>
    <w:p w14:paraId="156F73D3">
      <w:pPr>
        <w:autoSpaceDE w:val="0"/>
        <w:autoSpaceDN w:val="0"/>
        <w:spacing w:line="240" w:lineRule="auto"/>
        <w:ind w:firstLine="482" w:firstLineChars="200"/>
        <w:jc w:val="left"/>
        <w:rPr>
          <w:rFonts w:hint="eastAsia" w:ascii="宋体" w:hAnsi="宋体" w:eastAsia="宋体" w:cs="宋体"/>
          <w:kern w:val="0"/>
          <w:lang w:eastAsia="zh-CN"/>
        </w:rPr>
      </w:pPr>
      <w:r>
        <w:rPr>
          <w:rFonts w:hint="eastAsia" w:ascii="宋体" w:hAnsi="宋体" w:cs="宋体"/>
          <w:kern w:val="0"/>
          <w:lang w:eastAsia="zh-CN"/>
        </w:rPr>
        <w:t>本项目不收取代理服务费。</w:t>
      </w:r>
    </w:p>
    <w:p w14:paraId="3F52DB87">
      <w:pPr>
        <w:pStyle w:val="27"/>
        <w:spacing w:before="0" w:after="0" w:line="240" w:lineRule="auto"/>
        <w:rPr>
          <w:rFonts w:hint="eastAsia" w:ascii="宋体" w:hAnsi="宋体" w:cs="宋体"/>
          <w:lang w:val="zh-CN"/>
        </w:rPr>
      </w:pPr>
      <w:bookmarkStart w:id="94" w:name="_Toc15749"/>
      <w:bookmarkStart w:id="95" w:name="_Toc14075"/>
      <w:bookmarkStart w:id="96" w:name="_Toc88234644"/>
      <w:r>
        <w:rPr>
          <w:rFonts w:hint="eastAsia" w:ascii="宋体" w:hAnsi="宋体" w:cs="宋体"/>
          <w:lang w:val="zh-CN"/>
        </w:rPr>
        <w:t>十</w:t>
      </w:r>
      <w:r>
        <w:rPr>
          <w:rFonts w:hint="eastAsia" w:ascii="宋体" w:hAnsi="宋体" w:cs="宋体"/>
        </w:rPr>
        <w:t>一</w:t>
      </w:r>
      <w:r>
        <w:rPr>
          <w:rFonts w:hint="eastAsia" w:ascii="宋体" w:hAnsi="宋体" w:cs="宋体"/>
          <w:lang w:val="zh-CN"/>
        </w:rPr>
        <w:t>、其他</w:t>
      </w:r>
      <w:bookmarkEnd w:id="94"/>
      <w:bookmarkEnd w:id="95"/>
      <w:bookmarkEnd w:id="96"/>
    </w:p>
    <w:p w14:paraId="7648D320">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供应商</w:t>
      </w:r>
      <w:r>
        <w:rPr>
          <w:rFonts w:hint="eastAsia" w:ascii="宋体" w:hAnsi="宋体" w:cs="宋体"/>
          <w:kern w:val="0"/>
          <w:sz w:val="24"/>
        </w:rPr>
        <w:t>应当遵循公平竞争的原则，不得恶意串通，不得妨碍其他</w:t>
      </w:r>
      <w:r>
        <w:rPr>
          <w:rFonts w:hint="eastAsia" w:ascii="宋体" w:hAnsi="宋体" w:cs="宋体"/>
          <w:kern w:val="0"/>
          <w:sz w:val="24"/>
          <w:lang w:eastAsia="zh-CN"/>
        </w:rPr>
        <w:t>供应商</w:t>
      </w:r>
      <w:r>
        <w:rPr>
          <w:rFonts w:hint="eastAsia" w:ascii="宋体" w:hAnsi="宋体" w:cs="宋体"/>
          <w:kern w:val="0"/>
          <w:sz w:val="24"/>
        </w:rPr>
        <w:t>的竞争行为，不得损害采购人或者其他</w:t>
      </w:r>
      <w:r>
        <w:rPr>
          <w:rFonts w:hint="eastAsia" w:ascii="宋体" w:hAnsi="宋体" w:cs="宋体"/>
          <w:kern w:val="0"/>
          <w:sz w:val="24"/>
          <w:lang w:eastAsia="zh-CN"/>
        </w:rPr>
        <w:t>供应商</w:t>
      </w:r>
      <w:r>
        <w:rPr>
          <w:rFonts w:hint="eastAsia" w:ascii="宋体" w:hAnsi="宋体" w:cs="宋体"/>
          <w:kern w:val="0"/>
          <w:sz w:val="24"/>
        </w:rPr>
        <w:t>的合法权益。</w:t>
      </w:r>
    </w:p>
    <w:p w14:paraId="54487334">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在评标过程中发现</w:t>
      </w:r>
      <w:r>
        <w:rPr>
          <w:rFonts w:hint="eastAsia" w:ascii="宋体" w:hAnsi="宋体" w:cs="宋体"/>
          <w:kern w:val="0"/>
          <w:sz w:val="24"/>
          <w:lang w:eastAsia="zh-CN"/>
        </w:rPr>
        <w:t>供应商</w:t>
      </w:r>
      <w:r>
        <w:rPr>
          <w:rFonts w:hint="eastAsia" w:ascii="宋体" w:hAnsi="宋体" w:cs="宋体"/>
          <w:kern w:val="0"/>
          <w:sz w:val="24"/>
        </w:rPr>
        <w:t>有上述情形的，评标委员会应当认定其投标无效，并书面报告本级财政部门。</w:t>
      </w:r>
    </w:p>
    <w:p w14:paraId="02490887">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2、有下列情形之一的，视为</w:t>
      </w:r>
      <w:r>
        <w:rPr>
          <w:rFonts w:hint="eastAsia" w:ascii="宋体" w:hAnsi="宋体" w:cs="宋体"/>
          <w:kern w:val="0"/>
          <w:sz w:val="24"/>
          <w:lang w:eastAsia="zh-CN"/>
        </w:rPr>
        <w:t>供应商</w:t>
      </w:r>
      <w:r>
        <w:rPr>
          <w:rFonts w:hint="eastAsia" w:ascii="宋体" w:hAnsi="宋体" w:cs="宋体"/>
          <w:kern w:val="0"/>
          <w:sz w:val="24"/>
        </w:rPr>
        <w:t>串通投标，其投标无效：</w:t>
      </w:r>
    </w:p>
    <w:p w14:paraId="1C54084F">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（1）不同</w:t>
      </w:r>
      <w:r>
        <w:rPr>
          <w:rFonts w:hint="eastAsia" w:ascii="宋体" w:hAnsi="宋体" w:cs="宋体"/>
          <w:kern w:val="0"/>
          <w:sz w:val="24"/>
          <w:lang w:eastAsia="zh-CN"/>
        </w:rPr>
        <w:t>供应商</w:t>
      </w:r>
      <w:r>
        <w:rPr>
          <w:rFonts w:hint="eastAsia" w:ascii="宋体" w:hAnsi="宋体" w:cs="宋体"/>
          <w:kern w:val="0"/>
          <w:sz w:val="24"/>
        </w:rPr>
        <w:t>的投标文件由同一单位或者个人编制；</w:t>
      </w:r>
    </w:p>
    <w:p w14:paraId="523EFFC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（2）不同</w:t>
      </w:r>
      <w:r>
        <w:rPr>
          <w:rFonts w:hint="eastAsia" w:ascii="宋体" w:hAnsi="宋体" w:cs="宋体"/>
          <w:kern w:val="0"/>
          <w:sz w:val="24"/>
          <w:lang w:eastAsia="zh-CN"/>
        </w:rPr>
        <w:t>供应商</w:t>
      </w:r>
      <w:r>
        <w:rPr>
          <w:rFonts w:hint="eastAsia" w:ascii="宋体" w:hAnsi="宋体" w:cs="宋体"/>
          <w:kern w:val="0"/>
          <w:sz w:val="24"/>
        </w:rPr>
        <w:t>委托同一单位或者个人办理投标事宜；</w:t>
      </w:r>
    </w:p>
    <w:p w14:paraId="30216605">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（3）不同</w:t>
      </w:r>
      <w:r>
        <w:rPr>
          <w:rFonts w:hint="eastAsia" w:ascii="宋体" w:hAnsi="宋体" w:cs="宋体"/>
          <w:kern w:val="0"/>
          <w:sz w:val="24"/>
          <w:lang w:eastAsia="zh-CN"/>
        </w:rPr>
        <w:t>供应商</w:t>
      </w:r>
      <w:r>
        <w:rPr>
          <w:rFonts w:hint="eastAsia" w:ascii="宋体" w:hAnsi="宋体" w:cs="宋体"/>
          <w:kern w:val="0"/>
          <w:sz w:val="24"/>
        </w:rPr>
        <w:t>的投标文件载明的项目管理成员或者联系人员为同一人；</w:t>
      </w:r>
    </w:p>
    <w:p w14:paraId="0255741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（4）不同</w:t>
      </w:r>
      <w:r>
        <w:rPr>
          <w:rFonts w:hint="eastAsia" w:ascii="宋体" w:hAnsi="宋体" w:cs="宋体"/>
          <w:kern w:val="0"/>
          <w:sz w:val="24"/>
          <w:lang w:eastAsia="zh-CN"/>
        </w:rPr>
        <w:t>供应商</w:t>
      </w:r>
      <w:r>
        <w:rPr>
          <w:rFonts w:hint="eastAsia" w:ascii="宋体" w:hAnsi="宋体" w:cs="宋体"/>
          <w:kern w:val="0"/>
          <w:sz w:val="24"/>
        </w:rPr>
        <w:t>的投标文件异常一致或者投标报价呈规律性差异；</w:t>
      </w:r>
    </w:p>
    <w:p w14:paraId="0E5C4CCD">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（5）不同</w:t>
      </w:r>
      <w:r>
        <w:rPr>
          <w:rFonts w:hint="eastAsia" w:ascii="宋体" w:hAnsi="宋体" w:cs="宋体"/>
          <w:kern w:val="0"/>
          <w:sz w:val="24"/>
          <w:lang w:eastAsia="zh-CN"/>
        </w:rPr>
        <w:t>供应商</w:t>
      </w:r>
      <w:r>
        <w:rPr>
          <w:rFonts w:hint="eastAsia" w:ascii="宋体" w:hAnsi="宋体" w:cs="宋体"/>
          <w:kern w:val="0"/>
          <w:sz w:val="24"/>
        </w:rPr>
        <w:t>的投标文件相互混装；</w:t>
      </w:r>
    </w:p>
    <w:p w14:paraId="1419684B">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3、公开招标数额标准以上的采购项目，投标截止后</w:t>
      </w:r>
      <w:r>
        <w:rPr>
          <w:rFonts w:hint="eastAsia" w:ascii="宋体" w:hAnsi="宋体" w:cs="宋体"/>
          <w:kern w:val="0"/>
          <w:sz w:val="24"/>
          <w:lang w:eastAsia="zh-CN"/>
        </w:rPr>
        <w:t>供应商</w:t>
      </w:r>
      <w:r>
        <w:rPr>
          <w:rFonts w:hint="eastAsia" w:ascii="宋体" w:hAnsi="宋体" w:cs="宋体"/>
          <w:kern w:val="0"/>
          <w:sz w:val="24"/>
        </w:rPr>
        <w:t>不足3家或者通过资格审查或符合性审查的</w:t>
      </w:r>
      <w:r>
        <w:rPr>
          <w:rFonts w:hint="eastAsia" w:ascii="宋体" w:hAnsi="宋体" w:cs="宋体"/>
          <w:kern w:val="0"/>
          <w:sz w:val="24"/>
          <w:lang w:eastAsia="zh-CN"/>
        </w:rPr>
        <w:t>供应商</w:t>
      </w:r>
      <w:r>
        <w:rPr>
          <w:rFonts w:hint="eastAsia" w:ascii="宋体" w:hAnsi="宋体" w:cs="宋体"/>
          <w:kern w:val="0"/>
          <w:sz w:val="24"/>
        </w:rPr>
        <w:t>不足3家的，除采购任务取消情形外，按照以下方式处理：</w:t>
      </w:r>
    </w:p>
    <w:p w14:paraId="713693C1">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（1）招标文件存在不合理条款或者招标程序不符合规定的，采购人、</w:t>
      </w:r>
      <w:r>
        <w:rPr>
          <w:rFonts w:hint="eastAsia" w:ascii="宋体" w:hAnsi="宋体" w:cs="宋体"/>
          <w:kern w:val="0"/>
          <w:sz w:val="24"/>
          <w:lang w:eastAsia="zh-CN"/>
        </w:rPr>
        <w:t>集中采购机构</w:t>
      </w:r>
      <w:r>
        <w:rPr>
          <w:rFonts w:hint="eastAsia" w:ascii="宋体" w:hAnsi="宋体" w:cs="宋体"/>
          <w:kern w:val="0"/>
          <w:sz w:val="24"/>
        </w:rPr>
        <w:t>改正后依法重新招标；</w:t>
      </w:r>
    </w:p>
    <w:p w14:paraId="3917FF30">
      <w:pPr>
        <w:autoSpaceDE w:val="0"/>
        <w:autoSpaceDN w:val="0"/>
        <w:spacing w:line="240" w:lineRule="auto"/>
        <w:ind w:firstLine="482" w:firstLineChars="200"/>
        <w:rPr>
          <w:rFonts w:hint="eastAsia" w:ascii="宋体" w:hAnsi="宋体" w:cs="宋体"/>
          <w:kern w:val="0"/>
          <w:sz w:val="24"/>
        </w:rPr>
      </w:pPr>
      <w:r>
        <w:rPr>
          <w:rFonts w:hint="eastAsia" w:ascii="宋体" w:hAnsi="宋体" w:cs="宋体"/>
          <w:kern w:val="0"/>
          <w:sz w:val="24"/>
        </w:rPr>
        <w:t>（2）招标文件没有不合理条款、招标程序符合规定，需要采用其他采购方式采购的，采购人应当依法报财政部门批准。</w:t>
      </w:r>
    </w:p>
    <w:p w14:paraId="4C015F61">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sz w:val="24"/>
        </w:rPr>
        <w:t>4、</w:t>
      </w:r>
      <w:r>
        <w:rPr>
          <w:rFonts w:hint="eastAsia" w:ascii="宋体" w:hAnsi="宋体" w:cs="宋体"/>
          <w:kern w:val="0"/>
          <w:sz w:val="24"/>
          <w:lang w:val="zh-CN"/>
        </w:rPr>
        <w:t>在招标采购中，出现下列情形之一的，应予废标：</w:t>
      </w:r>
    </w:p>
    <w:p w14:paraId="5A14A5C6">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（1）符合专业条件的供应商或者对招标文件作实质性响应的供应商不足三家的。</w:t>
      </w:r>
    </w:p>
    <w:p w14:paraId="1364925D">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（2）出现影响采购公正的违法、违规行为的。</w:t>
      </w:r>
    </w:p>
    <w:p w14:paraId="5F350AC4">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（3）供应商的报价均超出采购预算，采购人不能支付的。</w:t>
      </w:r>
    </w:p>
    <w:p w14:paraId="74BA0883">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lang w:val="zh-CN"/>
        </w:rPr>
        <w:t>（4）因重大变故，采购任务取消的。</w:t>
      </w:r>
    </w:p>
    <w:p w14:paraId="4BE79C1E">
      <w:pPr>
        <w:autoSpaceDE w:val="0"/>
        <w:autoSpaceDN w:val="0"/>
        <w:spacing w:line="240" w:lineRule="auto"/>
        <w:ind w:firstLine="482" w:firstLineChars="200"/>
        <w:rPr>
          <w:rFonts w:hint="eastAsia"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废标后，由采购人或者集中采购机构发布废标公告。其他未尽事宜，按照《中华人民共和国政府采购法》、《中华人民共和国政府采购法实施条例》、《中华人民共和国民法典》等法律法规的有关条款执行。</w:t>
      </w:r>
    </w:p>
    <w:p w14:paraId="42DA012D">
      <w:pPr>
        <w:pStyle w:val="27"/>
        <w:spacing w:line="240" w:lineRule="auto"/>
        <w:rPr>
          <w:rFonts w:ascii="Times New Roman" w:hAnsi="Times New Roman"/>
          <w:b w:val="0"/>
          <w:sz w:val="56"/>
          <w:szCs w:val="72"/>
        </w:rPr>
      </w:pPr>
      <w:r>
        <w:rPr>
          <w:rFonts w:ascii="Times New Roman" w:hAnsi="Times New Roman"/>
          <w:sz w:val="24"/>
          <w:szCs w:val="28"/>
        </w:rPr>
        <w:br w:type="page"/>
      </w:r>
      <w:bookmarkStart w:id="97" w:name="_Toc3198"/>
      <w:r>
        <w:rPr>
          <w:rFonts w:ascii="Times New Roman" w:hAnsi="Times New Roman"/>
          <w:lang w:val="zh-CN"/>
        </w:rPr>
        <w:t xml:space="preserve">第三部分  </w:t>
      </w:r>
      <w:r>
        <w:rPr>
          <w:rFonts w:hint="eastAsia" w:ascii="Times New Roman" w:hAnsi="Times New Roman"/>
          <w:lang w:val="zh-CN"/>
        </w:rPr>
        <w:t>湟源县</w:t>
      </w:r>
      <w:r>
        <w:rPr>
          <w:rFonts w:ascii="Times New Roman" w:hAnsi="Times New Roman"/>
          <w:lang w:val="zh-CN"/>
        </w:rPr>
        <w:t>政府采购合同文本样式</w:t>
      </w:r>
      <w:bookmarkEnd w:id="97"/>
    </w:p>
    <w:p w14:paraId="726ECE76">
      <w:pPr>
        <w:spacing w:line="240" w:lineRule="auto"/>
        <w:jc w:val="center"/>
        <w:rPr>
          <w:b/>
          <w:spacing w:val="120"/>
          <w:sz w:val="56"/>
          <w:szCs w:val="72"/>
        </w:rPr>
      </w:pPr>
    </w:p>
    <w:p w14:paraId="7725914E">
      <w:pPr>
        <w:spacing w:line="240" w:lineRule="auto"/>
        <w:jc w:val="center"/>
        <w:rPr>
          <w:b/>
          <w:spacing w:val="120"/>
          <w:sz w:val="56"/>
          <w:szCs w:val="72"/>
        </w:rPr>
      </w:pPr>
    </w:p>
    <w:p w14:paraId="2FBB8604">
      <w:pPr>
        <w:spacing w:line="240" w:lineRule="auto"/>
        <w:jc w:val="center"/>
        <w:rPr>
          <w:b/>
          <w:spacing w:val="120"/>
          <w:sz w:val="56"/>
          <w:szCs w:val="72"/>
        </w:rPr>
      </w:pPr>
    </w:p>
    <w:p w14:paraId="6B515800">
      <w:pPr>
        <w:spacing w:line="240" w:lineRule="auto"/>
        <w:jc w:val="center"/>
        <w:rPr>
          <w:b/>
          <w:bCs/>
          <w:sz w:val="40"/>
          <w:szCs w:val="32"/>
          <w:lang w:val="zh-CN"/>
        </w:rPr>
      </w:pPr>
      <w:r>
        <w:rPr>
          <w:rFonts w:hint="eastAsia"/>
          <w:b/>
          <w:bCs/>
          <w:sz w:val="40"/>
          <w:szCs w:val="32"/>
          <w:lang w:val="zh-CN"/>
        </w:rPr>
        <w:t>湟源县</w:t>
      </w:r>
      <w:r>
        <w:rPr>
          <w:b/>
          <w:bCs/>
          <w:sz w:val="40"/>
          <w:szCs w:val="32"/>
          <w:lang w:val="zh-CN"/>
        </w:rPr>
        <w:t>政府采购项目合同书</w:t>
      </w:r>
    </w:p>
    <w:p w14:paraId="3B053EDF">
      <w:pPr>
        <w:spacing w:line="240" w:lineRule="auto"/>
        <w:rPr>
          <w:b/>
          <w:sz w:val="56"/>
          <w:szCs w:val="72"/>
        </w:rPr>
      </w:pPr>
    </w:p>
    <w:p w14:paraId="50CE05AA">
      <w:pPr>
        <w:pStyle w:val="20"/>
        <w:spacing w:line="240" w:lineRule="auto"/>
      </w:pPr>
    </w:p>
    <w:p w14:paraId="1F6E0471">
      <w:pPr>
        <w:spacing w:line="240" w:lineRule="auto"/>
        <w:rPr>
          <w:b/>
          <w:sz w:val="56"/>
          <w:szCs w:val="72"/>
        </w:rPr>
      </w:pPr>
    </w:p>
    <w:p w14:paraId="318302E3">
      <w:pPr>
        <w:spacing w:line="240" w:lineRule="auto"/>
        <w:rPr>
          <w:b/>
          <w:sz w:val="24"/>
          <w:szCs w:val="28"/>
        </w:rPr>
      </w:pPr>
    </w:p>
    <w:p w14:paraId="4713B18D">
      <w:pPr>
        <w:widowControl/>
        <w:adjustRightInd w:val="0"/>
        <w:snapToGrid w:val="0"/>
        <w:spacing w:line="240" w:lineRule="auto"/>
        <w:jc w:val="left"/>
        <w:textAlignment w:val="baseline"/>
        <w:rPr>
          <w:rFonts w:hint="eastAsia" w:ascii="宋体" w:hAnsi="Times New Roman" w:cs="Times New Roman"/>
          <w:b/>
          <w:color w:val="auto"/>
          <w:sz w:val="24"/>
          <w:szCs w:val="28"/>
          <w:u w:val="single"/>
          <w:lang w:eastAsia="zh-CN"/>
        </w:rPr>
      </w:pPr>
      <w:r>
        <w:rPr>
          <w:b/>
          <w:sz w:val="24"/>
          <w:szCs w:val="28"/>
        </w:rPr>
        <w:t xml:space="preserve">    </w:t>
      </w:r>
      <w:r>
        <w:rPr>
          <w:rFonts w:hint="eastAsia"/>
          <w:b/>
          <w:sz w:val="24"/>
          <w:szCs w:val="28"/>
          <w:lang w:val="en-US" w:eastAsia="zh-CN"/>
        </w:rPr>
        <w:t xml:space="preserve">    </w:t>
      </w:r>
      <w:r>
        <w:rPr>
          <w:b/>
          <w:sz w:val="24"/>
          <w:szCs w:val="28"/>
        </w:rPr>
        <w:t>采 购 项 目 名 称</w:t>
      </w:r>
      <w:r>
        <w:rPr>
          <w:rFonts w:hint="eastAsia"/>
          <w:b/>
          <w:sz w:val="24"/>
          <w:szCs w:val="28"/>
          <w:lang w:eastAsia="zh-CN"/>
        </w:rPr>
        <w:t>：</w:t>
      </w:r>
      <w:r>
        <w:rPr>
          <w:rFonts w:hint="eastAsia" w:ascii="宋体" w:cs="Times New Roman"/>
          <w:b/>
          <w:color w:val="auto"/>
          <w:sz w:val="24"/>
          <w:szCs w:val="28"/>
          <w:u w:val="single"/>
          <w:lang w:val="zh-CN" w:eastAsia="zh-CN"/>
        </w:rPr>
        <w:t>湟源县交通管理系统升级改造服务项目</w:t>
      </w:r>
    </w:p>
    <w:p w14:paraId="5EDAFBBF">
      <w:pPr>
        <w:numPr>
          <w:ilvl w:val="0"/>
          <w:numId w:val="0"/>
        </w:numPr>
        <w:spacing w:line="240" w:lineRule="auto"/>
        <w:ind w:firstLine="964" w:firstLineChars="400"/>
        <w:jc w:val="both"/>
        <w:rPr>
          <w:rFonts w:hint="eastAsia" w:eastAsia="宋体"/>
          <w:b/>
          <w:sz w:val="24"/>
          <w:szCs w:val="28"/>
          <w:u w:val="single"/>
          <w:lang w:eastAsia="zh-CN"/>
        </w:rPr>
      </w:pPr>
      <w:r>
        <w:rPr>
          <w:b/>
          <w:sz w:val="24"/>
          <w:szCs w:val="28"/>
        </w:rPr>
        <w:t>采 购 项 目 编 号：</w:t>
      </w:r>
      <w:r>
        <w:rPr>
          <w:rFonts w:hint="eastAsia" w:ascii="宋体" w:hAnsi="Times New Roman" w:cs="Times New Roman"/>
          <w:b/>
          <w:color w:val="auto"/>
          <w:sz w:val="24"/>
          <w:szCs w:val="28"/>
          <w:u w:val="single"/>
          <w:lang w:val="zh-CN" w:eastAsia="zh-CN"/>
        </w:rPr>
        <w:t>源政采</w:t>
      </w:r>
      <w:r>
        <w:rPr>
          <w:rFonts w:hint="eastAsia" w:ascii="宋体" w:hAnsi="Times New Roman" w:cs="Times New Roman"/>
          <w:b/>
          <w:color w:val="auto"/>
          <w:sz w:val="24"/>
          <w:szCs w:val="28"/>
          <w:u w:val="single"/>
          <w:lang w:val="en-US" w:eastAsia="zh-CN"/>
        </w:rPr>
        <w:t>公招</w:t>
      </w:r>
      <w:r>
        <w:rPr>
          <w:rFonts w:hint="eastAsia" w:ascii="宋体" w:hAnsi="Times New Roman" w:cs="Times New Roman"/>
          <w:b/>
          <w:color w:val="auto"/>
          <w:sz w:val="24"/>
          <w:szCs w:val="28"/>
          <w:u w:val="single"/>
          <w:lang w:val="zh-CN" w:eastAsia="zh-CN"/>
        </w:rPr>
        <w:t>（货物）202</w:t>
      </w:r>
      <w:r>
        <w:rPr>
          <w:rFonts w:hint="eastAsia" w:ascii="宋体" w:cs="Times New Roman"/>
          <w:b/>
          <w:color w:val="auto"/>
          <w:sz w:val="24"/>
          <w:szCs w:val="28"/>
          <w:u w:val="single"/>
          <w:lang w:val="en-US" w:eastAsia="zh-CN"/>
        </w:rPr>
        <w:t>5</w:t>
      </w:r>
      <w:r>
        <w:rPr>
          <w:rFonts w:hint="eastAsia" w:ascii="宋体" w:hAnsi="Times New Roman" w:cs="Times New Roman"/>
          <w:b/>
          <w:color w:val="auto"/>
          <w:sz w:val="24"/>
          <w:szCs w:val="28"/>
          <w:u w:val="single"/>
          <w:lang w:val="zh-CN" w:eastAsia="zh-CN"/>
        </w:rPr>
        <w:t>-00</w:t>
      </w:r>
      <w:r>
        <w:rPr>
          <w:rFonts w:hint="eastAsia" w:ascii="宋体" w:hAnsi="Times New Roman" w:cs="Times New Roman"/>
          <w:b/>
          <w:color w:val="auto"/>
          <w:sz w:val="24"/>
          <w:szCs w:val="28"/>
          <w:u w:val="single"/>
          <w:lang w:val="en-US" w:eastAsia="zh-CN"/>
        </w:rPr>
        <w:t>3</w:t>
      </w:r>
      <w:r>
        <w:rPr>
          <w:rFonts w:hint="eastAsia" w:ascii="宋体" w:hAnsi="Times New Roman" w:cs="Times New Roman"/>
          <w:b/>
          <w:color w:val="auto"/>
          <w:sz w:val="24"/>
          <w:szCs w:val="28"/>
          <w:u w:val="single"/>
          <w:lang w:val="zh-CN" w:eastAsia="zh-CN"/>
        </w:rPr>
        <w:t>号</w:t>
      </w:r>
      <w:r>
        <w:rPr>
          <w:rFonts w:hint="eastAsia" w:ascii="宋体"/>
          <w:b/>
          <w:color w:val="auto"/>
          <w:sz w:val="24"/>
          <w:szCs w:val="28"/>
          <w:u w:val="single"/>
          <w:lang w:val="en-US" w:eastAsia="zh-CN"/>
        </w:rPr>
        <w:t xml:space="preserve">    </w:t>
      </w:r>
      <w:r>
        <w:rPr>
          <w:rFonts w:hint="eastAsia" w:ascii="宋体"/>
          <w:b/>
          <w:color w:val="auto"/>
          <w:sz w:val="24"/>
          <w:szCs w:val="28"/>
          <w:u w:val="single"/>
        </w:rPr>
        <w:t xml:space="preserve">  </w:t>
      </w:r>
      <w:r>
        <w:rPr>
          <w:b/>
          <w:sz w:val="24"/>
          <w:szCs w:val="28"/>
          <w:u w:val="single"/>
        </w:rPr>
        <w:t xml:space="preserve">       </w:t>
      </w:r>
      <w:r>
        <w:rPr>
          <w:rFonts w:hint="eastAsia"/>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p>
    <w:p w14:paraId="7842A2BB">
      <w:pPr>
        <w:spacing w:line="240" w:lineRule="auto"/>
        <w:ind w:firstLine="964" w:firstLineChars="400"/>
        <w:rPr>
          <w:rFonts w:hint="eastAsia"/>
          <w:b/>
          <w:sz w:val="24"/>
          <w:szCs w:val="28"/>
          <w:u w:val="single"/>
        </w:rPr>
      </w:pPr>
      <w:r>
        <w:rPr>
          <w:b/>
          <w:sz w:val="24"/>
          <w:szCs w:val="28"/>
        </w:rPr>
        <w:t>采 购 合 同 编 号：</w:t>
      </w:r>
      <w:r>
        <w:rPr>
          <w:rFonts w:hint="eastAsia" w:ascii="宋体"/>
          <w:b/>
          <w:color w:val="auto"/>
          <w:sz w:val="24"/>
          <w:szCs w:val="28"/>
          <w:u w:val="single"/>
          <w:lang w:val="en-US" w:eastAsia="zh-CN"/>
        </w:rPr>
        <w:t>YCGB</w:t>
      </w:r>
      <w:r>
        <w:rPr>
          <w:rFonts w:hint="eastAsia" w:ascii="宋体"/>
          <w:b/>
          <w:color w:val="auto"/>
          <w:sz w:val="24"/>
          <w:szCs w:val="28"/>
          <w:u w:val="single"/>
        </w:rPr>
        <w:t>-202</w:t>
      </w:r>
      <w:r>
        <w:rPr>
          <w:rFonts w:hint="eastAsia" w:ascii="宋体"/>
          <w:b/>
          <w:color w:val="auto"/>
          <w:sz w:val="24"/>
          <w:szCs w:val="28"/>
          <w:u w:val="single"/>
          <w:lang w:val="en-US" w:eastAsia="zh-CN"/>
        </w:rPr>
        <w:t>5</w:t>
      </w:r>
      <w:r>
        <w:rPr>
          <w:rFonts w:hint="eastAsia" w:ascii="宋体"/>
          <w:b/>
          <w:color w:val="auto"/>
          <w:sz w:val="24"/>
          <w:szCs w:val="28"/>
          <w:u w:val="single"/>
        </w:rPr>
        <w:t>-</w:t>
      </w:r>
      <w:r>
        <w:rPr>
          <w:rFonts w:hint="eastAsia" w:ascii="宋体"/>
          <w:b/>
          <w:color w:val="auto"/>
          <w:sz w:val="24"/>
          <w:szCs w:val="28"/>
          <w:u w:val="single"/>
          <w:lang w:val="en-US" w:eastAsia="zh-CN"/>
        </w:rPr>
        <w:t>117</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r>
        <w:rPr>
          <w:rFonts w:hint="eastAsia"/>
          <w:b/>
          <w:sz w:val="24"/>
          <w:szCs w:val="28"/>
          <w:u w:val="single"/>
        </w:rPr>
        <w:t xml:space="preserve"> </w:t>
      </w:r>
      <w:r>
        <w:rPr>
          <w:b/>
          <w:sz w:val="24"/>
          <w:szCs w:val="28"/>
          <w:u w:val="single"/>
        </w:rPr>
        <w:t xml:space="preserve"> </w:t>
      </w:r>
      <w:r>
        <w:rPr>
          <w:rFonts w:hint="eastAsia"/>
          <w:b/>
          <w:sz w:val="24"/>
          <w:szCs w:val="28"/>
          <w:u w:val="single"/>
        </w:rPr>
        <w:t xml:space="preserve"> </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p>
    <w:p w14:paraId="5E7F9FA1">
      <w:pPr>
        <w:spacing w:line="240" w:lineRule="auto"/>
        <w:ind w:firstLine="964" w:firstLineChars="400"/>
        <w:rPr>
          <w:b/>
          <w:sz w:val="24"/>
          <w:szCs w:val="28"/>
          <w:u w:val="single"/>
        </w:rPr>
      </w:pPr>
      <w:r>
        <w:rPr>
          <w:b/>
          <w:sz w:val="24"/>
          <w:szCs w:val="28"/>
        </w:rPr>
        <w:t>合同金额（人民币）：</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p>
    <w:p w14:paraId="6DF3799E">
      <w:pPr>
        <w:spacing w:line="240" w:lineRule="auto"/>
        <w:ind w:firstLine="964" w:firstLineChars="400"/>
        <w:rPr>
          <w:sz w:val="24"/>
          <w:szCs w:val="28"/>
          <w:u w:val="single"/>
        </w:rPr>
      </w:pPr>
      <w:r>
        <w:rPr>
          <w:b/>
          <w:sz w:val="24"/>
          <w:szCs w:val="28"/>
        </w:rPr>
        <w:t>采 购 人 （甲 方）：</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（盖章）</w:t>
      </w:r>
    </w:p>
    <w:p w14:paraId="4E91746D">
      <w:pPr>
        <w:spacing w:line="240" w:lineRule="auto"/>
        <w:ind w:firstLine="964" w:firstLineChars="400"/>
        <w:rPr>
          <w:b/>
          <w:sz w:val="24"/>
          <w:szCs w:val="28"/>
          <w:u w:val="single"/>
        </w:rPr>
      </w:pPr>
      <w:r>
        <w:rPr>
          <w:b/>
          <w:sz w:val="24"/>
          <w:szCs w:val="28"/>
        </w:rPr>
        <w:t>中标供应商（乙方）：</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（盖章）</w:t>
      </w:r>
    </w:p>
    <w:p w14:paraId="652F143F">
      <w:pPr>
        <w:tabs>
          <w:tab w:val="left" w:pos="7938"/>
          <w:tab w:val="left" w:pos="8080"/>
        </w:tabs>
        <w:spacing w:line="240" w:lineRule="auto"/>
        <w:ind w:firstLine="964" w:firstLineChars="400"/>
        <w:rPr>
          <w:b/>
          <w:sz w:val="24"/>
          <w:szCs w:val="28"/>
          <w:u w:val="single"/>
        </w:rPr>
      </w:pPr>
      <w:r>
        <w:rPr>
          <w:b/>
          <w:sz w:val="24"/>
          <w:szCs w:val="28"/>
        </w:rPr>
        <w:t>采   购   日   期：</w:t>
      </w:r>
      <w:r>
        <w:rPr>
          <w:b/>
          <w:sz w:val="24"/>
          <w:szCs w:val="28"/>
          <w:u w:val="single"/>
        </w:rPr>
        <w:t xml:space="preserve">                                    </w:t>
      </w:r>
      <w:r>
        <w:rPr>
          <w:rFonts w:hint="eastAsia"/>
          <w:b/>
          <w:sz w:val="24"/>
          <w:szCs w:val="28"/>
          <w:u w:val="single"/>
          <w:lang w:val="en-US" w:eastAsia="zh-CN"/>
        </w:rPr>
        <w:t xml:space="preserve">      </w:t>
      </w:r>
      <w:r>
        <w:rPr>
          <w:b/>
          <w:sz w:val="24"/>
          <w:szCs w:val="28"/>
          <w:u w:val="single"/>
        </w:rPr>
        <w:t xml:space="preserve"> </w:t>
      </w:r>
      <w:r>
        <w:rPr>
          <w:rFonts w:hint="eastAsia"/>
          <w:b/>
          <w:sz w:val="24"/>
          <w:szCs w:val="28"/>
          <w:u w:val="single"/>
        </w:rPr>
        <w:t xml:space="preserve"> </w:t>
      </w:r>
      <w:r>
        <w:rPr>
          <w:b/>
          <w:sz w:val="24"/>
          <w:szCs w:val="28"/>
          <w:u w:val="single"/>
        </w:rPr>
        <w:t xml:space="preserve">    </w:t>
      </w:r>
    </w:p>
    <w:p w14:paraId="07F22E7E">
      <w:pPr>
        <w:spacing w:line="240" w:lineRule="auto"/>
        <w:rPr>
          <w:b/>
          <w:sz w:val="24"/>
        </w:rPr>
      </w:pPr>
      <w:r>
        <w:rPr>
          <w:sz w:val="28"/>
          <w:szCs w:val="28"/>
          <w:u w:val="single"/>
        </w:rPr>
        <w:br w:type="page"/>
      </w:r>
      <w:r>
        <w:rPr>
          <w:b/>
          <w:sz w:val="24"/>
        </w:rPr>
        <w:t>采购人（以下简称甲方）：</w:t>
      </w:r>
    </w:p>
    <w:p w14:paraId="6775DE0B">
      <w:pPr>
        <w:spacing w:line="240" w:lineRule="auto"/>
        <w:rPr>
          <w:b/>
          <w:sz w:val="24"/>
        </w:rPr>
      </w:pPr>
      <w:r>
        <w:rPr>
          <w:b/>
          <w:sz w:val="24"/>
        </w:rPr>
        <w:t>供应商（以下简称乙方）：</w:t>
      </w:r>
    </w:p>
    <w:p w14:paraId="2EDD097A">
      <w:pPr>
        <w:spacing w:line="240" w:lineRule="auto"/>
        <w:ind w:firstLine="482" w:firstLineChars="200"/>
        <w:rPr>
          <w:sz w:val="24"/>
        </w:rPr>
      </w:pPr>
      <w:r>
        <w:rPr>
          <w:sz w:val="24"/>
        </w:rPr>
        <w:t>甲、乙双方根据</w:t>
      </w:r>
      <w:r>
        <w:rPr>
          <w:rFonts w:hint="eastAsia"/>
          <w:sz w:val="24"/>
        </w:rPr>
        <w:t xml:space="preserve"> </w:t>
      </w:r>
      <w:r>
        <w:rPr>
          <w:rFonts w:hint="eastAsia"/>
          <w:sz w:val="24"/>
          <w:u w:val="single"/>
        </w:rPr>
        <w:t xml:space="preserve">    </w:t>
      </w:r>
      <w:r>
        <w:rPr>
          <w:sz w:val="24"/>
        </w:rPr>
        <w:t>年</w:t>
      </w:r>
      <w:r>
        <w:rPr>
          <w:sz w:val="24"/>
          <w:u w:val="single"/>
        </w:rPr>
        <w:t xml:space="preserve"> </w:t>
      </w:r>
      <w:r>
        <w:rPr>
          <w:rFonts w:hint="eastAsia"/>
          <w:sz w:val="24"/>
          <w:u w:val="single"/>
        </w:rPr>
        <w:t xml:space="preserve">  </w:t>
      </w:r>
      <w:r>
        <w:rPr>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sz w:val="24"/>
        </w:rPr>
        <w:t>日</w:t>
      </w:r>
      <w:r>
        <w:rPr>
          <w:kern w:val="0"/>
          <w:sz w:val="24"/>
          <w:lang w:val="zh-CN"/>
        </w:rPr>
        <w:t xml:space="preserve"> </w:t>
      </w:r>
      <w:r>
        <w:rPr>
          <w:kern w:val="0"/>
          <w:sz w:val="24"/>
          <w:u w:val="single"/>
          <w:lang w:val="zh-CN"/>
        </w:rPr>
        <w:t xml:space="preserve">                           </w:t>
      </w:r>
      <w:r>
        <w:rPr>
          <w:rFonts w:hint="eastAsia"/>
          <w:kern w:val="0"/>
          <w:sz w:val="24"/>
          <w:u w:val="none"/>
          <w:lang w:val="zh-CN"/>
        </w:rPr>
        <w:t>“</w:t>
      </w:r>
      <w:r>
        <w:rPr>
          <w:rFonts w:hint="eastAsia" w:ascii="Times New Roman" w:hAnsi="Times New Roman" w:cs="Times New Roman"/>
          <w:sz w:val="24"/>
          <w:lang w:val="zh-CN" w:eastAsia="zh-CN"/>
        </w:rPr>
        <w:t>源政采</w:t>
      </w:r>
      <w:r>
        <w:rPr>
          <w:rFonts w:hint="eastAsia" w:ascii="Times New Roman" w:hAnsi="Times New Roman" w:cs="Times New Roman"/>
          <w:sz w:val="24"/>
          <w:lang w:val="en-US" w:eastAsia="zh-CN"/>
        </w:rPr>
        <w:t>公招</w:t>
      </w:r>
      <w:r>
        <w:rPr>
          <w:rFonts w:hint="eastAsia" w:ascii="Times New Roman" w:hAnsi="Times New Roman" w:cs="Times New Roman"/>
          <w:sz w:val="24"/>
          <w:lang w:val="zh-CN" w:eastAsia="zh-CN"/>
        </w:rPr>
        <w:t>（货物）202</w:t>
      </w:r>
      <w:r>
        <w:rPr>
          <w:rFonts w:hint="eastAsia" w:cs="Times New Roman"/>
          <w:sz w:val="24"/>
          <w:lang w:val="en-US" w:eastAsia="zh-CN"/>
        </w:rPr>
        <w:t>5</w:t>
      </w:r>
      <w:r>
        <w:rPr>
          <w:rFonts w:hint="eastAsia" w:ascii="Times New Roman" w:hAnsi="Times New Roman" w:cs="Times New Roman"/>
          <w:sz w:val="24"/>
          <w:lang w:val="zh-CN" w:eastAsia="zh-CN"/>
        </w:rPr>
        <w:t>-00</w:t>
      </w:r>
      <w:r>
        <w:rPr>
          <w:rFonts w:hint="eastAsia" w:ascii="Times New Roman" w:hAnsi="Times New Roman" w:cs="Times New Roman"/>
          <w:sz w:val="24"/>
          <w:lang w:val="en-US" w:eastAsia="zh-CN"/>
        </w:rPr>
        <w:t>3</w:t>
      </w:r>
      <w:r>
        <w:rPr>
          <w:rFonts w:hint="eastAsia" w:ascii="Times New Roman" w:hAnsi="Times New Roman" w:cs="Times New Roman"/>
          <w:sz w:val="24"/>
          <w:lang w:val="zh-CN" w:eastAsia="zh-CN"/>
        </w:rPr>
        <w:t>号</w:t>
      </w:r>
      <w:r>
        <w:rPr>
          <w:rFonts w:hint="eastAsia" w:cs="Times New Roman"/>
          <w:sz w:val="24"/>
          <w:lang w:val="zh-CN" w:eastAsia="zh-CN"/>
        </w:rPr>
        <w:t>”</w:t>
      </w:r>
      <w:r>
        <w:rPr>
          <w:rFonts w:hint="eastAsia" w:ascii="Times New Roman" w:hAnsi="Times New Roman" w:cs="Times New Roman"/>
          <w:sz w:val="24"/>
          <w:lang w:val="en-US" w:eastAsia="zh-CN"/>
        </w:rPr>
        <w:t xml:space="preserve"> </w:t>
      </w:r>
      <w:r>
        <w:rPr>
          <w:sz w:val="24"/>
        </w:rPr>
        <w:t>的招标文件要求和</w:t>
      </w:r>
      <w:r>
        <w:rPr>
          <w:rFonts w:hint="eastAsia"/>
          <w:sz w:val="24"/>
          <w:lang w:eastAsia="zh-CN"/>
        </w:rPr>
        <w:t>集采</w:t>
      </w:r>
      <w:r>
        <w:rPr>
          <w:sz w:val="24"/>
        </w:rPr>
        <w:t>机构出具的《中标通知书》，并经双方协商一致，签订本合同协议书。</w:t>
      </w:r>
    </w:p>
    <w:p w14:paraId="44C2B58E">
      <w:pPr>
        <w:spacing w:line="240" w:lineRule="auto"/>
        <w:rPr>
          <w:b/>
          <w:sz w:val="24"/>
        </w:rPr>
      </w:pPr>
      <w:r>
        <w:rPr>
          <w:b/>
          <w:sz w:val="24"/>
        </w:rPr>
        <w:t>一、签订本政府采购合同的依据</w:t>
      </w:r>
    </w:p>
    <w:p w14:paraId="3BD97EB0">
      <w:pPr>
        <w:spacing w:line="240" w:lineRule="auto"/>
        <w:ind w:firstLine="482" w:firstLineChars="200"/>
        <w:rPr>
          <w:sz w:val="24"/>
        </w:rPr>
      </w:pPr>
      <w:r>
        <w:rPr>
          <w:sz w:val="24"/>
        </w:rPr>
        <w:t>本政府采购合同所附下列文件是构成本政府采购合同不可分割的部分：</w:t>
      </w:r>
    </w:p>
    <w:p w14:paraId="17571DA0">
      <w:pPr>
        <w:spacing w:line="240" w:lineRule="auto"/>
        <w:rPr>
          <w:sz w:val="24"/>
        </w:rPr>
      </w:pPr>
      <w:r>
        <w:rPr>
          <w:sz w:val="24"/>
        </w:rPr>
        <w:t>1．招标文件；</w:t>
      </w:r>
    </w:p>
    <w:p w14:paraId="4C9840A9">
      <w:pPr>
        <w:spacing w:line="240" w:lineRule="auto"/>
        <w:rPr>
          <w:sz w:val="24"/>
        </w:rPr>
      </w:pPr>
      <w:r>
        <w:rPr>
          <w:sz w:val="24"/>
        </w:rPr>
        <w:t>2．招标文件的更正、变更公告；</w:t>
      </w:r>
    </w:p>
    <w:p w14:paraId="6AD12CFF">
      <w:pPr>
        <w:spacing w:line="240" w:lineRule="auto"/>
        <w:rPr>
          <w:sz w:val="24"/>
        </w:rPr>
      </w:pPr>
      <w:r>
        <w:rPr>
          <w:sz w:val="24"/>
        </w:rPr>
        <w:t>3．中标供应商提交的投标文件；</w:t>
      </w:r>
    </w:p>
    <w:p w14:paraId="450F681F">
      <w:pPr>
        <w:spacing w:line="240" w:lineRule="auto"/>
        <w:rPr>
          <w:sz w:val="24"/>
        </w:rPr>
      </w:pPr>
      <w:r>
        <w:rPr>
          <w:sz w:val="24"/>
        </w:rPr>
        <w:t>4．招标文件中规定的政府采购合同通用条款；</w:t>
      </w:r>
    </w:p>
    <w:p w14:paraId="1638E79C">
      <w:pPr>
        <w:spacing w:line="240" w:lineRule="auto"/>
        <w:rPr>
          <w:rFonts w:hint="eastAsia" w:ascii="Times New Roman" w:hAnsi="Times New Roman" w:eastAsia="宋体" w:cs="Times New Roman"/>
          <w:sz w:val="24"/>
        </w:rPr>
      </w:pPr>
      <w:r>
        <w:rPr>
          <w:rFonts w:ascii="Times New Roman" w:hAnsi="Times New Roman" w:eastAsia="宋体" w:cs="Times New Roman"/>
          <w:sz w:val="24"/>
        </w:rPr>
        <w:t>5．中标通知书</w:t>
      </w:r>
      <w:r>
        <w:rPr>
          <w:rFonts w:hint="eastAsia" w:ascii="Times New Roman" w:hAnsi="Times New Roman" w:eastAsia="宋体" w:cs="Times New Roman"/>
          <w:sz w:val="24"/>
        </w:rPr>
        <w:t>；</w:t>
      </w:r>
    </w:p>
    <w:p w14:paraId="3C524659">
      <w:pPr>
        <w:spacing w:line="240" w:lineRule="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6</w:t>
      </w:r>
      <w:r>
        <w:rPr>
          <w:rFonts w:hint="eastAsia" w:ascii="Times New Roman" w:hAnsi="Times New Roman" w:eastAsia="宋体" w:cs="Times New Roman"/>
          <w:color w:val="auto"/>
          <w:sz w:val="24"/>
          <w:lang w:val="zh-CN"/>
        </w:rPr>
        <w:t>．履约保证金凭证。</w:t>
      </w:r>
    </w:p>
    <w:p w14:paraId="28FE1C53">
      <w:pPr>
        <w:spacing w:line="240" w:lineRule="auto"/>
        <w:rPr>
          <w:b/>
          <w:sz w:val="24"/>
        </w:rPr>
      </w:pPr>
      <w:r>
        <w:rPr>
          <w:b/>
          <w:sz w:val="24"/>
        </w:rPr>
        <w:t xml:space="preserve">二、合同标的及金额                                          </w:t>
      </w:r>
      <w:r>
        <w:rPr>
          <w:sz w:val="24"/>
        </w:rPr>
        <w:t>单位：元</w:t>
      </w:r>
    </w:p>
    <w:tbl>
      <w:tblPr>
        <w:tblStyle w:val="31"/>
        <w:tblW w:w="8916" w:type="dxa"/>
        <w:tblInd w:w="103" w:type="dxa"/>
        <w:tblLayout w:type="fixed"/>
        <w:tblCellMar>
          <w:top w:w="0" w:type="dxa"/>
          <w:left w:w="108" w:type="dxa"/>
          <w:bottom w:w="0" w:type="dxa"/>
          <w:right w:w="108" w:type="dxa"/>
        </w:tblCellMar>
      </w:tblPr>
      <w:tblGrid>
        <w:gridCol w:w="1170"/>
        <w:gridCol w:w="1165"/>
        <w:gridCol w:w="1209"/>
        <w:gridCol w:w="654"/>
        <w:gridCol w:w="1442"/>
        <w:gridCol w:w="1310"/>
        <w:gridCol w:w="1966"/>
      </w:tblGrid>
      <w:tr w14:paraId="35BFB695">
        <w:tblPrEx>
          <w:tblCellMar>
            <w:top w:w="0" w:type="dxa"/>
            <w:left w:w="108" w:type="dxa"/>
            <w:bottom w:w="0" w:type="dxa"/>
            <w:right w:w="108" w:type="dxa"/>
          </w:tblCellMar>
        </w:tblPrEx>
        <w:trPr>
          <w:trHeight w:val="754" w:hRule="atLeast"/>
        </w:trPr>
        <w:tc>
          <w:tcPr>
            <w:tcW w:w="11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6776FC">
            <w:pPr>
              <w:spacing w:line="240" w:lineRule="auto"/>
              <w:jc w:val="center"/>
              <w:rPr>
                <w:sz w:val="24"/>
              </w:rPr>
            </w:pPr>
            <w:r>
              <w:rPr>
                <w:sz w:val="24"/>
              </w:rPr>
              <w:t>编号</w:t>
            </w: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14:paraId="4624160E">
            <w:pPr>
              <w:spacing w:line="240" w:lineRule="auto"/>
              <w:jc w:val="center"/>
              <w:rPr>
                <w:sz w:val="24"/>
              </w:rPr>
            </w:pPr>
            <w:r>
              <w:rPr>
                <w:sz w:val="24"/>
              </w:rPr>
              <w:t>标的名称</w:t>
            </w:r>
          </w:p>
        </w:tc>
        <w:tc>
          <w:tcPr>
            <w:tcW w:w="1209" w:type="dxa"/>
            <w:tcBorders>
              <w:top w:val="single" w:color="auto" w:sz="4" w:space="0"/>
              <w:left w:val="nil"/>
              <w:bottom w:val="single" w:color="auto" w:sz="4" w:space="0"/>
              <w:right w:val="single" w:color="auto" w:sz="4" w:space="0"/>
            </w:tcBorders>
            <w:shd w:val="clear" w:color="auto" w:fill="FFFFFF"/>
            <w:noWrap w:val="0"/>
            <w:vAlign w:val="center"/>
          </w:tcPr>
          <w:p w14:paraId="48C8300D">
            <w:pPr>
              <w:spacing w:line="240" w:lineRule="auto"/>
              <w:jc w:val="center"/>
              <w:rPr>
                <w:sz w:val="24"/>
              </w:rPr>
            </w:pPr>
            <w:r>
              <w:rPr>
                <w:sz w:val="24"/>
              </w:rPr>
              <w:t>型号规格</w:t>
            </w:r>
          </w:p>
        </w:tc>
        <w:tc>
          <w:tcPr>
            <w:tcW w:w="654" w:type="dxa"/>
            <w:tcBorders>
              <w:top w:val="single" w:color="auto" w:sz="4" w:space="0"/>
              <w:left w:val="nil"/>
              <w:bottom w:val="single" w:color="auto" w:sz="4" w:space="0"/>
              <w:right w:val="single" w:color="auto" w:sz="4" w:space="0"/>
            </w:tcBorders>
            <w:shd w:val="clear" w:color="auto" w:fill="FFFFFF"/>
            <w:noWrap w:val="0"/>
            <w:vAlign w:val="center"/>
          </w:tcPr>
          <w:p w14:paraId="35BDAEF2">
            <w:pPr>
              <w:spacing w:line="240" w:lineRule="auto"/>
              <w:jc w:val="center"/>
              <w:rPr>
                <w:sz w:val="24"/>
              </w:rPr>
            </w:pPr>
            <w:r>
              <w:rPr>
                <w:sz w:val="24"/>
              </w:rPr>
              <w:t>数量</w:t>
            </w:r>
          </w:p>
        </w:tc>
        <w:tc>
          <w:tcPr>
            <w:tcW w:w="1442" w:type="dxa"/>
            <w:tcBorders>
              <w:top w:val="single" w:color="auto" w:sz="4" w:space="0"/>
              <w:left w:val="nil"/>
              <w:bottom w:val="single" w:color="auto" w:sz="4" w:space="0"/>
              <w:right w:val="single" w:color="auto" w:sz="4" w:space="0"/>
            </w:tcBorders>
            <w:shd w:val="clear" w:color="auto" w:fill="FFFFFF"/>
            <w:noWrap w:val="0"/>
            <w:vAlign w:val="center"/>
          </w:tcPr>
          <w:p w14:paraId="07148D29">
            <w:pPr>
              <w:spacing w:line="240" w:lineRule="auto"/>
              <w:jc w:val="center"/>
              <w:rPr>
                <w:sz w:val="24"/>
              </w:rPr>
            </w:pPr>
            <w:r>
              <w:rPr>
                <w:sz w:val="24"/>
              </w:rPr>
              <w:t>单价</w:t>
            </w:r>
          </w:p>
        </w:tc>
        <w:tc>
          <w:tcPr>
            <w:tcW w:w="1310" w:type="dxa"/>
            <w:tcBorders>
              <w:top w:val="single" w:color="auto" w:sz="4" w:space="0"/>
              <w:left w:val="nil"/>
              <w:bottom w:val="single" w:color="auto" w:sz="4" w:space="0"/>
              <w:right w:val="single" w:color="auto" w:sz="4" w:space="0"/>
            </w:tcBorders>
            <w:shd w:val="clear" w:color="auto" w:fill="FFFFFF"/>
            <w:noWrap w:val="0"/>
            <w:vAlign w:val="center"/>
          </w:tcPr>
          <w:p w14:paraId="62E5EC63">
            <w:pPr>
              <w:spacing w:line="240" w:lineRule="auto"/>
              <w:jc w:val="center"/>
              <w:rPr>
                <w:sz w:val="24"/>
              </w:rPr>
            </w:pPr>
            <w:r>
              <w:rPr>
                <w:sz w:val="24"/>
              </w:rPr>
              <w:t>总价</w:t>
            </w:r>
          </w:p>
        </w:tc>
        <w:tc>
          <w:tcPr>
            <w:tcW w:w="1966" w:type="dxa"/>
            <w:tcBorders>
              <w:top w:val="single" w:color="auto" w:sz="4" w:space="0"/>
              <w:left w:val="nil"/>
              <w:bottom w:val="single" w:color="auto" w:sz="4" w:space="0"/>
              <w:right w:val="single" w:color="auto" w:sz="4" w:space="0"/>
            </w:tcBorders>
            <w:shd w:val="clear" w:color="auto" w:fill="FFFFFF"/>
            <w:noWrap w:val="0"/>
            <w:vAlign w:val="center"/>
          </w:tcPr>
          <w:p w14:paraId="1BD4CEB4">
            <w:pPr>
              <w:spacing w:line="240" w:lineRule="auto"/>
              <w:jc w:val="center"/>
              <w:rPr>
                <w:sz w:val="24"/>
              </w:rPr>
            </w:pPr>
            <w:r>
              <w:rPr>
                <w:sz w:val="24"/>
              </w:rPr>
              <w:t>备注</w:t>
            </w:r>
          </w:p>
        </w:tc>
      </w:tr>
      <w:tr w14:paraId="20BE624B">
        <w:tblPrEx>
          <w:tblCellMar>
            <w:top w:w="0" w:type="dxa"/>
            <w:left w:w="108" w:type="dxa"/>
            <w:bottom w:w="0" w:type="dxa"/>
            <w:right w:w="108" w:type="dxa"/>
          </w:tblCellMar>
        </w:tblPrEx>
        <w:trPr>
          <w:trHeight w:val="579" w:hRule="atLeast"/>
        </w:trPr>
        <w:tc>
          <w:tcPr>
            <w:tcW w:w="1170" w:type="dxa"/>
            <w:tcBorders>
              <w:top w:val="nil"/>
              <w:left w:val="single" w:color="auto" w:sz="4" w:space="0"/>
              <w:bottom w:val="single" w:color="auto" w:sz="4" w:space="0"/>
              <w:right w:val="single" w:color="auto" w:sz="4" w:space="0"/>
            </w:tcBorders>
            <w:shd w:val="clear" w:color="auto" w:fill="FFFFFF"/>
            <w:noWrap w:val="0"/>
            <w:vAlign w:val="center"/>
          </w:tcPr>
          <w:p w14:paraId="4C28A10E">
            <w:pPr>
              <w:spacing w:line="240" w:lineRule="auto"/>
              <w:jc w:val="center"/>
              <w:rPr>
                <w:sz w:val="24"/>
              </w:rPr>
            </w:pPr>
          </w:p>
        </w:tc>
        <w:tc>
          <w:tcPr>
            <w:tcW w:w="1165" w:type="dxa"/>
            <w:tcBorders>
              <w:top w:val="nil"/>
              <w:left w:val="nil"/>
              <w:bottom w:val="single" w:color="auto" w:sz="4" w:space="0"/>
              <w:right w:val="single" w:color="auto" w:sz="4" w:space="0"/>
            </w:tcBorders>
            <w:shd w:val="clear" w:color="auto" w:fill="FFFFFF"/>
            <w:noWrap w:val="0"/>
            <w:vAlign w:val="center"/>
          </w:tcPr>
          <w:p w14:paraId="2FE240DB">
            <w:pPr>
              <w:spacing w:line="240" w:lineRule="auto"/>
              <w:jc w:val="center"/>
              <w:rPr>
                <w:sz w:val="24"/>
              </w:rPr>
            </w:pPr>
          </w:p>
        </w:tc>
        <w:tc>
          <w:tcPr>
            <w:tcW w:w="1209" w:type="dxa"/>
            <w:tcBorders>
              <w:top w:val="nil"/>
              <w:left w:val="nil"/>
              <w:bottom w:val="single" w:color="auto" w:sz="4" w:space="0"/>
              <w:right w:val="single" w:color="auto" w:sz="4" w:space="0"/>
            </w:tcBorders>
            <w:shd w:val="clear" w:color="auto" w:fill="FFFFFF"/>
            <w:noWrap w:val="0"/>
            <w:vAlign w:val="center"/>
          </w:tcPr>
          <w:p w14:paraId="458C578C">
            <w:pPr>
              <w:spacing w:line="240" w:lineRule="auto"/>
              <w:jc w:val="center"/>
              <w:rPr>
                <w:sz w:val="24"/>
              </w:rPr>
            </w:pPr>
          </w:p>
        </w:tc>
        <w:tc>
          <w:tcPr>
            <w:tcW w:w="654" w:type="dxa"/>
            <w:tcBorders>
              <w:top w:val="nil"/>
              <w:left w:val="nil"/>
              <w:bottom w:val="single" w:color="auto" w:sz="4" w:space="0"/>
              <w:right w:val="single" w:color="auto" w:sz="4" w:space="0"/>
            </w:tcBorders>
            <w:shd w:val="clear" w:color="auto" w:fill="FFFFFF"/>
            <w:noWrap w:val="0"/>
            <w:vAlign w:val="center"/>
          </w:tcPr>
          <w:p w14:paraId="49837131">
            <w:pPr>
              <w:spacing w:line="240" w:lineRule="auto"/>
              <w:jc w:val="center"/>
              <w:rPr>
                <w:sz w:val="24"/>
              </w:rPr>
            </w:pPr>
          </w:p>
        </w:tc>
        <w:tc>
          <w:tcPr>
            <w:tcW w:w="1442" w:type="dxa"/>
            <w:tcBorders>
              <w:top w:val="nil"/>
              <w:left w:val="nil"/>
              <w:bottom w:val="single" w:color="auto" w:sz="4" w:space="0"/>
              <w:right w:val="single" w:color="auto" w:sz="4" w:space="0"/>
            </w:tcBorders>
            <w:shd w:val="clear" w:color="auto" w:fill="FFFFFF"/>
            <w:noWrap w:val="0"/>
            <w:vAlign w:val="center"/>
          </w:tcPr>
          <w:p w14:paraId="2DBA9D99">
            <w:pPr>
              <w:spacing w:line="240" w:lineRule="auto"/>
              <w:jc w:val="center"/>
              <w:rPr>
                <w:sz w:val="24"/>
              </w:rPr>
            </w:pPr>
          </w:p>
        </w:tc>
        <w:tc>
          <w:tcPr>
            <w:tcW w:w="1310" w:type="dxa"/>
            <w:tcBorders>
              <w:top w:val="nil"/>
              <w:left w:val="nil"/>
              <w:bottom w:val="single" w:color="auto" w:sz="4" w:space="0"/>
              <w:right w:val="nil"/>
            </w:tcBorders>
            <w:shd w:val="clear" w:color="auto" w:fill="FFFFFF"/>
            <w:noWrap w:val="0"/>
            <w:vAlign w:val="center"/>
          </w:tcPr>
          <w:p w14:paraId="521290EB">
            <w:pPr>
              <w:spacing w:line="240" w:lineRule="auto"/>
              <w:jc w:val="center"/>
              <w:rPr>
                <w:sz w:val="24"/>
              </w:rPr>
            </w:pPr>
          </w:p>
        </w:tc>
        <w:tc>
          <w:tcPr>
            <w:tcW w:w="1966" w:type="dxa"/>
            <w:tcBorders>
              <w:top w:val="nil"/>
              <w:left w:val="single" w:color="auto" w:sz="4" w:space="0"/>
              <w:bottom w:val="single" w:color="auto" w:sz="4" w:space="0"/>
              <w:right w:val="single" w:color="auto" w:sz="4" w:space="0"/>
            </w:tcBorders>
            <w:shd w:val="clear" w:color="auto" w:fill="FFFFFF"/>
            <w:noWrap w:val="0"/>
            <w:vAlign w:val="center"/>
          </w:tcPr>
          <w:p w14:paraId="746597DE">
            <w:pPr>
              <w:spacing w:line="240" w:lineRule="auto"/>
              <w:jc w:val="center"/>
              <w:rPr>
                <w:sz w:val="24"/>
              </w:rPr>
            </w:pPr>
          </w:p>
        </w:tc>
      </w:tr>
      <w:tr w14:paraId="4EADE81E">
        <w:tblPrEx>
          <w:tblCellMar>
            <w:top w:w="0" w:type="dxa"/>
            <w:left w:w="108" w:type="dxa"/>
            <w:bottom w:w="0" w:type="dxa"/>
            <w:right w:w="108" w:type="dxa"/>
          </w:tblCellMar>
        </w:tblPrEx>
        <w:trPr>
          <w:trHeight w:val="700" w:hRule="atLeast"/>
        </w:trPr>
        <w:tc>
          <w:tcPr>
            <w:tcW w:w="1170" w:type="dxa"/>
            <w:tcBorders>
              <w:top w:val="nil"/>
              <w:left w:val="single" w:color="auto" w:sz="4" w:space="0"/>
              <w:bottom w:val="single" w:color="auto" w:sz="4" w:space="0"/>
              <w:right w:val="single" w:color="auto" w:sz="4" w:space="0"/>
            </w:tcBorders>
            <w:shd w:val="clear" w:color="auto" w:fill="FFFFFF"/>
            <w:noWrap w:val="0"/>
            <w:vAlign w:val="center"/>
          </w:tcPr>
          <w:p w14:paraId="3ADD478E">
            <w:pPr>
              <w:spacing w:line="240" w:lineRule="auto"/>
              <w:jc w:val="center"/>
              <w:rPr>
                <w:sz w:val="24"/>
              </w:rPr>
            </w:pPr>
          </w:p>
        </w:tc>
        <w:tc>
          <w:tcPr>
            <w:tcW w:w="1165" w:type="dxa"/>
            <w:tcBorders>
              <w:top w:val="nil"/>
              <w:left w:val="nil"/>
              <w:bottom w:val="single" w:color="auto" w:sz="4" w:space="0"/>
              <w:right w:val="single" w:color="auto" w:sz="4" w:space="0"/>
            </w:tcBorders>
            <w:shd w:val="clear" w:color="auto" w:fill="FFFFFF"/>
            <w:noWrap w:val="0"/>
            <w:vAlign w:val="center"/>
          </w:tcPr>
          <w:p w14:paraId="5A1EB37B">
            <w:pPr>
              <w:spacing w:line="240" w:lineRule="auto"/>
              <w:jc w:val="center"/>
              <w:rPr>
                <w:sz w:val="24"/>
              </w:rPr>
            </w:pPr>
          </w:p>
        </w:tc>
        <w:tc>
          <w:tcPr>
            <w:tcW w:w="1209" w:type="dxa"/>
            <w:tcBorders>
              <w:top w:val="nil"/>
              <w:left w:val="nil"/>
              <w:bottom w:val="single" w:color="auto" w:sz="4" w:space="0"/>
              <w:right w:val="single" w:color="auto" w:sz="4" w:space="0"/>
            </w:tcBorders>
            <w:shd w:val="clear" w:color="auto" w:fill="FFFFFF"/>
            <w:noWrap w:val="0"/>
            <w:vAlign w:val="center"/>
          </w:tcPr>
          <w:p w14:paraId="182F940C">
            <w:pPr>
              <w:spacing w:line="240" w:lineRule="auto"/>
              <w:jc w:val="center"/>
              <w:rPr>
                <w:sz w:val="24"/>
              </w:rPr>
            </w:pPr>
          </w:p>
        </w:tc>
        <w:tc>
          <w:tcPr>
            <w:tcW w:w="654" w:type="dxa"/>
            <w:tcBorders>
              <w:top w:val="single" w:color="auto" w:sz="4" w:space="0"/>
              <w:left w:val="nil"/>
              <w:bottom w:val="single" w:color="auto" w:sz="4" w:space="0"/>
              <w:right w:val="single" w:color="auto" w:sz="4" w:space="0"/>
            </w:tcBorders>
            <w:shd w:val="clear" w:color="auto" w:fill="FFFFFF"/>
            <w:noWrap w:val="0"/>
            <w:vAlign w:val="center"/>
          </w:tcPr>
          <w:p w14:paraId="515014A6">
            <w:pPr>
              <w:spacing w:line="240" w:lineRule="auto"/>
              <w:jc w:val="center"/>
              <w:rPr>
                <w:sz w:val="24"/>
              </w:rPr>
            </w:pPr>
          </w:p>
        </w:tc>
        <w:tc>
          <w:tcPr>
            <w:tcW w:w="1442" w:type="dxa"/>
            <w:tcBorders>
              <w:top w:val="nil"/>
              <w:left w:val="nil"/>
              <w:bottom w:val="single" w:color="auto" w:sz="4" w:space="0"/>
              <w:right w:val="single" w:color="auto" w:sz="4" w:space="0"/>
            </w:tcBorders>
            <w:shd w:val="clear" w:color="auto" w:fill="FFFFFF"/>
            <w:noWrap w:val="0"/>
            <w:vAlign w:val="center"/>
          </w:tcPr>
          <w:p w14:paraId="77FD8E9C">
            <w:pPr>
              <w:spacing w:line="240" w:lineRule="auto"/>
              <w:jc w:val="center"/>
              <w:rPr>
                <w:sz w:val="24"/>
              </w:rPr>
            </w:pPr>
          </w:p>
        </w:tc>
        <w:tc>
          <w:tcPr>
            <w:tcW w:w="1310" w:type="dxa"/>
            <w:tcBorders>
              <w:top w:val="nil"/>
              <w:left w:val="nil"/>
              <w:bottom w:val="single" w:color="auto" w:sz="4" w:space="0"/>
              <w:right w:val="nil"/>
            </w:tcBorders>
            <w:shd w:val="clear" w:color="auto" w:fill="FFFFFF"/>
            <w:noWrap w:val="0"/>
            <w:vAlign w:val="center"/>
          </w:tcPr>
          <w:p w14:paraId="74163B8E">
            <w:pPr>
              <w:spacing w:line="240" w:lineRule="auto"/>
              <w:jc w:val="center"/>
              <w:rPr>
                <w:sz w:val="24"/>
              </w:rPr>
            </w:pPr>
          </w:p>
        </w:tc>
        <w:tc>
          <w:tcPr>
            <w:tcW w:w="1966" w:type="dxa"/>
            <w:tcBorders>
              <w:top w:val="nil"/>
              <w:left w:val="single" w:color="auto" w:sz="4" w:space="0"/>
              <w:bottom w:val="single" w:color="auto" w:sz="4" w:space="0"/>
              <w:right w:val="single" w:color="auto" w:sz="4" w:space="0"/>
            </w:tcBorders>
            <w:shd w:val="clear" w:color="auto" w:fill="FFFFFF"/>
            <w:noWrap w:val="0"/>
            <w:vAlign w:val="center"/>
          </w:tcPr>
          <w:p w14:paraId="7F485DEA">
            <w:pPr>
              <w:spacing w:line="240" w:lineRule="auto"/>
              <w:jc w:val="center"/>
              <w:rPr>
                <w:sz w:val="24"/>
              </w:rPr>
            </w:pPr>
          </w:p>
        </w:tc>
      </w:tr>
      <w:tr w14:paraId="3A133E26">
        <w:tblPrEx>
          <w:tblCellMar>
            <w:top w:w="0" w:type="dxa"/>
            <w:left w:w="108" w:type="dxa"/>
            <w:bottom w:w="0" w:type="dxa"/>
            <w:right w:w="108" w:type="dxa"/>
          </w:tblCellMar>
        </w:tblPrEx>
        <w:trPr>
          <w:trHeight w:val="710" w:hRule="atLeast"/>
        </w:trPr>
        <w:tc>
          <w:tcPr>
            <w:tcW w:w="11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22F8EC">
            <w:pPr>
              <w:spacing w:line="240" w:lineRule="auto"/>
              <w:jc w:val="center"/>
              <w:rPr>
                <w:sz w:val="24"/>
              </w:rPr>
            </w:pPr>
          </w:p>
        </w:tc>
        <w:tc>
          <w:tcPr>
            <w:tcW w:w="1165" w:type="dxa"/>
            <w:tcBorders>
              <w:top w:val="single" w:color="auto" w:sz="4" w:space="0"/>
              <w:left w:val="nil"/>
              <w:bottom w:val="single" w:color="auto" w:sz="4" w:space="0"/>
              <w:right w:val="single" w:color="auto" w:sz="4" w:space="0"/>
            </w:tcBorders>
            <w:shd w:val="clear" w:color="auto" w:fill="FFFFFF"/>
            <w:noWrap w:val="0"/>
            <w:vAlign w:val="center"/>
          </w:tcPr>
          <w:p w14:paraId="0D66982C">
            <w:pPr>
              <w:spacing w:line="240" w:lineRule="auto"/>
              <w:jc w:val="center"/>
              <w:rPr>
                <w:sz w:val="24"/>
              </w:rPr>
            </w:pPr>
          </w:p>
        </w:tc>
        <w:tc>
          <w:tcPr>
            <w:tcW w:w="1209" w:type="dxa"/>
            <w:tcBorders>
              <w:top w:val="single" w:color="auto" w:sz="4" w:space="0"/>
              <w:left w:val="nil"/>
              <w:bottom w:val="single" w:color="auto" w:sz="4" w:space="0"/>
              <w:right w:val="single" w:color="auto" w:sz="4" w:space="0"/>
            </w:tcBorders>
            <w:shd w:val="clear" w:color="auto" w:fill="FFFFFF"/>
            <w:noWrap w:val="0"/>
            <w:vAlign w:val="center"/>
          </w:tcPr>
          <w:p w14:paraId="6F16FBE3">
            <w:pPr>
              <w:spacing w:line="240" w:lineRule="auto"/>
              <w:jc w:val="center"/>
              <w:rPr>
                <w:sz w:val="24"/>
              </w:rPr>
            </w:pPr>
          </w:p>
        </w:tc>
        <w:tc>
          <w:tcPr>
            <w:tcW w:w="654" w:type="dxa"/>
            <w:tcBorders>
              <w:top w:val="single" w:color="auto" w:sz="4" w:space="0"/>
              <w:left w:val="nil"/>
              <w:bottom w:val="single" w:color="auto" w:sz="4" w:space="0"/>
              <w:right w:val="single" w:color="auto" w:sz="4" w:space="0"/>
            </w:tcBorders>
            <w:shd w:val="clear" w:color="auto" w:fill="FFFFFF"/>
            <w:noWrap w:val="0"/>
            <w:vAlign w:val="center"/>
          </w:tcPr>
          <w:p w14:paraId="2D64C081">
            <w:pPr>
              <w:spacing w:line="240" w:lineRule="auto"/>
              <w:jc w:val="center"/>
              <w:rPr>
                <w:sz w:val="24"/>
              </w:rPr>
            </w:pPr>
          </w:p>
        </w:tc>
        <w:tc>
          <w:tcPr>
            <w:tcW w:w="1442" w:type="dxa"/>
            <w:tcBorders>
              <w:top w:val="single" w:color="auto" w:sz="4" w:space="0"/>
              <w:left w:val="nil"/>
              <w:bottom w:val="single" w:color="auto" w:sz="4" w:space="0"/>
              <w:right w:val="single" w:color="auto" w:sz="4" w:space="0"/>
            </w:tcBorders>
            <w:shd w:val="clear" w:color="auto" w:fill="FFFFFF"/>
            <w:noWrap w:val="0"/>
            <w:vAlign w:val="center"/>
          </w:tcPr>
          <w:p w14:paraId="7A0204FB">
            <w:pPr>
              <w:spacing w:line="240" w:lineRule="auto"/>
              <w:jc w:val="center"/>
              <w:rPr>
                <w:sz w:val="24"/>
              </w:rPr>
            </w:pPr>
          </w:p>
        </w:tc>
        <w:tc>
          <w:tcPr>
            <w:tcW w:w="1310" w:type="dxa"/>
            <w:tcBorders>
              <w:top w:val="single" w:color="auto" w:sz="4" w:space="0"/>
              <w:left w:val="nil"/>
              <w:bottom w:val="single" w:color="auto" w:sz="4" w:space="0"/>
              <w:right w:val="nil"/>
            </w:tcBorders>
            <w:shd w:val="clear" w:color="auto" w:fill="FFFFFF"/>
            <w:noWrap w:val="0"/>
            <w:vAlign w:val="center"/>
          </w:tcPr>
          <w:p w14:paraId="076883D1">
            <w:pPr>
              <w:spacing w:line="240" w:lineRule="auto"/>
              <w:jc w:val="center"/>
              <w:rPr>
                <w:sz w:val="24"/>
              </w:rPr>
            </w:pPr>
          </w:p>
        </w:tc>
        <w:tc>
          <w:tcPr>
            <w:tcW w:w="19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EFB6B7">
            <w:pPr>
              <w:spacing w:line="240" w:lineRule="auto"/>
              <w:jc w:val="center"/>
              <w:rPr>
                <w:sz w:val="24"/>
              </w:rPr>
            </w:pPr>
          </w:p>
        </w:tc>
      </w:tr>
    </w:tbl>
    <w:p w14:paraId="2BF7D0FB">
      <w:pPr>
        <w:spacing w:line="240" w:lineRule="auto"/>
        <w:ind w:firstLine="482" w:firstLineChars="200"/>
        <w:rPr>
          <w:sz w:val="24"/>
        </w:rPr>
      </w:pPr>
      <w:r>
        <w:rPr>
          <w:sz w:val="24"/>
        </w:rPr>
        <w:t>根据上述政府采购合同文件要求，本政府采购合同的总金额为人民币</w:t>
      </w:r>
      <w:r>
        <w:rPr>
          <w:sz w:val="24"/>
          <w:u w:val="single"/>
        </w:rPr>
        <w:t xml:space="preserve">      </w:t>
      </w:r>
      <w:r>
        <w:rPr>
          <w:sz w:val="24"/>
        </w:rPr>
        <w:t>（大写）</w:t>
      </w:r>
      <w:r>
        <w:rPr>
          <w:sz w:val="24"/>
          <w:u w:val="single"/>
        </w:rPr>
        <w:t xml:space="preserve">        </w:t>
      </w:r>
      <w:r>
        <w:rPr>
          <w:sz w:val="24"/>
        </w:rPr>
        <w:t xml:space="preserve"> 元。</w:t>
      </w:r>
    </w:p>
    <w:p w14:paraId="0C673C43">
      <w:pPr>
        <w:spacing w:line="240" w:lineRule="auto"/>
        <w:ind w:firstLine="482" w:firstLineChars="200"/>
        <w:rPr>
          <w:rFonts w:hint="eastAsia" w:eastAsia="宋体"/>
          <w:sz w:val="24"/>
          <w:lang w:eastAsia="zh-CN"/>
        </w:rPr>
      </w:pPr>
      <w:r>
        <w:rPr>
          <w:sz w:val="24"/>
        </w:rPr>
        <w:t>本合同以人民币进行结算，合同总价包括：</w:t>
      </w:r>
      <w:r>
        <w:rPr>
          <w:rFonts w:hint="eastAsia"/>
          <w:sz w:val="24"/>
          <w:lang w:eastAsia="zh-CN"/>
        </w:rPr>
        <w:t>产品费、验收费、手续费、包装费、运输费、保险费、售前、售中、售后服务费、招标代理费、税</w:t>
      </w:r>
      <w:r>
        <w:rPr>
          <w:rFonts w:hint="eastAsia"/>
          <w:color w:val="auto"/>
          <w:sz w:val="24"/>
          <w:lang w:eastAsia="zh-CN"/>
        </w:rPr>
        <w:t>金、抽样检测费及不可预</w:t>
      </w:r>
      <w:r>
        <w:rPr>
          <w:rFonts w:hint="eastAsia"/>
          <w:sz w:val="24"/>
          <w:lang w:eastAsia="zh-CN"/>
        </w:rPr>
        <w:t>见费等全部费用。</w:t>
      </w:r>
    </w:p>
    <w:p w14:paraId="4D13EA96">
      <w:pPr>
        <w:spacing w:line="240" w:lineRule="auto"/>
        <w:rPr>
          <w:b/>
          <w:sz w:val="24"/>
        </w:rPr>
      </w:pPr>
      <w:r>
        <w:rPr>
          <w:b/>
          <w:sz w:val="24"/>
        </w:rPr>
        <w:t>三、交付期、地点和要求</w:t>
      </w:r>
    </w:p>
    <w:p w14:paraId="15337324">
      <w:pPr>
        <w:autoSpaceDE w:val="0"/>
        <w:autoSpaceDN w:val="0"/>
        <w:spacing w:line="240" w:lineRule="auto"/>
        <w:ind w:left="425"/>
        <w:rPr>
          <w:rFonts w:hint="eastAsia" w:ascii="宋体" w:hAnsi="宋体"/>
          <w:bCs/>
          <w:color w:val="auto"/>
          <w:sz w:val="24"/>
          <w:highlight w:val="none"/>
          <w:lang w:val="zh-CN"/>
        </w:rPr>
      </w:pPr>
      <w:r>
        <w:rPr>
          <w:color w:val="auto"/>
          <w:sz w:val="24"/>
          <w:highlight w:val="none"/>
        </w:rPr>
        <w:t>1.</w:t>
      </w:r>
      <w:r>
        <w:rPr>
          <w:rFonts w:hint="eastAsia"/>
          <w:color w:val="auto"/>
          <w:sz w:val="24"/>
          <w:highlight w:val="none"/>
        </w:rPr>
        <w:t xml:space="preserve"> </w:t>
      </w:r>
      <w:r>
        <w:rPr>
          <w:color w:val="auto"/>
          <w:sz w:val="24"/>
          <w:highlight w:val="none"/>
        </w:rPr>
        <w:t>交货时间：</w:t>
      </w:r>
      <w:r>
        <w:rPr>
          <w:rFonts w:hint="eastAsia"/>
          <w:color w:val="auto"/>
          <w:sz w:val="24"/>
          <w:highlight w:val="none"/>
          <w:lang w:val="en-US" w:eastAsia="zh-CN"/>
        </w:rPr>
        <w:t xml:space="preserve">自合同签订之日起 </w:t>
      </w:r>
      <w:r>
        <w:rPr>
          <w:rFonts w:hint="default" w:ascii="Times New Roman" w:hAnsi="Times New Roman" w:eastAsia="仿宋_GB2312" w:cs="Times New Roman"/>
          <w:color w:val="auto"/>
          <w:sz w:val="24"/>
          <w:highlight w:val="none"/>
          <w:lang w:val="en-US" w:eastAsia="zh-CN"/>
        </w:rPr>
        <w:t>60</w:t>
      </w:r>
      <w:r>
        <w:rPr>
          <w:rFonts w:hint="eastAsia" w:ascii="Times New Roman" w:hAnsi="Times New Roman" w:eastAsia="仿宋_GB2312" w:cs="Times New Roman"/>
          <w:color w:val="auto"/>
          <w:sz w:val="24"/>
          <w:highlight w:val="none"/>
          <w:lang w:val="en-US" w:eastAsia="zh-CN"/>
        </w:rPr>
        <w:t xml:space="preserve"> </w:t>
      </w:r>
      <w:r>
        <w:rPr>
          <w:rFonts w:hint="eastAsia"/>
          <w:color w:val="auto"/>
          <w:sz w:val="24"/>
          <w:highlight w:val="none"/>
          <w:lang w:val="en-US" w:eastAsia="zh-CN"/>
        </w:rPr>
        <w:t>个工作日</w:t>
      </w:r>
      <w:r>
        <w:rPr>
          <w:rFonts w:hint="eastAsia"/>
          <w:color w:val="auto"/>
          <w:kern w:val="0"/>
          <w:sz w:val="24"/>
          <w:highlight w:val="none"/>
        </w:rPr>
        <w:t>；</w:t>
      </w:r>
    </w:p>
    <w:p w14:paraId="42D86A0B">
      <w:pPr>
        <w:spacing w:line="240" w:lineRule="auto"/>
        <w:ind w:firstLine="723" w:firstLineChars="300"/>
        <w:rPr>
          <w:rFonts w:hint="eastAsia"/>
          <w:color w:val="auto"/>
          <w:sz w:val="24"/>
          <w:highlight w:val="none"/>
        </w:rPr>
      </w:pPr>
      <w:r>
        <w:rPr>
          <w:color w:val="auto"/>
          <w:sz w:val="24"/>
          <w:highlight w:val="none"/>
        </w:rPr>
        <w:t>交货地点：</w:t>
      </w:r>
      <w:r>
        <w:rPr>
          <w:rFonts w:hint="eastAsia"/>
          <w:color w:val="auto"/>
          <w:kern w:val="0"/>
          <w:sz w:val="24"/>
          <w:highlight w:val="none"/>
          <w:lang w:val="zh-CN"/>
        </w:rPr>
        <w:t>采购单位指定地点</w:t>
      </w:r>
      <w:r>
        <w:rPr>
          <w:rFonts w:hint="eastAsia"/>
          <w:color w:val="auto"/>
          <w:kern w:val="0"/>
          <w:sz w:val="24"/>
          <w:highlight w:val="none"/>
        </w:rPr>
        <w:t>；</w:t>
      </w:r>
    </w:p>
    <w:p w14:paraId="5502673D">
      <w:pPr>
        <w:spacing w:line="240" w:lineRule="auto"/>
        <w:ind w:firstLine="723" w:firstLineChars="300"/>
        <w:rPr>
          <w:rFonts w:hint="default" w:ascii="Times New Roman" w:hAnsi="Times New Roman" w:eastAsia="宋体" w:cs="Times New Roman"/>
          <w:color w:val="auto"/>
          <w:sz w:val="24"/>
          <w:highlight w:val="none"/>
          <w:lang w:val="en-US"/>
        </w:rPr>
      </w:pPr>
      <w:r>
        <w:rPr>
          <w:rFonts w:hint="eastAsia" w:ascii="宋体" w:hAnsi="宋体"/>
          <w:color w:val="auto"/>
          <w:sz w:val="24"/>
          <w:highlight w:val="none"/>
          <w:lang w:val="en-US" w:eastAsia="zh-CN"/>
        </w:rPr>
        <w:t>硬件设备</w:t>
      </w:r>
      <w:r>
        <w:rPr>
          <w:rFonts w:hint="eastAsia" w:ascii="宋体" w:hAnsi="宋体"/>
          <w:color w:val="auto"/>
          <w:sz w:val="24"/>
          <w:highlight w:val="none"/>
        </w:rPr>
        <w:t>质</w:t>
      </w:r>
      <w:r>
        <w:rPr>
          <w:rFonts w:hint="eastAsia" w:ascii="Times New Roman" w:hAnsi="Times New Roman" w:eastAsia="宋体" w:cs="Times New Roman"/>
          <w:color w:val="auto"/>
          <w:sz w:val="24"/>
          <w:highlight w:val="none"/>
        </w:rPr>
        <w:t>保期</w:t>
      </w:r>
      <w:r>
        <w:rPr>
          <w:rFonts w:hint="eastAsia"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3年；</w:t>
      </w:r>
    </w:p>
    <w:p w14:paraId="0D1054BB">
      <w:pPr>
        <w:pStyle w:val="11"/>
        <w:rPr>
          <w:rFonts w:hint="default" w:eastAsia="宋体"/>
          <w:highlight w:val="none"/>
          <w:lang w:val="en-US" w:eastAsia="zh-CN"/>
        </w:rPr>
      </w:pPr>
      <w:r>
        <w:rPr>
          <w:rFonts w:hint="eastAsia" w:ascii="Times New Roman" w:hAnsi="Times New Roman" w:cs="Times New Roman"/>
          <w:color w:val="auto"/>
          <w:sz w:val="24"/>
          <w:highlight w:val="none"/>
          <w:lang w:val="en-US" w:eastAsia="zh-CN"/>
        </w:rPr>
        <w:t xml:space="preserve">      免费维护期：3年；</w:t>
      </w:r>
    </w:p>
    <w:p w14:paraId="295AD763">
      <w:pPr>
        <w:spacing w:line="240" w:lineRule="auto"/>
        <w:ind w:firstLine="482" w:firstLineChars="200"/>
        <w:rPr>
          <w:sz w:val="24"/>
        </w:rPr>
      </w:pPr>
      <w:r>
        <w:rPr>
          <w:color w:val="000000"/>
          <w:sz w:val="24"/>
        </w:rPr>
        <w:t>2.乙方提供不符合招投标文件和本合同规定的产品，甲方有权拒绝接</w:t>
      </w:r>
      <w:r>
        <w:rPr>
          <w:sz w:val="24"/>
        </w:rPr>
        <w:t>受。</w:t>
      </w:r>
    </w:p>
    <w:p w14:paraId="352A583F">
      <w:pPr>
        <w:spacing w:line="240" w:lineRule="auto"/>
        <w:ind w:firstLine="482" w:firstLineChars="200"/>
        <w:rPr>
          <w:sz w:val="24"/>
        </w:rPr>
      </w:pPr>
      <w:r>
        <w:rPr>
          <w:sz w:val="24"/>
        </w:rPr>
        <w:t>3.甲方应当在到货</w:t>
      </w:r>
      <w:r>
        <w:rPr>
          <w:rFonts w:hint="eastAsia"/>
          <w:sz w:val="24"/>
        </w:rPr>
        <w:t>后，</w:t>
      </w:r>
      <w:r>
        <w:rPr>
          <w:rFonts w:hint="eastAsia" w:ascii="宋体" w:hAnsi="宋体" w:cs="宋体"/>
          <w:sz w:val="24"/>
        </w:rPr>
        <w:t>依据自身时间安排乙方安装调试</w:t>
      </w:r>
      <w:r>
        <w:rPr>
          <w:sz w:val="24"/>
        </w:rPr>
        <w:t>，</w:t>
      </w:r>
      <w:r>
        <w:rPr>
          <w:rFonts w:hint="eastAsia" w:ascii="宋体" w:hAnsi="宋体" w:cs="宋体"/>
          <w:sz w:val="24"/>
        </w:rPr>
        <w:t>安装调试完</w:t>
      </w:r>
      <w:r>
        <w:rPr>
          <w:sz w:val="24"/>
        </w:rPr>
        <w:t>后</w:t>
      </w:r>
      <w:r>
        <w:rPr>
          <w:sz w:val="24"/>
          <w:u w:val="single"/>
        </w:rPr>
        <w:t xml:space="preserve">    </w:t>
      </w:r>
      <w:r>
        <w:rPr>
          <w:sz w:val="24"/>
        </w:rPr>
        <w:t>个工作日内进行验收，逾期不验收的，乙方可视为验收合格。验收合格后，由甲乙双方签署产品验收单并加盖采购人公章，甲乙双方各执一份。</w:t>
      </w:r>
    </w:p>
    <w:p w14:paraId="44988CBC">
      <w:pPr>
        <w:spacing w:line="240" w:lineRule="auto"/>
        <w:ind w:firstLine="482" w:firstLineChars="200"/>
        <w:rPr>
          <w:sz w:val="24"/>
        </w:rPr>
      </w:pPr>
      <w:r>
        <w:rPr>
          <w:sz w:val="24"/>
        </w:rPr>
        <w:t>4.甲方应提供该项目验收报告交同级财政监管部门，由财政部门按规定程序抽验后办理资金拨付。</w:t>
      </w:r>
    </w:p>
    <w:p w14:paraId="20D783D6">
      <w:pPr>
        <w:spacing w:line="240" w:lineRule="auto"/>
        <w:ind w:firstLine="482" w:firstLineChars="200"/>
        <w:rPr>
          <w:rFonts w:hint="eastAsia" w:eastAsia="宋体"/>
          <w:sz w:val="24"/>
          <w:lang w:val="en-US" w:eastAsia="zh-CN"/>
        </w:rPr>
      </w:pPr>
      <w:r>
        <w:rPr>
          <w:sz w:val="24"/>
        </w:rPr>
        <w:t>5.甲方在验收过程中发现乙方有违约问题，可按招、投标文件的规定要求乙方及时予以解决。</w:t>
      </w:r>
      <w:r>
        <w:rPr>
          <w:rFonts w:hint="eastAsia"/>
          <w:sz w:val="24"/>
          <w:lang w:val="en-US" w:eastAsia="zh-CN"/>
        </w:rPr>
        <w:t>肆佰零捌万伍仟元</w:t>
      </w:r>
    </w:p>
    <w:p w14:paraId="1E702E14">
      <w:pPr>
        <w:spacing w:line="240" w:lineRule="auto"/>
        <w:rPr>
          <w:b/>
          <w:sz w:val="24"/>
        </w:rPr>
      </w:pPr>
      <w:r>
        <w:rPr>
          <w:b/>
          <w:sz w:val="24"/>
        </w:rPr>
        <w:t>四、合同价款及付款方式</w:t>
      </w:r>
    </w:p>
    <w:p w14:paraId="0604D6B2">
      <w:pPr>
        <w:pStyle w:val="12"/>
        <w:ind w:left="0" w:leftChars="0" w:firstLine="482" w:firstLineChars="200"/>
        <w:rPr>
          <w:rFonts w:hint="default" w:ascii="Times New Roman" w:hAnsi="Times New Roman" w:eastAsia="宋体" w:cs="Times New Roman"/>
          <w:b/>
          <w:bCs/>
          <w:kern w:val="2"/>
          <w:sz w:val="24"/>
          <w:szCs w:val="24"/>
          <w:lang w:val="en-US" w:eastAsia="zh-CN" w:bidi="ar-SA"/>
        </w:rPr>
      </w:pPr>
      <w:r>
        <w:rPr>
          <w:rFonts w:hint="eastAsia" w:ascii="Times New Roman" w:eastAsia="宋体" w:cs="Times New Roman"/>
          <w:b/>
          <w:bCs/>
          <w:kern w:val="2"/>
          <w:sz w:val="24"/>
          <w:szCs w:val="24"/>
          <w:lang w:val="en-US" w:eastAsia="zh-CN" w:bidi="ar-SA"/>
        </w:rPr>
        <w:t>本项目建设包含3年软硬件质保及运维本项目合同款按照三年支付：</w:t>
      </w:r>
    </w:p>
    <w:p w14:paraId="3507D45C">
      <w:pPr>
        <w:pStyle w:val="12"/>
        <w:ind w:left="0" w:leftChars="0" w:firstLine="482" w:firstLineChars="200"/>
        <w:rPr>
          <w:rFonts w:hint="eastAsia" w:ascii="Times New Roman" w:hAnsi="Times New Roman" w:eastAsia="宋体" w:cs="Times New Roman"/>
          <w:b/>
          <w:bCs/>
          <w:kern w:val="2"/>
          <w:sz w:val="24"/>
          <w:szCs w:val="24"/>
          <w:lang w:val="zh-CN" w:eastAsia="zh-CN" w:bidi="ar-SA"/>
        </w:rPr>
      </w:pPr>
      <w:r>
        <w:rPr>
          <w:rFonts w:hint="eastAsia" w:ascii="Times New Roman" w:eastAsia="宋体" w:cs="Times New Roman"/>
          <w:b/>
          <w:bCs/>
          <w:kern w:val="2"/>
          <w:sz w:val="24"/>
          <w:szCs w:val="24"/>
          <w:lang w:val="en-US" w:eastAsia="zh-CN" w:bidi="ar-SA"/>
        </w:rPr>
        <w:t>第一年：</w:t>
      </w:r>
      <w:r>
        <w:rPr>
          <w:rFonts w:hint="eastAsia" w:ascii="Times New Roman" w:hAnsi="Times New Roman" w:eastAsia="宋体" w:cs="Times New Roman"/>
          <w:b/>
          <w:bCs/>
          <w:kern w:val="2"/>
          <w:sz w:val="24"/>
          <w:szCs w:val="24"/>
          <w:lang w:val="zh-CN" w:eastAsia="zh-CN" w:bidi="ar-SA"/>
        </w:rPr>
        <w:t>甲方向乙方在合同签订后</w:t>
      </w:r>
      <w:r>
        <w:rPr>
          <w:rFonts w:hint="eastAsia" w:ascii="Times New Roman" w:eastAsia="宋体" w:cs="Times New Roman"/>
          <w:b/>
          <w:bCs/>
          <w:kern w:val="2"/>
          <w:sz w:val="24"/>
          <w:szCs w:val="24"/>
          <w:lang w:val="en-US" w:eastAsia="zh-CN" w:bidi="ar-SA"/>
        </w:rPr>
        <w:t>11个工作日</w:t>
      </w:r>
      <w:r>
        <w:rPr>
          <w:rFonts w:hint="eastAsia" w:ascii="Times New Roman" w:hAnsi="Times New Roman" w:eastAsia="宋体" w:cs="Times New Roman"/>
          <w:b/>
          <w:bCs/>
          <w:kern w:val="2"/>
          <w:sz w:val="24"/>
          <w:szCs w:val="24"/>
          <w:lang w:val="zh-CN" w:eastAsia="zh-CN" w:bidi="ar-SA"/>
        </w:rPr>
        <w:t>内支付合同总价款的</w:t>
      </w:r>
      <w:r>
        <w:rPr>
          <w:rFonts w:hint="eastAsia" w:ascii="Times New Roman" w:hAnsi="Times New Roman" w:eastAsia="宋体" w:cs="Times New Roman"/>
          <w:b/>
          <w:bCs/>
          <w:kern w:val="2"/>
          <w:sz w:val="24"/>
          <w:szCs w:val="24"/>
          <w:lang w:val="en-US" w:eastAsia="zh-CN" w:bidi="ar-SA"/>
        </w:rPr>
        <w:t>30%</w:t>
      </w:r>
      <w:r>
        <w:rPr>
          <w:rFonts w:hint="eastAsia" w:ascii="Times New Roman" w:hAnsi="Times New Roman" w:eastAsia="宋体" w:cs="Times New Roman"/>
          <w:b/>
          <w:bCs/>
          <w:kern w:val="2"/>
          <w:sz w:val="24"/>
          <w:szCs w:val="24"/>
          <w:lang w:val="zh-CN" w:eastAsia="zh-CN" w:bidi="ar-SA"/>
        </w:rPr>
        <w:t>作为预付款，即人民币（大写）：</w:t>
      </w:r>
      <w:r>
        <w:rPr>
          <w:rFonts w:hint="eastAsia" w:ascii="Times New Roman" w:eastAsia="宋体" w:cs="Times New Roman"/>
          <w:b/>
          <w:bCs/>
          <w:kern w:val="2"/>
          <w:sz w:val="24"/>
          <w:szCs w:val="24"/>
          <w:lang w:val="en-US" w:eastAsia="zh-CN" w:bidi="ar-SA"/>
        </w:rPr>
        <w:t>4086000.00元</w:t>
      </w:r>
      <w:r>
        <w:rPr>
          <w:rFonts w:hint="eastAsia" w:ascii="Times New Roman" w:eastAsia="宋体" w:cs="Times New Roman"/>
          <w:b/>
          <w:bCs/>
          <w:kern w:val="2"/>
          <w:sz w:val="24"/>
          <w:szCs w:val="24"/>
          <w:lang w:val="zh-CN" w:eastAsia="zh-CN" w:bidi="ar-SA"/>
        </w:rPr>
        <w:t>（</w:t>
      </w:r>
      <w:r>
        <w:rPr>
          <w:rFonts w:hint="eastAsia" w:ascii="Times New Roman" w:hAnsi="Times New Roman" w:eastAsia="宋体" w:cs="Times New Roman"/>
          <w:b/>
          <w:bCs/>
          <w:kern w:val="2"/>
          <w:sz w:val="24"/>
          <w:szCs w:val="24"/>
          <w:lang w:val="en-US" w:eastAsia="zh-CN" w:bidi="ar-SA"/>
        </w:rPr>
        <w:t>肆佰零捌万</w:t>
      </w:r>
      <w:r>
        <w:rPr>
          <w:rFonts w:hint="eastAsia" w:ascii="Times New Roman" w:eastAsia="宋体" w:cs="Times New Roman"/>
          <w:b/>
          <w:bCs/>
          <w:kern w:val="2"/>
          <w:sz w:val="24"/>
          <w:szCs w:val="24"/>
          <w:lang w:val="en-US" w:eastAsia="zh-CN" w:bidi="ar-SA"/>
        </w:rPr>
        <w:t>陆</w:t>
      </w:r>
      <w:r>
        <w:rPr>
          <w:rFonts w:hint="eastAsia" w:ascii="Times New Roman" w:hAnsi="Times New Roman" w:eastAsia="宋体" w:cs="Times New Roman"/>
          <w:b/>
          <w:bCs/>
          <w:kern w:val="2"/>
          <w:sz w:val="24"/>
          <w:szCs w:val="24"/>
          <w:lang w:val="en-US" w:eastAsia="zh-CN" w:bidi="ar-SA"/>
        </w:rPr>
        <w:t>仟元</w:t>
      </w:r>
      <w:r>
        <w:rPr>
          <w:rFonts w:hint="eastAsia" w:asci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zh-CN" w:eastAsia="zh-CN" w:bidi="ar-SA"/>
        </w:rPr>
        <w:t>。</w:t>
      </w:r>
      <w:r>
        <w:rPr>
          <w:rFonts w:hint="eastAsia" w:ascii="Times New Roman" w:hAnsi="Times New Roman" w:eastAsia="宋体" w:cs="Times New Roman"/>
          <w:b/>
          <w:bCs/>
          <w:kern w:val="2"/>
          <w:sz w:val="24"/>
          <w:szCs w:val="24"/>
          <w:lang w:val="zh-CN" w:eastAsia="zh-CN" w:bidi="ar-SA"/>
        </w:rPr>
        <w:t>乙方所交付的产品由甲方验收，验收合格</w:t>
      </w:r>
      <w:r>
        <w:rPr>
          <w:rFonts w:hint="eastAsia" w:ascii="Times New Roman" w:eastAsia="宋体" w:cs="Times New Roman"/>
          <w:b/>
          <w:bCs/>
          <w:kern w:val="2"/>
          <w:sz w:val="24"/>
          <w:szCs w:val="24"/>
          <w:lang w:val="en-US" w:eastAsia="zh-CN" w:bidi="ar-SA"/>
        </w:rPr>
        <w:t>支付合同金额4%，</w:t>
      </w:r>
      <w:r>
        <w:rPr>
          <w:rFonts w:hint="eastAsia" w:ascii="Times New Roman" w:hAnsi="Times New Roman" w:eastAsia="宋体" w:cs="Times New Roman"/>
          <w:b/>
          <w:bCs/>
          <w:kern w:val="2"/>
          <w:sz w:val="24"/>
          <w:szCs w:val="24"/>
          <w:lang w:val="zh-CN" w:eastAsia="zh-CN" w:bidi="ar-SA"/>
        </w:rPr>
        <w:t>即人民币（大写）：</w:t>
      </w:r>
      <w:r>
        <w:rPr>
          <w:rFonts w:hint="eastAsia" w:ascii="Times New Roman" w:eastAsia="宋体" w:cs="Times New Roman"/>
          <w:b/>
          <w:bCs/>
          <w:kern w:val="2"/>
          <w:sz w:val="24"/>
          <w:szCs w:val="24"/>
          <w:lang w:val="en-US" w:eastAsia="zh-CN" w:bidi="ar-SA"/>
        </w:rPr>
        <w:t>544800.00元（伍拾肆万肆仟捌佰</w:t>
      </w:r>
      <w:r>
        <w:rPr>
          <w:rFonts w:hint="eastAsia" w:ascii="Times New Roman" w:hAnsi="Times New Roman" w:eastAsia="宋体" w:cs="Times New Roman"/>
          <w:b/>
          <w:bCs/>
          <w:kern w:val="2"/>
          <w:sz w:val="24"/>
          <w:szCs w:val="24"/>
          <w:lang w:val="zh-CN" w:eastAsia="zh-CN" w:bidi="ar-SA"/>
        </w:rPr>
        <w:t>元</w:t>
      </w:r>
      <w:r>
        <w:rPr>
          <w:rFonts w:hint="eastAsia" w:ascii="Times New Roman" w:eastAsia="宋体" w:cs="Times New Roman"/>
          <w:b/>
          <w:bCs/>
          <w:kern w:val="2"/>
          <w:sz w:val="24"/>
          <w:szCs w:val="24"/>
          <w:lang w:val="zh-CN" w:eastAsia="zh-CN" w:bidi="ar-SA"/>
        </w:rPr>
        <w:t>）</w:t>
      </w:r>
      <w:r>
        <w:rPr>
          <w:rFonts w:hint="eastAsia" w:ascii="Times New Roman" w:hAnsi="Times New Roman" w:eastAsia="宋体" w:cs="Times New Roman"/>
          <w:b/>
          <w:bCs/>
          <w:kern w:val="2"/>
          <w:sz w:val="24"/>
          <w:szCs w:val="24"/>
          <w:lang w:val="zh-CN" w:eastAsia="zh-CN" w:bidi="ar-SA"/>
        </w:rPr>
        <w:t>。</w:t>
      </w:r>
    </w:p>
    <w:p w14:paraId="19A31D5E">
      <w:pPr>
        <w:pStyle w:val="12"/>
        <w:ind w:left="0" w:leftChars="0" w:firstLine="482" w:firstLineChars="200"/>
        <w:rPr>
          <w:rFonts w:hint="eastAsia" w:ascii="Times New Roman" w:eastAsia="宋体" w:cs="Times New Roman"/>
          <w:b/>
          <w:bCs/>
          <w:kern w:val="2"/>
          <w:sz w:val="24"/>
          <w:szCs w:val="24"/>
          <w:lang w:val="zh-CN" w:eastAsia="zh-CN" w:bidi="ar-SA"/>
        </w:rPr>
      </w:pPr>
      <w:r>
        <w:rPr>
          <w:rFonts w:hint="eastAsia" w:ascii="Times New Roman" w:eastAsia="宋体" w:cs="Times New Roman"/>
          <w:b/>
          <w:bCs/>
          <w:kern w:val="2"/>
          <w:sz w:val="24"/>
          <w:szCs w:val="24"/>
          <w:lang w:val="en-US" w:eastAsia="zh-CN" w:bidi="ar-SA"/>
        </w:rPr>
        <w:t>第二年：验收合格满一年后，达到付款条件起 11个工作日，支付合同总金额的 33.00%</w:t>
      </w:r>
      <w:r>
        <w:rPr>
          <w:rFonts w:hint="eastAsia" w:ascii="Times New Roman" w:eastAsia="宋体" w:cs="Times New Roman"/>
          <w:b/>
          <w:bCs/>
          <w:kern w:val="2"/>
          <w:sz w:val="24"/>
          <w:szCs w:val="24"/>
          <w:lang w:val="en-US" w:eastAsia="zh-CN" w:bidi="ar-SA"/>
        </w:rPr>
        <w:t>，</w:t>
      </w:r>
      <w:r>
        <w:rPr>
          <w:rFonts w:hint="eastAsia" w:ascii="Times New Roman" w:hAnsi="Times New Roman" w:eastAsia="宋体" w:cs="Times New Roman"/>
          <w:b/>
          <w:bCs/>
          <w:kern w:val="2"/>
          <w:sz w:val="24"/>
          <w:szCs w:val="24"/>
          <w:lang w:val="zh-CN" w:eastAsia="zh-CN" w:bidi="ar-SA"/>
        </w:rPr>
        <w:t>即人民币（大写）：</w:t>
      </w:r>
      <w:r>
        <w:rPr>
          <w:rFonts w:hint="eastAsia" w:ascii="Times New Roman" w:eastAsia="宋体" w:cs="Times New Roman"/>
          <w:b/>
          <w:bCs/>
          <w:kern w:val="2"/>
          <w:sz w:val="24"/>
          <w:szCs w:val="24"/>
          <w:lang w:val="en-US" w:eastAsia="zh-CN" w:bidi="ar-SA"/>
        </w:rPr>
        <w:t>4494600.00元</w:t>
      </w:r>
      <w:r>
        <w:rPr>
          <w:rFonts w:hint="eastAsia" w:ascii="Times New Roman" w:eastAsia="宋体" w:cs="Times New Roman"/>
          <w:b/>
          <w:bCs/>
          <w:kern w:val="2"/>
          <w:sz w:val="24"/>
          <w:szCs w:val="24"/>
          <w:lang w:val="zh-CN" w:eastAsia="zh-CN" w:bidi="ar-SA"/>
        </w:rPr>
        <w:t>（</w:t>
      </w:r>
      <w:r>
        <w:rPr>
          <w:rFonts w:hint="eastAsia" w:ascii="Times New Roman" w:eastAsia="宋体" w:cs="Times New Roman"/>
          <w:b/>
          <w:bCs/>
          <w:kern w:val="2"/>
          <w:sz w:val="24"/>
          <w:szCs w:val="24"/>
          <w:lang w:val="en-US" w:eastAsia="zh-CN" w:bidi="ar-SA"/>
        </w:rPr>
        <w:t>肆佰肆拾玖万肆仟陆佰元）</w:t>
      </w:r>
      <w:r>
        <w:rPr>
          <w:rFonts w:hint="eastAsia" w:ascii="Times New Roman" w:eastAsia="宋体" w:cs="Times New Roman"/>
          <w:b/>
          <w:bCs/>
          <w:kern w:val="2"/>
          <w:sz w:val="24"/>
          <w:szCs w:val="24"/>
          <w:lang w:val="zh-CN" w:eastAsia="zh-CN" w:bidi="ar-SA"/>
        </w:rPr>
        <w:t>。</w:t>
      </w:r>
    </w:p>
    <w:p w14:paraId="6486D382">
      <w:pPr>
        <w:pStyle w:val="12"/>
        <w:ind w:left="0" w:leftChars="0" w:firstLine="482" w:firstLineChars="200"/>
        <w:rPr>
          <w:rFonts w:hint="default"/>
          <w:b/>
          <w:bCs/>
          <w:lang w:val="en-US" w:eastAsia="zh-CN"/>
        </w:rPr>
      </w:pPr>
      <w:r>
        <w:rPr>
          <w:rFonts w:hint="eastAsia" w:ascii="Times New Roman" w:eastAsia="宋体" w:cs="Times New Roman"/>
          <w:b/>
          <w:bCs/>
          <w:kern w:val="2"/>
          <w:sz w:val="24"/>
          <w:szCs w:val="24"/>
          <w:lang w:val="en-US" w:eastAsia="zh-CN" w:bidi="ar-SA"/>
        </w:rPr>
        <w:t>第三年：验收合格满二年后，达到付款条件起 11个工作日，支付合同总金额的 33.00%，</w:t>
      </w:r>
      <w:r>
        <w:rPr>
          <w:rFonts w:hint="eastAsia" w:ascii="Times New Roman" w:hAnsi="Times New Roman" w:eastAsia="宋体" w:cs="Times New Roman"/>
          <w:b/>
          <w:bCs/>
          <w:kern w:val="2"/>
          <w:sz w:val="24"/>
          <w:szCs w:val="24"/>
          <w:lang w:val="zh-CN" w:eastAsia="zh-CN" w:bidi="ar-SA"/>
        </w:rPr>
        <w:t>即人民币（大写）：</w:t>
      </w:r>
      <w:r>
        <w:rPr>
          <w:rFonts w:hint="eastAsia" w:ascii="Times New Roman" w:eastAsia="宋体" w:cs="Times New Roman"/>
          <w:b/>
          <w:bCs/>
          <w:kern w:val="2"/>
          <w:sz w:val="24"/>
          <w:szCs w:val="24"/>
          <w:lang w:val="en-US" w:eastAsia="zh-CN" w:bidi="ar-SA"/>
        </w:rPr>
        <w:t>4494600.00元</w:t>
      </w:r>
      <w:r>
        <w:rPr>
          <w:rFonts w:hint="eastAsia" w:ascii="Times New Roman" w:eastAsia="宋体" w:cs="Times New Roman"/>
          <w:b/>
          <w:bCs/>
          <w:kern w:val="2"/>
          <w:sz w:val="24"/>
          <w:szCs w:val="24"/>
          <w:lang w:val="zh-CN" w:eastAsia="zh-CN" w:bidi="ar-SA"/>
        </w:rPr>
        <w:t>（</w:t>
      </w:r>
      <w:r>
        <w:rPr>
          <w:rFonts w:hint="eastAsia" w:ascii="Times New Roman" w:eastAsia="宋体" w:cs="Times New Roman"/>
          <w:b/>
          <w:bCs/>
          <w:kern w:val="2"/>
          <w:sz w:val="24"/>
          <w:szCs w:val="24"/>
          <w:lang w:val="en-US" w:eastAsia="zh-CN" w:bidi="ar-SA"/>
        </w:rPr>
        <w:t>肆佰肆拾玖万肆仟陆佰元）</w:t>
      </w:r>
      <w:r>
        <w:rPr>
          <w:rFonts w:hint="eastAsia" w:ascii="Times New Roman" w:eastAsia="宋体" w:cs="Times New Roman"/>
          <w:b/>
          <w:bCs/>
          <w:kern w:val="2"/>
          <w:sz w:val="24"/>
          <w:szCs w:val="24"/>
          <w:lang w:val="zh-CN" w:eastAsia="zh-CN" w:bidi="ar-SA"/>
        </w:rPr>
        <w:t>。</w:t>
      </w:r>
    </w:p>
    <w:p w14:paraId="2127B4DA">
      <w:pPr>
        <w:spacing w:line="240" w:lineRule="auto"/>
        <w:rPr>
          <w:b/>
          <w:sz w:val="24"/>
        </w:rPr>
      </w:pPr>
      <w:r>
        <w:rPr>
          <w:b/>
          <w:sz w:val="24"/>
        </w:rPr>
        <w:t>五、合同的变更、终止与转让</w:t>
      </w:r>
    </w:p>
    <w:p w14:paraId="6BD10CCC">
      <w:pPr>
        <w:spacing w:line="240" w:lineRule="auto"/>
        <w:ind w:firstLine="241" w:firstLineChars="100"/>
        <w:rPr>
          <w:sz w:val="24"/>
        </w:rPr>
      </w:pPr>
      <w:r>
        <w:rPr>
          <w:sz w:val="24"/>
        </w:rPr>
        <w:t>1．除《中华人民共和国政府采购法》第50条规定的情形外，本合同一经签订，甲乙双方不得擅自变更、中止或终止；</w:t>
      </w:r>
    </w:p>
    <w:p w14:paraId="138F0CAD">
      <w:pPr>
        <w:spacing w:line="240" w:lineRule="auto"/>
        <w:ind w:firstLine="241" w:firstLineChars="100"/>
        <w:rPr>
          <w:sz w:val="24"/>
        </w:rPr>
      </w:pPr>
      <w:r>
        <w:rPr>
          <w:sz w:val="24"/>
        </w:rPr>
        <w:t>2．乙方不得擅自转让其应履行的合同义务。</w:t>
      </w:r>
    </w:p>
    <w:p w14:paraId="69437129">
      <w:pPr>
        <w:spacing w:line="240" w:lineRule="auto"/>
        <w:rPr>
          <w:b/>
          <w:sz w:val="24"/>
        </w:rPr>
      </w:pPr>
      <w:r>
        <w:rPr>
          <w:b/>
          <w:sz w:val="24"/>
        </w:rPr>
        <w:t>六、违约责任</w:t>
      </w:r>
    </w:p>
    <w:p w14:paraId="3A5DC87A">
      <w:pPr>
        <w:spacing w:line="240" w:lineRule="auto"/>
        <w:ind w:firstLine="241" w:firstLineChars="100"/>
        <w:rPr>
          <w:sz w:val="24"/>
        </w:rPr>
      </w:pPr>
      <w:r>
        <w:rPr>
          <w:sz w:val="24"/>
        </w:rPr>
        <w:t>1．乙方所提供的产品规格、技术标准、材料等质量不合格的，应及时更换；更换不及时的，按逾期交货处罚；因质量问题甲方不同意接收的，质保金全额扣除，并由乙方赔偿由此引起的甲方的一切经济损失；</w:t>
      </w:r>
    </w:p>
    <w:p w14:paraId="69B0168C">
      <w:pPr>
        <w:spacing w:line="240" w:lineRule="auto"/>
        <w:ind w:firstLine="241" w:firstLineChars="100"/>
        <w:rPr>
          <w:sz w:val="24"/>
        </w:rPr>
      </w:pPr>
      <w:r>
        <w:rPr>
          <w:sz w:val="24"/>
        </w:rPr>
        <w:t>2．乙方提供的货物如侵犯了第三方权益而引发纠纷或诉讼的，均由乙方负责交涉并承担全部责任；</w:t>
      </w:r>
    </w:p>
    <w:p w14:paraId="4B4DCEA1">
      <w:pPr>
        <w:spacing w:line="240" w:lineRule="auto"/>
        <w:ind w:firstLine="241" w:firstLineChars="100"/>
        <w:rPr>
          <w:sz w:val="24"/>
        </w:rPr>
      </w:pPr>
      <w:r>
        <w:rPr>
          <w:sz w:val="24"/>
        </w:rPr>
        <w:t>3．因包装、运输引起的货物损坏，按质量不合格处罚；</w:t>
      </w:r>
    </w:p>
    <w:p w14:paraId="1FD0DE3F">
      <w:pPr>
        <w:spacing w:line="240" w:lineRule="auto"/>
        <w:ind w:firstLine="241" w:firstLineChars="100"/>
        <w:rPr>
          <w:sz w:val="24"/>
        </w:rPr>
      </w:pPr>
      <w:r>
        <w:rPr>
          <w:sz w:val="24"/>
        </w:rPr>
        <w:t>4．甲方无故延期接受货物和乙方逾期交货的，每天应向对方偿付未交货</w:t>
      </w:r>
      <w:r>
        <w:rPr>
          <w:sz w:val="24"/>
          <w:highlight w:val="none"/>
        </w:rPr>
        <w:t>物的货款3‰的违约金，但违约金累计不得超过违约货款的5%，超过</w:t>
      </w:r>
      <w:r>
        <w:rPr>
          <w:rFonts w:hint="eastAsia"/>
          <w:sz w:val="24"/>
          <w:highlight w:val="none"/>
          <w:u w:val="single"/>
          <w:lang w:val="en-US" w:eastAsia="zh-CN"/>
        </w:rPr>
        <w:t>15</w:t>
      </w:r>
      <w:r>
        <w:rPr>
          <w:sz w:val="24"/>
          <w:highlight w:val="none"/>
        </w:rPr>
        <w:t>天对方</w:t>
      </w:r>
      <w:r>
        <w:rPr>
          <w:sz w:val="24"/>
        </w:rPr>
        <w:t>有权解除合同，违约方承担因此给对方造成的经济损失 。</w:t>
      </w:r>
    </w:p>
    <w:p w14:paraId="478880F2">
      <w:pPr>
        <w:spacing w:line="240" w:lineRule="auto"/>
        <w:ind w:firstLine="241" w:firstLineChars="100"/>
        <w:rPr>
          <w:sz w:val="24"/>
        </w:rPr>
      </w:pPr>
      <w:r>
        <w:rPr>
          <w:sz w:val="24"/>
        </w:rPr>
        <w:t>5．乙方未按本合同和投标文件中规定的服务承诺提供售后服务的，乙方应按本合同合计金额的5%向甲方支付违约金；</w:t>
      </w:r>
    </w:p>
    <w:p w14:paraId="2115A38C">
      <w:pPr>
        <w:spacing w:line="240" w:lineRule="auto"/>
        <w:ind w:firstLine="241" w:firstLineChars="100"/>
        <w:rPr>
          <w:sz w:val="24"/>
        </w:rPr>
      </w:pPr>
      <w:r>
        <w:rPr>
          <w:sz w:val="24"/>
        </w:rPr>
        <w:t>6．乙方提供的货物在质量保证期内，因设计、工艺或材料的缺陷和其它质量原因造成的问题，由乙方负责，费用从履约保证金中扣除，不足另补；</w:t>
      </w:r>
    </w:p>
    <w:p w14:paraId="535D1886">
      <w:pPr>
        <w:spacing w:line="240" w:lineRule="auto"/>
        <w:ind w:firstLine="241" w:firstLineChars="100"/>
        <w:rPr>
          <w:sz w:val="24"/>
        </w:rPr>
      </w:pPr>
      <w:r>
        <w:rPr>
          <w:sz w:val="24"/>
        </w:rPr>
        <w:t>7．其它违约行为按违约货款额5%收取违约金并赔偿经济损失。</w:t>
      </w:r>
    </w:p>
    <w:p w14:paraId="773B2CE0">
      <w:pPr>
        <w:spacing w:line="240" w:lineRule="auto"/>
        <w:rPr>
          <w:b/>
          <w:sz w:val="24"/>
        </w:rPr>
      </w:pPr>
      <w:r>
        <w:rPr>
          <w:b/>
          <w:sz w:val="24"/>
        </w:rPr>
        <w:t>七、不可抗力</w:t>
      </w:r>
    </w:p>
    <w:p w14:paraId="779A8DEC">
      <w:pPr>
        <w:spacing w:line="240" w:lineRule="auto"/>
        <w:ind w:firstLine="241" w:firstLineChars="100"/>
        <w:rPr>
          <w:sz w:val="24"/>
        </w:rPr>
      </w:pPr>
      <w:r>
        <w:rPr>
          <w:sz w:val="24"/>
        </w:rPr>
        <w:t>1．不可抗力使合同的某些内容有变更必要的，双方应通</w:t>
      </w:r>
      <w:r>
        <w:rPr>
          <w:sz w:val="24"/>
          <w:highlight w:val="none"/>
        </w:rPr>
        <w:t>过协商在</w:t>
      </w:r>
      <w:r>
        <w:rPr>
          <w:rFonts w:hint="eastAsia"/>
          <w:sz w:val="24"/>
          <w:highlight w:val="none"/>
          <w:u w:val="single"/>
          <w:lang w:val="en-US" w:eastAsia="zh-CN"/>
        </w:rPr>
        <w:t>7</w:t>
      </w:r>
      <w:r>
        <w:rPr>
          <w:sz w:val="24"/>
          <w:highlight w:val="none"/>
        </w:rPr>
        <w:t>天内达</w:t>
      </w:r>
      <w:r>
        <w:rPr>
          <w:sz w:val="24"/>
        </w:rPr>
        <w:t>成进一步履行合同的协议，因不可抗力致使合同不能履行的，合同终止；</w:t>
      </w:r>
    </w:p>
    <w:p w14:paraId="6404AD41">
      <w:pPr>
        <w:spacing w:line="240" w:lineRule="auto"/>
        <w:rPr>
          <w:b/>
          <w:sz w:val="24"/>
        </w:rPr>
      </w:pPr>
      <w:r>
        <w:rPr>
          <w:b/>
          <w:sz w:val="24"/>
        </w:rPr>
        <w:t>八、知识产权：</w:t>
      </w:r>
    </w:p>
    <w:p w14:paraId="61C18D5F">
      <w:pPr>
        <w:spacing w:line="240" w:lineRule="auto"/>
        <w:rPr>
          <w:b/>
          <w:sz w:val="24"/>
        </w:rPr>
      </w:pPr>
      <w:r>
        <w:rPr>
          <w:b/>
          <w:sz w:val="24"/>
        </w:rPr>
        <w:t>九、其他约定：</w:t>
      </w:r>
    </w:p>
    <w:p w14:paraId="782CF1D2">
      <w:pPr>
        <w:spacing w:line="240" w:lineRule="auto"/>
        <w:rPr>
          <w:b/>
          <w:sz w:val="24"/>
        </w:rPr>
      </w:pPr>
      <w:r>
        <w:rPr>
          <w:b/>
          <w:sz w:val="24"/>
        </w:rPr>
        <w:t>十、合同争议解决</w:t>
      </w:r>
    </w:p>
    <w:p w14:paraId="74B501C7">
      <w:pPr>
        <w:spacing w:line="240" w:lineRule="auto"/>
        <w:ind w:firstLine="241" w:firstLineChars="100"/>
        <w:rPr>
          <w:sz w:val="24"/>
        </w:rPr>
      </w:pPr>
      <w:r>
        <w:rPr>
          <w:sz w:val="24"/>
        </w:rPr>
        <w:t>1．因产品质量问题发生争议的，应邀请国家认可的质量检测机构进行鉴定。产品符合标准的，鉴定费由甲方承担；产品不符合标准的，鉴定费由乙方承担；</w:t>
      </w:r>
    </w:p>
    <w:p w14:paraId="09BA5DFD">
      <w:pPr>
        <w:spacing w:line="240" w:lineRule="auto"/>
        <w:ind w:firstLine="241" w:firstLineChars="100"/>
        <w:rPr>
          <w:sz w:val="24"/>
        </w:rPr>
      </w:pPr>
      <w:r>
        <w:rPr>
          <w:sz w:val="24"/>
        </w:rPr>
        <w:t>2．因履行本合同引起的或与本合同有关的争议，甲乙双方应首先通过友好协商解决，如果协商不能解决，可向甲方所在地仲裁委员会申请仲裁或向甲方所在地人民法院提起诉讼；</w:t>
      </w:r>
    </w:p>
    <w:p w14:paraId="42F40CD6">
      <w:pPr>
        <w:spacing w:line="240" w:lineRule="auto"/>
        <w:ind w:firstLine="241" w:firstLineChars="100"/>
        <w:rPr>
          <w:sz w:val="24"/>
        </w:rPr>
      </w:pPr>
      <w:r>
        <w:rPr>
          <w:sz w:val="24"/>
        </w:rPr>
        <w:t>3．诉讼期间，本合同继续履行。</w:t>
      </w:r>
    </w:p>
    <w:p w14:paraId="08933F38">
      <w:pPr>
        <w:spacing w:line="240" w:lineRule="auto"/>
        <w:rPr>
          <w:b/>
          <w:sz w:val="24"/>
        </w:rPr>
      </w:pPr>
      <w:r>
        <w:rPr>
          <w:b/>
          <w:sz w:val="24"/>
        </w:rPr>
        <w:t>十一、合同生效及其它：</w:t>
      </w:r>
    </w:p>
    <w:p w14:paraId="395BB1A2">
      <w:pPr>
        <w:spacing w:line="240" w:lineRule="auto"/>
        <w:rPr>
          <w:sz w:val="24"/>
        </w:rPr>
      </w:pPr>
      <w:r>
        <w:rPr>
          <w:sz w:val="24"/>
        </w:rPr>
        <w:t>1．本合同一式八份，经双方签字，并加盖公章即为生效；</w:t>
      </w:r>
    </w:p>
    <w:p w14:paraId="47C13D87">
      <w:pPr>
        <w:spacing w:line="240" w:lineRule="auto"/>
        <w:rPr>
          <w:sz w:val="24"/>
        </w:rPr>
      </w:pPr>
      <w:r>
        <w:rPr>
          <w:sz w:val="24"/>
        </w:rPr>
        <w:t>2．本合同未尽事宜，按经济合同法有关规定处理；</w:t>
      </w:r>
    </w:p>
    <w:p w14:paraId="0C0576D7">
      <w:pPr>
        <w:spacing w:line="240" w:lineRule="auto"/>
        <w:rPr>
          <w:sz w:val="24"/>
        </w:rPr>
      </w:pPr>
      <w:r>
        <w:rPr>
          <w:sz w:val="24"/>
        </w:rPr>
        <w:t>3．本合同的组成包含《合同通用条款》。</w:t>
      </w:r>
    </w:p>
    <w:p w14:paraId="307FBC07">
      <w:pPr>
        <w:spacing w:line="240" w:lineRule="auto"/>
        <w:rPr>
          <w:sz w:val="24"/>
        </w:rPr>
      </w:pPr>
      <w:r>
        <w:rPr>
          <w:sz w:val="24"/>
        </w:rPr>
        <w:t>甲方（盖章）：                        乙方（盖章）：</w:t>
      </w:r>
    </w:p>
    <w:p w14:paraId="13FCBDA9">
      <w:pPr>
        <w:spacing w:line="240" w:lineRule="auto"/>
        <w:rPr>
          <w:sz w:val="24"/>
        </w:rPr>
      </w:pPr>
      <w:r>
        <w:rPr>
          <w:sz w:val="24"/>
        </w:rPr>
        <w:t>法定代表人或委托代理人：              法定代表人或委托代理人：</w:t>
      </w:r>
    </w:p>
    <w:p w14:paraId="029F119A">
      <w:pPr>
        <w:spacing w:line="240" w:lineRule="auto"/>
        <w:rPr>
          <w:sz w:val="24"/>
        </w:rPr>
      </w:pPr>
      <w:r>
        <w:rPr>
          <w:sz w:val="24"/>
        </w:rPr>
        <w:t>联系电话：                            开户银行：</w:t>
      </w:r>
    </w:p>
    <w:p w14:paraId="38636F2D">
      <w:pPr>
        <w:spacing w:line="240" w:lineRule="auto"/>
        <w:rPr>
          <w:rFonts w:hint="eastAsia" w:eastAsia="宋体"/>
          <w:sz w:val="24"/>
          <w:lang w:val="en-US" w:eastAsia="zh-CN"/>
        </w:rPr>
      </w:pPr>
      <w:r>
        <w:rPr>
          <w:sz w:val="24"/>
        </w:rPr>
        <w:t>签约时间：    年    月    日</w:t>
      </w:r>
      <w:r>
        <w:rPr>
          <w:rFonts w:hint="eastAsia"/>
          <w:sz w:val="24"/>
          <w:lang w:val="en-US" w:eastAsia="zh-CN"/>
        </w:rPr>
        <w:t xml:space="preserve">          纳税人识别号：</w:t>
      </w:r>
    </w:p>
    <w:p w14:paraId="32251DC3">
      <w:pPr>
        <w:spacing w:line="240" w:lineRule="auto"/>
        <w:rPr>
          <w:sz w:val="24"/>
        </w:rPr>
      </w:pPr>
      <w:r>
        <w:rPr>
          <w:sz w:val="24"/>
        </w:rPr>
        <w:t xml:space="preserve">                          </w:t>
      </w:r>
      <w:r>
        <w:rPr>
          <w:rFonts w:hint="eastAsia"/>
          <w:sz w:val="24"/>
          <w:lang w:val="en-US" w:eastAsia="zh-CN"/>
        </w:rPr>
        <w:t xml:space="preserve">            </w:t>
      </w:r>
      <w:r>
        <w:rPr>
          <w:sz w:val="24"/>
        </w:rPr>
        <w:t>账号：</w:t>
      </w:r>
    </w:p>
    <w:p w14:paraId="7664801D">
      <w:pPr>
        <w:spacing w:line="240" w:lineRule="auto"/>
        <w:rPr>
          <w:rFonts w:hint="eastAsia" w:eastAsia="宋体"/>
          <w:sz w:val="24"/>
          <w:lang w:eastAsia="zh-CN"/>
        </w:rPr>
      </w:pPr>
      <w:r>
        <w:rPr>
          <w:sz w:val="24"/>
        </w:rPr>
        <w:t>负责人或经办人</w:t>
      </w:r>
      <w:r>
        <w:rPr>
          <w:rFonts w:hint="eastAsia"/>
          <w:sz w:val="24"/>
          <w:lang w:eastAsia="zh-CN"/>
        </w:rPr>
        <w:t>：</w:t>
      </w:r>
    </w:p>
    <w:p w14:paraId="4C7BA8D1">
      <w:pPr>
        <w:spacing w:line="240" w:lineRule="auto"/>
        <w:rPr>
          <w:sz w:val="24"/>
        </w:rPr>
      </w:pPr>
      <w:r>
        <w:rPr>
          <w:rFonts w:hint="eastAsia"/>
          <w:sz w:val="24"/>
          <w:lang w:val="en-US" w:eastAsia="zh-CN"/>
        </w:rPr>
        <w:t>合同备案日期：</w:t>
      </w:r>
      <w:r>
        <w:rPr>
          <w:sz w:val="24"/>
        </w:rPr>
        <w:t xml:space="preserve">    年    月    日</w:t>
      </w:r>
    </w:p>
    <w:p w14:paraId="323FF417">
      <w:pPr>
        <w:spacing w:line="240" w:lineRule="auto"/>
        <w:rPr>
          <w:rFonts w:hint="default"/>
          <w:sz w:val="24"/>
          <w:lang w:val="en-US" w:eastAsia="zh-CN"/>
        </w:rPr>
      </w:pPr>
      <w:r>
        <w:rPr>
          <w:rFonts w:hint="eastAsia"/>
          <w:sz w:val="24"/>
          <w:lang w:val="en-US" w:eastAsia="zh-CN"/>
        </w:rPr>
        <w:t>集采机构：</w:t>
      </w:r>
    </w:p>
    <w:p w14:paraId="57051FDE">
      <w:pPr>
        <w:spacing w:line="240" w:lineRule="auto"/>
        <w:jc w:val="both"/>
        <w:rPr>
          <w:b/>
          <w:sz w:val="28"/>
          <w:szCs w:val="28"/>
        </w:rPr>
      </w:pPr>
    </w:p>
    <w:p w14:paraId="40DDC728">
      <w:pPr>
        <w:spacing w:line="240" w:lineRule="auto"/>
        <w:jc w:val="both"/>
        <w:rPr>
          <w:b/>
          <w:sz w:val="28"/>
          <w:szCs w:val="28"/>
        </w:rPr>
      </w:pPr>
    </w:p>
    <w:p w14:paraId="1D59FF22">
      <w:pPr>
        <w:spacing w:line="240" w:lineRule="auto"/>
        <w:jc w:val="both"/>
        <w:rPr>
          <w:b/>
          <w:bCs/>
          <w:kern w:val="0"/>
          <w:sz w:val="28"/>
          <w:szCs w:val="28"/>
          <w:lang w:val="zh-CN"/>
        </w:rPr>
      </w:pPr>
      <w:r>
        <w:rPr>
          <w:b/>
          <w:sz w:val="28"/>
          <w:szCs w:val="28"/>
        </w:rPr>
        <w:t>合同通用条款</w:t>
      </w:r>
    </w:p>
    <w:p w14:paraId="2757F83A">
      <w:pPr>
        <w:autoSpaceDE w:val="0"/>
        <w:autoSpaceDN w:val="0"/>
        <w:spacing w:line="240" w:lineRule="auto"/>
        <w:ind w:firstLine="482" w:firstLineChars="200"/>
        <w:rPr>
          <w:kern w:val="0"/>
          <w:sz w:val="24"/>
        </w:rPr>
      </w:pPr>
      <w:r>
        <w:rPr>
          <w:kern w:val="0"/>
          <w:sz w:val="24"/>
          <w:lang w:val="zh-CN"/>
        </w:rPr>
        <w:t>根据《中华人民共和国</w:t>
      </w:r>
      <w:r>
        <w:rPr>
          <w:rFonts w:hint="eastAsia"/>
          <w:kern w:val="0"/>
          <w:sz w:val="24"/>
          <w:lang w:val="zh-CN"/>
        </w:rPr>
        <w:t>民法典</w:t>
      </w:r>
      <w:r>
        <w:rPr>
          <w:kern w:val="0"/>
          <w:sz w:val="24"/>
          <w:lang w:val="zh-CN"/>
        </w:rPr>
        <w:t>》、《中华人民共和国政府采购法》的规定，合同双方经协商达成一致，自愿订立本合同，遵循公平原则明确双方的权利、义务，确保双方诚实守信地履行合同。</w:t>
      </w:r>
    </w:p>
    <w:p w14:paraId="49D2D671">
      <w:pPr>
        <w:numPr>
          <w:ilvl w:val="0"/>
          <w:numId w:val="4"/>
        </w:numPr>
        <w:autoSpaceDE w:val="0"/>
        <w:autoSpaceDN w:val="0"/>
        <w:spacing w:line="240" w:lineRule="auto"/>
        <w:rPr>
          <w:b/>
          <w:bCs/>
          <w:kern w:val="0"/>
          <w:sz w:val="24"/>
        </w:rPr>
      </w:pPr>
      <w:r>
        <w:rPr>
          <w:b/>
          <w:bCs/>
          <w:kern w:val="0"/>
          <w:sz w:val="24"/>
          <w:lang w:val="zh-CN"/>
        </w:rPr>
        <w:t>定义</w:t>
      </w:r>
    </w:p>
    <w:p w14:paraId="6AEA9FCE">
      <w:pPr>
        <w:autoSpaceDE w:val="0"/>
        <w:autoSpaceDN w:val="0"/>
        <w:spacing w:line="240" w:lineRule="auto"/>
        <w:ind w:firstLine="482" w:firstLineChars="200"/>
        <w:rPr>
          <w:kern w:val="0"/>
          <w:sz w:val="24"/>
        </w:rPr>
      </w:pPr>
      <w:r>
        <w:rPr>
          <w:kern w:val="0"/>
          <w:sz w:val="24"/>
          <w:lang w:val="zh-CN"/>
        </w:rPr>
        <w:t>本合同中的下列术语应解释为：</w:t>
      </w:r>
    </w:p>
    <w:p w14:paraId="0A66DD6F">
      <w:pPr>
        <w:numPr>
          <w:ilvl w:val="1"/>
          <w:numId w:val="4"/>
        </w:numPr>
        <w:autoSpaceDE w:val="0"/>
        <w:autoSpaceDN w:val="0"/>
        <w:spacing w:line="240" w:lineRule="auto"/>
        <w:rPr>
          <w:kern w:val="0"/>
          <w:sz w:val="24"/>
        </w:rPr>
      </w:pPr>
      <w:r>
        <w:rPr>
          <w:kern w:val="0"/>
          <w:sz w:val="24"/>
          <w:lang w:val="zh-CN"/>
        </w:rPr>
        <w:t>“合同”指甲乙双方签署的、载明的甲乙双方权利义务的协议，包括所有的附件、附录和上述文件所提到的构成合同的所有文件。</w:t>
      </w:r>
    </w:p>
    <w:p w14:paraId="0CBD58F6">
      <w:pPr>
        <w:numPr>
          <w:ilvl w:val="1"/>
          <w:numId w:val="4"/>
        </w:numPr>
        <w:autoSpaceDE w:val="0"/>
        <w:autoSpaceDN w:val="0"/>
        <w:spacing w:line="240" w:lineRule="auto"/>
        <w:rPr>
          <w:kern w:val="0"/>
          <w:sz w:val="24"/>
        </w:rPr>
      </w:pPr>
      <w:r>
        <w:rPr>
          <w:kern w:val="0"/>
          <w:sz w:val="24"/>
          <w:lang w:val="zh-CN"/>
        </w:rPr>
        <w:t>“合同金额”指根据合同规定，乙方在正确地完全履行合同义务后甲方应付给乙方的价款。</w:t>
      </w:r>
    </w:p>
    <w:p w14:paraId="2451836E">
      <w:pPr>
        <w:numPr>
          <w:ilvl w:val="1"/>
          <w:numId w:val="4"/>
        </w:numPr>
        <w:autoSpaceDE w:val="0"/>
        <w:autoSpaceDN w:val="0"/>
        <w:spacing w:line="240" w:lineRule="auto"/>
        <w:rPr>
          <w:kern w:val="0"/>
          <w:sz w:val="24"/>
        </w:rPr>
      </w:pPr>
      <w:r>
        <w:rPr>
          <w:kern w:val="0"/>
          <w:sz w:val="24"/>
          <w:lang w:val="zh-CN"/>
        </w:rPr>
        <w:t>“合同条款”指本合同条款。</w:t>
      </w:r>
    </w:p>
    <w:p w14:paraId="5E646DC7">
      <w:pPr>
        <w:numPr>
          <w:ilvl w:val="1"/>
          <w:numId w:val="4"/>
        </w:numPr>
        <w:autoSpaceDE w:val="0"/>
        <w:autoSpaceDN w:val="0"/>
        <w:spacing w:line="240" w:lineRule="auto"/>
        <w:rPr>
          <w:kern w:val="0"/>
          <w:sz w:val="24"/>
        </w:rPr>
      </w:pPr>
      <w:r>
        <w:rPr>
          <w:kern w:val="0"/>
          <w:sz w:val="24"/>
          <w:lang w:val="zh-CN"/>
        </w:rPr>
        <w:t>“货物”指乙方根据合同约定须向甲方提供的一切产品、设备、机械、仪表、备件等，包括辅助工具、使用手册等相关资料。</w:t>
      </w:r>
    </w:p>
    <w:p w14:paraId="5D9E5DE8">
      <w:pPr>
        <w:numPr>
          <w:ilvl w:val="1"/>
          <w:numId w:val="4"/>
        </w:numPr>
        <w:autoSpaceDE w:val="0"/>
        <w:autoSpaceDN w:val="0"/>
        <w:spacing w:line="240" w:lineRule="auto"/>
        <w:rPr>
          <w:kern w:val="0"/>
          <w:sz w:val="24"/>
        </w:rPr>
      </w:pPr>
      <w:r>
        <w:rPr>
          <w:kern w:val="0"/>
          <w:sz w:val="24"/>
          <w:lang w:val="zh-CN"/>
        </w:rPr>
        <w:t>“服务”指根据本合同规定乙方承担与交货有关的辅助服务，如运输、保险及安装、调试、提供技术援助、培训和合同中规定乙方应承担的其它义务。</w:t>
      </w:r>
    </w:p>
    <w:p w14:paraId="758631B5">
      <w:pPr>
        <w:numPr>
          <w:ilvl w:val="1"/>
          <w:numId w:val="4"/>
        </w:numPr>
        <w:autoSpaceDE w:val="0"/>
        <w:autoSpaceDN w:val="0"/>
        <w:spacing w:line="240" w:lineRule="auto"/>
        <w:rPr>
          <w:kern w:val="0"/>
          <w:sz w:val="24"/>
        </w:rPr>
      </w:pPr>
      <w:r>
        <w:rPr>
          <w:kern w:val="0"/>
          <w:sz w:val="24"/>
          <w:lang w:val="zh-CN"/>
        </w:rPr>
        <w:t>“甲方”指购买货物和服务的单位。</w:t>
      </w:r>
    </w:p>
    <w:p w14:paraId="6DAACE6E">
      <w:pPr>
        <w:numPr>
          <w:ilvl w:val="1"/>
          <w:numId w:val="4"/>
        </w:numPr>
        <w:autoSpaceDE w:val="0"/>
        <w:autoSpaceDN w:val="0"/>
        <w:spacing w:line="240" w:lineRule="auto"/>
        <w:rPr>
          <w:kern w:val="0"/>
          <w:sz w:val="24"/>
        </w:rPr>
      </w:pPr>
      <w:r>
        <w:rPr>
          <w:kern w:val="0"/>
          <w:sz w:val="24"/>
          <w:lang w:val="zh-CN"/>
        </w:rPr>
        <w:t>“乙方”指提供本合同条款下货物和服务的公司或其他实体。</w:t>
      </w:r>
    </w:p>
    <w:p w14:paraId="32B1FDE1">
      <w:pPr>
        <w:numPr>
          <w:ilvl w:val="1"/>
          <w:numId w:val="4"/>
        </w:numPr>
        <w:autoSpaceDE w:val="0"/>
        <w:autoSpaceDN w:val="0"/>
        <w:spacing w:line="240" w:lineRule="auto"/>
        <w:rPr>
          <w:kern w:val="0"/>
          <w:sz w:val="24"/>
        </w:rPr>
      </w:pPr>
      <w:r>
        <w:rPr>
          <w:kern w:val="0"/>
          <w:sz w:val="24"/>
          <w:lang w:val="zh-CN"/>
        </w:rPr>
        <w:t>“现场”指合同规定货物将要运至和安装的地点。</w:t>
      </w:r>
    </w:p>
    <w:p w14:paraId="11F31EDE">
      <w:pPr>
        <w:numPr>
          <w:ilvl w:val="1"/>
          <w:numId w:val="4"/>
        </w:numPr>
        <w:autoSpaceDE w:val="0"/>
        <w:autoSpaceDN w:val="0"/>
        <w:spacing w:line="240" w:lineRule="auto"/>
        <w:rPr>
          <w:kern w:val="0"/>
          <w:sz w:val="24"/>
        </w:rPr>
      </w:pPr>
      <w:r>
        <w:rPr>
          <w:kern w:val="0"/>
          <w:sz w:val="24"/>
          <w:lang w:val="zh-CN"/>
        </w:rPr>
        <w:t>“验收”指合同双方依据强制性的国家技术质量规范和合同约定，确认合同条款下的货物符合合同规定的活动。</w:t>
      </w:r>
    </w:p>
    <w:p w14:paraId="26D5C8FF">
      <w:pPr>
        <w:numPr>
          <w:ilvl w:val="1"/>
          <w:numId w:val="4"/>
        </w:numPr>
        <w:autoSpaceDE w:val="0"/>
        <w:autoSpaceDN w:val="0"/>
        <w:spacing w:line="240" w:lineRule="auto"/>
        <w:rPr>
          <w:kern w:val="0"/>
          <w:sz w:val="24"/>
        </w:rPr>
      </w:pPr>
      <w:r>
        <w:rPr>
          <w:kern w:val="0"/>
          <w:sz w:val="24"/>
          <w:lang w:val="zh-CN"/>
        </w:rPr>
        <w:t>原厂商：产品制造商或其在中国境内设立的办事或技术服务机构。除另有说明外，本合同文件所述的制造商、产品制造商、制造厂家、产品制造厂家均为原厂商。</w:t>
      </w:r>
    </w:p>
    <w:p w14:paraId="29C3A61C">
      <w:pPr>
        <w:numPr>
          <w:ilvl w:val="1"/>
          <w:numId w:val="4"/>
        </w:numPr>
        <w:autoSpaceDE w:val="0"/>
        <w:autoSpaceDN w:val="0"/>
        <w:spacing w:line="240" w:lineRule="auto"/>
        <w:rPr>
          <w:kern w:val="0"/>
          <w:sz w:val="24"/>
        </w:rPr>
      </w:pPr>
      <w:r>
        <w:rPr>
          <w:kern w:val="0"/>
          <w:sz w:val="24"/>
          <w:lang w:val="zh-CN"/>
        </w:rPr>
        <w:t>原产地：指产品的生产地，或提供服务的来源地。</w:t>
      </w:r>
    </w:p>
    <w:p w14:paraId="11AD924B">
      <w:pPr>
        <w:numPr>
          <w:ilvl w:val="1"/>
          <w:numId w:val="4"/>
        </w:numPr>
        <w:autoSpaceDE w:val="0"/>
        <w:autoSpaceDN w:val="0"/>
        <w:spacing w:line="240" w:lineRule="auto"/>
        <w:rPr>
          <w:kern w:val="0"/>
          <w:sz w:val="24"/>
        </w:rPr>
      </w:pPr>
      <w:r>
        <w:rPr>
          <w:kern w:val="0"/>
          <w:sz w:val="24"/>
          <w:lang w:val="zh-CN"/>
        </w:rPr>
        <w:t>“工作日”指国家法定工作日，“天”指日历天数。</w:t>
      </w:r>
    </w:p>
    <w:p w14:paraId="513072DE">
      <w:pPr>
        <w:numPr>
          <w:ilvl w:val="0"/>
          <w:numId w:val="4"/>
        </w:numPr>
        <w:autoSpaceDE w:val="0"/>
        <w:autoSpaceDN w:val="0"/>
        <w:spacing w:line="240" w:lineRule="auto"/>
        <w:rPr>
          <w:kern w:val="0"/>
          <w:sz w:val="24"/>
        </w:rPr>
      </w:pPr>
      <w:r>
        <w:rPr>
          <w:b/>
          <w:bCs/>
          <w:kern w:val="0"/>
          <w:sz w:val="24"/>
          <w:lang w:val="zh-CN"/>
        </w:rPr>
        <w:t>技术规格要求</w:t>
      </w:r>
    </w:p>
    <w:p w14:paraId="4013D1C2">
      <w:pPr>
        <w:numPr>
          <w:ilvl w:val="1"/>
          <w:numId w:val="4"/>
        </w:numPr>
        <w:autoSpaceDE w:val="0"/>
        <w:autoSpaceDN w:val="0"/>
        <w:spacing w:line="240" w:lineRule="auto"/>
        <w:rPr>
          <w:kern w:val="0"/>
          <w:sz w:val="24"/>
        </w:rPr>
      </w:pPr>
      <w:r>
        <w:rPr>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5E7996CE">
      <w:pPr>
        <w:numPr>
          <w:ilvl w:val="1"/>
          <w:numId w:val="4"/>
        </w:numPr>
        <w:autoSpaceDE w:val="0"/>
        <w:autoSpaceDN w:val="0"/>
        <w:spacing w:line="240" w:lineRule="auto"/>
        <w:rPr>
          <w:kern w:val="0"/>
          <w:sz w:val="24"/>
        </w:rPr>
      </w:pPr>
      <w:r>
        <w:rPr>
          <w:kern w:val="0"/>
          <w:sz w:val="24"/>
          <w:lang w:val="zh-CN"/>
        </w:rPr>
        <w:t>乙方应向甲方提交货物及服务有关的标准的中文文本。</w:t>
      </w:r>
    </w:p>
    <w:p w14:paraId="74310CB6">
      <w:pPr>
        <w:numPr>
          <w:ilvl w:val="1"/>
          <w:numId w:val="4"/>
        </w:numPr>
        <w:autoSpaceDE w:val="0"/>
        <w:autoSpaceDN w:val="0"/>
        <w:spacing w:line="240" w:lineRule="auto"/>
        <w:rPr>
          <w:kern w:val="0"/>
          <w:sz w:val="24"/>
        </w:rPr>
      </w:pPr>
      <w:r>
        <w:rPr>
          <w:kern w:val="0"/>
          <w:sz w:val="24"/>
          <w:lang w:val="zh-CN"/>
        </w:rPr>
        <w:t>除非技术规范中另有规定，计量单位均采用中华人民共和国法定计量单位。</w:t>
      </w:r>
    </w:p>
    <w:p w14:paraId="2562A616">
      <w:pPr>
        <w:numPr>
          <w:ilvl w:val="0"/>
          <w:numId w:val="4"/>
        </w:numPr>
        <w:autoSpaceDE w:val="0"/>
        <w:autoSpaceDN w:val="0"/>
        <w:spacing w:line="240" w:lineRule="auto"/>
        <w:rPr>
          <w:kern w:val="0"/>
          <w:sz w:val="24"/>
        </w:rPr>
      </w:pPr>
      <w:r>
        <w:rPr>
          <w:b/>
          <w:bCs/>
          <w:kern w:val="0"/>
          <w:sz w:val="24"/>
          <w:lang w:val="zh-CN"/>
        </w:rPr>
        <w:t>合同范围</w:t>
      </w:r>
    </w:p>
    <w:p w14:paraId="62E4BF47">
      <w:pPr>
        <w:numPr>
          <w:ilvl w:val="1"/>
          <w:numId w:val="4"/>
        </w:numPr>
        <w:autoSpaceDE w:val="0"/>
        <w:autoSpaceDN w:val="0"/>
        <w:spacing w:line="240" w:lineRule="auto"/>
        <w:rPr>
          <w:kern w:val="0"/>
          <w:sz w:val="24"/>
        </w:rPr>
      </w:pPr>
      <w:r>
        <w:rPr>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2935E9C">
      <w:pPr>
        <w:numPr>
          <w:ilvl w:val="1"/>
          <w:numId w:val="4"/>
        </w:numPr>
        <w:autoSpaceDE w:val="0"/>
        <w:autoSpaceDN w:val="0"/>
        <w:spacing w:line="240" w:lineRule="auto"/>
        <w:rPr>
          <w:kern w:val="0"/>
          <w:sz w:val="24"/>
        </w:rPr>
      </w:pPr>
      <w:r>
        <w:rPr>
          <w:kern w:val="0"/>
          <w:sz w:val="24"/>
          <w:lang w:val="zh-CN"/>
        </w:rPr>
        <w:t>乙方应负责培训甲方的技术人员。</w:t>
      </w:r>
    </w:p>
    <w:p w14:paraId="454396D7">
      <w:pPr>
        <w:numPr>
          <w:ilvl w:val="1"/>
          <w:numId w:val="4"/>
        </w:numPr>
        <w:autoSpaceDE w:val="0"/>
        <w:autoSpaceDN w:val="0"/>
        <w:spacing w:line="240" w:lineRule="auto"/>
        <w:rPr>
          <w:kern w:val="0"/>
          <w:sz w:val="24"/>
        </w:rPr>
      </w:pPr>
      <w:r>
        <w:rPr>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524C3492">
      <w:pPr>
        <w:numPr>
          <w:ilvl w:val="0"/>
          <w:numId w:val="4"/>
        </w:numPr>
        <w:autoSpaceDE w:val="0"/>
        <w:autoSpaceDN w:val="0"/>
        <w:spacing w:line="240" w:lineRule="auto"/>
        <w:rPr>
          <w:kern w:val="0"/>
          <w:sz w:val="24"/>
        </w:rPr>
      </w:pPr>
      <w:r>
        <w:rPr>
          <w:b/>
          <w:bCs/>
          <w:kern w:val="0"/>
          <w:sz w:val="24"/>
          <w:lang w:val="zh-CN"/>
        </w:rPr>
        <w:t>合同文件和资料</w:t>
      </w:r>
    </w:p>
    <w:p w14:paraId="3C03CDB3">
      <w:pPr>
        <w:numPr>
          <w:ilvl w:val="1"/>
          <w:numId w:val="4"/>
        </w:numPr>
        <w:autoSpaceDE w:val="0"/>
        <w:autoSpaceDN w:val="0"/>
        <w:spacing w:line="240" w:lineRule="auto"/>
        <w:rPr>
          <w:kern w:val="0"/>
          <w:sz w:val="24"/>
        </w:rPr>
      </w:pPr>
      <w:r>
        <w:rPr>
          <w:kern w:val="0"/>
          <w:sz w:val="24"/>
          <w:lang w:val="zh-CN"/>
        </w:rPr>
        <w:t>乙方在提供仪器设备时应同时提供中文版相关的技术资料，如目录索引、图纸、操作手册、使用指南、维修指南、服务手册等。</w:t>
      </w:r>
    </w:p>
    <w:p w14:paraId="2093ED2F">
      <w:pPr>
        <w:numPr>
          <w:ilvl w:val="1"/>
          <w:numId w:val="4"/>
        </w:numPr>
        <w:autoSpaceDE w:val="0"/>
        <w:autoSpaceDN w:val="0"/>
        <w:spacing w:line="240" w:lineRule="auto"/>
        <w:rPr>
          <w:kern w:val="0"/>
          <w:sz w:val="24"/>
        </w:rPr>
      </w:pPr>
      <w:r>
        <w:rPr>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203F846">
      <w:pPr>
        <w:numPr>
          <w:ilvl w:val="0"/>
          <w:numId w:val="4"/>
        </w:numPr>
        <w:autoSpaceDE w:val="0"/>
        <w:autoSpaceDN w:val="0"/>
        <w:spacing w:line="240" w:lineRule="auto"/>
        <w:rPr>
          <w:kern w:val="0"/>
          <w:sz w:val="24"/>
        </w:rPr>
      </w:pPr>
      <w:r>
        <w:rPr>
          <w:b/>
          <w:bCs/>
          <w:kern w:val="0"/>
          <w:sz w:val="24"/>
          <w:lang w:val="zh-CN"/>
        </w:rPr>
        <w:t>知识产权</w:t>
      </w:r>
    </w:p>
    <w:p w14:paraId="3D4D88B6">
      <w:pPr>
        <w:numPr>
          <w:ilvl w:val="1"/>
          <w:numId w:val="4"/>
        </w:numPr>
        <w:autoSpaceDE w:val="0"/>
        <w:autoSpaceDN w:val="0"/>
        <w:spacing w:line="240" w:lineRule="auto"/>
        <w:rPr>
          <w:kern w:val="0"/>
          <w:sz w:val="24"/>
        </w:rPr>
      </w:pPr>
      <w:r>
        <w:rPr>
          <w:kern w:val="0"/>
          <w:sz w:val="24"/>
          <w:lang w:val="zh-CN"/>
        </w:rPr>
        <w:t>乙方应保证甲方在使用该货物或其任何一部分时不受第三方提出的侵犯专利权、著作权、商标权和工业设计权等的起诉。</w:t>
      </w:r>
    </w:p>
    <w:p w14:paraId="723884CF">
      <w:pPr>
        <w:numPr>
          <w:ilvl w:val="1"/>
          <w:numId w:val="4"/>
        </w:numPr>
        <w:autoSpaceDE w:val="0"/>
        <w:autoSpaceDN w:val="0"/>
        <w:spacing w:line="240" w:lineRule="auto"/>
        <w:rPr>
          <w:kern w:val="0"/>
          <w:sz w:val="24"/>
        </w:rPr>
      </w:pPr>
      <w:r>
        <w:rPr>
          <w:kern w:val="0"/>
          <w:sz w:val="24"/>
          <w:lang w:val="zh-CN"/>
        </w:rPr>
        <w:t>任何第三方提出侵权指控，乙方须与第三方交涉并承担由此产生的一切责任、费用和经济赔偿。</w:t>
      </w:r>
    </w:p>
    <w:p w14:paraId="322FE7C6">
      <w:pPr>
        <w:numPr>
          <w:ilvl w:val="1"/>
          <w:numId w:val="4"/>
        </w:numPr>
        <w:autoSpaceDE w:val="0"/>
        <w:autoSpaceDN w:val="0"/>
        <w:spacing w:line="240" w:lineRule="auto"/>
        <w:rPr>
          <w:kern w:val="0"/>
          <w:sz w:val="24"/>
        </w:rPr>
      </w:pPr>
      <w:r>
        <w:rPr>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A07B710">
      <w:pPr>
        <w:numPr>
          <w:ilvl w:val="1"/>
          <w:numId w:val="4"/>
        </w:numPr>
        <w:autoSpaceDE w:val="0"/>
        <w:autoSpaceDN w:val="0"/>
        <w:spacing w:line="240" w:lineRule="auto"/>
        <w:rPr>
          <w:kern w:val="0"/>
          <w:sz w:val="24"/>
        </w:rPr>
      </w:pPr>
      <w:r>
        <w:rPr>
          <w:kern w:val="0"/>
          <w:sz w:val="24"/>
          <w:lang w:val="zh-CN"/>
        </w:rPr>
        <w:t>在本合同生效时已经存在并为各方合法拥有或使用的所有技术、资料和信息的知识产权，仍应属于其各自的原权利人所有或享有，另有约定的除外。</w:t>
      </w:r>
    </w:p>
    <w:p w14:paraId="2641595C">
      <w:pPr>
        <w:numPr>
          <w:ilvl w:val="1"/>
          <w:numId w:val="4"/>
        </w:numPr>
        <w:autoSpaceDE w:val="0"/>
        <w:autoSpaceDN w:val="0"/>
        <w:spacing w:line="240" w:lineRule="auto"/>
        <w:rPr>
          <w:kern w:val="0"/>
          <w:sz w:val="24"/>
        </w:rPr>
      </w:pPr>
      <w:r>
        <w:rPr>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36574A4">
      <w:pPr>
        <w:numPr>
          <w:ilvl w:val="0"/>
          <w:numId w:val="4"/>
        </w:numPr>
        <w:autoSpaceDE w:val="0"/>
        <w:autoSpaceDN w:val="0"/>
        <w:spacing w:line="240" w:lineRule="auto"/>
        <w:rPr>
          <w:kern w:val="0"/>
          <w:sz w:val="24"/>
        </w:rPr>
      </w:pPr>
      <w:r>
        <w:rPr>
          <w:b/>
          <w:bCs/>
          <w:kern w:val="0"/>
          <w:sz w:val="24"/>
          <w:lang w:val="zh-CN"/>
        </w:rPr>
        <w:t>保密</w:t>
      </w:r>
    </w:p>
    <w:p w14:paraId="440F8B00">
      <w:pPr>
        <w:numPr>
          <w:ilvl w:val="1"/>
          <w:numId w:val="4"/>
        </w:numPr>
        <w:autoSpaceDE w:val="0"/>
        <w:autoSpaceDN w:val="0"/>
        <w:spacing w:line="240" w:lineRule="auto"/>
        <w:rPr>
          <w:kern w:val="0"/>
          <w:sz w:val="24"/>
        </w:rPr>
      </w:pPr>
      <w:r>
        <w:rPr>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C381646">
      <w:pPr>
        <w:numPr>
          <w:ilvl w:val="1"/>
          <w:numId w:val="4"/>
        </w:numPr>
        <w:autoSpaceDE w:val="0"/>
        <w:autoSpaceDN w:val="0"/>
        <w:spacing w:line="240" w:lineRule="auto"/>
        <w:rPr>
          <w:kern w:val="0"/>
          <w:sz w:val="24"/>
        </w:rPr>
      </w:pPr>
      <w:r>
        <w:rPr>
          <w:kern w:val="0"/>
          <w:sz w:val="24"/>
          <w:lang w:val="zh-CN"/>
        </w:rPr>
        <w:t>保密信息指任何一方因履行本合同所知悉的任何以口头、书面、图表或电子形式存在的对方信息，具体包括：</w:t>
      </w:r>
    </w:p>
    <w:p w14:paraId="58AC92A5">
      <w:pPr>
        <w:numPr>
          <w:ilvl w:val="2"/>
          <w:numId w:val="4"/>
        </w:numPr>
        <w:autoSpaceDE w:val="0"/>
        <w:autoSpaceDN w:val="0"/>
        <w:spacing w:line="240" w:lineRule="auto"/>
        <w:rPr>
          <w:kern w:val="0"/>
          <w:sz w:val="24"/>
        </w:rPr>
      </w:pPr>
      <w:r>
        <w:rPr>
          <w:kern w:val="0"/>
          <w:sz w:val="24"/>
          <w:lang w:val="zh-CN"/>
        </w:rPr>
        <w:t>任何涉及对方过去、现在或将来的商业计划、规章制度、操作规程、处理手段、财务信息；</w:t>
      </w:r>
    </w:p>
    <w:p w14:paraId="6DAD2A13">
      <w:pPr>
        <w:numPr>
          <w:ilvl w:val="2"/>
          <w:numId w:val="4"/>
        </w:numPr>
        <w:autoSpaceDE w:val="0"/>
        <w:autoSpaceDN w:val="0"/>
        <w:spacing w:line="240" w:lineRule="auto"/>
        <w:rPr>
          <w:kern w:val="0"/>
          <w:sz w:val="24"/>
        </w:rPr>
      </w:pPr>
      <w:r>
        <w:rPr>
          <w:kern w:val="0"/>
          <w:sz w:val="24"/>
          <w:lang w:val="zh-CN"/>
        </w:rPr>
        <w:t>任何对方的技术措施、技术方案、软件应用及开发，硬件设备的品种、质量、数量、品牌等；</w:t>
      </w:r>
    </w:p>
    <w:p w14:paraId="70FC7AF4">
      <w:pPr>
        <w:numPr>
          <w:ilvl w:val="2"/>
          <w:numId w:val="4"/>
        </w:numPr>
        <w:autoSpaceDE w:val="0"/>
        <w:autoSpaceDN w:val="0"/>
        <w:spacing w:line="240" w:lineRule="auto"/>
        <w:rPr>
          <w:kern w:val="0"/>
          <w:sz w:val="24"/>
        </w:rPr>
      </w:pPr>
      <w:r>
        <w:rPr>
          <w:kern w:val="0"/>
          <w:sz w:val="24"/>
          <w:lang w:val="zh-CN"/>
        </w:rPr>
        <w:t>任何对方的技术秘密或专有知识、文件</w:t>
      </w:r>
      <w:r>
        <w:rPr>
          <w:kern w:val="0"/>
          <w:sz w:val="24"/>
        </w:rPr>
        <w:t xml:space="preserve"> </w:t>
      </w:r>
      <w:r>
        <w:rPr>
          <w:kern w:val="0"/>
          <w:sz w:val="24"/>
          <w:lang w:val="zh-CN"/>
        </w:rPr>
        <w:t>、报告、数据、客户软件、流程图、数据库、发明、知识、贸易秘密。</w:t>
      </w:r>
    </w:p>
    <w:p w14:paraId="5C7AC0D5">
      <w:pPr>
        <w:numPr>
          <w:ilvl w:val="1"/>
          <w:numId w:val="4"/>
        </w:numPr>
        <w:autoSpaceDE w:val="0"/>
        <w:autoSpaceDN w:val="0"/>
        <w:spacing w:line="240" w:lineRule="auto"/>
        <w:rPr>
          <w:kern w:val="0"/>
          <w:sz w:val="24"/>
          <w:lang w:val="zh-CN"/>
        </w:rPr>
      </w:pPr>
      <w:r>
        <w:rPr>
          <w:kern w:val="0"/>
          <w:sz w:val="24"/>
          <w:lang w:val="zh-CN"/>
        </w:rPr>
        <w:t>乙方应根据甲方的要求签署相应的保密协议，保密协议与本条款存在不一致的，以保密协议为准。</w:t>
      </w:r>
    </w:p>
    <w:p w14:paraId="59863539">
      <w:pPr>
        <w:numPr>
          <w:ilvl w:val="0"/>
          <w:numId w:val="4"/>
        </w:numPr>
        <w:autoSpaceDE w:val="0"/>
        <w:autoSpaceDN w:val="0"/>
        <w:spacing w:line="240" w:lineRule="auto"/>
        <w:rPr>
          <w:kern w:val="0"/>
          <w:sz w:val="24"/>
        </w:rPr>
      </w:pPr>
      <w:r>
        <w:rPr>
          <w:b/>
          <w:bCs/>
          <w:kern w:val="0"/>
          <w:sz w:val="24"/>
          <w:lang w:val="zh-CN"/>
        </w:rPr>
        <w:t>质量保证</w:t>
      </w:r>
    </w:p>
    <w:p w14:paraId="32D7F798">
      <w:pPr>
        <w:numPr>
          <w:ilvl w:val="1"/>
          <w:numId w:val="4"/>
        </w:numPr>
        <w:autoSpaceDE w:val="0"/>
        <w:autoSpaceDN w:val="0"/>
        <w:spacing w:line="240" w:lineRule="auto"/>
        <w:rPr>
          <w:kern w:val="0"/>
          <w:sz w:val="24"/>
        </w:rPr>
      </w:pPr>
      <w:r>
        <w:rPr>
          <w:kern w:val="0"/>
          <w:sz w:val="24"/>
          <w:lang w:val="zh-CN"/>
        </w:rPr>
        <w:t>货物质量保证</w:t>
      </w:r>
    </w:p>
    <w:p w14:paraId="432A6A65">
      <w:pPr>
        <w:numPr>
          <w:ilvl w:val="2"/>
          <w:numId w:val="4"/>
        </w:numPr>
        <w:autoSpaceDE w:val="0"/>
        <w:autoSpaceDN w:val="0"/>
        <w:spacing w:line="240" w:lineRule="auto"/>
        <w:rPr>
          <w:kern w:val="0"/>
          <w:sz w:val="24"/>
        </w:rPr>
      </w:pPr>
      <w:r>
        <w:rPr>
          <w:kern w:val="0"/>
          <w:sz w:val="24"/>
          <w:lang w:val="zh-CN"/>
        </w:rPr>
        <w:t>乙方必须保证货物是全新、未使用过的，并完全符合强制性的国家技术质量规范和合同规定的质量、规格、性能和技术规范等的要求。</w:t>
      </w:r>
    </w:p>
    <w:p w14:paraId="3B66BA5D">
      <w:pPr>
        <w:numPr>
          <w:ilvl w:val="2"/>
          <w:numId w:val="4"/>
        </w:numPr>
        <w:autoSpaceDE w:val="0"/>
        <w:autoSpaceDN w:val="0"/>
        <w:spacing w:line="240" w:lineRule="auto"/>
        <w:rPr>
          <w:kern w:val="0"/>
          <w:sz w:val="24"/>
        </w:rPr>
      </w:pPr>
      <w:r>
        <w:rPr>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0DEFF9F4">
      <w:pPr>
        <w:numPr>
          <w:ilvl w:val="2"/>
          <w:numId w:val="4"/>
        </w:numPr>
        <w:autoSpaceDE w:val="0"/>
        <w:autoSpaceDN w:val="0"/>
        <w:spacing w:line="240" w:lineRule="auto"/>
        <w:rPr>
          <w:kern w:val="0"/>
          <w:sz w:val="24"/>
        </w:rPr>
      </w:pPr>
      <w:r>
        <w:rPr>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D102E21">
      <w:pPr>
        <w:numPr>
          <w:ilvl w:val="2"/>
          <w:numId w:val="4"/>
        </w:numPr>
        <w:autoSpaceDE w:val="0"/>
        <w:autoSpaceDN w:val="0"/>
        <w:spacing w:line="240" w:lineRule="auto"/>
        <w:rPr>
          <w:kern w:val="0"/>
          <w:sz w:val="24"/>
        </w:rPr>
      </w:pPr>
      <w:r>
        <w:rPr>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1244DA">
      <w:pPr>
        <w:numPr>
          <w:ilvl w:val="2"/>
          <w:numId w:val="4"/>
        </w:numPr>
        <w:autoSpaceDE w:val="0"/>
        <w:autoSpaceDN w:val="0"/>
        <w:spacing w:line="240" w:lineRule="auto"/>
        <w:rPr>
          <w:kern w:val="0"/>
          <w:sz w:val="24"/>
        </w:rPr>
      </w:pPr>
      <w:r>
        <w:rPr>
          <w:kern w:val="0"/>
          <w:sz w:val="24"/>
          <w:lang w:val="zh-CN"/>
        </w:rPr>
        <w:t>合同条款下货物的免费质保期自货物通过最终验收起算，合同另行规定除外。</w:t>
      </w:r>
    </w:p>
    <w:p w14:paraId="72D1E043">
      <w:pPr>
        <w:numPr>
          <w:ilvl w:val="1"/>
          <w:numId w:val="4"/>
        </w:numPr>
        <w:autoSpaceDE w:val="0"/>
        <w:autoSpaceDN w:val="0"/>
        <w:spacing w:line="240" w:lineRule="auto"/>
        <w:rPr>
          <w:kern w:val="0"/>
          <w:sz w:val="24"/>
          <w:lang w:val="zh-CN"/>
        </w:rPr>
      </w:pPr>
      <w:r>
        <w:rPr>
          <w:kern w:val="0"/>
          <w:sz w:val="24"/>
          <w:lang w:val="zh-CN"/>
        </w:rPr>
        <w:t>辅助服务质量保证</w:t>
      </w:r>
    </w:p>
    <w:p w14:paraId="18B5422C">
      <w:pPr>
        <w:numPr>
          <w:ilvl w:val="2"/>
          <w:numId w:val="4"/>
        </w:numPr>
        <w:autoSpaceDE w:val="0"/>
        <w:autoSpaceDN w:val="0"/>
        <w:spacing w:line="240" w:lineRule="auto"/>
        <w:rPr>
          <w:kern w:val="0"/>
          <w:sz w:val="24"/>
        </w:rPr>
      </w:pPr>
      <w:r>
        <w:rPr>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76269D4">
      <w:pPr>
        <w:numPr>
          <w:ilvl w:val="2"/>
          <w:numId w:val="4"/>
        </w:numPr>
        <w:autoSpaceDE w:val="0"/>
        <w:autoSpaceDN w:val="0"/>
        <w:spacing w:line="240" w:lineRule="auto"/>
        <w:rPr>
          <w:kern w:val="0"/>
          <w:sz w:val="24"/>
        </w:rPr>
      </w:pPr>
      <w:r>
        <w:rPr>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7A851B1D">
      <w:pPr>
        <w:numPr>
          <w:ilvl w:val="0"/>
          <w:numId w:val="4"/>
        </w:numPr>
        <w:autoSpaceDE w:val="0"/>
        <w:autoSpaceDN w:val="0"/>
        <w:spacing w:line="240" w:lineRule="auto"/>
        <w:rPr>
          <w:b/>
          <w:bCs/>
          <w:kern w:val="0"/>
          <w:sz w:val="24"/>
          <w:lang w:val="zh-CN"/>
        </w:rPr>
      </w:pPr>
      <w:r>
        <w:rPr>
          <w:b/>
          <w:bCs/>
          <w:kern w:val="0"/>
          <w:sz w:val="24"/>
          <w:lang w:val="zh-CN"/>
        </w:rPr>
        <w:t>包装要求</w:t>
      </w:r>
    </w:p>
    <w:p w14:paraId="4F318D8C">
      <w:pPr>
        <w:numPr>
          <w:ilvl w:val="1"/>
          <w:numId w:val="4"/>
        </w:numPr>
        <w:autoSpaceDE w:val="0"/>
        <w:autoSpaceDN w:val="0"/>
        <w:spacing w:line="240" w:lineRule="auto"/>
        <w:rPr>
          <w:kern w:val="0"/>
          <w:sz w:val="24"/>
        </w:rPr>
      </w:pPr>
      <w:r>
        <w:rPr>
          <w:kern w:val="0"/>
          <w:sz w:val="24"/>
          <w:lang w:val="zh-CN"/>
        </w:rPr>
        <w:t>除合同另有约定外</w:t>
      </w:r>
      <w:r>
        <w:rPr>
          <w:kern w:val="0"/>
          <w:sz w:val="24"/>
        </w:rPr>
        <w:t>,</w:t>
      </w:r>
      <w:r>
        <w:rPr>
          <w:kern w:val="0"/>
          <w:sz w:val="24"/>
          <w:lang w:val="zh-CN"/>
        </w:rPr>
        <w:t>乙方提供的全部货物</w:t>
      </w:r>
      <w:r>
        <w:rPr>
          <w:kern w:val="0"/>
          <w:sz w:val="24"/>
        </w:rPr>
        <w:t>,</w:t>
      </w:r>
      <w:r>
        <w:rPr>
          <w:kern w:val="0"/>
          <w:sz w:val="24"/>
          <w:lang w:val="zh-CN"/>
        </w:rPr>
        <w:t>均应采用本行业通用的方式进行包装，且该包装应符合国家有关包装的法律、法规的规定。</w:t>
      </w:r>
    </w:p>
    <w:p w14:paraId="7F3DC325">
      <w:pPr>
        <w:numPr>
          <w:ilvl w:val="1"/>
          <w:numId w:val="4"/>
        </w:numPr>
        <w:autoSpaceDE w:val="0"/>
        <w:autoSpaceDN w:val="0"/>
        <w:spacing w:line="240" w:lineRule="auto"/>
        <w:rPr>
          <w:kern w:val="0"/>
          <w:sz w:val="24"/>
        </w:rPr>
      </w:pPr>
      <w:r>
        <w:rPr>
          <w:kern w:val="0"/>
          <w:sz w:val="24"/>
          <w:lang w:val="zh-CN"/>
        </w:rPr>
        <w:t>包装应适应于远距离运输，并有良好的防潮、防震、防锈和防粗暴装卸等保护措施，以确保货物安全运抵现场。由于包装不善所引起的货物锈蚀、损坏和损失均由乙方承担。</w:t>
      </w:r>
    </w:p>
    <w:p w14:paraId="45CC3C74">
      <w:pPr>
        <w:autoSpaceDE w:val="0"/>
        <w:autoSpaceDN w:val="0"/>
        <w:spacing w:line="240" w:lineRule="auto"/>
        <w:ind w:left="480"/>
        <w:rPr>
          <w:kern w:val="0"/>
          <w:sz w:val="24"/>
        </w:rPr>
      </w:pPr>
      <w:r>
        <w:rPr>
          <w:kern w:val="0"/>
          <w:sz w:val="24"/>
          <w:lang w:val="zh-CN"/>
        </w:rPr>
        <w:t>乙方应提交货物运至合同规定的最终目的地所需要的包装，以防止货物在转运中损坏或变质。</w:t>
      </w:r>
    </w:p>
    <w:p w14:paraId="70A506E5">
      <w:pPr>
        <w:numPr>
          <w:ilvl w:val="1"/>
          <w:numId w:val="4"/>
        </w:numPr>
        <w:autoSpaceDE w:val="0"/>
        <w:autoSpaceDN w:val="0"/>
        <w:spacing w:line="240" w:lineRule="auto"/>
        <w:rPr>
          <w:kern w:val="0"/>
          <w:sz w:val="24"/>
        </w:rPr>
      </w:pPr>
      <w:r>
        <w:rPr>
          <w:kern w:val="0"/>
          <w:sz w:val="24"/>
          <w:lang w:val="zh-CN"/>
        </w:rPr>
        <w:t>乙方所提供的货物包装均为出厂时原包装。</w:t>
      </w:r>
    </w:p>
    <w:p w14:paraId="14ADD823">
      <w:pPr>
        <w:numPr>
          <w:ilvl w:val="1"/>
          <w:numId w:val="4"/>
        </w:numPr>
        <w:autoSpaceDE w:val="0"/>
        <w:autoSpaceDN w:val="0"/>
        <w:spacing w:line="240" w:lineRule="auto"/>
        <w:rPr>
          <w:kern w:val="0"/>
          <w:sz w:val="24"/>
        </w:rPr>
      </w:pPr>
      <w:r>
        <w:rPr>
          <w:kern w:val="0"/>
          <w:sz w:val="24"/>
          <w:lang w:val="zh-CN"/>
        </w:rPr>
        <w:t>乙方所提交货物必须附有质量合格证，装箱清单，主机、附件、各种零部件和消耗品，有清楚的与装箱单相对应的名称和编号。</w:t>
      </w:r>
    </w:p>
    <w:p w14:paraId="21581FF1">
      <w:pPr>
        <w:numPr>
          <w:ilvl w:val="1"/>
          <w:numId w:val="4"/>
        </w:numPr>
        <w:autoSpaceDE w:val="0"/>
        <w:autoSpaceDN w:val="0"/>
        <w:spacing w:line="240" w:lineRule="auto"/>
        <w:rPr>
          <w:kern w:val="0"/>
          <w:sz w:val="24"/>
        </w:rPr>
      </w:pPr>
      <w:r>
        <w:rPr>
          <w:kern w:val="0"/>
          <w:sz w:val="24"/>
          <w:lang w:val="zh-CN"/>
        </w:rPr>
        <w:t>货物运输中的运输费用和保险费用均由乙方承担。运输过程中的一切损失、损坏均由乙方负责。</w:t>
      </w:r>
    </w:p>
    <w:p w14:paraId="131CEFBB">
      <w:pPr>
        <w:numPr>
          <w:ilvl w:val="0"/>
          <w:numId w:val="4"/>
        </w:numPr>
        <w:autoSpaceDE w:val="0"/>
        <w:autoSpaceDN w:val="0"/>
        <w:spacing w:line="240" w:lineRule="auto"/>
        <w:rPr>
          <w:b/>
          <w:bCs/>
          <w:kern w:val="0"/>
          <w:sz w:val="24"/>
          <w:lang w:val="zh-CN"/>
        </w:rPr>
      </w:pPr>
      <w:r>
        <w:rPr>
          <w:b/>
          <w:bCs/>
          <w:kern w:val="0"/>
          <w:sz w:val="24"/>
          <w:lang w:val="zh-CN"/>
        </w:rPr>
        <w:t>价格</w:t>
      </w:r>
    </w:p>
    <w:p w14:paraId="2E3D5152">
      <w:pPr>
        <w:numPr>
          <w:ilvl w:val="1"/>
          <w:numId w:val="4"/>
        </w:numPr>
        <w:autoSpaceDE w:val="0"/>
        <w:autoSpaceDN w:val="0"/>
        <w:spacing w:line="240" w:lineRule="auto"/>
        <w:rPr>
          <w:kern w:val="0"/>
          <w:sz w:val="24"/>
        </w:rPr>
      </w:pPr>
      <w:r>
        <w:rPr>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01358F34">
      <w:pPr>
        <w:numPr>
          <w:ilvl w:val="1"/>
          <w:numId w:val="4"/>
        </w:numPr>
        <w:autoSpaceDE w:val="0"/>
        <w:autoSpaceDN w:val="0"/>
        <w:spacing w:line="240" w:lineRule="auto"/>
        <w:rPr>
          <w:kern w:val="0"/>
          <w:sz w:val="24"/>
        </w:rPr>
      </w:pPr>
      <w:r>
        <w:rPr>
          <w:kern w:val="0"/>
          <w:sz w:val="24"/>
          <w:lang w:val="zh-CN"/>
        </w:rPr>
        <w:t>本合同价格为固定价格，包括了乙方履行合同全过程产生的所有成本和费用以及乙方应承担的一切税费。</w:t>
      </w:r>
    </w:p>
    <w:p w14:paraId="66EA109A">
      <w:pPr>
        <w:numPr>
          <w:ilvl w:val="1"/>
          <w:numId w:val="4"/>
        </w:numPr>
        <w:autoSpaceDE w:val="0"/>
        <w:autoSpaceDN w:val="0"/>
        <w:spacing w:line="240" w:lineRule="auto"/>
        <w:rPr>
          <w:kern w:val="0"/>
          <w:sz w:val="24"/>
        </w:rPr>
      </w:pPr>
      <w:r>
        <w:rPr>
          <w:kern w:val="0"/>
          <w:sz w:val="24"/>
          <w:lang w:val="zh-CN"/>
        </w:rPr>
        <w:t>检验费用</w:t>
      </w:r>
    </w:p>
    <w:p w14:paraId="08753173">
      <w:pPr>
        <w:numPr>
          <w:ilvl w:val="2"/>
          <w:numId w:val="4"/>
        </w:numPr>
        <w:autoSpaceDE w:val="0"/>
        <w:autoSpaceDN w:val="0"/>
        <w:spacing w:line="240" w:lineRule="auto"/>
        <w:rPr>
          <w:kern w:val="0"/>
          <w:sz w:val="24"/>
        </w:rPr>
      </w:pPr>
      <w:r>
        <w:rPr>
          <w:kern w:val="0"/>
          <w:sz w:val="24"/>
          <w:lang w:val="zh-CN"/>
        </w:rPr>
        <w:t>乙方必须负担本条款下属于乙方负责的检验、测试、调试、试运行和验收的所有费用，并负责乙方派往买方组织的检验、测试和验收人员的所有费用。</w:t>
      </w:r>
    </w:p>
    <w:p w14:paraId="1932EFF9">
      <w:pPr>
        <w:numPr>
          <w:ilvl w:val="2"/>
          <w:numId w:val="4"/>
        </w:numPr>
        <w:autoSpaceDE w:val="0"/>
        <w:autoSpaceDN w:val="0"/>
        <w:spacing w:line="240" w:lineRule="auto"/>
        <w:rPr>
          <w:kern w:val="0"/>
          <w:sz w:val="24"/>
        </w:rPr>
      </w:pPr>
      <w:r>
        <w:rPr>
          <w:kern w:val="0"/>
          <w:sz w:val="24"/>
          <w:lang w:val="zh-CN"/>
        </w:rPr>
        <w:t>甲方按合同计划参加在乙方工厂所在地检验、测试和验收的费用全部由乙方负责并已包含在合同总价中。</w:t>
      </w:r>
    </w:p>
    <w:p w14:paraId="01061636">
      <w:pPr>
        <w:numPr>
          <w:ilvl w:val="2"/>
          <w:numId w:val="4"/>
        </w:numPr>
        <w:autoSpaceDE w:val="0"/>
        <w:autoSpaceDN w:val="0"/>
        <w:spacing w:line="240" w:lineRule="auto"/>
        <w:rPr>
          <w:kern w:val="0"/>
          <w:sz w:val="24"/>
        </w:rPr>
      </w:pPr>
      <w:r>
        <w:rPr>
          <w:kern w:val="0"/>
          <w:sz w:val="24"/>
          <w:lang w:val="zh-CN"/>
        </w:rPr>
        <w:t>甲方检验人员已到卖方所在地，测试无法依照合同进行，而引起甲方人员延长逗留时间，所有由此产生的包括甲方人员在内的直接费用及成本由乙方承担。</w:t>
      </w:r>
    </w:p>
    <w:p w14:paraId="2D8AE910">
      <w:pPr>
        <w:numPr>
          <w:ilvl w:val="0"/>
          <w:numId w:val="4"/>
        </w:numPr>
        <w:autoSpaceDE w:val="0"/>
        <w:autoSpaceDN w:val="0"/>
        <w:spacing w:line="240" w:lineRule="auto"/>
        <w:rPr>
          <w:b/>
          <w:bCs/>
          <w:kern w:val="0"/>
          <w:sz w:val="24"/>
        </w:rPr>
      </w:pPr>
      <w:r>
        <w:rPr>
          <w:b/>
          <w:bCs/>
          <w:kern w:val="0"/>
          <w:sz w:val="24"/>
          <w:lang w:val="zh-CN"/>
        </w:rPr>
        <w:t>交货方式及交货时间</w:t>
      </w:r>
    </w:p>
    <w:p w14:paraId="2EB8517A">
      <w:pPr>
        <w:autoSpaceDE w:val="0"/>
        <w:autoSpaceDN w:val="0"/>
        <w:spacing w:line="240" w:lineRule="auto"/>
        <w:ind w:firstLine="482" w:firstLineChars="200"/>
        <w:rPr>
          <w:kern w:val="0"/>
          <w:sz w:val="24"/>
          <w:lang w:val="zh-CN"/>
        </w:rPr>
      </w:pPr>
      <w:r>
        <w:rPr>
          <w:kern w:val="0"/>
          <w:sz w:val="24"/>
          <w:lang w:val="zh-CN"/>
        </w:rPr>
        <w:t>交货方式：现场交货，乙方负责办理运输和保险，将货物运抵现场。</w:t>
      </w:r>
    </w:p>
    <w:p w14:paraId="7F17B1F1">
      <w:pPr>
        <w:autoSpaceDE w:val="0"/>
        <w:autoSpaceDN w:val="0"/>
        <w:spacing w:line="240" w:lineRule="auto"/>
        <w:ind w:firstLine="482" w:firstLineChars="200"/>
        <w:rPr>
          <w:kern w:val="0"/>
          <w:sz w:val="24"/>
          <w:lang w:val="zh-CN"/>
        </w:rPr>
      </w:pPr>
      <w:r>
        <w:rPr>
          <w:kern w:val="0"/>
          <w:sz w:val="24"/>
          <w:lang w:val="zh-CN"/>
        </w:rPr>
        <w:t>交货期应根据产品的特点实事求是填写，进口产品90个工作日内，国产产品60个工作日内。特殊产品交货期需说明。</w:t>
      </w:r>
    </w:p>
    <w:p w14:paraId="241FDAC1">
      <w:pPr>
        <w:autoSpaceDE w:val="0"/>
        <w:autoSpaceDN w:val="0"/>
        <w:spacing w:line="240" w:lineRule="auto"/>
        <w:ind w:firstLine="482" w:firstLineChars="200"/>
        <w:rPr>
          <w:kern w:val="0"/>
          <w:sz w:val="24"/>
          <w:lang w:val="zh-CN"/>
        </w:rPr>
      </w:pPr>
      <w:r>
        <w:rPr>
          <w:kern w:val="0"/>
          <w:sz w:val="24"/>
          <w:lang w:val="zh-CN"/>
        </w:rPr>
        <w:t>交货时间：所有货物运抵现场并经双方开箱验收合格之日。</w:t>
      </w:r>
    </w:p>
    <w:p w14:paraId="5B08DCF9">
      <w:pPr>
        <w:numPr>
          <w:ilvl w:val="0"/>
          <w:numId w:val="4"/>
        </w:numPr>
        <w:autoSpaceDE w:val="0"/>
        <w:autoSpaceDN w:val="0"/>
        <w:spacing w:line="240" w:lineRule="auto"/>
        <w:rPr>
          <w:b/>
          <w:bCs/>
          <w:kern w:val="0"/>
          <w:sz w:val="24"/>
          <w:lang w:val="zh-CN"/>
        </w:rPr>
      </w:pPr>
      <w:r>
        <w:rPr>
          <w:b/>
          <w:bCs/>
          <w:kern w:val="0"/>
          <w:sz w:val="24"/>
          <w:lang w:val="zh-CN"/>
        </w:rPr>
        <w:t>检验和验收</w:t>
      </w:r>
    </w:p>
    <w:p w14:paraId="68591553">
      <w:pPr>
        <w:numPr>
          <w:ilvl w:val="1"/>
          <w:numId w:val="4"/>
        </w:numPr>
        <w:autoSpaceDE w:val="0"/>
        <w:autoSpaceDN w:val="0"/>
        <w:spacing w:line="240" w:lineRule="auto"/>
        <w:rPr>
          <w:kern w:val="0"/>
          <w:sz w:val="24"/>
        </w:rPr>
      </w:pPr>
      <w:r>
        <w:rPr>
          <w:kern w:val="0"/>
          <w:sz w:val="24"/>
          <w:lang w:val="zh-CN"/>
        </w:rPr>
        <w:t>开箱验收</w:t>
      </w:r>
    </w:p>
    <w:p w14:paraId="6D00867C">
      <w:pPr>
        <w:numPr>
          <w:ilvl w:val="2"/>
          <w:numId w:val="4"/>
        </w:numPr>
        <w:autoSpaceDE w:val="0"/>
        <w:autoSpaceDN w:val="0"/>
        <w:spacing w:line="240" w:lineRule="auto"/>
        <w:rPr>
          <w:kern w:val="0"/>
          <w:sz w:val="24"/>
        </w:rPr>
      </w:pPr>
      <w:r>
        <w:rPr>
          <w:kern w:val="0"/>
          <w:sz w:val="24"/>
          <w:lang w:val="zh-CN"/>
        </w:rPr>
        <w:t>货物运抵现场后，双方应及时开箱验收，并制作验收记录，以确认与本合同约定的数量、型号等是否一致。</w:t>
      </w:r>
    </w:p>
    <w:p w14:paraId="3D0A77EC">
      <w:pPr>
        <w:numPr>
          <w:ilvl w:val="2"/>
          <w:numId w:val="4"/>
        </w:numPr>
        <w:autoSpaceDE w:val="0"/>
        <w:autoSpaceDN w:val="0"/>
        <w:spacing w:line="240" w:lineRule="auto"/>
        <w:rPr>
          <w:kern w:val="0"/>
          <w:sz w:val="24"/>
        </w:rPr>
      </w:pPr>
      <w:r>
        <w:rPr>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97BE86">
      <w:pPr>
        <w:numPr>
          <w:ilvl w:val="2"/>
          <w:numId w:val="4"/>
        </w:numPr>
        <w:autoSpaceDE w:val="0"/>
        <w:autoSpaceDN w:val="0"/>
        <w:spacing w:line="240" w:lineRule="auto"/>
        <w:rPr>
          <w:kern w:val="0"/>
          <w:sz w:val="24"/>
        </w:rPr>
      </w:pPr>
      <w:r>
        <w:rPr>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018F8E2A">
      <w:pPr>
        <w:numPr>
          <w:ilvl w:val="1"/>
          <w:numId w:val="4"/>
        </w:numPr>
        <w:autoSpaceDE w:val="0"/>
        <w:autoSpaceDN w:val="0"/>
        <w:spacing w:line="240" w:lineRule="auto"/>
        <w:rPr>
          <w:kern w:val="0"/>
          <w:sz w:val="24"/>
        </w:rPr>
      </w:pPr>
      <w:r>
        <w:rPr>
          <w:kern w:val="0"/>
          <w:sz w:val="24"/>
          <w:lang w:val="zh-CN"/>
        </w:rPr>
        <w:t>检验验收</w:t>
      </w:r>
    </w:p>
    <w:p w14:paraId="2E6C8C1B">
      <w:pPr>
        <w:numPr>
          <w:ilvl w:val="2"/>
          <w:numId w:val="4"/>
        </w:numPr>
        <w:autoSpaceDE w:val="0"/>
        <w:autoSpaceDN w:val="0"/>
        <w:spacing w:line="240" w:lineRule="auto"/>
        <w:rPr>
          <w:kern w:val="0"/>
          <w:sz w:val="24"/>
        </w:rPr>
      </w:pPr>
      <w:r>
        <w:rPr>
          <w:kern w:val="0"/>
          <w:sz w:val="24"/>
          <w:lang w:val="zh-CN"/>
        </w:rPr>
        <w:t>交货完成后，乙方应及时组装、调试、试运行，按照合同专用条款规定的试运行完成后，双方及时组织对货物检验验收。合同双方均须派人参加合同要求双方参加的试验、检验。</w:t>
      </w:r>
    </w:p>
    <w:p w14:paraId="351F35A3">
      <w:pPr>
        <w:numPr>
          <w:ilvl w:val="2"/>
          <w:numId w:val="4"/>
        </w:numPr>
        <w:autoSpaceDE w:val="0"/>
        <w:autoSpaceDN w:val="0"/>
        <w:spacing w:line="240" w:lineRule="auto"/>
        <w:rPr>
          <w:kern w:val="0"/>
          <w:sz w:val="24"/>
        </w:rPr>
      </w:pPr>
      <w:r>
        <w:rPr>
          <w:kern w:val="0"/>
          <w:sz w:val="24"/>
          <w:lang w:val="zh-CN"/>
        </w:rPr>
        <w:t>在具体实施合同规定的检验验收之前，乙方需提前提交相应的测试计划（包括测试程序、测试内容和检验标准、试验时间安排等）供甲方确认。</w:t>
      </w:r>
    </w:p>
    <w:p w14:paraId="4131AA32">
      <w:pPr>
        <w:numPr>
          <w:ilvl w:val="2"/>
          <w:numId w:val="4"/>
        </w:numPr>
        <w:autoSpaceDE w:val="0"/>
        <w:autoSpaceDN w:val="0"/>
        <w:spacing w:line="240" w:lineRule="auto"/>
        <w:rPr>
          <w:kern w:val="0"/>
          <w:sz w:val="24"/>
        </w:rPr>
      </w:pPr>
      <w:r>
        <w:rPr>
          <w:kern w:val="0"/>
          <w:sz w:val="24"/>
          <w:lang w:val="zh-CN"/>
        </w:rPr>
        <w:t>除需甲方确认的试验验收外，乙方还应对所有检验验收测试的结果、步骤、原始数据等作妥善记录。如甲方要求，乙方应提供这些记录给买方。</w:t>
      </w:r>
    </w:p>
    <w:p w14:paraId="182767C8">
      <w:pPr>
        <w:numPr>
          <w:ilvl w:val="2"/>
          <w:numId w:val="4"/>
        </w:numPr>
        <w:autoSpaceDE w:val="0"/>
        <w:autoSpaceDN w:val="0"/>
        <w:spacing w:line="240" w:lineRule="auto"/>
        <w:rPr>
          <w:kern w:val="0"/>
          <w:sz w:val="24"/>
        </w:rPr>
      </w:pPr>
      <w:r>
        <w:rPr>
          <w:kern w:val="0"/>
          <w:sz w:val="24"/>
          <w:lang w:val="zh-CN"/>
        </w:rPr>
        <w:t>检验测试出现全部或部分未达到本合同所约定的技术指标，甲方有权选择下列任一处理方式：</w:t>
      </w:r>
    </w:p>
    <w:p w14:paraId="761AF520">
      <w:pPr>
        <w:numPr>
          <w:ilvl w:val="0"/>
          <w:numId w:val="5"/>
        </w:numPr>
        <w:autoSpaceDE w:val="0"/>
        <w:autoSpaceDN w:val="0"/>
        <w:spacing w:line="240" w:lineRule="auto"/>
        <w:rPr>
          <w:kern w:val="0"/>
          <w:sz w:val="24"/>
        </w:rPr>
      </w:pPr>
      <w:r>
        <w:rPr>
          <w:kern w:val="0"/>
          <w:sz w:val="24"/>
          <w:lang w:val="zh-CN"/>
        </w:rPr>
        <w:t>重新测试直至合格为止；</w:t>
      </w:r>
    </w:p>
    <w:p w14:paraId="46F67C21">
      <w:pPr>
        <w:numPr>
          <w:ilvl w:val="0"/>
          <w:numId w:val="5"/>
        </w:numPr>
        <w:autoSpaceDE w:val="0"/>
        <w:autoSpaceDN w:val="0"/>
        <w:spacing w:line="240" w:lineRule="auto"/>
        <w:rPr>
          <w:kern w:val="0"/>
          <w:sz w:val="24"/>
        </w:rPr>
      </w:pPr>
      <w:r>
        <w:rPr>
          <w:kern w:val="0"/>
          <w:sz w:val="24"/>
          <w:lang w:val="zh-CN"/>
        </w:rPr>
        <w:t>要求乙方对货物进行免费更换，然后重新测试直至合格为止；</w:t>
      </w:r>
    </w:p>
    <w:p w14:paraId="5CF498C6">
      <w:pPr>
        <w:autoSpaceDE w:val="0"/>
        <w:autoSpaceDN w:val="0"/>
        <w:spacing w:line="240" w:lineRule="auto"/>
        <w:rPr>
          <w:kern w:val="0"/>
          <w:sz w:val="24"/>
        </w:rPr>
      </w:pPr>
      <w:r>
        <w:rPr>
          <w:kern w:val="0"/>
          <w:sz w:val="24"/>
          <w:lang w:val="zh-CN"/>
        </w:rPr>
        <w:t>无论选择何种方式，甲方因此而发生的因卖方原因引起的所有费用均由乙方负担。</w:t>
      </w:r>
    </w:p>
    <w:p w14:paraId="185EC736">
      <w:pPr>
        <w:numPr>
          <w:ilvl w:val="1"/>
          <w:numId w:val="4"/>
        </w:numPr>
        <w:autoSpaceDE w:val="0"/>
        <w:autoSpaceDN w:val="0"/>
        <w:spacing w:line="240" w:lineRule="auto"/>
        <w:rPr>
          <w:kern w:val="0"/>
          <w:sz w:val="24"/>
        </w:rPr>
      </w:pPr>
      <w:r>
        <w:rPr>
          <w:kern w:val="0"/>
          <w:sz w:val="24"/>
          <w:lang w:val="zh-CN"/>
        </w:rPr>
        <w:t>使用过程检验</w:t>
      </w:r>
    </w:p>
    <w:p w14:paraId="5E26E4BA">
      <w:pPr>
        <w:numPr>
          <w:ilvl w:val="2"/>
          <w:numId w:val="4"/>
        </w:numPr>
        <w:autoSpaceDE w:val="0"/>
        <w:autoSpaceDN w:val="0"/>
        <w:spacing w:line="240" w:lineRule="auto"/>
        <w:rPr>
          <w:kern w:val="0"/>
          <w:sz w:val="24"/>
        </w:rPr>
      </w:pPr>
      <w:r>
        <w:rPr>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87E29B0">
      <w:pPr>
        <w:numPr>
          <w:ilvl w:val="2"/>
          <w:numId w:val="4"/>
        </w:numPr>
        <w:autoSpaceDE w:val="0"/>
        <w:autoSpaceDN w:val="0"/>
        <w:spacing w:line="240" w:lineRule="auto"/>
        <w:rPr>
          <w:kern w:val="0"/>
          <w:sz w:val="24"/>
        </w:rPr>
      </w:pPr>
      <w:r>
        <w:rPr>
          <w:kern w:val="0"/>
          <w:sz w:val="24"/>
          <w:lang w:val="zh-CN"/>
        </w:rPr>
        <w:t>如果合同双方对乙方提供的上述试验结果报告的解释有分歧，双方须于出现分歧后</w:t>
      </w:r>
      <w:r>
        <w:rPr>
          <w:kern w:val="0"/>
          <w:sz w:val="24"/>
        </w:rPr>
        <w:t>10</w:t>
      </w:r>
      <w:r>
        <w:rPr>
          <w:kern w:val="0"/>
          <w:sz w:val="24"/>
          <w:lang w:val="zh-CN"/>
        </w:rPr>
        <w:t>天内给对方声明，以陈述己方的观点。声明须附有关证据。分歧应通过协商解决。</w:t>
      </w:r>
    </w:p>
    <w:p w14:paraId="1F62938C">
      <w:pPr>
        <w:numPr>
          <w:ilvl w:val="0"/>
          <w:numId w:val="4"/>
        </w:numPr>
        <w:autoSpaceDE w:val="0"/>
        <w:autoSpaceDN w:val="0"/>
        <w:spacing w:line="240" w:lineRule="auto"/>
        <w:rPr>
          <w:b/>
          <w:bCs/>
          <w:kern w:val="0"/>
          <w:sz w:val="24"/>
        </w:rPr>
      </w:pPr>
      <w:r>
        <w:rPr>
          <w:b/>
          <w:bCs/>
          <w:kern w:val="0"/>
          <w:sz w:val="24"/>
          <w:lang w:val="zh-CN"/>
        </w:rPr>
        <w:t>付款条件</w:t>
      </w:r>
    </w:p>
    <w:p w14:paraId="5EE25FD7">
      <w:pPr>
        <w:autoSpaceDE w:val="0"/>
        <w:autoSpaceDN w:val="0"/>
        <w:spacing w:line="240" w:lineRule="auto"/>
        <w:ind w:firstLine="482" w:firstLineChars="200"/>
        <w:rPr>
          <w:kern w:val="0"/>
          <w:sz w:val="24"/>
        </w:rPr>
      </w:pPr>
      <w:r>
        <w:rPr>
          <w:kern w:val="0"/>
          <w:sz w:val="24"/>
          <w:lang w:val="zh-CN"/>
        </w:rPr>
        <w:t>本合同条款下的付款方法和条件在“</w:t>
      </w:r>
      <w:r>
        <w:rPr>
          <w:rFonts w:hint="eastAsia"/>
          <w:color w:val="auto"/>
          <w:kern w:val="0"/>
          <w:sz w:val="24"/>
          <w:highlight w:val="none"/>
          <w:lang w:eastAsia="zh-CN"/>
        </w:rPr>
        <w:t>湟源县政府采购项目合同书</w:t>
      </w:r>
      <w:r>
        <w:rPr>
          <w:color w:val="auto"/>
          <w:kern w:val="0"/>
          <w:sz w:val="24"/>
          <w:highlight w:val="none"/>
        </w:rPr>
        <w:t>范本</w:t>
      </w:r>
      <w:r>
        <w:rPr>
          <w:kern w:val="0"/>
          <w:sz w:val="24"/>
          <w:lang w:val="zh-CN"/>
        </w:rPr>
        <w:t>”中具体规定。</w:t>
      </w:r>
    </w:p>
    <w:p w14:paraId="65B0F389">
      <w:pPr>
        <w:numPr>
          <w:ilvl w:val="0"/>
          <w:numId w:val="4"/>
        </w:numPr>
        <w:autoSpaceDE w:val="0"/>
        <w:autoSpaceDN w:val="0"/>
        <w:spacing w:line="240" w:lineRule="auto"/>
        <w:rPr>
          <w:b/>
          <w:bCs/>
          <w:kern w:val="0"/>
          <w:sz w:val="24"/>
          <w:lang w:val="zh-CN"/>
        </w:rPr>
      </w:pPr>
      <w:r>
        <w:rPr>
          <w:b/>
          <w:bCs/>
          <w:kern w:val="0"/>
          <w:sz w:val="24"/>
          <w:lang w:val="zh-CN"/>
        </w:rPr>
        <w:t>履约保证金</w:t>
      </w:r>
    </w:p>
    <w:p w14:paraId="47100E8A">
      <w:pPr>
        <w:numPr>
          <w:ilvl w:val="1"/>
          <w:numId w:val="4"/>
        </w:numPr>
        <w:autoSpaceDE w:val="0"/>
        <w:autoSpaceDN w:val="0"/>
        <w:spacing w:line="240" w:lineRule="auto"/>
        <w:rPr>
          <w:kern w:val="0"/>
          <w:sz w:val="24"/>
          <w:lang w:val="zh-CN"/>
        </w:rPr>
      </w:pPr>
      <w:r>
        <w:rPr>
          <w:kern w:val="0"/>
          <w:sz w:val="24"/>
          <w:lang w:val="zh-CN"/>
        </w:rPr>
        <w:t>乙方应在合同签订前，按招标文件第</w:t>
      </w:r>
      <w:r>
        <w:rPr>
          <w:rFonts w:hint="eastAsia"/>
          <w:kern w:val="0"/>
          <w:sz w:val="24"/>
          <w:lang w:val="zh-CN"/>
        </w:rPr>
        <w:t>三</w:t>
      </w:r>
      <w:r>
        <w:rPr>
          <w:kern w:val="0"/>
          <w:sz w:val="24"/>
          <w:lang w:val="zh-CN"/>
        </w:rPr>
        <w:t>部分第</w:t>
      </w:r>
      <w:r>
        <w:rPr>
          <w:rFonts w:hint="eastAsia"/>
          <w:kern w:val="0"/>
          <w:sz w:val="24"/>
          <w:lang w:val="zh-CN"/>
        </w:rPr>
        <w:t>四条</w:t>
      </w:r>
      <w:r>
        <w:rPr>
          <w:b w:val="0"/>
          <w:bCs/>
          <w:sz w:val="24"/>
        </w:rPr>
        <w:t>合同价款及付款方式</w:t>
      </w:r>
      <w:r>
        <w:rPr>
          <w:kern w:val="0"/>
          <w:sz w:val="24"/>
          <w:lang w:val="zh-CN"/>
        </w:rPr>
        <w:t>的约定提交履约保证金。</w:t>
      </w:r>
    </w:p>
    <w:p w14:paraId="061893C6">
      <w:pPr>
        <w:numPr>
          <w:ilvl w:val="1"/>
          <w:numId w:val="4"/>
        </w:numPr>
        <w:autoSpaceDE w:val="0"/>
        <w:autoSpaceDN w:val="0"/>
        <w:spacing w:line="240" w:lineRule="auto"/>
        <w:rPr>
          <w:kern w:val="0"/>
          <w:sz w:val="24"/>
          <w:lang w:val="zh-CN"/>
        </w:rPr>
      </w:pPr>
      <w:r>
        <w:rPr>
          <w:kern w:val="0"/>
          <w:sz w:val="24"/>
          <w:lang w:val="zh-CN"/>
        </w:rPr>
        <w:t>乙方应在合同签订前，按招标文件中的约定提交履约保证金。</w:t>
      </w:r>
    </w:p>
    <w:p w14:paraId="6AF7D1E1">
      <w:pPr>
        <w:numPr>
          <w:ilvl w:val="1"/>
          <w:numId w:val="4"/>
        </w:numPr>
        <w:autoSpaceDE w:val="0"/>
        <w:autoSpaceDN w:val="0"/>
        <w:spacing w:line="240" w:lineRule="auto"/>
        <w:rPr>
          <w:kern w:val="0"/>
          <w:sz w:val="24"/>
        </w:rPr>
      </w:pPr>
      <w:r>
        <w:rPr>
          <w:kern w:val="0"/>
          <w:sz w:val="24"/>
          <w:lang w:val="zh-CN"/>
        </w:rPr>
        <w:t>履约保证金用于补偿甲方因乙方不能履行其合同义务而蒙受的损失。</w:t>
      </w:r>
    </w:p>
    <w:p w14:paraId="69E3FC24">
      <w:pPr>
        <w:numPr>
          <w:ilvl w:val="1"/>
          <w:numId w:val="4"/>
        </w:numPr>
        <w:autoSpaceDE w:val="0"/>
        <w:autoSpaceDN w:val="0"/>
        <w:spacing w:line="240" w:lineRule="auto"/>
        <w:rPr>
          <w:kern w:val="0"/>
          <w:sz w:val="24"/>
        </w:rPr>
      </w:pPr>
      <w:r>
        <w:rPr>
          <w:kern w:val="0"/>
          <w:sz w:val="24"/>
          <w:lang w:val="zh-CN"/>
        </w:rPr>
        <w:t>履约保证金应使用本合同货币，按下述方式之一提交（招标文件中另有约定的除外）：</w:t>
      </w:r>
    </w:p>
    <w:p w14:paraId="49E44EE0">
      <w:pPr>
        <w:numPr>
          <w:ilvl w:val="1"/>
          <w:numId w:val="4"/>
        </w:numPr>
        <w:autoSpaceDE w:val="0"/>
        <w:autoSpaceDN w:val="0"/>
        <w:spacing w:line="240" w:lineRule="auto"/>
        <w:rPr>
          <w:kern w:val="0"/>
          <w:sz w:val="24"/>
        </w:rPr>
      </w:pPr>
      <w:r>
        <w:rPr>
          <w:kern w:val="0"/>
          <w:sz w:val="24"/>
          <w:lang w:val="zh-CN"/>
        </w:rPr>
        <w:t>甲方可接受的在中华人民共和国注册和营业的银行出具的履约保函；</w:t>
      </w:r>
    </w:p>
    <w:p w14:paraId="3E790E63">
      <w:pPr>
        <w:numPr>
          <w:ilvl w:val="1"/>
          <w:numId w:val="4"/>
        </w:numPr>
        <w:autoSpaceDE w:val="0"/>
        <w:autoSpaceDN w:val="0"/>
        <w:spacing w:line="240" w:lineRule="auto"/>
        <w:rPr>
          <w:kern w:val="0"/>
          <w:sz w:val="24"/>
        </w:rPr>
      </w:pPr>
      <w:r>
        <w:rPr>
          <w:kern w:val="0"/>
          <w:sz w:val="24"/>
          <w:lang w:val="zh-CN"/>
        </w:rPr>
        <w:t>支票或汇票。</w:t>
      </w:r>
    </w:p>
    <w:p w14:paraId="29D051D7">
      <w:pPr>
        <w:numPr>
          <w:ilvl w:val="1"/>
          <w:numId w:val="4"/>
        </w:numPr>
        <w:autoSpaceDE w:val="0"/>
        <w:autoSpaceDN w:val="0"/>
        <w:spacing w:line="240" w:lineRule="auto"/>
        <w:rPr>
          <w:kern w:val="0"/>
          <w:sz w:val="24"/>
        </w:rPr>
      </w:pPr>
      <w:r>
        <w:rPr>
          <w:kern w:val="0"/>
          <w:sz w:val="24"/>
          <w:lang w:val="zh-CN"/>
        </w:rPr>
        <w:t>乙方未能按合同规定履行其义务，甲方有权从履约保证金中取得补偿。货物验收合格后，甲方将履约保证金退还乙方或转为质量保证金。</w:t>
      </w:r>
    </w:p>
    <w:p w14:paraId="3E402595">
      <w:pPr>
        <w:numPr>
          <w:ilvl w:val="0"/>
          <w:numId w:val="4"/>
        </w:numPr>
        <w:autoSpaceDE w:val="0"/>
        <w:autoSpaceDN w:val="0"/>
        <w:spacing w:line="240" w:lineRule="auto"/>
        <w:rPr>
          <w:b/>
          <w:bCs/>
          <w:kern w:val="0"/>
          <w:sz w:val="24"/>
          <w:lang w:val="zh-CN"/>
        </w:rPr>
      </w:pPr>
      <w:r>
        <w:rPr>
          <w:b/>
          <w:bCs/>
          <w:kern w:val="0"/>
          <w:sz w:val="24"/>
          <w:lang w:val="zh-CN"/>
        </w:rPr>
        <w:t>索赔</w:t>
      </w:r>
    </w:p>
    <w:p w14:paraId="36F4A3CA">
      <w:pPr>
        <w:numPr>
          <w:ilvl w:val="1"/>
          <w:numId w:val="4"/>
        </w:numPr>
        <w:autoSpaceDE w:val="0"/>
        <w:autoSpaceDN w:val="0"/>
        <w:spacing w:line="240" w:lineRule="auto"/>
        <w:rPr>
          <w:kern w:val="0"/>
          <w:sz w:val="24"/>
        </w:rPr>
      </w:pPr>
      <w:r>
        <w:rPr>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3F599950">
      <w:pPr>
        <w:numPr>
          <w:ilvl w:val="1"/>
          <w:numId w:val="4"/>
        </w:numPr>
        <w:autoSpaceDE w:val="0"/>
        <w:autoSpaceDN w:val="0"/>
        <w:spacing w:line="240" w:lineRule="auto"/>
        <w:rPr>
          <w:kern w:val="0"/>
          <w:sz w:val="24"/>
        </w:rPr>
      </w:pPr>
      <w:r>
        <w:rPr>
          <w:kern w:val="0"/>
          <w:sz w:val="24"/>
          <w:lang w:val="zh-CN"/>
        </w:rPr>
        <w:t>在履约保证期和检验期内，乙方对甲方提出的索赔负有责任，乙方应按照甲方同意的下列一种或多种方式解决索赔事宜：</w:t>
      </w:r>
    </w:p>
    <w:p w14:paraId="13680A5A">
      <w:pPr>
        <w:numPr>
          <w:ilvl w:val="2"/>
          <w:numId w:val="4"/>
        </w:numPr>
        <w:autoSpaceDE w:val="0"/>
        <w:autoSpaceDN w:val="0"/>
        <w:spacing w:line="240" w:lineRule="auto"/>
        <w:rPr>
          <w:kern w:val="0"/>
          <w:sz w:val="24"/>
        </w:rPr>
      </w:pPr>
      <w:r>
        <w:rPr>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43C68E">
      <w:pPr>
        <w:numPr>
          <w:ilvl w:val="2"/>
          <w:numId w:val="4"/>
        </w:numPr>
        <w:autoSpaceDE w:val="0"/>
        <w:autoSpaceDN w:val="0"/>
        <w:spacing w:line="240" w:lineRule="auto"/>
        <w:rPr>
          <w:kern w:val="0"/>
          <w:sz w:val="24"/>
        </w:rPr>
      </w:pPr>
      <w:r>
        <w:rPr>
          <w:kern w:val="0"/>
          <w:sz w:val="24"/>
          <w:lang w:val="zh-CN"/>
        </w:rPr>
        <w:t>根据货物低劣程度、损坏程度以及甲方所遭受损失的数额，经甲乙双方商定降低货物的价格，或由有资质的中介机构评估，以降低后的价格或评估价格为准。</w:t>
      </w:r>
    </w:p>
    <w:p w14:paraId="290C0C78">
      <w:pPr>
        <w:numPr>
          <w:ilvl w:val="2"/>
          <w:numId w:val="4"/>
        </w:numPr>
        <w:autoSpaceDE w:val="0"/>
        <w:autoSpaceDN w:val="0"/>
        <w:spacing w:line="240" w:lineRule="auto"/>
        <w:rPr>
          <w:kern w:val="0"/>
          <w:sz w:val="24"/>
        </w:rPr>
      </w:pPr>
      <w:r>
        <w:rPr>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8D0BCFD">
      <w:pPr>
        <w:numPr>
          <w:ilvl w:val="1"/>
          <w:numId w:val="4"/>
        </w:numPr>
        <w:autoSpaceDE w:val="0"/>
        <w:autoSpaceDN w:val="0"/>
        <w:spacing w:line="240" w:lineRule="auto"/>
        <w:rPr>
          <w:kern w:val="0"/>
          <w:sz w:val="24"/>
          <w:lang w:val="zh-CN"/>
        </w:rPr>
      </w:pPr>
      <w:r>
        <w:rPr>
          <w:kern w:val="0"/>
          <w:sz w:val="24"/>
          <w:lang w:val="zh-CN"/>
        </w:rPr>
        <w:t>乙方收到甲方发出的索赔通知之日起</w:t>
      </w:r>
      <w:r>
        <w:rPr>
          <w:kern w:val="0"/>
          <w:sz w:val="24"/>
        </w:rPr>
        <w:t>5</w:t>
      </w:r>
      <w:r>
        <w:rPr>
          <w:kern w:val="0"/>
          <w:sz w:val="24"/>
          <w:lang w:val="zh-CN"/>
        </w:rPr>
        <w:t>个工作日内未作答复的，甲方可从合同款或履约保证金中扣回索赔金额，如金额不足以补偿索赔金额，乙方应补足差额部分。</w:t>
      </w:r>
    </w:p>
    <w:p w14:paraId="17582F58">
      <w:pPr>
        <w:numPr>
          <w:ilvl w:val="0"/>
          <w:numId w:val="4"/>
        </w:numPr>
        <w:autoSpaceDE w:val="0"/>
        <w:autoSpaceDN w:val="0"/>
        <w:spacing w:line="240" w:lineRule="auto"/>
        <w:rPr>
          <w:b/>
          <w:bCs/>
          <w:kern w:val="0"/>
          <w:sz w:val="24"/>
          <w:lang w:val="zh-CN"/>
        </w:rPr>
      </w:pPr>
      <w:r>
        <w:rPr>
          <w:b/>
          <w:bCs/>
          <w:kern w:val="0"/>
          <w:sz w:val="24"/>
          <w:lang w:val="zh-CN"/>
        </w:rPr>
        <w:t>迟延交货</w:t>
      </w:r>
    </w:p>
    <w:p w14:paraId="552D87F6">
      <w:pPr>
        <w:numPr>
          <w:ilvl w:val="1"/>
          <w:numId w:val="4"/>
        </w:numPr>
        <w:autoSpaceDE w:val="0"/>
        <w:autoSpaceDN w:val="0"/>
        <w:spacing w:line="240" w:lineRule="auto"/>
        <w:rPr>
          <w:kern w:val="0"/>
          <w:sz w:val="24"/>
        </w:rPr>
      </w:pPr>
      <w:r>
        <w:rPr>
          <w:kern w:val="0"/>
          <w:sz w:val="24"/>
          <w:lang w:val="zh-CN"/>
        </w:rPr>
        <w:t>乙方应按照合同约定的时间交货和提供服务。</w:t>
      </w:r>
    </w:p>
    <w:p w14:paraId="7A4117D7">
      <w:pPr>
        <w:numPr>
          <w:ilvl w:val="1"/>
          <w:numId w:val="4"/>
        </w:numPr>
        <w:autoSpaceDE w:val="0"/>
        <w:autoSpaceDN w:val="0"/>
        <w:spacing w:line="240" w:lineRule="auto"/>
        <w:rPr>
          <w:kern w:val="0"/>
          <w:sz w:val="24"/>
        </w:rPr>
      </w:pPr>
      <w:r>
        <w:rPr>
          <w:kern w:val="0"/>
          <w:sz w:val="24"/>
          <w:lang w:val="zh-CN"/>
        </w:rPr>
        <w:t>除不可抗力因素外，乙方迟延交货，甲方有权提出违约损失赔偿或解除合同。</w:t>
      </w:r>
    </w:p>
    <w:p w14:paraId="18EABF44">
      <w:pPr>
        <w:numPr>
          <w:ilvl w:val="1"/>
          <w:numId w:val="4"/>
        </w:numPr>
        <w:autoSpaceDE w:val="0"/>
        <w:autoSpaceDN w:val="0"/>
        <w:spacing w:line="240" w:lineRule="auto"/>
        <w:rPr>
          <w:kern w:val="0"/>
          <w:sz w:val="24"/>
        </w:rPr>
      </w:pPr>
      <w:r>
        <w:rPr>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63AD310">
      <w:pPr>
        <w:numPr>
          <w:ilvl w:val="0"/>
          <w:numId w:val="4"/>
        </w:numPr>
        <w:autoSpaceDE w:val="0"/>
        <w:autoSpaceDN w:val="0"/>
        <w:spacing w:line="240" w:lineRule="auto"/>
        <w:rPr>
          <w:b/>
          <w:bCs/>
          <w:kern w:val="0"/>
          <w:sz w:val="24"/>
        </w:rPr>
      </w:pPr>
      <w:r>
        <w:rPr>
          <w:b/>
          <w:bCs/>
          <w:kern w:val="0"/>
          <w:sz w:val="24"/>
          <w:lang w:val="zh-CN"/>
        </w:rPr>
        <w:t>违约赔偿</w:t>
      </w:r>
    </w:p>
    <w:p w14:paraId="40C6B06A">
      <w:pPr>
        <w:autoSpaceDE w:val="0"/>
        <w:autoSpaceDN w:val="0"/>
        <w:spacing w:line="240" w:lineRule="auto"/>
        <w:ind w:firstLine="482" w:firstLineChars="200"/>
        <w:rPr>
          <w:kern w:val="0"/>
          <w:sz w:val="24"/>
        </w:rPr>
      </w:pPr>
      <w:r>
        <w:rPr>
          <w:kern w:val="0"/>
          <w:sz w:val="24"/>
          <w:lang w:val="zh-CN"/>
        </w:rPr>
        <w:t>除不可抗力因素外，乙方没有按照合同规定的时间交货和提供服务，甲方可要求乙方支付违约金。违约金每日按合同总价款的千分之五计收。</w:t>
      </w:r>
    </w:p>
    <w:p w14:paraId="2B6DF7D0">
      <w:pPr>
        <w:numPr>
          <w:ilvl w:val="0"/>
          <w:numId w:val="4"/>
        </w:numPr>
        <w:autoSpaceDE w:val="0"/>
        <w:autoSpaceDN w:val="0"/>
        <w:spacing w:line="240" w:lineRule="auto"/>
        <w:rPr>
          <w:b/>
          <w:bCs/>
          <w:kern w:val="0"/>
          <w:sz w:val="24"/>
          <w:lang w:val="zh-CN"/>
        </w:rPr>
      </w:pPr>
      <w:r>
        <w:rPr>
          <w:b/>
          <w:bCs/>
          <w:kern w:val="0"/>
          <w:sz w:val="24"/>
          <w:lang w:val="zh-CN"/>
        </w:rPr>
        <w:t>不可抗力</w:t>
      </w:r>
    </w:p>
    <w:p w14:paraId="71B17E27">
      <w:pPr>
        <w:numPr>
          <w:ilvl w:val="1"/>
          <w:numId w:val="4"/>
        </w:numPr>
        <w:autoSpaceDE w:val="0"/>
        <w:autoSpaceDN w:val="0"/>
        <w:spacing w:line="240" w:lineRule="auto"/>
        <w:rPr>
          <w:kern w:val="0"/>
          <w:sz w:val="24"/>
        </w:rPr>
      </w:pPr>
      <w:r>
        <w:rPr>
          <w:kern w:val="0"/>
          <w:sz w:val="24"/>
          <w:lang w:val="zh-CN"/>
        </w:rPr>
        <w:t>双方中任何一方遭遇法律规定的不可抗力，致使合同履行受阻时，履行合同的期限应予延长，延长的期限应相当于不可抗力所影响的时间。</w:t>
      </w:r>
    </w:p>
    <w:p w14:paraId="44646930">
      <w:pPr>
        <w:numPr>
          <w:ilvl w:val="1"/>
          <w:numId w:val="4"/>
        </w:numPr>
        <w:autoSpaceDE w:val="0"/>
        <w:autoSpaceDN w:val="0"/>
        <w:spacing w:line="240" w:lineRule="auto"/>
        <w:rPr>
          <w:kern w:val="0"/>
          <w:sz w:val="24"/>
        </w:rPr>
      </w:pPr>
      <w:r>
        <w:rPr>
          <w:kern w:val="0"/>
          <w:sz w:val="24"/>
          <w:lang w:val="zh-CN"/>
        </w:rPr>
        <w:t>受事故影响的一方应在不可抗力的事故发生后以书面形式通知另一方。</w:t>
      </w:r>
    </w:p>
    <w:p w14:paraId="30553390">
      <w:pPr>
        <w:numPr>
          <w:ilvl w:val="1"/>
          <w:numId w:val="4"/>
        </w:numPr>
        <w:autoSpaceDE w:val="0"/>
        <w:autoSpaceDN w:val="0"/>
        <w:spacing w:line="240" w:lineRule="auto"/>
        <w:rPr>
          <w:kern w:val="0"/>
          <w:sz w:val="24"/>
        </w:rPr>
      </w:pPr>
      <w:r>
        <w:rPr>
          <w:kern w:val="0"/>
          <w:sz w:val="24"/>
          <w:lang w:val="zh-CN"/>
        </w:rPr>
        <w:t>不可抗力使合同的某些内容有变更必要的，双方应通过协商达成进一步履行合同的协议，因不可抗力致使合同不能履行的，合同终止。</w:t>
      </w:r>
    </w:p>
    <w:p w14:paraId="4CDBC79A">
      <w:pPr>
        <w:numPr>
          <w:ilvl w:val="0"/>
          <w:numId w:val="4"/>
        </w:numPr>
        <w:autoSpaceDE w:val="0"/>
        <w:autoSpaceDN w:val="0"/>
        <w:spacing w:line="240" w:lineRule="auto"/>
        <w:rPr>
          <w:b/>
          <w:bCs/>
          <w:kern w:val="0"/>
          <w:sz w:val="24"/>
        </w:rPr>
      </w:pPr>
      <w:r>
        <w:rPr>
          <w:b/>
          <w:bCs/>
          <w:kern w:val="0"/>
          <w:sz w:val="24"/>
          <w:lang w:val="zh-CN"/>
        </w:rPr>
        <w:t>税费</w:t>
      </w:r>
    </w:p>
    <w:p w14:paraId="1F926B0C">
      <w:pPr>
        <w:autoSpaceDE w:val="0"/>
        <w:autoSpaceDN w:val="0"/>
        <w:spacing w:line="240" w:lineRule="auto"/>
        <w:ind w:firstLine="482" w:firstLineChars="200"/>
        <w:rPr>
          <w:kern w:val="0"/>
          <w:sz w:val="24"/>
        </w:rPr>
      </w:pPr>
      <w:r>
        <w:rPr>
          <w:kern w:val="0"/>
          <w:sz w:val="24"/>
          <w:lang w:val="zh-CN"/>
        </w:rPr>
        <w:t>与本合同有关的一切税费均由乙方承担。</w:t>
      </w:r>
    </w:p>
    <w:p w14:paraId="38EFD992">
      <w:pPr>
        <w:numPr>
          <w:ilvl w:val="0"/>
          <w:numId w:val="4"/>
        </w:numPr>
        <w:autoSpaceDE w:val="0"/>
        <w:autoSpaceDN w:val="0"/>
        <w:spacing w:line="240" w:lineRule="auto"/>
        <w:rPr>
          <w:b/>
          <w:bCs/>
          <w:kern w:val="0"/>
          <w:sz w:val="24"/>
          <w:lang w:val="zh-CN"/>
        </w:rPr>
      </w:pPr>
      <w:r>
        <w:rPr>
          <w:b/>
          <w:bCs/>
          <w:kern w:val="0"/>
          <w:sz w:val="24"/>
          <w:lang w:val="zh-CN"/>
        </w:rPr>
        <w:t>合同争议的解决</w:t>
      </w:r>
    </w:p>
    <w:p w14:paraId="6E1CB4B5">
      <w:pPr>
        <w:numPr>
          <w:ilvl w:val="1"/>
          <w:numId w:val="4"/>
        </w:numPr>
        <w:autoSpaceDE w:val="0"/>
        <w:autoSpaceDN w:val="0"/>
        <w:spacing w:line="240" w:lineRule="auto"/>
        <w:rPr>
          <w:kern w:val="0"/>
          <w:sz w:val="24"/>
        </w:rPr>
      </w:pPr>
      <w:r>
        <w:rPr>
          <w:kern w:val="0"/>
          <w:sz w:val="24"/>
          <w:lang w:val="zh-CN"/>
        </w:rPr>
        <w:t>甲方和乙方由于本合同的履行而发生任何争议时，双方可先通过协商解决。</w:t>
      </w:r>
    </w:p>
    <w:p w14:paraId="111B6521">
      <w:pPr>
        <w:numPr>
          <w:ilvl w:val="1"/>
          <w:numId w:val="4"/>
        </w:numPr>
        <w:autoSpaceDE w:val="0"/>
        <w:autoSpaceDN w:val="0"/>
        <w:spacing w:line="240" w:lineRule="auto"/>
        <w:rPr>
          <w:kern w:val="0"/>
          <w:sz w:val="24"/>
        </w:rPr>
      </w:pPr>
      <w:r>
        <w:rPr>
          <w:kern w:val="0"/>
          <w:sz w:val="24"/>
          <w:lang w:val="zh-CN"/>
        </w:rPr>
        <w:t>任何一方不愿通过协商或通过协商仍不能解决争议，则双方中任何一方均应向甲方所在地人民法院起诉。</w:t>
      </w:r>
    </w:p>
    <w:p w14:paraId="25626E7C">
      <w:pPr>
        <w:numPr>
          <w:ilvl w:val="0"/>
          <w:numId w:val="4"/>
        </w:numPr>
        <w:autoSpaceDE w:val="0"/>
        <w:autoSpaceDN w:val="0"/>
        <w:spacing w:line="240" w:lineRule="auto"/>
        <w:rPr>
          <w:b/>
          <w:bCs/>
          <w:kern w:val="0"/>
          <w:sz w:val="24"/>
          <w:lang w:val="zh-CN"/>
        </w:rPr>
      </w:pPr>
      <w:r>
        <w:rPr>
          <w:b/>
          <w:bCs/>
          <w:kern w:val="0"/>
          <w:sz w:val="24"/>
          <w:lang w:val="zh-CN"/>
        </w:rPr>
        <w:t>违约解除合同</w:t>
      </w:r>
    </w:p>
    <w:p w14:paraId="1DE7EAC4">
      <w:pPr>
        <w:numPr>
          <w:ilvl w:val="1"/>
          <w:numId w:val="4"/>
        </w:numPr>
        <w:autoSpaceDE w:val="0"/>
        <w:autoSpaceDN w:val="0"/>
        <w:spacing w:line="240" w:lineRule="auto"/>
        <w:rPr>
          <w:kern w:val="0"/>
          <w:sz w:val="24"/>
        </w:rPr>
      </w:pPr>
      <w:r>
        <w:rPr>
          <w:kern w:val="0"/>
          <w:sz w:val="24"/>
          <w:lang w:val="zh-CN"/>
        </w:rPr>
        <w:t>出现下列情形之一的，视为乙方违约。甲方可向乙方发出书面通知，部分或全部终止合同，同时保留向乙方索赔的权利。</w:t>
      </w:r>
    </w:p>
    <w:p w14:paraId="1D087931">
      <w:pPr>
        <w:numPr>
          <w:ilvl w:val="2"/>
          <w:numId w:val="4"/>
        </w:numPr>
        <w:autoSpaceDE w:val="0"/>
        <w:autoSpaceDN w:val="0"/>
        <w:spacing w:line="240" w:lineRule="auto"/>
        <w:rPr>
          <w:kern w:val="0"/>
          <w:sz w:val="24"/>
        </w:rPr>
      </w:pPr>
      <w:r>
        <w:rPr>
          <w:kern w:val="0"/>
          <w:sz w:val="24"/>
          <w:lang w:val="zh-CN"/>
        </w:rPr>
        <w:t>乙方未能在合同规定的限期或甲方同意延长的限期内，提供全部或部分货物的；</w:t>
      </w:r>
    </w:p>
    <w:p w14:paraId="1809DA98">
      <w:pPr>
        <w:numPr>
          <w:ilvl w:val="2"/>
          <w:numId w:val="4"/>
        </w:numPr>
        <w:autoSpaceDE w:val="0"/>
        <w:autoSpaceDN w:val="0"/>
        <w:spacing w:line="240" w:lineRule="auto"/>
        <w:rPr>
          <w:kern w:val="0"/>
          <w:sz w:val="24"/>
        </w:rPr>
      </w:pPr>
      <w:r>
        <w:rPr>
          <w:kern w:val="0"/>
          <w:sz w:val="24"/>
          <w:lang w:val="zh-CN"/>
        </w:rPr>
        <w:t>乙方未能履行合同规定的其它主要义务的；</w:t>
      </w:r>
    </w:p>
    <w:p w14:paraId="40D95E00">
      <w:pPr>
        <w:numPr>
          <w:ilvl w:val="2"/>
          <w:numId w:val="4"/>
        </w:numPr>
        <w:autoSpaceDE w:val="0"/>
        <w:autoSpaceDN w:val="0"/>
        <w:spacing w:line="240" w:lineRule="auto"/>
        <w:rPr>
          <w:kern w:val="0"/>
          <w:sz w:val="24"/>
        </w:rPr>
      </w:pPr>
      <w:r>
        <w:rPr>
          <w:kern w:val="0"/>
          <w:sz w:val="24"/>
          <w:lang w:val="zh-CN"/>
        </w:rPr>
        <w:t>乙方在本合同履行过程中有欺诈行为的。</w:t>
      </w:r>
    </w:p>
    <w:p w14:paraId="5F82AE58">
      <w:pPr>
        <w:numPr>
          <w:ilvl w:val="1"/>
          <w:numId w:val="4"/>
        </w:numPr>
        <w:autoSpaceDE w:val="0"/>
        <w:autoSpaceDN w:val="0"/>
        <w:spacing w:line="240" w:lineRule="auto"/>
        <w:rPr>
          <w:kern w:val="0"/>
          <w:sz w:val="24"/>
          <w:lang w:val="zh-CN"/>
        </w:rPr>
      </w:pPr>
      <w:r>
        <w:rPr>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E239175">
      <w:pPr>
        <w:numPr>
          <w:ilvl w:val="0"/>
          <w:numId w:val="4"/>
        </w:numPr>
        <w:autoSpaceDE w:val="0"/>
        <w:autoSpaceDN w:val="0"/>
        <w:spacing w:line="240" w:lineRule="auto"/>
        <w:rPr>
          <w:b/>
          <w:bCs/>
          <w:kern w:val="0"/>
          <w:sz w:val="24"/>
        </w:rPr>
      </w:pPr>
      <w:r>
        <w:rPr>
          <w:b/>
          <w:bCs/>
          <w:kern w:val="0"/>
          <w:sz w:val="24"/>
          <w:lang w:val="zh-CN"/>
        </w:rPr>
        <w:t>破产终止合同</w:t>
      </w:r>
    </w:p>
    <w:p w14:paraId="5FB44C8E">
      <w:pPr>
        <w:autoSpaceDE w:val="0"/>
        <w:autoSpaceDN w:val="0"/>
        <w:spacing w:line="240" w:lineRule="auto"/>
        <w:ind w:firstLine="482" w:firstLineChars="200"/>
        <w:rPr>
          <w:kern w:val="0"/>
          <w:sz w:val="24"/>
        </w:rPr>
      </w:pPr>
      <w:r>
        <w:rPr>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620D362">
      <w:pPr>
        <w:numPr>
          <w:ilvl w:val="0"/>
          <w:numId w:val="4"/>
        </w:numPr>
        <w:autoSpaceDE w:val="0"/>
        <w:autoSpaceDN w:val="0"/>
        <w:spacing w:line="240" w:lineRule="auto"/>
        <w:rPr>
          <w:b/>
          <w:bCs/>
          <w:kern w:val="0"/>
          <w:sz w:val="24"/>
          <w:lang w:val="zh-CN"/>
        </w:rPr>
      </w:pPr>
      <w:r>
        <w:rPr>
          <w:b/>
          <w:bCs/>
          <w:kern w:val="0"/>
          <w:sz w:val="24"/>
          <w:lang w:val="zh-CN"/>
        </w:rPr>
        <w:t>转让和分包</w:t>
      </w:r>
    </w:p>
    <w:p w14:paraId="24C943F7">
      <w:pPr>
        <w:numPr>
          <w:ilvl w:val="1"/>
          <w:numId w:val="4"/>
        </w:numPr>
        <w:autoSpaceDE w:val="0"/>
        <w:autoSpaceDN w:val="0"/>
        <w:spacing w:line="240" w:lineRule="auto"/>
        <w:rPr>
          <w:kern w:val="0"/>
          <w:sz w:val="24"/>
        </w:rPr>
      </w:pPr>
      <w:r>
        <w:rPr>
          <w:kern w:val="0"/>
          <w:sz w:val="24"/>
          <w:lang w:val="zh-CN"/>
        </w:rPr>
        <w:t>政府采购合同不能转让。</w:t>
      </w:r>
    </w:p>
    <w:p w14:paraId="06DCE6D5">
      <w:pPr>
        <w:numPr>
          <w:ilvl w:val="1"/>
          <w:numId w:val="4"/>
        </w:numPr>
        <w:autoSpaceDE w:val="0"/>
        <w:autoSpaceDN w:val="0"/>
        <w:spacing w:line="240" w:lineRule="auto"/>
        <w:rPr>
          <w:kern w:val="0"/>
          <w:sz w:val="24"/>
        </w:rPr>
      </w:pPr>
      <w:r>
        <w:rPr>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50BFCE9">
      <w:pPr>
        <w:numPr>
          <w:ilvl w:val="0"/>
          <w:numId w:val="4"/>
        </w:numPr>
        <w:autoSpaceDE w:val="0"/>
        <w:autoSpaceDN w:val="0"/>
        <w:spacing w:line="240" w:lineRule="auto"/>
        <w:rPr>
          <w:b/>
          <w:bCs/>
          <w:kern w:val="0"/>
          <w:sz w:val="24"/>
        </w:rPr>
      </w:pPr>
      <w:r>
        <w:rPr>
          <w:b/>
          <w:bCs/>
          <w:kern w:val="0"/>
          <w:sz w:val="24"/>
          <w:lang w:val="zh-CN"/>
        </w:rPr>
        <w:t>合同修改</w:t>
      </w:r>
    </w:p>
    <w:p w14:paraId="79B627EF">
      <w:pPr>
        <w:autoSpaceDE w:val="0"/>
        <w:autoSpaceDN w:val="0"/>
        <w:spacing w:line="240" w:lineRule="auto"/>
        <w:ind w:firstLine="482" w:firstLineChars="200"/>
        <w:rPr>
          <w:kern w:val="0"/>
          <w:sz w:val="24"/>
        </w:rPr>
      </w:pPr>
      <w:r>
        <w:rPr>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26E9E397">
      <w:pPr>
        <w:numPr>
          <w:ilvl w:val="0"/>
          <w:numId w:val="4"/>
        </w:numPr>
        <w:autoSpaceDE w:val="0"/>
        <w:autoSpaceDN w:val="0"/>
        <w:spacing w:line="240" w:lineRule="auto"/>
        <w:rPr>
          <w:b/>
          <w:bCs/>
          <w:kern w:val="0"/>
          <w:sz w:val="24"/>
        </w:rPr>
      </w:pPr>
      <w:r>
        <w:rPr>
          <w:b/>
          <w:bCs/>
          <w:kern w:val="0"/>
          <w:sz w:val="24"/>
          <w:lang w:val="zh-CN"/>
        </w:rPr>
        <w:t>通知</w:t>
      </w:r>
    </w:p>
    <w:p w14:paraId="5B5199D6">
      <w:pPr>
        <w:autoSpaceDE w:val="0"/>
        <w:autoSpaceDN w:val="0"/>
        <w:spacing w:line="240" w:lineRule="auto"/>
        <w:ind w:firstLine="482" w:firstLineChars="200"/>
        <w:rPr>
          <w:kern w:val="0"/>
          <w:sz w:val="24"/>
        </w:rPr>
      </w:pPr>
      <w:r>
        <w:rPr>
          <w:kern w:val="0"/>
          <w:sz w:val="24"/>
          <w:lang w:val="zh-CN"/>
        </w:rPr>
        <w:t>本合同任何一方给另一方的通知，都应以书面形式发送，而另一方也应以书面形式确认并发送到对方明确的地址。</w:t>
      </w:r>
    </w:p>
    <w:p w14:paraId="00AAFB96">
      <w:pPr>
        <w:numPr>
          <w:ilvl w:val="0"/>
          <w:numId w:val="4"/>
        </w:numPr>
        <w:autoSpaceDE w:val="0"/>
        <w:autoSpaceDN w:val="0"/>
        <w:spacing w:line="240" w:lineRule="auto"/>
        <w:rPr>
          <w:b/>
          <w:bCs/>
          <w:kern w:val="0"/>
          <w:sz w:val="24"/>
        </w:rPr>
      </w:pPr>
      <w:r>
        <w:rPr>
          <w:b/>
          <w:bCs/>
          <w:kern w:val="0"/>
          <w:sz w:val="24"/>
          <w:lang w:val="zh-CN"/>
        </w:rPr>
        <w:t>计量单位</w:t>
      </w:r>
    </w:p>
    <w:p w14:paraId="2BC8249C">
      <w:pPr>
        <w:autoSpaceDE w:val="0"/>
        <w:autoSpaceDN w:val="0"/>
        <w:spacing w:line="240" w:lineRule="auto"/>
        <w:ind w:firstLine="482" w:firstLineChars="200"/>
        <w:rPr>
          <w:kern w:val="0"/>
          <w:sz w:val="24"/>
        </w:rPr>
      </w:pPr>
      <w:r>
        <w:rPr>
          <w:kern w:val="0"/>
          <w:sz w:val="24"/>
          <w:lang w:val="zh-CN"/>
        </w:rPr>
        <w:t>除技术规范中另有规定外</w:t>
      </w:r>
      <w:r>
        <w:rPr>
          <w:kern w:val="0"/>
          <w:sz w:val="24"/>
        </w:rPr>
        <w:t>,</w:t>
      </w:r>
      <w:r>
        <w:rPr>
          <w:kern w:val="0"/>
          <w:sz w:val="24"/>
          <w:lang w:val="zh-CN"/>
        </w:rPr>
        <w:t>计量单位均使用国家法定计量单位。</w:t>
      </w:r>
    </w:p>
    <w:p w14:paraId="283DF93B">
      <w:pPr>
        <w:numPr>
          <w:ilvl w:val="0"/>
          <w:numId w:val="4"/>
        </w:numPr>
        <w:autoSpaceDE w:val="0"/>
        <w:autoSpaceDN w:val="0"/>
        <w:spacing w:line="240" w:lineRule="auto"/>
        <w:rPr>
          <w:kern w:val="0"/>
          <w:sz w:val="24"/>
          <w:lang w:val="zh-CN"/>
        </w:rPr>
      </w:pPr>
      <w:r>
        <w:rPr>
          <w:b/>
          <w:bCs/>
          <w:kern w:val="0"/>
          <w:sz w:val="24"/>
          <w:lang w:val="zh-CN"/>
        </w:rPr>
        <w:t>适用法律</w:t>
      </w:r>
      <w:r>
        <w:rPr>
          <w:b/>
          <w:bCs/>
          <w:kern w:val="0"/>
          <w:sz w:val="24"/>
        </w:rPr>
        <w:t>：</w:t>
      </w:r>
      <w:r>
        <w:rPr>
          <w:kern w:val="0"/>
          <w:sz w:val="24"/>
          <w:lang w:val="zh-CN"/>
        </w:rPr>
        <w:t>本合同按照中华人民共和国的相关法律进行解释。</w:t>
      </w:r>
    </w:p>
    <w:p w14:paraId="46C609BC">
      <w:pPr>
        <w:autoSpaceDE w:val="0"/>
        <w:autoSpaceDN w:val="0"/>
        <w:spacing w:line="240" w:lineRule="auto"/>
        <w:ind w:left="360"/>
        <w:rPr>
          <w:b/>
          <w:bCs/>
          <w:kern w:val="0"/>
          <w:sz w:val="24"/>
        </w:rPr>
      </w:pPr>
      <w:r>
        <w:rPr>
          <w:kern w:val="0"/>
          <w:sz w:val="24"/>
          <w:lang w:val="zh-CN"/>
        </w:rPr>
        <w:br w:type="page"/>
      </w:r>
    </w:p>
    <w:p w14:paraId="4DB4C519">
      <w:pPr>
        <w:pStyle w:val="27"/>
        <w:spacing w:line="240" w:lineRule="auto"/>
        <w:rPr>
          <w:rFonts w:ascii="Times New Roman" w:hAnsi="Times New Roman"/>
          <w:lang w:val="zh-CN"/>
        </w:rPr>
      </w:pPr>
      <w:bookmarkStart w:id="98" w:name="_Toc4354"/>
      <w:r>
        <w:rPr>
          <w:rFonts w:ascii="Times New Roman" w:hAnsi="Times New Roman"/>
          <w:lang w:val="zh-CN"/>
        </w:rPr>
        <w:t>第四部分  投标文件格式</w:t>
      </w:r>
      <w:bookmarkEnd w:id="98"/>
    </w:p>
    <w:p w14:paraId="364F756C">
      <w:pPr>
        <w:pStyle w:val="23"/>
        <w:spacing w:line="240" w:lineRule="auto"/>
        <w:jc w:val="left"/>
        <w:rPr>
          <w:rFonts w:ascii="Times New Roman" w:hAnsi="Times New Roman"/>
        </w:rPr>
      </w:pPr>
      <w:bookmarkStart w:id="99" w:name="_Toc11851"/>
      <w:bookmarkStart w:id="100" w:name="_Toc32470"/>
      <w:bookmarkStart w:id="101" w:name="_Toc19114"/>
      <w:r>
        <w:rPr>
          <w:rFonts w:ascii="Times New Roman" w:hAnsi="Times New Roman"/>
        </w:rPr>
        <w:t>投标文件封面</w:t>
      </w:r>
      <w:bookmarkEnd w:id="99"/>
      <w:r>
        <w:rPr>
          <w:rFonts w:ascii="Times New Roman" w:hAnsi="Times New Roman"/>
        </w:rPr>
        <w:t>（上册）</w:t>
      </w:r>
      <w:bookmarkEnd w:id="100"/>
      <w:bookmarkEnd w:id="101"/>
    </w:p>
    <w:p w14:paraId="0539D6CD">
      <w:pPr>
        <w:spacing w:line="240" w:lineRule="auto"/>
        <w:jc w:val="right"/>
        <w:rPr>
          <w:lang w:val="zh-CN"/>
        </w:rPr>
      </w:pPr>
      <w:r>
        <w:rPr>
          <w:lang w:val="zh-CN"/>
        </w:rPr>
        <w:t xml:space="preserve">                                             </w:t>
      </w:r>
    </w:p>
    <w:p w14:paraId="5A9B658A">
      <w:pPr>
        <w:pStyle w:val="20"/>
        <w:spacing w:line="240" w:lineRule="auto"/>
      </w:pPr>
    </w:p>
    <w:p w14:paraId="546B1E95">
      <w:pPr>
        <w:spacing w:line="240" w:lineRule="auto"/>
        <w:jc w:val="center"/>
        <w:rPr>
          <w:b/>
          <w:sz w:val="96"/>
        </w:rPr>
      </w:pPr>
      <w:r>
        <w:rPr>
          <w:rFonts w:hint="eastAsia"/>
          <w:b/>
          <w:sz w:val="72"/>
          <w:lang w:eastAsia="zh-CN"/>
        </w:rPr>
        <w:t>湟源县</w:t>
      </w:r>
      <w:r>
        <w:rPr>
          <w:b/>
          <w:sz w:val="72"/>
        </w:rPr>
        <w:t>政府采购项目</w:t>
      </w:r>
    </w:p>
    <w:p w14:paraId="0484C103">
      <w:pPr>
        <w:spacing w:line="240" w:lineRule="auto"/>
        <w:jc w:val="center"/>
        <w:rPr>
          <w:rFonts w:hint="eastAsia"/>
          <w:b/>
          <w:sz w:val="52"/>
        </w:rPr>
      </w:pPr>
      <w:r>
        <w:rPr>
          <w:rFonts w:hint="eastAsia" w:ascii="宋体" w:hAnsi="宋体" w:cs="宋体"/>
          <w:b/>
          <w:sz w:val="48"/>
        </w:rPr>
        <w:t>（上</w:t>
      </w:r>
      <w:r>
        <w:rPr>
          <w:rFonts w:hint="eastAsia" w:ascii="宋体" w:hAnsi="宋体" w:cs="宋体"/>
          <w:b/>
          <w:sz w:val="48"/>
          <w:lang w:val="en-US" w:eastAsia="zh-CN"/>
        </w:rPr>
        <w:t xml:space="preserve">  </w:t>
      </w:r>
      <w:r>
        <w:rPr>
          <w:rFonts w:hint="eastAsia" w:ascii="宋体" w:hAnsi="宋体" w:cs="宋体"/>
          <w:b/>
          <w:sz w:val="48"/>
        </w:rPr>
        <w:t>册）</w:t>
      </w:r>
    </w:p>
    <w:p w14:paraId="445A130E">
      <w:pPr>
        <w:spacing w:line="240" w:lineRule="auto"/>
        <w:jc w:val="center"/>
        <w:rPr>
          <w:b/>
          <w:sz w:val="52"/>
        </w:rPr>
      </w:pPr>
    </w:p>
    <w:p w14:paraId="63172914">
      <w:pPr>
        <w:pStyle w:val="20"/>
        <w:spacing w:line="240" w:lineRule="auto"/>
      </w:pPr>
    </w:p>
    <w:p w14:paraId="0CC755E3">
      <w:pPr>
        <w:spacing w:line="240" w:lineRule="auto"/>
        <w:jc w:val="center"/>
        <w:rPr>
          <w:rFonts w:hint="eastAsia"/>
          <w:b/>
          <w:sz w:val="52"/>
        </w:rPr>
      </w:pPr>
      <w:r>
        <w:rPr>
          <w:b/>
          <w:sz w:val="52"/>
        </w:rPr>
        <w:t>投 标 文 件</w:t>
      </w:r>
    </w:p>
    <w:p w14:paraId="2D46854D">
      <w:pPr>
        <w:spacing w:line="240" w:lineRule="auto"/>
        <w:rPr>
          <w:b/>
          <w:bCs/>
          <w:sz w:val="32"/>
        </w:rPr>
      </w:pPr>
    </w:p>
    <w:p w14:paraId="079AB0C7">
      <w:pPr>
        <w:adjustRightInd w:val="0"/>
        <w:spacing w:line="240" w:lineRule="auto"/>
        <w:textAlignment w:val="baseline"/>
        <w:rPr>
          <w:b/>
          <w:bCs/>
          <w:sz w:val="32"/>
        </w:rPr>
      </w:pPr>
    </w:p>
    <w:p w14:paraId="236BE2D7">
      <w:pPr>
        <w:pStyle w:val="20"/>
        <w:spacing w:line="240" w:lineRule="auto"/>
      </w:pPr>
    </w:p>
    <w:p w14:paraId="7A072B57">
      <w:pPr>
        <w:adjustRightInd w:val="0"/>
        <w:spacing w:line="240" w:lineRule="auto"/>
        <w:textAlignment w:val="baseline"/>
        <w:rPr>
          <w:rFonts w:hint="eastAsia"/>
          <w:b/>
          <w:bCs/>
          <w:sz w:val="32"/>
          <w:szCs w:val="32"/>
          <w:u w:val="single"/>
        </w:rPr>
      </w:pPr>
      <w:r>
        <w:rPr>
          <w:b/>
          <w:bCs/>
          <w:sz w:val="32"/>
          <w:szCs w:val="32"/>
        </w:rPr>
        <w:t>采购项目编号:</w:t>
      </w:r>
      <w:r>
        <w:rPr>
          <w:rFonts w:hint="eastAsia"/>
          <w:b/>
          <w:bCs/>
          <w:sz w:val="32"/>
          <w:szCs w:val="32"/>
          <w:lang w:val="en-US" w:eastAsia="zh-CN"/>
        </w:rPr>
        <w:t xml:space="preserve"> </w:t>
      </w:r>
      <w:r>
        <w:rPr>
          <w:rFonts w:hint="eastAsia" w:ascii="宋体" w:hAnsi="宋体"/>
          <w:b/>
          <w:sz w:val="32"/>
          <w:szCs w:val="32"/>
          <w:u w:val="single"/>
          <w:lang w:eastAsia="zh-CN"/>
        </w:rPr>
        <w:t>源政采公招（货物）202</w:t>
      </w:r>
      <w:r>
        <w:rPr>
          <w:rFonts w:hint="eastAsia" w:ascii="宋体" w:hAnsi="宋体"/>
          <w:b/>
          <w:sz w:val="32"/>
          <w:szCs w:val="32"/>
          <w:u w:val="single"/>
          <w:lang w:val="en-US" w:eastAsia="zh-CN"/>
        </w:rPr>
        <w:t>5</w:t>
      </w:r>
      <w:r>
        <w:rPr>
          <w:rFonts w:hint="eastAsia" w:ascii="宋体" w:hAnsi="宋体"/>
          <w:b/>
          <w:sz w:val="32"/>
          <w:szCs w:val="32"/>
          <w:u w:val="single"/>
          <w:lang w:eastAsia="zh-CN"/>
        </w:rPr>
        <w:t>-00</w:t>
      </w:r>
      <w:r>
        <w:rPr>
          <w:rFonts w:hint="eastAsia" w:ascii="宋体" w:hAnsi="宋体"/>
          <w:b/>
          <w:sz w:val="32"/>
          <w:szCs w:val="32"/>
          <w:u w:val="single"/>
          <w:lang w:val="en-US" w:eastAsia="zh-CN"/>
        </w:rPr>
        <w:t>4</w:t>
      </w:r>
      <w:r>
        <w:rPr>
          <w:rFonts w:hint="eastAsia" w:ascii="宋体" w:hAnsi="宋体"/>
          <w:b/>
          <w:sz w:val="32"/>
          <w:szCs w:val="32"/>
          <w:u w:val="single"/>
          <w:lang w:eastAsia="zh-CN"/>
        </w:rPr>
        <w:t>号</w:t>
      </w:r>
      <w:r>
        <w:rPr>
          <w:rFonts w:hint="eastAsia" w:ascii="宋体"/>
          <w:b/>
          <w:color w:val="000000"/>
          <w:sz w:val="32"/>
          <w:szCs w:val="32"/>
          <w:u w:val="single"/>
        </w:rPr>
        <w:t xml:space="preserve"> </w:t>
      </w:r>
      <w:r>
        <w:rPr>
          <w:b/>
          <w:bCs/>
          <w:sz w:val="32"/>
          <w:szCs w:val="32"/>
          <w:u w:val="single"/>
        </w:rPr>
        <w:t xml:space="preserve">                             </w:t>
      </w:r>
    </w:p>
    <w:p w14:paraId="28FBA5AC">
      <w:pPr>
        <w:numPr>
          <w:ilvl w:val="0"/>
          <w:numId w:val="0"/>
        </w:numPr>
        <w:spacing w:line="240" w:lineRule="auto"/>
        <w:jc w:val="both"/>
        <w:rPr>
          <w:rFonts w:hint="default" w:cs="Times New Roman"/>
          <w:b/>
          <w:bCs/>
          <w:sz w:val="32"/>
          <w:szCs w:val="32"/>
          <w:u w:val="single"/>
          <w:lang w:eastAsia="zh-CN"/>
        </w:rPr>
      </w:pPr>
      <w:r>
        <w:rPr>
          <w:b/>
          <w:bCs/>
          <w:sz w:val="32"/>
          <w:szCs w:val="32"/>
        </w:rPr>
        <w:t>采购项目名称</w:t>
      </w:r>
      <w:r>
        <w:rPr>
          <w:rFonts w:hint="eastAsia"/>
          <w:b/>
          <w:bCs/>
          <w:sz w:val="32"/>
          <w:szCs w:val="32"/>
          <w:lang w:eastAsia="zh-CN"/>
        </w:rPr>
        <w:t>：</w:t>
      </w:r>
      <w:r>
        <w:rPr>
          <w:rFonts w:hint="default" w:cs="Times New Roman"/>
          <w:b/>
          <w:bCs/>
          <w:sz w:val="32"/>
          <w:szCs w:val="32"/>
          <w:u w:val="single"/>
          <w:lang w:eastAsia="zh-CN"/>
        </w:rPr>
        <w:t>湟源县交通管理系统升级改造服务项目</w:t>
      </w:r>
    </w:p>
    <w:p w14:paraId="5B61AAD1">
      <w:pPr>
        <w:numPr>
          <w:ilvl w:val="0"/>
          <w:numId w:val="0"/>
        </w:numPr>
        <w:spacing w:line="240" w:lineRule="auto"/>
        <w:jc w:val="both"/>
        <w:rPr>
          <w:b/>
          <w:bCs/>
          <w:sz w:val="32"/>
          <w:szCs w:val="32"/>
          <w:u w:val="single"/>
        </w:rPr>
      </w:pPr>
      <w:r>
        <w:rPr>
          <w:b/>
          <w:bCs/>
          <w:sz w:val="32"/>
          <w:szCs w:val="32"/>
        </w:rPr>
        <w:t>投   标   人</w:t>
      </w:r>
      <w:r>
        <w:rPr>
          <w:b/>
          <w:sz w:val="32"/>
          <w:szCs w:val="32"/>
        </w:rPr>
        <w:t>：</w:t>
      </w:r>
      <w:r>
        <w:rPr>
          <w:b/>
          <w:sz w:val="32"/>
          <w:szCs w:val="32"/>
          <w:u w:val="single"/>
        </w:rPr>
        <w:t xml:space="preserve"> </w:t>
      </w:r>
      <w:r>
        <w:rPr>
          <w:rFonts w:hint="eastAsia"/>
          <w:b/>
          <w:sz w:val="32"/>
          <w:szCs w:val="32"/>
          <w:u w:val="single"/>
          <w:lang w:val="en-US" w:eastAsia="zh-CN"/>
        </w:rPr>
        <w:t xml:space="preserve">          </w:t>
      </w:r>
      <w:r>
        <w:rPr>
          <w:b/>
          <w:sz w:val="32"/>
          <w:szCs w:val="32"/>
          <w:u w:val="single"/>
        </w:rPr>
        <w:t xml:space="preserve">              （公章）</w:t>
      </w:r>
    </w:p>
    <w:p w14:paraId="59EB67B1">
      <w:pPr>
        <w:autoSpaceDE w:val="0"/>
        <w:autoSpaceDN w:val="0"/>
        <w:spacing w:line="240" w:lineRule="auto"/>
        <w:rPr>
          <w:b/>
          <w:bCs/>
          <w:kern w:val="0"/>
          <w:sz w:val="36"/>
          <w:szCs w:val="36"/>
        </w:rPr>
      </w:pPr>
      <w:r>
        <w:rPr>
          <w:b/>
          <w:sz w:val="32"/>
        </w:rPr>
        <w:t>法</w:t>
      </w:r>
      <w:r>
        <w:rPr>
          <w:rFonts w:hint="eastAsia"/>
          <w:b/>
          <w:sz w:val="32"/>
          <w:lang w:val="en-US" w:eastAsia="zh-CN"/>
        </w:rPr>
        <w:t xml:space="preserve"> </w:t>
      </w:r>
      <w:r>
        <w:rPr>
          <w:b/>
          <w:sz w:val="32"/>
        </w:rPr>
        <w:t>定</w:t>
      </w:r>
      <w:r>
        <w:rPr>
          <w:rFonts w:hint="eastAsia"/>
          <w:b/>
          <w:sz w:val="32"/>
          <w:lang w:val="en-US" w:eastAsia="zh-CN"/>
        </w:rPr>
        <w:t xml:space="preserve"> </w:t>
      </w:r>
      <w:r>
        <w:rPr>
          <w:b/>
          <w:sz w:val="32"/>
        </w:rPr>
        <w:t>代</w:t>
      </w:r>
      <w:r>
        <w:rPr>
          <w:rFonts w:hint="eastAsia"/>
          <w:b/>
          <w:sz w:val="32"/>
          <w:lang w:val="en-US" w:eastAsia="zh-CN"/>
        </w:rPr>
        <w:t xml:space="preserve"> </w:t>
      </w:r>
      <w:r>
        <w:rPr>
          <w:b/>
          <w:sz w:val="32"/>
        </w:rPr>
        <w:t>表人</w:t>
      </w:r>
      <w:r>
        <w:rPr>
          <w:rFonts w:hint="eastAsia"/>
          <w:b/>
          <w:sz w:val="32"/>
          <w:lang w:eastAsia="zh-CN"/>
        </w:rPr>
        <w:t>：</w:t>
      </w:r>
      <w:r>
        <w:rPr>
          <w:b/>
          <w:sz w:val="32"/>
          <w:u w:val="single"/>
        </w:rPr>
        <w:t xml:space="preserve">    </w:t>
      </w:r>
      <w:r>
        <w:rPr>
          <w:rFonts w:hint="eastAsia"/>
          <w:b/>
          <w:sz w:val="32"/>
          <w:u w:val="single"/>
          <w:lang w:val="en-US" w:eastAsia="zh-CN"/>
        </w:rPr>
        <w:t xml:space="preserve">        </w:t>
      </w:r>
      <w:r>
        <w:rPr>
          <w:b/>
          <w:sz w:val="32"/>
          <w:u w:val="single"/>
        </w:rPr>
        <w:t>（签字</w:t>
      </w:r>
      <w:r>
        <w:rPr>
          <w:rFonts w:hint="eastAsia"/>
          <w:b/>
          <w:sz w:val="32"/>
          <w:u w:val="single"/>
          <w:lang w:eastAsia="zh-CN"/>
        </w:rPr>
        <w:t>或</w:t>
      </w:r>
      <w:r>
        <w:rPr>
          <w:b/>
          <w:sz w:val="32"/>
          <w:u w:val="single"/>
        </w:rPr>
        <w:t>加盖法人章）</w:t>
      </w:r>
    </w:p>
    <w:p w14:paraId="28DEE0FB">
      <w:pPr>
        <w:adjustRightInd w:val="0"/>
        <w:spacing w:line="240" w:lineRule="auto"/>
        <w:ind w:firstLine="642" w:firstLineChars="200"/>
        <w:textAlignment w:val="baseline"/>
        <w:rPr>
          <w:b/>
          <w:sz w:val="32"/>
          <w:u w:val="single"/>
        </w:rPr>
      </w:pPr>
    </w:p>
    <w:p w14:paraId="5373B0CD">
      <w:pPr>
        <w:spacing w:line="240" w:lineRule="auto"/>
        <w:jc w:val="center"/>
        <w:rPr>
          <w:kern w:val="0"/>
          <w:sz w:val="36"/>
          <w:szCs w:val="36"/>
          <w:lang w:val="zh-CN"/>
        </w:rPr>
      </w:pPr>
      <w:r>
        <w:rPr>
          <w:sz w:val="36"/>
          <w:szCs w:val="36"/>
        </w:rPr>
        <w:t>年   月  日</w:t>
      </w:r>
      <w:bookmarkStart w:id="102" w:name="_Toc444715735"/>
    </w:p>
    <w:p w14:paraId="0D5F9091">
      <w:pPr>
        <w:pStyle w:val="23"/>
        <w:spacing w:line="240" w:lineRule="auto"/>
        <w:jc w:val="left"/>
        <w:rPr>
          <w:rFonts w:ascii="Times New Roman" w:hAnsi="Times New Roman"/>
        </w:rPr>
      </w:pPr>
      <w:r>
        <w:rPr>
          <w:rFonts w:ascii="Times New Roman" w:hAnsi="Times New Roman"/>
          <w:kern w:val="0"/>
          <w:sz w:val="36"/>
          <w:szCs w:val="36"/>
        </w:rPr>
        <w:br w:type="page"/>
      </w:r>
      <w:bookmarkEnd w:id="102"/>
      <w:bookmarkStart w:id="103" w:name="_Toc5165"/>
      <w:bookmarkStart w:id="104" w:name="_Toc20569"/>
      <w:r>
        <w:rPr>
          <w:rFonts w:ascii="Times New Roman" w:hAnsi="Times New Roman"/>
        </w:rPr>
        <w:t>投标文件目录（上册）</w:t>
      </w:r>
      <w:bookmarkEnd w:id="103"/>
      <w:bookmarkEnd w:id="104"/>
    </w:p>
    <w:p w14:paraId="0253A378">
      <w:pPr>
        <w:autoSpaceDE w:val="0"/>
        <w:autoSpaceDN w:val="0"/>
        <w:spacing w:line="240" w:lineRule="auto"/>
        <w:ind w:firstLine="241" w:firstLineChars="100"/>
        <w:jc w:val="center"/>
        <w:rPr>
          <w:kern w:val="0"/>
          <w:sz w:val="24"/>
          <w:lang w:val="zh-CN"/>
        </w:rPr>
      </w:pPr>
      <w:r>
        <w:rPr>
          <w:kern w:val="0"/>
          <w:sz w:val="24"/>
          <w:lang w:val="zh-CN"/>
        </w:rPr>
        <w:t>（</w:t>
      </w:r>
      <w:r>
        <w:rPr>
          <w:kern w:val="0"/>
          <w:sz w:val="24"/>
        </w:rPr>
        <w:t>1</w:t>
      </w:r>
      <w:r>
        <w:rPr>
          <w:kern w:val="0"/>
          <w:sz w:val="24"/>
          <w:lang w:val="zh-CN"/>
        </w:rPr>
        <w:t>）</w:t>
      </w:r>
      <w:r>
        <w:rPr>
          <w:kern w:val="0"/>
          <w:sz w:val="24"/>
        </w:rPr>
        <w:t xml:space="preserve"> </w:t>
      </w:r>
      <w:r>
        <w:rPr>
          <w:kern w:val="0"/>
          <w:sz w:val="24"/>
          <w:lang w:val="zh-CN"/>
        </w:rPr>
        <w:t>投标函……………………………………………………所在页码</w:t>
      </w:r>
    </w:p>
    <w:p w14:paraId="0A46DD41">
      <w:pPr>
        <w:autoSpaceDE w:val="0"/>
        <w:autoSpaceDN w:val="0"/>
        <w:spacing w:line="240" w:lineRule="auto"/>
        <w:ind w:firstLine="241" w:firstLineChars="100"/>
        <w:jc w:val="center"/>
        <w:rPr>
          <w:kern w:val="0"/>
          <w:sz w:val="24"/>
          <w:lang w:val="zh-CN"/>
        </w:rPr>
      </w:pPr>
      <w:r>
        <w:rPr>
          <w:kern w:val="0"/>
          <w:sz w:val="24"/>
          <w:lang w:val="zh-CN"/>
        </w:rPr>
        <w:t>（</w:t>
      </w:r>
      <w:r>
        <w:rPr>
          <w:kern w:val="0"/>
          <w:sz w:val="24"/>
        </w:rPr>
        <w:t>2</w:t>
      </w:r>
      <w:r>
        <w:rPr>
          <w:kern w:val="0"/>
          <w:sz w:val="24"/>
          <w:lang w:val="zh-CN"/>
        </w:rPr>
        <w:t>）</w:t>
      </w:r>
      <w:r>
        <w:rPr>
          <w:kern w:val="0"/>
          <w:sz w:val="24"/>
        </w:rPr>
        <w:t xml:space="preserve"> </w:t>
      </w:r>
      <w:r>
        <w:rPr>
          <w:kern w:val="0"/>
          <w:sz w:val="24"/>
          <w:lang w:val="zh-CN"/>
        </w:rPr>
        <w:t>法定代表人证明书………………………………………所在页码</w:t>
      </w:r>
    </w:p>
    <w:p w14:paraId="73308C0D">
      <w:pPr>
        <w:autoSpaceDE w:val="0"/>
        <w:autoSpaceDN w:val="0"/>
        <w:spacing w:line="240" w:lineRule="auto"/>
        <w:ind w:firstLine="241" w:firstLineChars="100"/>
        <w:jc w:val="center"/>
        <w:rPr>
          <w:kern w:val="0"/>
          <w:sz w:val="24"/>
          <w:lang w:val="zh-CN"/>
        </w:rPr>
      </w:pPr>
      <w:r>
        <w:rPr>
          <w:kern w:val="0"/>
          <w:sz w:val="24"/>
          <w:lang w:val="zh-CN"/>
        </w:rPr>
        <w:t>（</w:t>
      </w:r>
      <w:r>
        <w:rPr>
          <w:kern w:val="0"/>
          <w:sz w:val="24"/>
        </w:rPr>
        <w:t>3</w:t>
      </w:r>
      <w:r>
        <w:rPr>
          <w:kern w:val="0"/>
          <w:sz w:val="24"/>
          <w:lang w:val="zh-CN"/>
        </w:rPr>
        <w:t>）</w:t>
      </w:r>
      <w:r>
        <w:rPr>
          <w:kern w:val="0"/>
          <w:sz w:val="24"/>
        </w:rPr>
        <w:t xml:space="preserve"> </w:t>
      </w:r>
      <w:r>
        <w:rPr>
          <w:kern w:val="0"/>
          <w:sz w:val="24"/>
          <w:lang w:val="zh-CN"/>
        </w:rPr>
        <w:t>法定代表人授权书………………………………………所在页码</w:t>
      </w:r>
    </w:p>
    <w:p w14:paraId="12D7A867">
      <w:pPr>
        <w:autoSpaceDE w:val="0"/>
        <w:autoSpaceDN w:val="0"/>
        <w:spacing w:line="240" w:lineRule="auto"/>
        <w:ind w:firstLine="241" w:firstLineChars="100"/>
        <w:jc w:val="center"/>
        <w:rPr>
          <w:kern w:val="0"/>
          <w:sz w:val="24"/>
          <w:lang w:val="zh-CN"/>
        </w:rPr>
      </w:pPr>
      <w:r>
        <w:rPr>
          <w:kern w:val="0"/>
          <w:sz w:val="24"/>
          <w:lang w:val="zh-CN"/>
        </w:rPr>
        <w:t>（</w:t>
      </w:r>
      <w:r>
        <w:rPr>
          <w:kern w:val="0"/>
          <w:sz w:val="24"/>
        </w:rPr>
        <w:t>4</w:t>
      </w:r>
      <w:r>
        <w:rPr>
          <w:kern w:val="0"/>
          <w:sz w:val="24"/>
          <w:lang w:val="zh-CN"/>
        </w:rPr>
        <w:t>） 投标供应商承诺书………………………………………所在页码</w:t>
      </w:r>
    </w:p>
    <w:p w14:paraId="7506A435">
      <w:pPr>
        <w:autoSpaceDE w:val="0"/>
        <w:autoSpaceDN w:val="0"/>
        <w:spacing w:line="240" w:lineRule="auto"/>
        <w:ind w:firstLine="241" w:firstLineChars="100"/>
        <w:jc w:val="center"/>
        <w:rPr>
          <w:kern w:val="0"/>
          <w:sz w:val="24"/>
          <w:lang w:val="zh-CN"/>
        </w:rPr>
      </w:pPr>
      <w:r>
        <w:rPr>
          <w:kern w:val="0"/>
          <w:sz w:val="24"/>
          <w:lang w:val="zh-CN"/>
        </w:rPr>
        <w:t>（5）供应商诚信承诺书………………………………………所在页码</w:t>
      </w:r>
    </w:p>
    <w:p w14:paraId="2227BE98">
      <w:pPr>
        <w:autoSpaceDE w:val="0"/>
        <w:autoSpaceDN w:val="0"/>
        <w:spacing w:line="240" w:lineRule="auto"/>
        <w:ind w:firstLine="241" w:firstLineChars="100"/>
        <w:jc w:val="center"/>
        <w:rPr>
          <w:kern w:val="0"/>
          <w:sz w:val="24"/>
          <w:lang w:val="zh-CN"/>
        </w:rPr>
      </w:pPr>
      <w:r>
        <w:rPr>
          <w:kern w:val="0"/>
          <w:sz w:val="24"/>
          <w:lang w:val="zh-CN"/>
        </w:rPr>
        <w:t>（6）资格证明材料……………………………………………所在页码</w:t>
      </w:r>
    </w:p>
    <w:p w14:paraId="0C642823">
      <w:pPr>
        <w:autoSpaceDE w:val="0"/>
        <w:autoSpaceDN w:val="0"/>
        <w:spacing w:line="240" w:lineRule="auto"/>
        <w:ind w:firstLine="241" w:firstLineChars="100"/>
        <w:jc w:val="center"/>
        <w:rPr>
          <w:kern w:val="0"/>
          <w:sz w:val="24"/>
          <w:lang w:val="zh-CN"/>
        </w:rPr>
      </w:pPr>
      <w:r>
        <w:rPr>
          <w:kern w:val="0"/>
          <w:sz w:val="24"/>
          <w:lang w:val="zh-CN"/>
        </w:rPr>
        <w:t>（7）财务状况、缴纳税收和社会保障资金证明……………所在页码</w:t>
      </w:r>
    </w:p>
    <w:p w14:paraId="084EFC46">
      <w:pPr>
        <w:autoSpaceDE w:val="0"/>
        <w:autoSpaceDN w:val="0"/>
        <w:spacing w:line="240" w:lineRule="auto"/>
        <w:ind w:firstLine="241" w:firstLineChars="100"/>
        <w:jc w:val="center"/>
        <w:rPr>
          <w:kern w:val="0"/>
          <w:sz w:val="24"/>
          <w:lang w:val="zh-CN"/>
        </w:rPr>
      </w:pPr>
      <w:r>
        <w:rPr>
          <w:kern w:val="0"/>
          <w:sz w:val="24"/>
          <w:lang w:val="zh-CN"/>
        </w:rPr>
        <w:t>（8）具备履行合同所必需的设备和专业技术能力的证明…所在页码</w:t>
      </w:r>
    </w:p>
    <w:p w14:paraId="6B6821CA">
      <w:pPr>
        <w:autoSpaceDE w:val="0"/>
        <w:autoSpaceDN w:val="0"/>
        <w:spacing w:line="240" w:lineRule="auto"/>
        <w:ind w:firstLine="241" w:firstLineChars="100"/>
        <w:jc w:val="center"/>
        <w:rPr>
          <w:rFonts w:hint="eastAsia"/>
          <w:kern w:val="0"/>
          <w:sz w:val="24"/>
          <w:lang w:val="zh-CN"/>
        </w:rPr>
      </w:pPr>
      <w:r>
        <w:rPr>
          <w:kern w:val="0"/>
          <w:sz w:val="24"/>
          <w:lang w:val="zh-CN"/>
        </w:rPr>
        <w:t>（9）无重大违法记录声明……………………………………所在页码</w:t>
      </w:r>
    </w:p>
    <w:p w14:paraId="33939369">
      <w:pPr>
        <w:autoSpaceDE w:val="0"/>
        <w:autoSpaceDN w:val="0"/>
        <w:spacing w:line="240" w:lineRule="auto"/>
        <w:ind w:firstLine="241" w:firstLineChars="100"/>
        <w:jc w:val="center"/>
        <w:rPr>
          <w:kern w:val="0"/>
          <w:sz w:val="24"/>
          <w:lang w:val="zh-CN"/>
        </w:rPr>
      </w:pPr>
    </w:p>
    <w:p w14:paraId="7210367C">
      <w:pPr>
        <w:pStyle w:val="23"/>
        <w:spacing w:line="240" w:lineRule="auto"/>
        <w:jc w:val="left"/>
        <w:rPr>
          <w:rFonts w:ascii="Times New Roman" w:hAnsi="Times New Roman"/>
        </w:rPr>
      </w:pPr>
      <w:r>
        <w:rPr>
          <w:rFonts w:ascii="Times New Roman" w:hAnsi="Times New Roman"/>
          <w:b w:val="0"/>
          <w:bCs w:val="0"/>
        </w:rPr>
        <w:br w:type="page"/>
      </w:r>
      <w:bookmarkStart w:id="105" w:name="_Toc1252"/>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bookmarkEnd w:id="105"/>
    </w:p>
    <w:p w14:paraId="716026EC">
      <w:pPr>
        <w:adjustRightInd w:val="0"/>
        <w:spacing w:line="240" w:lineRule="auto"/>
        <w:jc w:val="center"/>
        <w:textAlignment w:val="baseline"/>
        <w:rPr>
          <w:b/>
          <w:sz w:val="30"/>
          <w:szCs w:val="30"/>
        </w:rPr>
      </w:pPr>
      <w:r>
        <w:rPr>
          <w:b/>
          <w:sz w:val="30"/>
          <w:szCs w:val="30"/>
        </w:rPr>
        <w:t>投 标 函</w:t>
      </w:r>
    </w:p>
    <w:p w14:paraId="06205FA1">
      <w:pPr>
        <w:adjustRightInd w:val="0"/>
        <w:spacing w:line="240" w:lineRule="auto"/>
        <w:ind w:left="480" w:hanging="482" w:hangingChars="200"/>
        <w:textAlignment w:val="baseline"/>
        <w:rPr>
          <w:rFonts w:ascii="宋体"/>
          <w:b/>
          <w:color w:val="000000"/>
          <w:sz w:val="24"/>
        </w:rPr>
      </w:pPr>
      <w:r>
        <w:rPr>
          <w:b/>
          <w:sz w:val="24"/>
        </w:rPr>
        <w:t>致：</w:t>
      </w:r>
      <w:r>
        <w:rPr>
          <w:rFonts w:hint="eastAsia" w:ascii="宋体"/>
          <w:b/>
          <w:color w:val="000000"/>
          <w:sz w:val="24"/>
          <w:u w:val="single"/>
          <w:lang w:eastAsia="zh-CN"/>
        </w:rPr>
        <w:t>湟源县政府采购服务中心</w:t>
      </w:r>
    </w:p>
    <w:p w14:paraId="512B235A">
      <w:pPr>
        <w:widowControl/>
        <w:adjustRightInd w:val="0"/>
        <w:snapToGrid w:val="0"/>
        <w:spacing w:line="360" w:lineRule="auto"/>
        <w:ind w:firstLine="482" w:firstLineChars="200"/>
        <w:jc w:val="left"/>
        <w:textAlignment w:val="baseline"/>
        <w:rPr>
          <w:sz w:val="24"/>
        </w:rPr>
      </w:pPr>
      <w:r>
        <w:rPr>
          <w:sz w:val="24"/>
        </w:rPr>
        <w:t>我们收到</w:t>
      </w:r>
      <w:r>
        <w:rPr>
          <w:rFonts w:hint="eastAsia"/>
          <w:sz w:val="24"/>
          <w:u w:val="single"/>
          <w:lang w:val="en-US" w:eastAsia="zh-CN"/>
        </w:rPr>
        <w:t xml:space="preserve"> </w:t>
      </w:r>
      <w:r>
        <w:rPr>
          <w:rFonts w:hint="eastAsia" w:ascii="Times New Roman" w:hAnsi="Times New Roman" w:eastAsia="宋体" w:cs="Times New Roman"/>
          <w:sz w:val="24"/>
          <w:u w:val="single"/>
          <w:lang w:val="zh-CN" w:eastAsia="zh-CN"/>
        </w:rPr>
        <w:t xml:space="preserve"> </w:t>
      </w:r>
      <w:r>
        <w:rPr>
          <w:rFonts w:hint="eastAsia" w:cs="Times New Roman"/>
          <w:sz w:val="24"/>
          <w:u w:val="single"/>
          <w:lang w:eastAsia="zh-CN"/>
        </w:rPr>
        <w:t>湟源县交通管理系统升级改造服务项目</w:t>
      </w:r>
      <w:r>
        <w:rPr>
          <w:rFonts w:hint="eastAsia" w:ascii="Times New Roman" w:hAnsi="Times New Roman" w:eastAsia="宋体" w:cs="Times New Roman"/>
          <w:sz w:val="24"/>
          <w:u w:val="single"/>
          <w:lang w:eastAsia="zh-CN"/>
        </w:rPr>
        <w:t>源政采公招（货物）20</w:t>
      </w:r>
      <w:r>
        <w:rPr>
          <w:rFonts w:hint="eastAsia" w:ascii="Times New Roman" w:hAnsi="Times New Roman" w:cs="Times New Roman"/>
          <w:sz w:val="24"/>
          <w:u w:val="single"/>
          <w:lang w:val="en-US" w:eastAsia="zh-CN"/>
        </w:rPr>
        <w:t>2</w:t>
      </w:r>
      <w:r>
        <w:rPr>
          <w:rFonts w:hint="eastAsia" w:cs="Times New Roman"/>
          <w:sz w:val="24"/>
          <w:u w:val="single"/>
          <w:lang w:val="en-US" w:eastAsia="zh-CN"/>
        </w:rPr>
        <w:t>5-</w:t>
      </w:r>
      <w:r>
        <w:rPr>
          <w:rFonts w:hint="eastAsia" w:ascii="Times New Roman" w:hAnsi="Times New Roman" w:eastAsia="宋体" w:cs="Times New Roman"/>
          <w:sz w:val="24"/>
          <w:u w:val="single"/>
          <w:lang w:eastAsia="zh-CN"/>
        </w:rPr>
        <w:t>00</w:t>
      </w:r>
      <w:r>
        <w:rPr>
          <w:rFonts w:hint="eastAsia" w:cs="Times New Roman"/>
          <w:sz w:val="24"/>
          <w:u w:val="single"/>
          <w:lang w:val="en-US" w:eastAsia="zh-CN"/>
        </w:rPr>
        <w:t>4</w:t>
      </w:r>
      <w:r>
        <w:rPr>
          <w:rFonts w:hint="eastAsia" w:ascii="Times New Roman" w:hAnsi="Times New Roman" w:eastAsia="宋体" w:cs="Times New Roman"/>
          <w:sz w:val="24"/>
          <w:u w:val="single"/>
          <w:lang w:eastAsia="zh-CN"/>
        </w:rPr>
        <w:t>号</w:t>
      </w:r>
      <w:r>
        <w:rPr>
          <w:sz w:val="24"/>
        </w:rPr>
        <w:t>，经研究，法定代表人</w:t>
      </w:r>
      <w:r>
        <w:rPr>
          <w:sz w:val="24"/>
          <w:u w:val="single"/>
        </w:rPr>
        <w:t>（姓名、职务）</w:t>
      </w:r>
      <w:r>
        <w:rPr>
          <w:sz w:val="24"/>
        </w:rPr>
        <w:t>正式授权</w:t>
      </w:r>
      <w:r>
        <w:rPr>
          <w:sz w:val="24"/>
          <w:u w:val="single"/>
        </w:rPr>
        <w:t>（委托代理人姓名、职务）</w:t>
      </w:r>
      <w:r>
        <w:rPr>
          <w:sz w:val="24"/>
        </w:rPr>
        <w:t>代表投标供应商</w:t>
      </w:r>
      <w:r>
        <w:rPr>
          <w:sz w:val="24"/>
          <w:u w:val="single"/>
        </w:rPr>
        <w:t>（投标供应商名称、地址）</w:t>
      </w:r>
      <w:r>
        <w:rPr>
          <w:sz w:val="24"/>
        </w:rPr>
        <w:t>提交投标文件。</w:t>
      </w:r>
    </w:p>
    <w:p w14:paraId="37863CF6">
      <w:pPr>
        <w:adjustRightInd w:val="0"/>
        <w:spacing w:line="240" w:lineRule="auto"/>
        <w:ind w:firstLine="482" w:firstLineChars="200"/>
        <w:textAlignment w:val="baseline"/>
        <w:rPr>
          <w:sz w:val="24"/>
        </w:rPr>
      </w:pPr>
      <w:r>
        <w:rPr>
          <w:sz w:val="24"/>
        </w:rPr>
        <w:t>据此函，签字代表宣布同意如下：</w:t>
      </w:r>
    </w:p>
    <w:p w14:paraId="3E9C6229">
      <w:pPr>
        <w:adjustRightInd w:val="0"/>
        <w:spacing w:line="240" w:lineRule="auto"/>
        <w:ind w:firstLine="482" w:firstLineChars="200"/>
        <w:textAlignment w:val="baseline"/>
        <w:rPr>
          <w:sz w:val="24"/>
        </w:rPr>
      </w:pPr>
      <w:r>
        <w:rPr>
          <w:sz w:val="24"/>
        </w:rPr>
        <w:t>1.我方已详阅招标文件的全部内容，包括澄清、修改条款等有关附件，承诺对其完全理解并接受。</w:t>
      </w:r>
    </w:p>
    <w:p w14:paraId="30F70E42">
      <w:pPr>
        <w:adjustRightInd w:val="0"/>
        <w:spacing w:line="240" w:lineRule="auto"/>
        <w:ind w:firstLine="482" w:firstLineChars="200"/>
        <w:textAlignment w:val="baseline"/>
        <w:rPr>
          <w:rFonts w:ascii="宋体" w:hAnsi="宋体"/>
          <w:sz w:val="24"/>
        </w:rPr>
      </w:pPr>
      <w:r>
        <w:rPr>
          <w:sz w:val="24"/>
        </w:rPr>
        <w:t>2.投标有效期自开标之日起</w:t>
      </w:r>
      <w:r>
        <w:rPr>
          <w:sz w:val="24"/>
          <w:u w:val="single"/>
        </w:rPr>
        <w:t xml:space="preserve">    </w:t>
      </w:r>
      <w:r>
        <w:rPr>
          <w:rFonts w:hint="eastAsia"/>
          <w:sz w:val="24"/>
          <w:u w:val="single"/>
        </w:rPr>
        <w:t xml:space="preserve">      </w:t>
      </w:r>
      <w:r>
        <w:rPr>
          <w:sz w:val="24"/>
        </w:rPr>
        <w:t>内有效。</w:t>
      </w:r>
    </w:p>
    <w:p w14:paraId="2027FCBB">
      <w:pPr>
        <w:adjustRightInd w:val="0"/>
        <w:spacing w:line="240" w:lineRule="auto"/>
        <w:ind w:firstLine="482" w:firstLineChars="200"/>
        <w:textAlignment w:val="baseline"/>
        <w:rPr>
          <w:sz w:val="24"/>
        </w:rPr>
      </w:pPr>
      <w:r>
        <w:rPr>
          <w:sz w:val="24"/>
        </w:rPr>
        <w:t>3.我方同意按照贵方要求提供与投标有关的一切数据或资料，理解并接受贵方制定的评标办法。</w:t>
      </w:r>
    </w:p>
    <w:p w14:paraId="46D9611A">
      <w:pPr>
        <w:adjustRightInd w:val="0"/>
        <w:spacing w:line="240" w:lineRule="auto"/>
        <w:ind w:firstLine="482" w:firstLineChars="200"/>
        <w:textAlignment w:val="baseline"/>
        <w:rPr>
          <w:sz w:val="24"/>
        </w:rPr>
      </w:pPr>
      <w:r>
        <w:rPr>
          <w:sz w:val="24"/>
        </w:rPr>
        <w:t>4.与本投标有关的一切正式往来通讯请寄：</w:t>
      </w:r>
    </w:p>
    <w:p w14:paraId="38B4D595">
      <w:pPr>
        <w:adjustRightInd w:val="0"/>
        <w:spacing w:line="240" w:lineRule="auto"/>
        <w:ind w:firstLine="482" w:firstLineChars="200"/>
        <w:textAlignment w:val="baseline"/>
        <w:rPr>
          <w:sz w:val="24"/>
        </w:rPr>
      </w:pPr>
    </w:p>
    <w:p w14:paraId="40F0C331">
      <w:pPr>
        <w:adjustRightInd w:val="0"/>
        <w:spacing w:line="240" w:lineRule="auto"/>
        <w:textAlignment w:val="baseline"/>
        <w:rPr>
          <w:rFonts w:hint="eastAsia" w:eastAsia="宋体"/>
          <w:sz w:val="24"/>
          <w:lang w:eastAsia="zh-CN"/>
        </w:rPr>
      </w:pPr>
      <w:r>
        <w:rPr>
          <w:sz w:val="24"/>
        </w:rPr>
        <w:t>地址：</w:t>
      </w:r>
      <w:r>
        <w:rPr>
          <w:sz w:val="24"/>
          <w:u w:val="single"/>
        </w:rPr>
        <w:t xml:space="preserve">                    </w:t>
      </w:r>
      <w:r>
        <w:rPr>
          <w:rFonts w:hint="eastAsia"/>
          <w:sz w:val="24"/>
          <w:u w:val="single"/>
          <w:lang w:eastAsia="zh-CN"/>
        </w:rPr>
        <w:t>；</w:t>
      </w:r>
      <w:r>
        <w:rPr>
          <w:sz w:val="24"/>
          <w:u w:val="single"/>
        </w:rPr>
        <w:t xml:space="preserve"> </w:t>
      </w:r>
      <w:r>
        <w:rPr>
          <w:sz w:val="24"/>
        </w:rPr>
        <w:t>邮编：</w:t>
      </w:r>
      <w:r>
        <w:rPr>
          <w:sz w:val="24"/>
          <w:u w:val="single"/>
        </w:rPr>
        <w:t xml:space="preserve">                     </w:t>
      </w:r>
      <w:r>
        <w:rPr>
          <w:rFonts w:hint="eastAsia"/>
          <w:sz w:val="24"/>
          <w:u w:val="single"/>
          <w:lang w:eastAsia="zh-CN"/>
        </w:rPr>
        <w:t>；</w:t>
      </w:r>
    </w:p>
    <w:p w14:paraId="13D5AEDB">
      <w:pPr>
        <w:adjustRightInd w:val="0"/>
        <w:spacing w:line="240" w:lineRule="auto"/>
        <w:textAlignment w:val="baseline"/>
        <w:rPr>
          <w:sz w:val="24"/>
        </w:rPr>
      </w:pPr>
    </w:p>
    <w:p w14:paraId="410C5399">
      <w:pPr>
        <w:adjustRightInd w:val="0"/>
        <w:spacing w:line="240" w:lineRule="auto"/>
        <w:textAlignment w:val="baseline"/>
        <w:rPr>
          <w:rFonts w:hint="eastAsia" w:eastAsia="宋体"/>
          <w:sz w:val="24"/>
          <w:lang w:eastAsia="zh-CN"/>
        </w:rPr>
      </w:pPr>
      <w:r>
        <w:rPr>
          <w:sz w:val="24"/>
        </w:rPr>
        <w:t>电话：</w:t>
      </w:r>
      <w:r>
        <w:rPr>
          <w:sz w:val="24"/>
          <w:u w:val="single"/>
        </w:rPr>
        <w:t xml:space="preserve">                    </w:t>
      </w:r>
      <w:r>
        <w:rPr>
          <w:rFonts w:hint="eastAsia"/>
          <w:sz w:val="24"/>
          <w:u w:val="single"/>
          <w:lang w:eastAsia="zh-CN"/>
        </w:rPr>
        <w:t>；</w:t>
      </w:r>
      <w:r>
        <w:rPr>
          <w:sz w:val="24"/>
          <w:u w:val="single"/>
        </w:rPr>
        <w:t xml:space="preserve"> </w:t>
      </w:r>
      <w:r>
        <w:rPr>
          <w:sz w:val="24"/>
        </w:rPr>
        <w:t>传真：</w:t>
      </w:r>
      <w:r>
        <w:rPr>
          <w:sz w:val="24"/>
          <w:u w:val="single"/>
        </w:rPr>
        <w:t xml:space="preserve">                     </w:t>
      </w:r>
      <w:r>
        <w:rPr>
          <w:rFonts w:hint="eastAsia"/>
          <w:sz w:val="24"/>
          <w:u w:val="single"/>
          <w:lang w:eastAsia="zh-CN"/>
        </w:rPr>
        <w:t>；</w:t>
      </w:r>
    </w:p>
    <w:p w14:paraId="0D07CBEC">
      <w:pPr>
        <w:adjustRightInd w:val="0"/>
        <w:spacing w:line="240" w:lineRule="auto"/>
        <w:textAlignment w:val="baseline"/>
        <w:rPr>
          <w:sz w:val="24"/>
        </w:rPr>
      </w:pPr>
    </w:p>
    <w:p w14:paraId="68333525">
      <w:pPr>
        <w:adjustRightInd w:val="0"/>
        <w:spacing w:line="240" w:lineRule="auto"/>
        <w:textAlignment w:val="baseline"/>
        <w:rPr>
          <w:rFonts w:hint="eastAsia" w:eastAsia="宋体"/>
          <w:sz w:val="24"/>
          <w:lang w:eastAsia="zh-CN"/>
        </w:rPr>
      </w:pPr>
      <w:r>
        <w:rPr>
          <w:sz w:val="24"/>
        </w:rPr>
        <w:t>法定代表人姓名：</w:t>
      </w:r>
      <w:r>
        <w:rPr>
          <w:sz w:val="24"/>
          <w:u w:val="single"/>
        </w:rPr>
        <w:t xml:space="preserve">           </w:t>
      </w:r>
      <w:r>
        <w:rPr>
          <w:rFonts w:hint="eastAsia"/>
          <w:sz w:val="24"/>
          <w:u w:val="single"/>
          <w:lang w:val="en-US" w:eastAsia="zh-CN"/>
        </w:rPr>
        <w:t>；</w:t>
      </w:r>
      <w:r>
        <w:rPr>
          <w:sz w:val="24"/>
        </w:rPr>
        <w:t>职务：</w:t>
      </w:r>
      <w:r>
        <w:rPr>
          <w:sz w:val="24"/>
          <w:u w:val="single"/>
        </w:rPr>
        <w:t xml:space="preserve">                     </w:t>
      </w:r>
      <w:r>
        <w:rPr>
          <w:rFonts w:hint="eastAsia"/>
          <w:sz w:val="24"/>
          <w:u w:val="single"/>
          <w:lang w:eastAsia="zh-CN"/>
        </w:rPr>
        <w:t>；</w:t>
      </w:r>
    </w:p>
    <w:p w14:paraId="07DDB2B3">
      <w:pPr>
        <w:tabs>
          <w:tab w:val="left" w:pos="168"/>
        </w:tabs>
        <w:adjustRightInd w:val="0"/>
        <w:spacing w:line="240" w:lineRule="auto"/>
        <w:jc w:val="both"/>
        <w:textAlignment w:val="baseline"/>
        <w:rPr>
          <w:bCs/>
          <w:sz w:val="24"/>
          <w:szCs w:val="28"/>
        </w:rPr>
      </w:pPr>
      <w:bookmarkStart w:id="106" w:name="_Toc444715736"/>
    </w:p>
    <w:p w14:paraId="0F8ECE29">
      <w:pPr>
        <w:spacing w:line="240" w:lineRule="auto"/>
        <w:jc w:val="right"/>
        <w:rPr>
          <w:b/>
          <w:sz w:val="24"/>
        </w:rPr>
      </w:pPr>
      <w:r>
        <w:rPr>
          <w:rFonts w:hint="eastAsia"/>
          <w:b/>
          <w:sz w:val="24"/>
          <w:lang w:eastAsia="zh-CN"/>
        </w:rPr>
        <w:t>供应商</w:t>
      </w:r>
      <w:r>
        <w:rPr>
          <w:b/>
          <w:sz w:val="24"/>
        </w:rPr>
        <w:t>：                        （公章）</w:t>
      </w:r>
    </w:p>
    <w:p w14:paraId="7CA98445">
      <w:pPr>
        <w:spacing w:line="240" w:lineRule="auto"/>
        <w:jc w:val="right"/>
        <w:rPr>
          <w:b/>
          <w:sz w:val="24"/>
        </w:rPr>
      </w:pPr>
      <w:r>
        <w:rPr>
          <w:b/>
          <w:sz w:val="24"/>
        </w:rPr>
        <w:t>法定代表人或委托代理人：        （签字）</w:t>
      </w:r>
    </w:p>
    <w:p w14:paraId="324223A9">
      <w:pPr>
        <w:tabs>
          <w:tab w:val="left" w:pos="168"/>
        </w:tabs>
        <w:wordWrap w:val="0"/>
        <w:adjustRightInd w:val="0"/>
        <w:spacing w:line="240" w:lineRule="auto"/>
        <w:jc w:val="right"/>
        <w:textAlignment w:val="baseline"/>
        <w:rPr>
          <w:bCs/>
          <w:sz w:val="24"/>
          <w:szCs w:val="28"/>
        </w:rPr>
      </w:pPr>
      <w:r>
        <w:rPr>
          <w:sz w:val="24"/>
        </w:rPr>
        <w:t xml:space="preserve">      </w:t>
      </w:r>
      <w:r>
        <w:rPr>
          <w:b/>
          <w:sz w:val="24"/>
        </w:rPr>
        <w:t>日期：                  年   月   日</w:t>
      </w:r>
      <w:r>
        <w:rPr>
          <w:b/>
          <w:kern w:val="0"/>
          <w:sz w:val="24"/>
          <w:lang w:val="zh-CN"/>
        </w:rPr>
        <w:t xml:space="preserve"> </w:t>
      </w:r>
      <w:r>
        <w:rPr>
          <w:bCs/>
          <w:sz w:val="24"/>
          <w:szCs w:val="28"/>
        </w:rPr>
        <w:t xml:space="preserve">   </w:t>
      </w:r>
      <w:bookmarkEnd w:id="106"/>
      <w:bookmarkStart w:id="107" w:name="_Toc25583"/>
      <w:bookmarkStart w:id="108" w:name="_Toc444715737"/>
    </w:p>
    <w:bookmarkEnd w:id="107"/>
    <w:bookmarkEnd w:id="108"/>
    <w:p w14:paraId="654360D9">
      <w:pPr>
        <w:pStyle w:val="23"/>
        <w:spacing w:line="240" w:lineRule="auto"/>
        <w:jc w:val="left"/>
        <w:rPr>
          <w:rFonts w:ascii="Times New Roman" w:hAnsi="Times New Roman"/>
          <w:lang w:val="zh-CN"/>
        </w:rPr>
      </w:pPr>
      <w:bookmarkStart w:id="109" w:name="_Toc30973"/>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bookmarkEnd w:id="109"/>
    </w:p>
    <w:p w14:paraId="4963EBC2">
      <w:pPr>
        <w:spacing w:line="240" w:lineRule="auto"/>
        <w:rPr>
          <w:lang w:val="zh-CN"/>
        </w:rPr>
      </w:pPr>
    </w:p>
    <w:p w14:paraId="1627C820">
      <w:pPr>
        <w:autoSpaceDE w:val="0"/>
        <w:autoSpaceDN w:val="0"/>
        <w:adjustRightInd w:val="0"/>
        <w:spacing w:line="240" w:lineRule="auto"/>
        <w:jc w:val="center"/>
        <w:rPr>
          <w:b/>
          <w:bCs/>
          <w:kern w:val="0"/>
          <w:sz w:val="36"/>
          <w:szCs w:val="36"/>
          <w:lang w:val="zh-CN"/>
        </w:rPr>
      </w:pPr>
      <w:r>
        <w:rPr>
          <w:b/>
          <w:bCs/>
          <w:kern w:val="0"/>
          <w:sz w:val="30"/>
          <w:szCs w:val="30"/>
          <w:lang w:val="zh-CN"/>
        </w:rPr>
        <w:t>法定代表人证明书</w:t>
      </w:r>
    </w:p>
    <w:p w14:paraId="53E79477">
      <w:pPr>
        <w:autoSpaceDE w:val="0"/>
        <w:autoSpaceDN w:val="0"/>
        <w:adjustRightInd w:val="0"/>
        <w:spacing w:line="240" w:lineRule="auto"/>
        <w:rPr>
          <w:rFonts w:ascii="宋体" w:cs="宋体"/>
          <w:b/>
          <w:bCs/>
          <w:color w:val="000000"/>
          <w:kern w:val="0"/>
          <w:sz w:val="24"/>
          <w:lang w:val="zh-CN"/>
        </w:rPr>
      </w:pPr>
      <w:r>
        <w:rPr>
          <w:b/>
          <w:bCs/>
          <w:kern w:val="0"/>
          <w:sz w:val="24"/>
          <w:lang w:val="zh-CN"/>
        </w:rPr>
        <w:t>致：</w:t>
      </w:r>
      <w:r>
        <w:rPr>
          <w:rFonts w:hint="eastAsia" w:ascii="宋体" w:cs="宋体"/>
          <w:b/>
          <w:bCs/>
          <w:color w:val="000000"/>
          <w:kern w:val="0"/>
          <w:sz w:val="24"/>
          <w:lang w:val="zh-CN"/>
        </w:rPr>
        <w:t>湟源县政府采购服务中心</w:t>
      </w:r>
    </w:p>
    <w:p w14:paraId="1016D675">
      <w:pPr>
        <w:autoSpaceDE w:val="0"/>
        <w:autoSpaceDN w:val="0"/>
        <w:adjustRightInd w:val="0"/>
        <w:spacing w:line="240" w:lineRule="auto"/>
        <w:rPr>
          <w:kern w:val="0"/>
          <w:sz w:val="24"/>
          <w:lang w:val="zh-CN"/>
        </w:rPr>
      </w:pPr>
      <w:r>
        <w:rPr>
          <w:b/>
          <w:sz w:val="24"/>
        </w:rPr>
        <w:t xml:space="preserve"> </w:t>
      </w:r>
      <w:r>
        <w:rPr>
          <w:rFonts w:hint="eastAsia"/>
          <w:b/>
          <w:sz w:val="24"/>
          <w:lang w:val="en-US" w:eastAsia="zh-CN"/>
        </w:rPr>
        <w:t xml:space="preserve">   </w:t>
      </w:r>
      <w:r>
        <w:rPr>
          <w:kern w:val="0"/>
          <w:sz w:val="24"/>
          <w:u w:val="single"/>
          <w:lang w:val="zh-CN"/>
        </w:rPr>
        <w:t xml:space="preserve">（法定代表人姓名）  </w:t>
      </w:r>
      <w:r>
        <w:rPr>
          <w:kern w:val="0"/>
          <w:sz w:val="24"/>
          <w:lang w:val="zh-CN"/>
        </w:rPr>
        <w:t>现任我单位</w:t>
      </w:r>
      <w:r>
        <w:rPr>
          <w:kern w:val="0"/>
          <w:sz w:val="24"/>
          <w:u w:val="single"/>
          <w:lang w:val="zh-CN"/>
        </w:rPr>
        <w:t xml:space="preserve">              </w:t>
      </w:r>
      <w:r>
        <w:rPr>
          <w:kern w:val="0"/>
          <w:sz w:val="24"/>
          <w:lang w:val="zh-CN"/>
        </w:rPr>
        <w:t>职务，为法定代表人，特此证明。</w:t>
      </w:r>
    </w:p>
    <w:p w14:paraId="3C0CCF73">
      <w:pPr>
        <w:autoSpaceDE w:val="0"/>
        <w:autoSpaceDN w:val="0"/>
        <w:adjustRightInd w:val="0"/>
        <w:spacing w:line="240" w:lineRule="auto"/>
        <w:ind w:firstLine="241" w:firstLineChars="100"/>
        <w:rPr>
          <w:kern w:val="0"/>
          <w:sz w:val="24"/>
          <w:lang w:val="zh-CN"/>
        </w:rPr>
      </w:pPr>
      <w:r>
        <w:rPr>
          <w:kern w:val="0"/>
          <w:sz w:val="24"/>
          <w:lang w:val="zh-CN"/>
        </w:rPr>
        <w:t>法定代表人基本情况：</w:t>
      </w:r>
    </w:p>
    <w:p w14:paraId="7A6F2056">
      <w:pPr>
        <w:autoSpaceDE w:val="0"/>
        <w:autoSpaceDN w:val="0"/>
        <w:adjustRightInd w:val="0"/>
        <w:spacing w:line="240" w:lineRule="auto"/>
        <w:ind w:firstLine="241" w:firstLineChars="100"/>
        <w:rPr>
          <w:kern w:val="0"/>
          <w:sz w:val="24"/>
          <w:u w:val="single"/>
          <w:lang w:val="zh-CN"/>
        </w:rPr>
      </w:pPr>
      <w:r>
        <w:rPr>
          <w:kern w:val="0"/>
          <w:sz w:val="24"/>
          <w:lang w:val="zh-CN"/>
        </w:rPr>
        <w:t>性别：</w:t>
      </w:r>
      <w:r>
        <w:rPr>
          <w:kern w:val="0"/>
          <w:sz w:val="24"/>
          <w:u w:val="single"/>
          <w:lang w:val="zh-CN"/>
        </w:rPr>
        <w:t xml:space="preserve">           </w:t>
      </w:r>
      <w:r>
        <w:rPr>
          <w:kern w:val="0"/>
          <w:sz w:val="24"/>
          <w:lang w:val="zh-CN"/>
        </w:rPr>
        <w:t>年龄：</w:t>
      </w:r>
      <w:r>
        <w:rPr>
          <w:kern w:val="0"/>
          <w:sz w:val="24"/>
          <w:u w:val="single"/>
          <w:lang w:val="zh-CN"/>
        </w:rPr>
        <w:t xml:space="preserve">           </w:t>
      </w:r>
      <w:r>
        <w:rPr>
          <w:kern w:val="0"/>
          <w:sz w:val="24"/>
          <w:lang w:val="zh-CN"/>
        </w:rPr>
        <w:t xml:space="preserve"> 民族：</w:t>
      </w:r>
      <w:r>
        <w:rPr>
          <w:kern w:val="0"/>
          <w:sz w:val="24"/>
          <w:u w:val="single"/>
          <w:lang w:val="zh-CN"/>
        </w:rPr>
        <w:t xml:space="preserve">         </w:t>
      </w:r>
    </w:p>
    <w:p w14:paraId="7F3A187F">
      <w:pPr>
        <w:autoSpaceDE w:val="0"/>
        <w:autoSpaceDN w:val="0"/>
        <w:adjustRightInd w:val="0"/>
        <w:spacing w:line="240" w:lineRule="auto"/>
        <w:ind w:firstLine="241" w:firstLineChars="100"/>
        <w:rPr>
          <w:kern w:val="0"/>
          <w:sz w:val="24"/>
          <w:u w:val="single"/>
          <w:lang w:val="zh-CN"/>
        </w:rPr>
      </w:pPr>
      <w:r>
        <w:rPr>
          <w:kern w:val="0"/>
          <w:sz w:val="24"/>
          <w:lang w:val="zh-CN"/>
        </w:rPr>
        <w:t>地址：</w:t>
      </w:r>
      <w:r>
        <w:rPr>
          <w:kern w:val="0"/>
          <w:sz w:val="24"/>
          <w:u w:val="single"/>
          <w:lang w:val="zh-CN"/>
        </w:rPr>
        <w:t xml:space="preserve">                                            </w:t>
      </w:r>
    </w:p>
    <w:p w14:paraId="1858AD72">
      <w:pPr>
        <w:autoSpaceDE w:val="0"/>
        <w:autoSpaceDN w:val="0"/>
        <w:adjustRightInd w:val="0"/>
        <w:spacing w:line="240" w:lineRule="auto"/>
        <w:ind w:firstLine="241" w:firstLineChars="100"/>
        <w:rPr>
          <w:kern w:val="0"/>
          <w:sz w:val="24"/>
          <w:lang w:val="zh-CN"/>
        </w:rPr>
      </w:pPr>
      <w:r>
        <w:rPr>
          <w:kern w:val="0"/>
          <w:sz w:val="24"/>
          <w:lang w:val="zh-CN"/>
        </w:rPr>
        <w:t>身份证号码：</w:t>
      </w:r>
      <w:r>
        <w:rPr>
          <w:kern w:val="0"/>
          <w:sz w:val="24"/>
          <w:u w:val="single"/>
          <w:lang w:val="zh-CN"/>
        </w:rPr>
        <w:t xml:space="preserve">                                      </w:t>
      </w:r>
    </w:p>
    <w:p w14:paraId="2F71D511">
      <w:pPr>
        <w:autoSpaceDE w:val="0"/>
        <w:autoSpaceDN w:val="0"/>
        <w:adjustRightInd w:val="0"/>
        <w:spacing w:line="240" w:lineRule="auto"/>
        <w:rPr>
          <w:kern w:val="0"/>
          <w:sz w:val="24"/>
          <w:lang w:val="zh-CN"/>
        </w:rPr>
      </w:pPr>
    </w:p>
    <w:p w14:paraId="11A50206">
      <w:pPr>
        <w:autoSpaceDE w:val="0"/>
        <w:autoSpaceDN w:val="0"/>
        <w:adjustRightInd w:val="0"/>
        <w:spacing w:line="240" w:lineRule="auto"/>
        <w:rPr>
          <w:rFonts w:hint="eastAsia" w:ascii="宋体" w:hAnsi="宋体" w:cs="宋体"/>
          <w:kern w:val="0"/>
          <w:sz w:val="24"/>
          <w:lang w:val="zh-CN"/>
        </w:rPr>
      </w:pPr>
      <w:r>
        <w:rPr>
          <w:kern w:val="0"/>
          <w:sz w:val="24"/>
          <w:lang w:val="zh-CN"/>
        </w:rPr>
        <w:t>附：法定代表人第二代身份证双面扫描（或复印）件</w:t>
      </w:r>
    </w:p>
    <w:p w14:paraId="5F556BF3">
      <w:pPr>
        <w:autoSpaceDE w:val="0"/>
        <w:autoSpaceDN w:val="0"/>
        <w:adjustRightInd w:val="0"/>
        <w:spacing w:line="240" w:lineRule="auto"/>
        <w:rPr>
          <w:kern w:val="0"/>
          <w:sz w:val="24"/>
          <w:lang w:val="zh-CN"/>
        </w:rPr>
      </w:pPr>
    </w:p>
    <w:p w14:paraId="67CBD229">
      <w:pPr>
        <w:autoSpaceDE w:val="0"/>
        <w:autoSpaceDN w:val="0"/>
        <w:adjustRightInd w:val="0"/>
        <w:spacing w:line="240" w:lineRule="auto"/>
        <w:rPr>
          <w:kern w:val="0"/>
          <w:sz w:val="24"/>
          <w:lang w:val="zh-CN"/>
        </w:rPr>
      </w:pPr>
    </w:p>
    <w:p w14:paraId="433D09EA">
      <w:pPr>
        <w:autoSpaceDE w:val="0"/>
        <w:autoSpaceDN w:val="0"/>
        <w:adjustRightInd w:val="0"/>
        <w:spacing w:line="240" w:lineRule="auto"/>
        <w:rPr>
          <w:kern w:val="0"/>
          <w:sz w:val="24"/>
          <w:lang w:val="zh-CN"/>
        </w:rPr>
      </w:pPr>
    </w:p>
    <w:p w14:paraId="05195031">
      <w:pPr>
        <w:autoSpaceDE w:val="0"/>
        <w:autoSpaceDN w:val="0"/>
        <w:adjustRightInd w:val="0"/>
        <w:spacing w:line="240" w:lineRule="auto"/>
        <w:rPr>
          <w:kern w:val="0"/>
          <w:sz w:val="24"/>
          <w:lang w:val="zh-CN"/>
        </w:rPr>
      </w:pPr>
    </w:p>
    <w:p w14:paraId="53235799">
      <w:pPr>
        <w:autoSpaceDE w:val="0"/>
        <w:autoSpaceDN w:val="0"/>
        <w:adjustRightInd w:val="0"/>
        <w:spacing w:line="240" w:lineRule="auto"/>
        <w:rPr>
          <w:kern w:val="0"/>
          <w:sz w:val="24"/>
          <w:lang w:val="zh-CN"/>
        </w:rPr>
      </w:pPr>
    </w:p>
    <w:p w14:paraId="769F0EB8">
      <w:pPr>
        <w:tabs>
          <w:tab w:val="left" w:pos="168"/>
        </w:tabs>
        <w:adjustRightInd w:val="0"/>
        <w:spacing w:line="240" w:lineRule="auto"/>
        <w:textAlignment w:val="baseline"/>
        <w:rPr>
          <w:bCs/>
          <w:sz w:val="28"/>
          <w:szCs w:val="28"/>
        </w:rPr>
      </w:pPr>
      <w:bookmarkStart w:id="110" w:name="_Toc16858"/>
      <w:bookmarkStart w:id="111" w:name="_Toc444715738"/>
    </w:p>
    <w:p w14:paraId="6AA77B9B">
      <w:pPr>
        <w:spacing w:line="240" w:lineRule="auto"/>
        <w:jc w:val="right"/>
        <w:rPr>
          <w:b/>
          <w:sz w:val="24"/>
        </w:rPr>
      </w:pPr>
      <w:r>
        <w:rPr>
          <w:rFonts w:hint="eastAsia"/>
          <w:b/>
          <w:sz w:val="24"/>
          <w:lang w:eastAsia="zh-CN"/>
        </w:rPr>
        <w:t>供应商</w:t>
      </w:r>
      <w:r>
        <w:rPr>
          <w:b/>
          <w:sz w:val="24"/>
        </w:rPr>
        <w:t>：                        （公章）</w:t>
      </w:r>
    </w:p>
    <w:p w14:paraId="68E15C44">
      <w:pPr>
        <w:wordWrap w:val="0"/>
        <w:spacing w:line="240" w:lineRule="auto"/>
        <w:jc w:val="right"/>
        <w:rPr>
          <w:b/>
          <w:sz w:val="24"/>
        </w:rPr>
      </w:pPr>
      <w:r>
        <w:rPr>
          <w:b/>
          <w:sz w:val="24"/>
        </w:rPr>
        <w:t>法定代表人：                    （签字）</w:t>
      </w:r>
    </w:p>
    <w:p w14:paraId="021E5030">
      <w:pPr>
        <w:tabs>
          <w:tab w:val="left" w:pos="168"/>
        </w:tabs>
        <w:adjustRightInd w:val="0"/>
        <w:spacing w:line="240" w:lineRule="auto"/>
        <w:ind w:right="480" w:firstLine="4097" w:firstLineChars="1700"/>
        <w:textAlignment w:val="baseline"/>
        <w:rPr>
          <w:bCs/>
          <w:sz w:val="24"/>
          <w:szCs w:val="28"/>
        </w:rPr>
      </w:pPr>
      <w:r>
        <w:rPr>
          <w:b/>
          <w:sz w:val="24"/>
        </w:rPr>
        <w:t>日期：   年   月   日</w:t>
      </w:r>
    </w:p>
    <w:p w14:paraId="45BEB911">
      <w:pPr>
        <w:pStyle w:val="23"/>
        <w:spacing w:line="240" w:lineRule="auto"/>
        <w:jc w:val="left"/>
        <w:rPr>
          <w:rFonts w:ascii="Times New Roman" w:hAnsi="Times New Roman"/>
          <w:sz w:val="28"/>
          <w:szCs w:val="28"/>
        </w:rPr>
      </w:pPr>
      <w:r>
        <w:rPr>
          <w:rFonts w:ascii="Times New Roman" w:hAnsi="Times New Roman"/>
          <w:lang w:val="zh-CN"/>
        </w:rPr>
        <w:br w:type="page"/>
      </w:r>
      <w:bookmarkStart w:id="112" w:name="_Toc166"/>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bookmarkEnd w:id="110"/>
      <w:bookmarkEnd w:id="111"/>
      <w:bookmarkEnd w:id="112"/>
    </w:p>
    <w:p w14:paraId="4EDB1B96">
      <w:pPr>
        <w:autoSpaceDE w:val="0"/>
        <w:autoSpaceDN w:val="0"/>
        <w:adjustRightInd w:val="0"/>
        <w:spacing w:line="240" w:lineRule="auto"/>
        <w:jc w:val="center"/>
        <w:rPr>
          <w:b/>
          <w:bCs/>
          <w:kern w:val="0"/>
          <w:sz w:val="30"/>
          <w:szCs w:val="30"/>
          <w:lang w:val="zh-CN"/>
        </w:rPr>
      </w:pPr>
      <w:r>
        <w:rPr>
          <w:b/>
          <w:bCs/>
          <w:kern w:val="0"/>
          <w:sz w:val="30"/>
          <w:szCs w:val="30"/>
          <w:lang w:val="zh-CN"/>
        </w:rPr>
        <w:t>法定代表人授权书</w:t>
      </w:r>
    </w:p>
    <w:p w14:paraId="6B36F202">
      <w:pPr>
        <w:autoSpaceDE w:val="0"/>
        <w:autoSpaceDN w:val="0"/>
        <w:adjustRightInd w:val="0"/>
        <w:spacing w:line="240" w:lineRule="auto"/>
        <w:rPr>
          <w:rFonts w:ascii="宋体" w:cs="宋体"/>
          <w:b/>
          <w:bCs/>
          <w:color w:val="000000"/>
          <w:kern w:val="0"/>
          <w:sz w:val="24"/>
          <w:lang w:val="zh-CN"/>
        </w:rPr>
      </w:pPr>
      <w:r>
        <w:rPr>
          <w:b/>
          <w:bCs/>
          <w:sz w:val="24"/>
        </w:rPr>
        <w:t>致：</w:t>
      </w:r>
      <w:r>
        <w:rPr>
          <w:rFonts w:hint="eastAsia" w:ascii="宋体" w:cs="宋体"/>
          <w:b/>
          <w:bCs/>
          <w:color w:val="000000"/>
          <w:kern w:val="0"/>
          <w:sz w:val="24"/>
          <w:lang w:val="zh-CN"/>
        </w:rPr>
        <w:t>湟源县政府采购服务中心</w:t>
      </w:r>
    </w:p>
    <w:p w14:paraId="2BB71F55">
      <w:pPr>
        <w:spacing w:line="240" w:lineRule="auto"/>
        <w:rPr>
          <w:sz w:val="24"/>
        </w:rPr>
      </w:pPr>
      <w:r>
        <w:rPr>
          <w:b/>
          <w:sz w:val="24"/>
        </w:rPr>
        <w:t xml:space="preserve"> </w:t>
      </w:r>
      <w:r>
        <w:rPr>
          <w:rFonts w:hint="eastAsia"/>
          <w:b/>
          <w:sz w:val="24"/>
          <w:lang w:val="en-US" w:eastAsia="zh-CN"/>
        </w:rPr>
        <w:t xml:space="preserve">  </w:t>
      </w:r>
      <w:r>
        <w:rPr>
          <w:sz w:val="24"/>
          <w:u w:val="single"/>
        </w:rPr>
        <w:t xml:space="preserve">（投标供应商名称）  </w:t>
      </w:r>
      <w:r>
        <w:rPr>
          <w:sz w:val="24"/>
        </w:rPr>
        <w:t>系中华人民共和国合法企业，法定地址</w:t>
      </w:r>
      <w:r>
        <w:rPr>
          <w:sz w:val="24"/>
          <w:u w:val="single"/>
        </w:rPr>
        <w:t xml:space="preserve">              </w:t>
      </w:r>
      <w:r>
        <w:rPr>
          <w:sz w:val="24"/>
        </w:rPr>
        <w:t>。</w:t>
      </w:r>
      <w:r>
        <w:rPr>
          <w:rFonts w:hint="eastAsia"/>
          <w:sz w:val="24"/>
          <w:lang w:val="en-US" w:eastAsia="zh-CN"/>
        </w:rPr>
        <w:t xml:space="preserve">   </w:t>
      </w:r>
      <w:r>
        <w:rPr>
          <w:sz w:val="24"/>
          <w:u w:val="single"/>
        </w:rPr>
        <w:t xml:space="preserve">（法定代表人姓名）  </w:t>
      </w:r>
      <w:r>
        <w:rPr>
          <w:sz w:val="24"/>
        </w:rPr>
        <w:t>特授权</w:t>
      </w:r>
      <w:r>
        <w:rPr>
          <w:sz w:val="24"/>
          <w:u w:val="single"/>
        </w:rPr>
        <w:t>（被授权人姓名）</w:t>
      </w:r>
      <w:r>
        <w:rPr>
          <w:sz w:val="24"/>
        </w:rPr>
        <w:t>代表我单位全权办理</w:t>
      </w:r>
      <w:r>
        <w:rPr>
          <w:sz w:val="24"/>
          <w:u w:val="single"/>
        </w:rPr>
        <w:t xml:space="preserve">           </w:t>
      </w:r>
      <w:r>
        <w:rPr>
          <w:sz w:val="24"/>
        </w:rPr>
        <w:t>项目的投标、答疑等具体工作，并签署全部有关的文件、协议及合同。</w:t>
      </w:r>
    </w:p>
    <w:p w14:paraId="70E9D436">
      <w:pPr>
        <w:spacing w:line="240" w:lineRule="auto"/>
        <w:ind w:firstLine="482" w:firstLineChars="200"/>
        <w:rPr>
          <w:sz w:val="24"/>
        </w:rPr>
      </w:pPr>
      <w:r>
        <w:rPr>
          <w:sz w:val="24"/>
        </w:rPr>
        <w:t>我单位对被授权人的签名负全部责任。</w:t>
      </w:r>
    </w:p>
    <w:p w14:paraId="0B75B147">
      <w:pPr>
        <w:spacing w:line="240" w:lineRule="auto"/>
        <w:ind w:firstLine="482" w:firstLineChars="200"/>
        <w:rPr>
          <w:sz w:val="24"/>
        </w:rPr>
      </w:pPr>
      <w:r>
        <w:rPr>
          <w:sz w:val="24"/>
        </w:rPr>
        <w:t>在撤销授权的书面通知以前，本授权书一直有效。被授权人签署的所有文件（在授权书有效期内签署的）不因授权的撤销而失效。</w:t>
      </w:r>
    </w:p>
    <w:p w14:paraId="74972BCA">
      <w:pPr>
        <w:spacing w:line="240" w:lineRule="auto"/>
        <w:ind w:firstLine="482" w:firstLineChars="200"/>
        <w:rPr>
          <w:rFonts w:hint="default" w:eastAsia="宋体"/>
          <w:sz w:val="24"/>
          <w:lang w:val="en-US" w:eastAsia="zh-CN"/>
        </w:rPr>
      </w:pPr>
      <w:r>
        <w:rPr>
          <w:rFonts w:hint="eastAsia"/>
          <w:sz w:val="24"/>
          <w:lang w:val="en-US" w:eastAsia="zh-CN"/>
        </w:rPr>
        <w:t>授权期限：</w:t>
      </w:r>
    </w:p>
    <w:p w14:paraId="3AD77553">
      <w:pPr>
        <w:spacing w:line="240" w:lineRule="auto"/>
        <w:ind w:firstLine="482" w:firstLineChars="200"/>
        <w:rPr>
          <w:sz w:val="24"/>
          <w:u w:val="single"/>
        </w:rPr>
      </w:pPr>
      <w:r>
        <w:rPr>
          <w:sz w:val="24"/>
        </w:rPr>
        <w:t>被授权人联系电话：</w:t>
      </w:r>
      <w:r>
        <w:rPr>
          <w:sz w:val="24"/>
          <w:u w:val="single"/>
        </w:rPr>
        <w:t xml:space="preserve">               </w:t>
      </w:r>
    </w:p>
    <w:p w14:paraId="7C2A4C58">
      <w:pPr>
        <w:spacing w:line="240" w:lineRule="auto"/>
        <w:rPr>
          <w:sz w:val="24"/>
          <w:u w:val="single"/>
        </w:rPr>
      </w:pPr>
      <w:r>
        <w:rPr>
          <w:sz w:val="24"/>
        </w:rPr>
        <w:t>被授权人（委托代理人）签名：</w:t>
      </w:r>
      <w:r>
        <w:rPr>
          <w:sz w:val="24"/>
          <w:u w:val="single"/>
        </w:rPr>
        <w:t xml:space="preserve">    </w:t>
      </w:r>
      <w:r>
        <w:rPr>
          <w:sz w:val="24"/>
        </w:rPr>
        <w:t xml:space="preserve">  授权人（法定代表人）签名：</w:t>
      </w:r>
      <w:r>
        <w:rPr>
          <w:sz w:val="24"/>
          <w:u w:val="single"/>
        </w:rPr>
        <w:t xml:space="preserve">   </w:t>
      </w:r>
      <w:r>
        <w:rPr>
          <w:sz w:val="24"/>
          <w:u w:val="single"/>
        </w:rPr>
        <w:t xml:space="preserve"> </w:t>
      </w:r>
      <w:r>
        <w:rPr>
          <w:rFonts w:hint="eastAsia"/>
          <w:sz w:val="24"/>
          <w:u w:val="single"/>
          <w:lang w:eastAsia="zh-CN"/>
        </w:rPr>
        <w:t>；</w:t>
      </w:r>
      <w:r>
        <w:rPr>
          <w:sz w:val="24"/>
          <w:u w:val="single"/>
        </w:rPr>
        <w:t xml:space="preserve">      </w:t>
      </w:r>
    </w:p>
    <w:p w14:paraId="15287098">
      <w:pPr>
        <w:spacing w:line="240" w:lineRule="auto"/>
        <w:rPr>
          <w:sz w:val="24"/>
          <w:u w:val="single"/>
        </w:rPr>
      </w:pPr>
      <w:r>
        <w:rPr>
          <w:sz w:val="24"/>
        </w:rPr>
        <w:t>职</w:t>
      </w:r>
      <w:r>
        <w:rPr>
          <w:rFonts w:hint="eastAsia"/>
          <w:sz w:val="24"/>
          <w:lang w:val="en-US" w:eastAsia="zh-CN"/>
        </w:rPr>
        <w:t xml:space="preserve">      </w:t>
      </w:r>
      <w:r>
        <w:rPr>
          <w:sz w:val="24"/>
        </w:rPr>
        <w:t>务：</w:t>
      </w:r>
      <w:r>
        <w:rPr>
          <w:sz w:val="24"/>
          <w:u w:val="single"/>
        </w:rPr>
        <w:t xml:space="preserve">                      </w:t>
      </w:r>
      <w:r>
        <w:rPr>
          <w:sz w:val="24"/>
        </w:rPr>
        <w:t xml:space="preserve">  职务：</w:t>
      </w:r>
      <w:r>
        <w:rPr>
          <w:sz w:val="24"/>
          <w:u w:val="single"/>
        </w:rPr>
        <w:t xml:space="preserve">                     </w:t>
      </w:r>
      <w:r>
        <w:rPr>
          <w:rFonts w:hint="eastAsia"/>
          <w:sz w:val="24"/>
          <w:u w:val="single"/>
          <w:lang w:eastAsia="zh-CN"/>
        </w:rPr>
        <w:t>；</w:t>
      </w:r>
      <w:r>
        <w:rPr>
          <w:sz w:val="24"/>
          <w:u w:val="single"/>
        </w:rPr>
        <w:t xml:space="preserve">         </w:t>
      </w:r>
    </w:p>
    <w:p w14:paraId="441C1C96">
      <w:pPr>
        <w:spacing w:line="240" w:lineRule="auto"/>
        <w:rPr>
          <w:sz w:val="24"/>
        </w:rPr>
      </w:pPr>
    </w:p>
    <w:p w14:paraId="35EE4ECB">
      <w:pPr>
        <w:spacing w:line="240" w:lineRule="auto"/>
        <w:rPr>
          <w:bCs/>
          <w:sz w:val="28"/>
          <w:szCs w:val="28"/>
        </w:rPr>
      </w:pPr>
      <w:r>
        <w:rPr>
          <w:sz w:val="24"/>
        </w:rPr>
        <w:t>附：被授权人第二代身份证双面扫描（或复印）件</w:t>
      </w:r>
    </w:p>
    <w:p w14:paraId="200F9C16">
      <w:pPr>
        <w:tabs>
          <w:tab w:val="left" w:pos="168"/>
        </w:tabs>
        <w:adjustRightInd w:val="0"/>
        <w:spacing w:line="240" w:lineRule="auto"/>
        <w:textAlignment w:val="baseline"/>
        <w:rPr>
          <w:rFonts w:hint="eastAsia"/>
          <w:bCs/>
          <w:sz w:val="28"/>
          <w:szCs w:val="28"/>
        </w:rPr>
      </w:pPr>
    </w:p>
    <w:p w14:paraId="0D0C5D1C">
      <w:pPr>
        <w:tabs>
          <w:tab w:val="left" w:pos="168"/>
        </w:tabs>
        <w:adjustRightInd w:val="0"/>
        <w:spacing w:line="240" w:lineRule="auto"/>
        <w:textAlignment w:val="baseline"/>
        <w:rPr>
          <w:rFonts w:hint="eastAsia"/>
          <w:bCs/>
          <w:sz w:val="28"/>
          <w:szCs w:val="28"/>
        </w:rPr>
      </w:pPr>
    </w:p>
    <w:p w14:paraId="24628018">
      <w:pPr>
        <w:tabs>
          <w:tab w:val="left" w:pos="168"/>
        </w:tabs>
        <w:adjustRightInd w:val="0"/>
        <w:spacing w:line="240" w:lineRule="auto"/>
        <w:textAlignment w:val="baseline"/>
        <w:rPr>
          <w:rFonts w:hint="eastAsia"/>
          <w:bCs/>
          <w:sz w:val="28"/>
          <w:szCs w:val="28"/>
        </w:rPr>
      </w:pPr>
    </w:p>
    <w:p w14:paraId="099878D7">
      <w:pPr>
        <w:tabs>
          <w:tab w:val="left" w:pos="168"/>
        </w:tabs>
        <w:adjustRightInd w:val="0"/>
        <w:spacing w:line="240" w:lineRule="auto"/>
        <w:textAlignment w:val="baseline"/>
        <w:rPr>
          <w:rFonts w:hint="eastAsia"/>
          <w:bCs/>
          <w:sz w:val="28"/>
          <w:szCs w:val="28"/>
        </w:rPr>
      </w:pPr>
    </w:p>
    <w:p w14:paraId="21C0F90E">
      <w:pPr>
        <w:spacing w:line="240" w:lineRule="auto"/>
        <w:jc w:val="right"/>
        <w:rPr>
          <w:b/>
          <w:sz w:val="24"/>
        </w:rPr>
      </w:pPr>
      <w:r>
        <w:rPr>
          <w:rFonts w:hint="eastAsia"/>
          <w:b/>
          <w:sz w:val="24"/>
          <w:lang w:eastAsia="zh-CN"/>
        </w:rPr>
        <w:t>供应商</w:t>
      </w:r>
      <w:r>
        <w:rPr>
          <w:b/>
          <w:sz w:val="24"/>
        </w:rPr>
        <w:t>：                        （公章）</w:t>
      </w:r>
    </w:p>
    <w:p w14:paraId="464EBD6C">
      <w:pPr>
        <w:wordWrap w:val="0"/>
        <w:spacing w:line="240" w:lineRule="auto"/>
        <w:jc w:val="right"/>
        <w:rPr>
          <w:b/>
          <w:sz w:val="24"/>
        </w:rPr>
      </w:pPr>
      <w:r>
        <w:rPr>
          <w:b/>
          <w:sz w:val="24"/>
        </w:rPr>
        <w:t>法定代表人：                    （签字）</w:t>
      </w:r>
    </w:p>
    <w:p w14:paraId="7D31D84A">
      <w:pPr>
        <w:tabs>
          <w:tab w:val="left" w:pos="168"/>
        </w:tabs>
        <w:adjustRightInd w:val="0"/>
        <w:spacing w:line="240" w:lineRule="auto"/>
        <w:ind w:right="480"/>
        <w:jc w:val="center"/>
        <w:textAlignment w:val="baseline"/>
        <w:rPr>
          <w:bCs/>
          <w:sz w:val="24"/>
          <w:szCs w:val="28"/>
        </w:rPr>
      </w:pPr>
      <w:r>
        <w:rPr>
          <w:sz w:val="24"/>
        </w:rPr>
        <w:t xml:space="preserve">                               </w:t>
      </w:r>
      <w:r>
        <w:rPr>
          <w:b/>
          <w:sz w:val="24"/>
        </w:rPr>
        <w:t>日  期：          年</w:t>
      </w:r>
      <w:r>
        <w:rPr>
          <w:rFonts w:hint="eastAsia"/>
          <w:b/>
          <w:sz w:val="24"/>
          <w:lang w:val="en-US" w:eastAsia="zh-CN"/>
        </w:rPr>
        <w:t xml:space="preserve">   </w:t>
      </w:r>
      <w:r>
        <w:rPr>
          <w:b/>
          <w:sz w:val="24"/>
        </w:rPr>
        <w:t>月   日</w:t>
      </w:r>
    </w:p>
    <w:p w14:paraId="75FF5E65">
      <w:pPr>
        <w:pStyle w:val="23"/>
        <w:spacing w:line="240" w:lineRule="auto"/>
        <w:jc w:val="left"/>
        <w:rPr>
          <w:rFonts w:ascii="Times New Roman" w:hAnsi="Times New Roman"/>
          <w:lang w:val="zh-CN"/>
        </w:rPr>
      </w:pPr>
      <w:bookmarkStart w:id="113" w:name="_Toc22968"/>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：投标供应商承诺书</w:t>
      </w:r>
      <w:bookmarkEnd w:id="113"/>
    </w:p>
    <w:p w14:paraId="185533A3">
      <w:pPr>
        <w:autoSpaceDE w:val="0"/>
        <w:autoSpaceDN w:val="0"/>
        <w:adjustRightInd w:val="0"/>
        <w:spacing w:line="240" w:lineRule="auto"/>
        <w:jc w:val="center"/>
        <w:rPr>
          <w:b/>
          <w:bCs/>
          <w:kern w:val="0"/>
          <w:sz w:val="30"/>
          <w:szCs w:val="30"/>
          <w:lang w:val="zh-CN"/>
        </w:rPr>
      </w:pPr>
      <w:r>
        <w:rPr>
          <w:b/>
          <w:bCs/>
          <w:kern w:val="0"/>
          <w:sz w:val="30"/>
          <w:szCs w:val="30"/>
          <w:lang w:val="zh-CN"/>
        </w:rPr>
        <w:t>投标供应商承诺书</w:t>
      </w:r>
    </w:p>
    <w:p w14:paraId="161ECECE">
      <w:pPr>
        <w:autoSpaceDE w:val="0"/>
        <w:autoSpaceDN w:val="0"/>
        <w:adjustRightInd w:val="0"/>
        <w:spacing w:line="240" w:lineRule="auto"/>
        <w:rPr>
          <w:b/>
          <w:bCs/>
          <w:kern w:val="0"/>
          <w:sz w:val="30"/>
          <w:szCs w:val="30"/>
          <w:lang w:val="zh-CN"/>
        </w:rPr>
      </w:pPr>
    </w:p>
    <w:p w14:paraId="790798CB">
      <w:pPr>
        <w:autoSpaceDE w:val="0"/>
        <w:autoSpaceDN w:val="0"/>
        <w:adjustRightInd w:val="0"/>
        <w:spacing w:line="240" w:lineRule="auto"/>
        <w:rPr>
          <w:rFonts w:ascii="宋体" w:cs="宋体"/>
          <w:b/>
          <w:bCs/>
          <w:color w:val="000000"/>
          <w:kern w:val="0"/>
          <w:sz w:val="24"/>
          <w:lang w:val="zh-CN"/>
        </w:rPr>
      </w:pPr>
      <w:r>
        <w:rPr>
          <w:b/>
          <w:bCs/>
          <w:sz w:val="24"/>
          <w:szCs w:val="28"/>
        </w:rPr>
        <w:t>致：</w:t>
      </w:r>
      <w:r>
        <w:rPr>
          <w:rFonts w:hint="eastAsia" w:ascii="宋体" w:cs="宋体"/>
          <w:b/>
          <w:bCs/>
          <w:color w:val="000000"/>
          <w:kern w:val="0"/>
          <w:sz w:val="24"/>
          <w:lang w:val="zh-CN"/>
        </w:rPr>
        <w:t>湟源县政府采购服务中心</w:t>
      </w:r>
    </w:p>
    <w:p w14:paraId="5988D61D">
      <w:pPr>
        <w:spacing w:line="240" w:lineRule="auto"/>
        <w:ind w:firstLine="482" w:firstLineChars="200"/>
        <w:rPr>
          <w:sz w:val="24"/>
          <w:szCs w:val="28"/>
        </w:rPr>
      </w:pPr>
      <w:r>
        <w:rPr>
          <w:sz w:val="24"/>
          <w:szCs w:val="28"/>
        </w:rPr>
        <w:t>关于贵方</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sz w:val="24"/>
          <w:szCs w:val="28"/>
          <w:u w:val="single"/>
        </w:rPr>
        <w:t xml:space="preserve">          (项目名称)</w:t>
      </w:r>
      <w:r>
        <w:rPr>
          <w:sz w:val="24"/>
          <w:szCs w:val="28"/>
        </w:rPr>
        <w:t>采购项目，本签字人愿意参加投标，提供项目参数中要求的所有产品，并证实提交的所有资料是准确的和真实的。同时，我代表</w:t>
      </w:r>
      <w:r>
        <w:rPr>
          <w:sz w:val="24"/>
          <w:szCs w:val="28"/>
          <w:u w:val="single"/>
        </w:rPr>
        <w:t>（投标供应商名称）</w:t>
      </w:r>
      <w:r>
        <w:rPr>
          <w:sz w:val="24"/>
          <w:szCs w:val="28"/>
        </w:rPr>
        <w:t>，在此作如下承诺：</w:t>
      </w:r>
    </w:p>
    <w:p w14:paraId="6D000E94">
      <w:pPr>
        <w:spacing w:line="240" w:lineRule="auto"/>
        <w:ind w:firstLine="482" w:firstLineChars="200"/>
        <w:rPr>
          <w:sz w:val="24"/>
          <w:szCs w:val="28"/>
        </w:rPr>
      </w:pPr>
      <w:r>
        <w:rPr>
          <w:sz w:val="24"/>
          <w:szCs w:val="28"/>
        </w:rPr>
        <w:t>1、完全理解和接受招标文件的一切规定和要求；</w:t>
      </w:r>
    </w:p>
    <w:p w14:paraId="0425F786">
      <w:pPr>
        <w:spacing w:line="240" w:lineRule="auto"/>
        <w:ind w:firstLine="482" w:firstLineChars="200"/>
        <w:rPr>
          <w:sz w:val="24"/>
          <w:szCs w:val="28"/>
        </w:rPr>
      </w:pPr>
      <w:r>
        <w:rPr>
          <w:sz w:val="24"/>
          <w:szCs w:val="28"/>
        </w:rPr>
        <w:t>2、若中标，我方将按照招标文件的具体规定与采购人签订合同，并且严格履行合同义务，按时交工，提供优质的产品和服务。如果在合同执行过程中，发现质量出现问题，我方一定尽快返工或保修，并承担相应的经济责任；</w:t>
      </w:r>
    </w:p>
    <w:p w14:paraId="091B6933">
      <w:pPr>
        <w:spacing w:line="240" w:lineRule="auto"/>
        <w:ind w:firstLine="482" w:firstLineChars="200"/>
        <w:rPr>
          <w:sz w:val="24"/>
          <w:szCs w:val="28"/>
        </w:rPr>
      </w:pPr>
      <w:r>
        <w:rPr>
          <w:sz w:val="24"/>
          <w:szCs w:val="28"/>
        </w:rPr>
        <w:t>3、在整个招标过程中我方若有违规行为，贵方可按招标文件之规定给予惩罚，我方完全接受。</w:t>
      </w:r>
    </w:p>
    <w:p w14:paraId="13AE4B15">
      <w:pPr>
        <w:spacing w:line="240" w:lineRule="auto"/>
        <w:ind w:firstLine="482" w:firstLineChars="200"/>
        <w:rPr>
          <w:sz w:val="24"/>
          <w:szCs w:val="28"/>
        </w:rPr>
      </w:pPr>
      <w:r>
        <w:rPr>
          <w:sz w:val="24"/>
          <w:szCs w:val="28"/>
        </w:rPr>
        <w:t>4、若中标，本承诺将成为合同不可分割的一部分，与合同具有同等的法律效力。</w:t>
      </w:r>
    </w:p>
    <w:p w14:paraId="5B1CE2BB">
      <w:pPr>
        <w:tabs>
          <w:tab w:val="left" w:pos="168"/>
        </w:tabs>
        <w:adjustRightInd w:val="0"/>
        <w:spacing w:line="240" w:lineRule="auto"/>
        <w:ind w:firstLine="562" w:firstLineChars="200"/>
        <w:textAlignment w:val="baseline"/>
        <w:rPr>
          <w:bCs/>
          <w:sz w:val="28"/>
          <w:szCs w:val="28"/>
        </w:rPr>
      </w:pPr>
    </w:p>
    <w:p w14:paraId="046FAAE0">
      <w:pPr>
        <w:tabs>
          <w:tab w:val="left" w:pos="168"/>
        </w:tabs>
        <w:adjustRightInd w:val="0"/>
        <w:spacing w:line="240" w:lineRule="auto"/>
        <w:textAlignment w:val="baseline"/>
        <w:rPr>
          <w:rFonts w:hint="eastAsia"/>
          <w:bCs/>
          <w:sz w:val="28"/>
          <w:szCs w:val="28"/>
        </w:rPr>
      </w:pPr>
    </w:p>
    <w:p w14:paraId="154F6EEE">
      <w:pPr>
        <w:tabs>
          <w:tab w:val="left" w:pos="168"/>
        </w:tabs>
        <w:adjustRightInd w:val="0"/>
        <w:spacing w:line="240" w:lineRule="auto"/>
        <w:textAlignment w:val="baseline"/>
        <w:rPr>
          <w:bCs/>
          <w:sz w:val="28"/>
          <w:szCs w:val="28"/>
        </w:rPr>
      </w:pPr>
    </w:p>
    <w:p w14:paraId="30DEA343">
      <w:pPr>
        <w:spacing w:line="240" w:lineRule="auto"/>
        <w:jc w:val="right"/>
        <w:rPr>
          <w:b/>
          <w:sz w:val="24"/>
        </w:rPr>
      </w:pPr>
      <w:r>
        <w:rPr>
          <w:rFonts w:hint="eastAsia"/>
          <w:b/>
          <w:sz w:val="24"/>
          <w:lang w:eastAsia="zh-CN"/>
        </w:rPr>
        <w:t>供应商</w:t>
      </w:r>
      <w:r>
        <w:rPr>
          <w:b/>
          <w:sz w:val="24"/>
        </w:rPr>
        <w:t>：                        （公章）</w:t>
      </w:r>
    </w:p>
    <w:p w14:paraId="5AFD5852">
      <w:pPr>
        <w:spacing w:line="240" w:lineRule="auto"/>
        <w:jc w:val="right"/>
        <w:rPr>
          <w:b/>
          <w:sz w:val="24"/>
        </w:rPr>
      </w:pPr>
      <w:r>
        <w:rPr>
          <w:b/>
          <w:sz w:val="24"/>
        </w:rPr>
        <w:t>法定代表人或委托代理人：        （签字）</w:t>
      </w:r>
    </w:p>
    <w:p w14:paraId="4AD633BB">
      <w:pPr>
        <w:tabs>
          <w:tab w:val="left" w:pos="168"/>
        </w:tabs>
        <w:adjustRightInd w:val="0"/>
        <w:spacing w:line="240" w:lineRule="auto"/>
        <w:ind w:right="480" w:firstLine="4097" w:firstLineChars="1700"/>
        <w:textAlignment w:val="baseline"/>
        <w:rPr>
          <w:bCs/>
          <w:sz w:val="24"/>
          <w:szCs w:val="28"/>
        </w:rPr>
      </w:pPr>
      <w:r>
        <w:rPr>
          <w:b/>
          <w:sz w:val="24"/>
        </w:rPr>
        <w:t>日期：   年   月   日</w:t>
      </w:r>
      <w:r>
        <w:rPr>
          <w:b/>
          <w:kern w:val="0"/>
          <w:sz w:val="24"/>
          <w:lang w:val="zh-CN"/>
        </w:rPr>
        <w:t xml:space="preserve"> </w:t>
      </w:r>
      <w:r>
        <w:rPr>
          <w:bCs/>
          <w:sz w:val="24"/>
          <w:szCs w:val="28"/>
        </w:rPr>
        <w:t xml:space="preserve"> </w:t>
      </w:r>
    </w:p>
    <w:p w14:paraId="22572E2F">
      <w:pPr>
        <w:pStyle w:val="23"/>
        <w:spacing w:line="240" w:lineRule="auto"/>
        <w:jc w:val="left"/>
        <w:rPr>
          <w:rFonts w:ascii="Times New Roman" w:hAnsi="Times New Roman"/>
          <w:lang w:val="zh-CN"/>
        </w:rPr>
      </w:pPr>
      <w:r>
        <w:rPr>
          <w:rFonts w:ascii="Times New Roman" w:hAnsi="Times New Roman"/>
          <w:bCs w:val="0"/>
          <w:sz w:val="24"/>
        </w:rPr>
        <w:br w:type="page"/>
      </w:r>
      <w:bookmarkStart w:id="114" w:name="_Toc27275"/>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：投标供应商诚信承诺书</w:t>
      </w:r>
      <w:bookmarkEnd w:id="114"/>
    </w:p>
    <w:p w14:paraId="3A8C6B40">
      <w:pPr>
        <w:autoSpaceDE w:val="0"/>
        <w:autoSpaceDN w:val="0"/>
        <w:adjustRightInd w:val="0"/>
        <w:spacing w:line="240" w:lineRule="auto"/>
        <w:jc w:val="center"/>
        <w:rPr>
          <w:kern w:val="0"/>
          <w:sz w:val="24"/>
          <w:lang w:val="zh-CN"/>
        </w:rPr>
      </w:pPr>
      <w:r>
        <w:rPr>
          <w:b/>
          <w:bCs/>
          <w:kern w:val="0"/>
          <w:sz w:val="30"/>
          <w:szCs w:val="30"/>
          <w:lang w:val="zh-CN"/>
        </w:rPr>
        <w:t>投标供应商诚信承诺书</w:t>
      </w:r>
    </w:p>
    <w:p w14:paraId="531D1E75">
      <w:pPr>
        <w:autoSpaceDE w:val="0"/>
        <w:autoSpaceDN w:val="0"/>
        <w:adjustRightInd w:val="0"/>
        <w:spacing w:line="240" w:lineRule="auto"/>
        <w:rPr>
          <w:rFonts w:ascii="宋体" w:cs="宋体"/>
          <w:b/>
          <w:bCs/>
          <w:color w:val="000000"/>
          <w:kern w:val="0"/>
          <w:sz w:val="24"/>
          <w:lang w:val="zh-CN"/>
        </w:rPr>
      </w:pPr>
      <w:r>
        <w:rPr>
          <w:b/>
          <w:bCs/>
          <w:kern w:val="0"/>
          <w:sz w:val="24"/>
          <w:lang w:val="zh-CN"/>
        </w:rPr>
        <w:t>致：</w:t>
      </w:r>
      <w:r>
        <w:rPr>
          <w:rFonts w:hint="eastAsia" w:ascii="宋体" w:cs="宋体"/>
          <w:b/>
          <w:bCs/>
          <w:color w:val="000000"/>
          <w:kern w:val="0"/>
          <w:sz w:val="24"/>
          <w:lang w:val="zh-CN"/>
        </w:rPr>
        <w:t>湟源县政府采购服务中心</w:t>
      </w:r>
    </w:p>
    <w:p w14:paraId="4836C139">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rPr>
          <w:kern w:val="0"/>
          <w:sz w:val="24"/>
          <w:lang w:val="zh-CN"/>
        </w:rPr>
      </w:pPr>
      <w:r>
        <w:rPr>
          <w:kern w:val="0"/>
          <w:sz w:val="24"/>
          <w:lang w:val="zh-CN"/>
        </w:rPr>
        <w:t>为了诚实、客观、有序地参与青海省政府采购活动，愿就以下内容作出承诺：</w:t>
      </w:r>
    </w:p>
    <w:p w14:paraId="06EFAA2F">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一、自觉遵守各项法律、法规、规章、制度以及社会公德，维护廉洁环境，与同场竞争的供应商平等参加政府采购活动。</w:t>
      </w:r>
    </w:p>
    <w:p w14:paraId="6623C59A">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二、参加</w:t>
      </w:r>
      <w:r>
        <w:rPr>
          <w:rFonts w:hint="eastAsia"/>
          <w:kern w:val="0"/>
          <w:sz w:val="24"/>
          <w:lang w:val="zh-CN"/>
        </w:rPr>
        <w:t>集中采购机构</w:t>
      </w:r>
      <w:r>
        <w:rPr>
          <w:kern w:val="0"/>
          <w:sz w:val="24"/>
          <w:lang w:val="zh-CN"/>
        </w:rPr>
        <w:t>组织的政府采购活动时，严格按照招标文件的规定和要求提供所需的相关材料，并对所提供的各类资料的真实性负责，不虚假应标，不虚列业绩。</w:t>
      </w:r>
    </w:p>
    <w:p w14:paraId="00D0F0C0">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三、尊重参与政府采购活动各相关方的合法行为，接受政府采购活动依法形成的意见、结果。</w:t>
      </w:r>
    </w:p>
    <w:p w14:paraId="5C78EB60">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四、依法参加政府采购活动，不围标、串标，维护市场秩序，不提供“三无”产品、以次充好。</w:t>
      </w:r>
    </w:p>
    <w:p w14:paraId="3E63F651">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5C2F645">
      <w:pPr>
        <w:keepNext w:val="0"/>
        <w:keepLines w:val="0"/>
        <w:pageBreakBefore w:val="0"/>
        <w:widowControl w:val="0"/>
        <w:kinsoku/>
        <w:wordWrap/>
        <w:overflowPunct/>
        <w:topLinePunct w:val="0"/>
        <w:autoSpaceDE w:val="0"/>
        <w:autoSpaceDN w:val="0"/>
        <w:bidi w:val="0"/>
        <w:adjustRightInd w:val="0"/>
        <w:snapToGrid/>
        <w:spacing w:line="520" w:lineRule="exact"/>
        <w:ind w:firstLine="480"/>
        <w:rPr>
          <w:kern w:val="0"/>
          <w:sz w:val="24"/>
          <w:lang w:val="zh-CN"/>
        </w:rPr>
      </w:pPr>
      <w:r>
        <w:rPr>
          <w:kern w:val="0"/>
          <w:sz w:val="24"/>
          <w:lang w:val="zh-CN"/>
        </w:rPr>
        <w:t>六、认真履行中标人应承担的责任和义务，全面执行采购合同规定的各项内容，保质保量地按时提供采购物品。</w:t>
      </w:r>
    </w:p>
    <w:p w14:paraId="24A761E0">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rPr>
          <w:kern w:val="0"/>
          <w:sz w:val="24"/>
          <w:lang w:val="zh-CN"/>
        </w:rPr>
      </w:pPr>
      <w:r>
        <w:rPr>
          <w:kern w:val="0"/>
          <w:sz w:val="24"/>
          <w:lang w:val="zh-CN"/>
        </w:rPr>
        <w:t>若本企业（单位）发生有悖于上述承诺的行为，愿意接受《中华人民共和国政府采购法》和《政府采购法实施条例》中对供应商的相关处理。</w:t>
      </w:r>
    </w:p>
    <w:p w14:paraId="3D2A117C">
      <w:pPr>
        <w:keepNext w:val="0"/>
        <w:keepLines w:val="0"/>
        <w:pageBreakBefore w:val="0"/>
        <w:widowControl w:val="0"/>
        <w:kinsoku/>
        <w:wordWrap/>
        <w:overflowPunct/>
        <w:topLinePunct w:val="0"/>
        <w:autoSpaceDE w:val="0"/>
        <w:autoSpaceDN w:val="0"/>
        <w:bidi w:val="0"/>
        <w:adjustRightInd w:val="0"/>
        <w:snapToGrid/>
        <w:spacing w:line="520" w:lineRule="exact"/>
        <w:rPr>
          <w:bCs/>
          <w:sz w:val="28"/>
          <w:szCs w:val="28"/>
        </w:rPr>
      </w:pPr>
      <w:r>
        <w:rPr>
          <w:kern w:val="0"/>
          <w:sz w:val="24"/>
          <w:lang w:val="zh-CN"/>
        </w:rPr>
        <w:t>本承诺是采购项目投标文件的组成部分。</w:t>
      </w:r>
      <w:bookmarkStart w:id="115" w:name="_Toc444715739"/>
      <w:bookmarkStart w:id="116" w:name="_Toc17097"/>
    </w:p>
    <w:p w14:paraId="7FF06CBC">
      <w:pPr>
        <w:keepNext w:val="0"/>
        <w:keepLines w:val="0"/>
        <w:pageBreakBefore w:val="0"/>
        <w:widowControl w:val="0"/>
        <w:kinsoku/>
        <w:wordWrap/>
        <w:overflowPunct/>
        <w:topLinePunct w:val="0"/>
        <w:bidi w:val="0"/>
        <w:snapToGrid/>
        <w:spacing w:line="520" w:lineRule="exact"/>
        <w:jc w:val="right"/>
        <w:rPr>
          <w:b/>
          <w:sz w:val="24"/>
        </w:rPr>
      </w:pPr>
      <w:r>
        <w:rPr>
          <w:rFonts w:hint="eastAsia"/>
          <w:b/>
          <w:sz w:val="24"/>
          <w:lang w:eastAsia="zh-CN"/>
        </w:rPr>
        <w:t>供应商</w:t>
      </w:r>
      <w:r>
        <w:rPr>
          <w:b/>
          <w:sz w:val="24"/>
        </w:rPr>
        <w:t>：                        （公章）</w:t>
      </w:r>
    </w:p>
    <w:p w14:paraId="5D3E7F70">
      <w:pPr>
        <w:keepNext w:val="0"/>
        <w:keepLines w:val="0"/>
        <w:pageBreakBefore w:val="0"/>
        <w:widowControl w:val="0"/>
        <w:kinsoku/>
        <w:wordWrap/>
        <w:overflowPunct/>
        <w:topLinePunct w:val="0"/>
        <w:bidi w:val="0"/>
        <w:snapToGrid/>
        <w:spacing w:line="520" w:lineRule="exact"/>
        <w:jc w:val="right"/>
        <w:rPr>
          <w:b/>
          <w:sz w:val="24"/>
        </w:rPr>
      </w:pPr>
      <w:r>
        <w:rPr>
          <w:b/>
          <w:sz w:val="24"/>
        </w:rPr>
        <w:t>法定代表人或委托代理人：        （签字）</w:t>
      </w:r>
    </w:p>
    <w:p w14:paraId="42E318A5">
      <w:pPr>
        <w:keepNext w:val="0"/>
        <w:keepLines w:val="0"/>
        <w:pageBreakBefore w:val="0"/>
        <w:widowControl w:val="0"/>
        <w:tabs>
          <w:tab w:val="left" w:pos="168"/>
        </w:tabs>
        <w:kinsoku/>
        <w:wordWrap/>
        <w:overflowPunct/>
        <w:topLinePunct w:val="0"/>
        <w:bidi w:val="0"/>
        <w:adjustRightInd w:val="0"/>
        <w:snapToGrid/>
        <w:spacing w:line="520" w:lineRule="exact"/>
        <w:ind w:right="480"/>
        <w:jc w:val="right"/>
        <w:textAlignment w:val="baseline"/>
        <w:rPr>
          <w:bCs/>
          <w:sz w:val="24"/>
          <w:szCs w:val="28"/>
        </w:rPr>
      </w:pPr>
      <w:r>
        <w:rPr>
          <w:b/>
          <w:sz w:val="24"/>
        </w:rPr>
        <w:t>日期：          年   月   日</w:t>
      </w:r>
      <w:r>
        <w:rPr>
          <w:b/>
          <w:kern w:val="0"/>
          <w:sz w:val="24"/>
          <w:lang w:val="zh-CN"/>
        </w:rPr>
        <w:t xml:space="preserve"> </w:t>
      </w:r>
      <w:r>
        <w:rPr>
          <w:bCs/>
          <w:sz w:val="24"/>
          <w:szCs w:val="28"/>
        </w:rPr>
        <w:t xml:space="preserve"> </w:t>
      </w:r>
    </w:p>
    <w:p w14:paraId="606AB50B">
      <w:pPr>
        <w:pStyle w:val="23"/>
        <w:spacing w:line="240" w:lineRule="auto"/>
        <w:jc w:val="left"/>
        <w:rPr>
          <w:rFonts w:ascii="Times New Roman" w:hAnsi="Times New Roman"/>
          <w:lang w:val="zh-CN"/>
        </w:rPr>
      </w:pPr>
      <w:r>
        <w:rPr>
          <w:rFonts w:ascii="Times New Roman" w:hAnsi="Times New Roman"/>
          <w:lang w:val="zh-CN"/>
        </w:rPr>
        <w:br w:type="page"/>
      </w:r>
      <w:bookmarkStart w:id="117" w:name="_Toc24427"/>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bookmarkEnd w:id="115"/>
      <w:bookmarkEnd w:id="116"/>
      <w:bookmarkEnd w:id="117"/>
    </w:p>
    <w:p w14:paraId="1C5ABEA0">
      <w:pPr>
        <w:spacing w:line="240" w:lineRule="auto"/>
        <w:rPr>
          <w:lang w:val="zh-CN"/>
        </w:rPr>
      </w:pPr>
    </w:p>
    <w:p w14:paraId="6DDF98BD">
      <w:pPr>
        <w:autoSpaceDE w:val="0"/>
        <w:autoSpaceDN w:val="0"/>
        <w:adjustRightInd w:val="0"/>
        <w:spacing w:line="240" w:lineRule="auto"/>
        <w:jc w:val="center"/>
        <w:rPr>
          <w:b/>
          <w:bCs/>
          <w:kern w:val="0"/>
          <w:sz w:val="30"/>
          <w:szCs w:val="30"/>
          <w:lang w:val="zh-CN"/>
        </w:rPr>
      </w:pPr>
      <w:r>
        <w:rPr>
          <w:b/>
          <w:bCs/>
          <w:kern w:val="0"/>
          <w:sz w:val="30"/>
          <w:szCs w:val="30"/>
          <w:lang w:val="zh-CN"/>
        </w:rPr>
        <w:t>资格证明材料</w:t>
      </w:r>
    </w:p>
    <w:p w14:paraId="652A6626">
      <w:pPr>
        <w:autoSpaceDE w:val="0"/>
        <w:autoSpaceDN w:val="0"/>
        <w:adjustRightInd w:val="0"/>
        <w:spacing w:line="240" w:lineRule="auto"/>
        <w:rPr>
          <w:kern w:val="0"/>
          <w:sz w:val="24"/>
          <w:lang w:val="zh-CN"/>
        </w:rPr>
      </w:pPr>
    </w:p>
    <w:p w14:paraId="39349276">
      <w:pPr>
        <w:spacing w:line="240" w:lineRule="auto"/>
        <w:ind w:firstLine="482" w:firstLineChars="200"/>
        <w:rPr>
          <w:sz w:val="24"/>
        </w:rPr>
      </w:pPr>
      <w:r>
        <w:rPr>
          <w:sz w:val="24"/>
        </w:rPr>
        <w:t>资格证明材料包括：</w:t>
      </w:r>
    </w:p>
    <w:p w14:paraId="354D7D24">
      <w:pPr>
        <w:spacing w:line="240" w:lineRule="auto"/>
        <w:ind w:firstLine="482" w:firstLineChars="200"/>
        <w:rPr>
          <w:sz w:val="24"/>
        </w:rPr>
      </w:pPr>
      <w:r>
        <w:rPr>
          <w:sz w:val="24"/>
        </w:rPr>
        <w:t>（1）</w:t>
      </w:r>
      <w:r>
        <w:rPr>
          <w:rFonts w:hint="eastAsia"/>
          <w:sz w:val="24"/>
          <w:lang w:eastAsia="zh-CN"/>
        </w:rPr>
        <w:t>供应商</w:t>
      </w:r>
      <w:r>
        <w:rPr>
          <w:sz w:val="24"/>
        </w:rPr>
        <w:t>的营业执照；</w:t>
      </w:r>
    </w:p>
    <w:p w14:paraId="7413F07F">
      <w:pPr>
        <w:spacing w:line="240" w:lineRule="auto"/>
        <w:ind w:firstLine="482" w:firstLineChars="200"/>
        <w:rPr>
          <w:sz w:val="24"/>
        </w:rPr>
      </w:pPr>
      <w:r>
        <w:rPr>
          <w:sz w:val="24"/>
        </w:rPr>
        <w:t>（2）招标文件规定的有关资格证书、许可证书、认证等；</w:t>
      </w:r>
    </w:p>
    <w:p w14:paraId="70C4299F">
      <w:pPr>
        <w:spacing w:line="240" w:lineRule="auto"/>
        <w:ind w:firstLine="482" w:firstLineChars="200"/>
        <w:rPr>
          <w:sz w:val="24"/>
        </w:rPr>
      </w:pPr>
      <w:r>
        <w:rPr>
          <w:sz w:val="24"/>
        </w:rPr>
        <w:t>（3）投标企业简介及获得相关证书证明文件；</w:t>
      </w:r>
    </w:p>
    <w:p w14:paraId="35D701B8">
      <w:pPr>
        <w:spacing w:line="240" w:lineRule="auto"/>
        <w:ind w:firstLine="482" w:firstLineChars="200"/>
        <w:rPr>
          <w:sz w:val="24"/>
        </w:rPr>
      </w:pPr>
      <w:r>
        <w:rPr>
          <w:sz w:val="24"/>
        </w:rPr>
        <w:t>（4）</w:t>
      </w:r>
      <w:r>
        <w:rPr>
          <w:rFonts w:hint="eastAsia"/>
          <w:sz w:val="24"/>
          <w:lang w:eastAsia="zh-CN"/>
        </w:rPr>
        <w:t>供应商</w:t>
      </w:r>
      <w:r>
        <w:rPr>
          <w:sz w:val="24"/>
        </w:rPr>
        <w:t>认为有必要提供的其他资格证明文件。</w:t>
      </w:r>
    </w:p>
    <w:p w14:paraId="78EF72FA">
      <w:pPr>
        <w:spacing w:line="240" w:lineRule="auto"/>
        <w:ind w:firstLine="482" w:firstLineChars="200"/>
        <w:rPr>
          <w:sz w:val="24"/>
        </w:rPr>
      </w:pPr>
      <w:r>
        <w:rPr>
          <w:sz w:val="24"/>
        </w:rPr>
        <w:t>如果是非法人资格的</w:t>
      </w:r>
      <w:r>
        <w:rPr>
          <w:rFonts w:hint="eastAsia"/>
          <w:sz w:val="24"/>
          <w:lang w:eastAsia="zh-CN"/>
        </w:rPr>
        <w:t>供应商</w:t>
      </w:r>
      <w:r>
        <w:rPr>
          <w:sz w:val="24"/>
        </w:rPr>
        <w:t>，须提供身份证明。</w:t>
      </w:r>
    </w:p>
    <w:p w14:paraId="2C8E0277">
      <w:pPr>
        <w:pStyle w:val="23"/>
        <w:spacing w:line="240" w:lineRule="auto"/>
        <w:jc w:val="left"/>
        <w:rPr>
          <w:rFonts w:ascii="Times New Roman" w:hAnsi="Times New Roman"/>
          <w:lang w:val="zh-CN"/>
        </w:rPr>
      </w:pPr>
      <w:r>
        <w:rPr>
          <w:rFonts w:ascii="Times New Roman" w:hAnsi="Times New Roman"/>
          <w:kern w:val="0"/>
          <w:sz w:val="24"/>
          <w:lang w:val="zh-CN"/>
        </w:rPr>
        <w:br w:type="page"/>
      </w:r>
      <w:bookmarkStart w:id="118" w:name="_Toc22645"/>
      <w:bookmarkStart w:id="119" w:name="_Toc444715740"/>
      <w:bookmarkStart w:id="120" w:name="_Toc20673"/>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bookmarkEnd w:id="118"/>
    </w:p>
    <w:p w14:paraId="10A71D1E">
      <w:pPr>
        <w:spacing w:line="240" w:lineRule="auto"/>
        <w:rPr>
          <w:lang w:val="zh-CN"/>
        </w:rPr>
      </w:pPr>
    </w:p>
    <w:p w14:paraId="51FF8340">
      <w:pPr>
        <w:spacing w:line="240" w:lineRule="auto"/>
        <w:ind w:firstLine="482" w:firstLineChars="200"/>
        <w:rPr>
          <w:sz w:val="24"/>
        </w:rPr>
      </w:pPr>
    </w:p>
    <w:p w14:paraId="3676748F">
      <w:pPr>
        <w:autoSpaceDE w:val="0"/>
        <w:autoSpaceDN w:val="0"/>
        <w:spacing w:line="240" w:lineRule="auto"/>
        <w:jc w:val="center"/>
        <w:rPr>
          <w:b/>
          <w:bCs/>
          <w:kern w:val="0"/>
          <w:sz w:val="36"/>
          <w:szCs w:val="36"/>
          <w:lang w:val="zh-CN"/>
        </w:rPr>
      </w:pPr>
      <w:r>
        <w:rPr>
          <w:b/>
          <w:bCs/>
          <w:kern w:val="0"/>
          <w:sz w:val="28"/>
          <w:szCs w:val="28"/>
          <w:lang w:val="zh-CN"/>
        </w:rPr>
        <w:t>财务状况报告，依法缴纳税收和社会保障资金证明</w:t>
      </w:r>
    </w:p>
    <w:p w14:paraId="060F7C4A">
      <w:pPr>
        <w:autoSpaceDE w:val="0"/>
        <w:autoSpaceDN w:val="0"/>
        <w:spacing w:line="240" w:lineRule="auto"/>
        <w:rPr>
          <w:kern w:val="0"/>
          <w:sz w:val="28"/>
          <w:szCs w:val="28"/>
          <w:lang w:val="zh-CN"/>
        </w:rPr>
      </w:pPr>
    </w:p>
    <w:p w14:paraId="7733A1EC">
      <w:pPr>
        <w:autoSpaceDE w:val="0"/>
        <w:autoSpaceDN w:val="0"/>
        <w:spacing w:line="240" w:lineRule="auto"/>
        <w:ind w:firstLine="480"/>
        <w:rPr>
          <w:kern w:val="0"/>
          <w:sz w:val="24"/>
          <w:highlight w:val="none"/>
          <w:lang w:val="zh-CN"/>
        </w:rPr>
      </w:pPr>
      <w:r>
        <w:rPr>
          <w:kern w:val="0"/>
          <w:sz w:val="24"/>
          <w:highlight w:val="none"/>
          <w:lang w:val="zh-CN"/>
        </w:rPr>
        <w:t>按照招标文件第2.2款（1）中第&lt;2&gt;条规定提供以下相关材料。</w:t>
      </w:r>
    </w:p>
    <w:p w14:paraId="0B947760">
      <w:pPr>
        <w:autoSpaceDE w:val="0"/>
        <w:autoSpaceDN w:val="0"/>
        <w:spacing w:line="240" w:lineRule="auto"/>
        <w:ind w:firstLine="480"/>
        <w:rPr>
          <w:color w:val="auto"/>
          <w:kern w:val="0"/>
          <w:sz w:val="24"/>
          <w:highlight w:val="none"/>
          <w:lang w:val="zh-CN"/>
        </w:rPr>
      </w:pPr>
      <w:r>
        <w:rPr>
          <w:color w:val="auto"/>
          <w:kern w:val="0"/>
          <w:sz w:val="24"/>
          <w:highlight w:val="none"/>
          <w:lang w:val="zh-CN"/>
        </w:rPr>
        <w:t>1、</w:t>
      </w:r>
      <w:r>
        <w:rPr>
          <w:rFonts w:hint="eastAsia"/>
          <w:color w:val="auto"/>
          <w:kern w:val="0"/>
          <w:sz w:val="24"/>
          <w:highlight w:val="none"/>
          <w:lang w:val="zh-CN"/>
        </w:rPr>
        <w:t>供应商</w:t>
      </w:r>
      <w:r>
        <w:rPr>
          <w:color w:val="auto"/>
          <w:kern w:val="0"/>
          <w:sz w:val="24"/>
          <w:highlight w:val="none"/>
          <w:lang w:val="zh-CN"/>
        </w:rPr>
        <w:t>基本开户银行近三个月内出具的资信证明或经第三方机构出具的</w:t>
      </w:r>
      <w:r>
        <w:rPr>
          <w:rFonts w:hint="eastAsia"/>
          <w:color w:val="auto"/>
          <w:kern w:val="0"/>
          <w:sz w:val="24"/>
          <w:highlight w:val="none"/>
          <w:lang w:val="zh-CN"/>
        </w:rPr>
        <w:t>202</w:t>
      </w:r>
      <w:r>
        <w:rPr>
          <w:rFonts w:hint="eastAsia"/>
          <w:color w:val="auto"/>
          <w:kern w:val="0"/>
          <w:sz w:val="24"/>
          <w:highlight w:val="none"/>
          <w:lang w:val="en-US" w:eastAsia="zh-CN"/>
        </w:rPr>
        <w:t>4</w:t>
      </w:r>
      <w:r>
        <w:rPr>
          <w:rFonts w:hint="eastAsia"/>
          <w:color w:val="auto"/>
          <w:kern w:val="0"/>
          <w:sz w:val="24"/>
          <w:highlight w:val="none"/>
          <w:lang w:val="zh-CN"/>
        </w:rPr>
        <w:t>年</w:t>
      </w:r>
      <w:r>
        <w:rPr>
          <w:color w:val="auto"/>
          <w:kern w:val="0"/>
          <w:sz w:val="24"/>
          <w:highlight w:val="none"/>
          <w:lang w:val="zh-CN"/>
        </w:rPr>
        <w:t>度财务状况审计报告（扫描或复印件应全面、完整、清晰），包括资产负债表、现金流量表、利润表和财务（会计）报表附注</w:t>
      </w:r>
      <w:r>
        <w:rPr>
          <w:rFonts w:hint="eastAsia"/>
          <w:color w:val="auto"/>
          <w:kern w:val="0"/>
          <w:sz w:val="24"/>
          <w:highlight w:val="none"/>
          <w:lang w:val="zh-CN"/>
        </w:rPr>
        <w:t>，</w:t>
      </w:r>
      <w:r>
        <w:rPr>
          <w:color w:val="auto"/>
          <w:kern w:val="0"/>
          <w:sz w:val="24"/>
          <w:highlight w:val="none"/>
          <w:lang w:val="zh-CN"/>
        </w:rPr>
        <w:t>并提供第三方机构的营业执照、执业证书</w:t>
      </w:r>
      <w:r>
        <w:rPr>
          <w:rFonts w:hint="eastAsia"/>
          <w:color w:val="auto"/>
          <w:kern w:val="0"/>
          <w:sz w:val="24"/>
          <w:highlight w:val="none"/>
          <w:lang w:val="zh-CN"/>
        </w:rPr>
        <w:t>。</w:t>
      </w:r>
    </w:p>
    <w:p w14:paraId="07EA65BE">
      <w:pPr>
        <w:spacing w:line="240" w:lineRule="auto"/>
        <w:ind w:firstLine="482" w:firstLineChars="200"/>
        <w:rPr>
          <w:color w:val="auto"/>
          <w:kern w:val="0"/>
          <w:sz w:val="24"/>
          <w:highlight w:val="none"/>
          <w:lang w:val="zh-CN"/>
        </w:rPr>
      </w:pPr>
      <w:r>
        <w:rPr>
          <w:color w:val="auto"/>
          <w:kern w:val="0"/>
          <w:sz w:val="24"/>
          <w:highlight w:val="none"/>
          <w:lang w:val="zh-CN"/>
        </w:rPr>
        <w:t>2、近半年内</w:t>
      </w:r>
      <w:r>
        <w:rPr>
          <w:rFonts w:hint="eastAsia"/>
          <w:color w:val="auto"/>
          <w:kern w:val="0"/>
          <w:sz w:val="24"/>
          <w:highlight w:val="none"/>
          <w:lang w:val="zh-CN"/>
        </w:rPr>
        <w:t>任意</w:t>
      </w:r>
      <w:r>
        <w:rPr>
          <w:rFonts w:hint="eastAsia"/>
          <w:color w:val="auto"/>
          <w:kern w:val="0"/>
          <w:sz w:val="24"/>
          <w:highlight w:val="none"/>
          <w:lang w:val="en-US" w:eastAsia="zh-CN"/>
        </w:rPr>
        <w:t>三</w:t>
      </w:r>
      <w:r>
        <w:rPr>
          <w:rFonts w:hint="eastAsia"/>
          <w:color w:val="auto"/>
          <w:kern w:val="0"/>
          <w:sz w:val="24"/>
          <w:highlight w:val="none"/>
          <w:lang w:val="zh-CN"/>
        </w:rPr>
        <w:t>个月</w:t>
      </w:r>
      <w:r>
        <w:rPr>
          <w:color w:val="auto"/>
          <w:kern w:val="0"/>
          <w:sz w:val="24"/>
          <w:highlight w:val="none"/>
          <w:lang w:val="zh-CN"/>
        </w:rPr>
        <w:t>的依法缴纳税收和社会保障资金记录的证明材料；依法免税或不需要缴纳社会保障资金的</w:t>
      </w:r>
      <w:r>
        <w:rPr>
          <w:rFonts w:hint="eastAsia"/>
          <w:color w:val="auto"/>
          <w:kern w:val="0"/>
          <w:sz w:val="24"/>
          <w:highlight w:val="none"/>
          <w:lang w:val="zh-CN"/>
        </w:rPr>
        <w:t>供应商</w:t>
      </w:r>
      <w:r>
        <w:rPr>
          <w:color w:val="auto"/>
          <w:kern w:val="0"/>
          <w:sz w:val="24"/>
          <w:highlight w:val="none"/>
          <w:lang w:val="zh-CN"/>
        </w:rPr>
        <w:t>须提供相应文件证明其依法免税或不需要缴纳社会保障资金。</w:t>
      </w:r>
    </w:p>
    <w:p w14:paraId="73F214A4">
      <w:pPr>
        <w:spacing w:line="240" w:lineRule="auto"/>
        <w:ind w:firstLine="482" w:firstLineChars="200"/>
        <w:rPr>
          <w:sz w:val="24"/>
        </w:rPr>
      </w:pPr>
      <w:r>
        <w:rPr>
          <w:kern w:val="0"/>
          <w:sz w:val="24"/>
          <w:lang w:val="zh-CN"/>
        </w:rPr>
        <w:t>3、</w:t>
      </w:r>
      <w:r>
        <w:rPr>
          <w:sz w:val="24"/>
        </w:rPr>
        <w:t>扫描（或复印）件应全面、完整、清晰并加盖投标供应商公章。</w:t>
      </w:r>
    </w:p>
    <w:p w14:paraId="6D552639">
      <w:pPr>
        <w:tabs>
          <w:tab w:val="left" w:pos="168"/>
        </w:tabs>
        <w:adjustRightInd w:val="0"/>
        <w:spacing w:line="240" w:lineRule="auto"/>
        <w:jc w:val="right"/>
        <w:textAlignment w:val="baseline"/>
        <w:rPr>
          <w:bCs/>
          <w:sz w:val="24"/>
          <w:szCs w:val="28"/>
        </w:rPr>
      </w:pPr>
      <w:r>
        <w:rPr>
          <w:bCs/>
          <w:sz w:val="24"/>
          <w:szCs w:val="28"/>
        </w:rPr>
        <w:t xml:space="preserve"> </w:t>
      </w:r>
    </w:p>
    <w:p w14:paraId="142DB879">
      <w:pPr>
        <w:pStyle w:val="23"/>
        <w:spacing w:line="240" w:lineRule="auto"/>
        <w:jc w:val="left"/>
        <w:rPr>
          <w:rFonts w:ascii="Times New Roman" w:hAnsi="Times New Roman"/>
          <w:lang w:val="zh-CN"/>
        </w:rPr>
      </w:pPr>
      <w:r>
        <w:rPr>
          <w:rFonts w:ascii="Times New Roman" w:hAnsi="Times New Roman"/>
          <w:lang w:val="zh-CN"/>
        </w:rPr>
        <w:br w:type="page"/>
      </w:r>
      <w:bookmarkStart w:id="121" w:name="_Toc15691"/>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bookmarkEnd w:id="121"/>
    </w:p>
    <w:p w14:paraId="3A92C699">
      <w:pPr>
        <w:autoSpaceDE w:val="0"/>
        <w:autoSpaceDN w:val="0"/>
        <w:adjustRightInd w:val="0"/>
        <w:spacing w:line="240" w:lineRule="auto"/>
        <w:rPr>
          <w:kern w:val="0"/>
          <w:sz w:val="24"/>
          <w:lang w:val="zh-CN"/>
        </w:rPr>
      </w:pPr>
    </w:p>
    <w:p w14:paraId="37207562">
      <w:pPr>
        <w:autoSpaceDE w:val="0"/>
        <w:autoSpaceDN w:val="0"/>
        <w:adjustRightInd w:val="0"/>
        <w:spacing w:line="240" w:lineRule="auto"/>
        <w:jc w:val="center"/>
        <w:rPr>
          <w:b/>
          <w:bCs/>
          <w:kern w:val="0"/>
          <w:sz w:val="30"/>
          <w:szCs w:val="30"/>
          <w:lang w:val="zh-CN"/>
        </w:rPr>
      </w:pPr>
      <w:r>
        <w:rPr>
          <w:b/>
          <w:bCs/>
          <w:kern w:val="0"/>
          <w:sz w:val="30"/>
          <w:szCs w:val="30"/>
          <w:lang w:val="zh-CN"/>
        </w:rPr>
        <w:t>具备履行合同所必需的设备和专业技术能力证明</w:t>
      </w:r>
    </w:p>
    <w:p w14:paraId="234BAD58">
      <w:pPr>
        <w:autoSpaceDE w:val="0"/>
        <w:autoSpaceDN w:val="0"/>
        <w:adjustRightInd w:val="0"/>
        <w:spacing w:line="240" w:lineRule="auto"/>
        <w:ind w:firstLine="602" w:firstLineChars="250"/>
        <w:jc w:val="left"/>
        <w:rPr>
          <w:sz w:val="24"/>
          <w:lang w:val="zh-CN"/>
        </w:rPr>
      </w:pPr>
    </w:p>
    <w:p w14:paraId="1E6D6A49">
      <w:pPr>
        <w:autoSpaceDE w:val="0"/>
        <w:autoSpaceDN w:val="0"/>
        <w:adjustRightInd w:val="0"/>
        <w:spacing w:line="240" w:lineRule="auto"/>
        <w:ind w:firstLine="602" w:firstLineChars="250"/>
        <w:jc w:val="left"/>
        <w:rPr>
          <w:rFonts w:hint="eastAsia"/>
          <w:kern w:val="0"/>
          <w:sz w:val="24"/>
          <w:lang w:val="zh-CN"/>
        </w:rPr>
      </w:pPr>
      <w:r>
        <w:rPr>
          <w:kern w:val="0"/>
          <w:sz w:val="24"/>
          <w:lang w:val="zh-CN"/>
        </w:rPr>
        <w:t>为保证本项目合同的顺利履行，</w:t>
      </w:r>
      <w:r>
        <w:rPr>
          <w:rFonts w:hint="eastAsia"/>
          <w:kern w:val="0"/>
          <w:sz w:val="24"/>
          <w:lang w:val="zh-CN"/>
        </w:rPr>
        <w:t>供应商</w:t>
      </w:r>
      <w:r>
        <w:rPr>
          <w:kern w:val="0"/>
          <w:sz w:val="24"/>
          <w:lang w:val="zh-CN"/>
        </w:rPr>
        <w:t>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kern w:val="0"/>
          <w:sz w:val="24"/>
          <w:lang w:val="zh-CN"/>
        </w:rPr>
        <w:t>须提供相关设备的购置发票</w:t>
      </w:r>
      <w:r>
        <w:rPr>
          <w:rFonts w:hint="eastAsia" w:ascii="宋体" w:hAnsi="宋体" w:cs="宋体"/>
          <w:kern w:val="0"/>
          <w:sz w:val="24"/>
        </w:rPr>
        <w:t>或</w:t>
      </w:r>
      <w:r>
        <w:rPr>
          <w:rFonts w:hint="eastAsia" w:ascii="宋体" w:hAnsi="宋体" w:cs="宋体"/>
          <w:kern w:val="0"/>
          <w:sz w:val="24"/>
          <w:lang w:val="zh-CN"/>
        </w:rPr>
        <w:t>相关人员的证书</w:t>
      </w:r>
      <w:r>
        <w:rPr>
          <w:rFonts w:hint="eastAsia" w:ascii="宋体" w:hAnsi="宋体" w:cs="宋体"/>
          <w:kern w:val="0"/>
          <w:sz w:val="24"/>
        </w:rPr>
        <w:t>或</w:t>
      </w:r>
      <w:r>
        <w:rPr>
          <w:rFonts w:hint="eastAsia" w:ascii="宋体" w:hAnsi="宋体" w:cs="宋体"/>
          <w:kern w:val="0"/>
          <w:sz w:val="24"/>
          <w:lang w:val="zh-CN"/>
        </w:rPr>
        <w:t>用工合同</w:t>
      </w:r>
      <w:r>
        <w:rPr>
          <w:kern w:val="0"/>
          <w:sz w:val="24"/>
          <w:lang w:val="zh-CN"/>
        </w:rPr>
        <w:t>等证明材料。</w:t>
      </w:r>
    </w:p>
    <w:p w14:paraId="7200003C">
      <w:pPr>
        <w:autoSpaceDE w:val="0"/>
        <w:autoSpaceDN w:val="0"/>
        <w:adjustRightInd w:val="0"/>
        <w:spacing w:line="240" w:lineRule="auto"/>
        <w:jc w:val="left"/>
        <w:rPr>
          <w:lang w:val="zh-CN"/>
        </w:rPr>
      </w:pPr>
      <w:r>
        <w:rPr>
          <w:lang w:val="zh-CN"/>
        </w:rPr>
        <w:br w:type="page"/>
      </w:r>
    </w:p>
    <w:p w14:paraId="4A344A5C">
      <w:pPr>
        <w:autoSpaceDE w:val="0"/>
        <w:autoSpaceDN w:val="0"/>
        <w:adjustRightInd w:val="0"/>
        <w:spacing w:line="240" w:lineRule="auto"/>
        <w:jc w:val="left"/>
        <w:rPr>
          <w:b/>
          <w:bCs/>
          <w:kern w:val="0"/>
          <w:sz w:val="30"/>
          <w:szCs w:val="30"/>
          <w:lang w:val="zh-CN"/>
        </w:rPr>
      </w:pPr>
      <w:bookmarkStart w:id="122" w:name="_Toc23067"/>
      <w:r>
        <w:rPr>
          <w:rStyle w:val="52"/>
          <w:rFonts w:ascii="Times New Roman" w:hAnsi="Times New Roman"/>
        </w:rPr>
        <w:t>格式</w:t>
      </w:r>
      <w:r>
        <w:rPr>
          <w:rStyle w:val="52"/>
          <w:rFonts w:hint="eastAsia" w:ascii="Times New Roman" w:hAnsi="Times New Roman"/>
        </w:rPr>
        <w:t>9</w:t>
      </w:r>
      <w:r>
        <w:rPr>
          <w:rStyle w:val="52"/>
          <w:rFonts w:ascii="Times New Roman" w:hAnsi="Times New Roman"/>
        </w:rPr>
        <w:t>：</w:t>
      </w:r>
      <w:bookmarkEnd w:id="119"/>
      <w:bookmarkEnd w:id="120"/>
      <w:r>
        <w:rPr>
          <w:rStyle w:val="52"/>
          <w:rFonts w:ascii="Times New Roman" w:hAnsi="Times New Roman"/>
        </w:rPr>
        <w:t>无重大违法记录声明</w:t>
      </w:r>
      <w:bookmarkEnd w:id="122"/>
    </w:p>
    <w:p w14:paraId="0099D664">
      <w:pPr>
        <w:autoSpaceDE w:val="0"/>
        <w:autoSpaceDN w:val="0"/>
        <w:adjustRightInd w:val="0"/>
        <w:spacing w:line="240" w:lineRule="auto"/>
        <w:rPr>
          <w:kern w:val="0"/>
          <w:sz w:val="24"/>
          <w:lang w:val="zh-CN"/>
        </w:rPr>
      </w:pPr>
    </w:p>
    <w:p w14:paraId="66D27749">
      <w:pPr>
        <w:autoSpaceDE w:val="0"/>
        <w:autoSpaceDN w:val="0"/>
        <w:adjustRightInd w:val="0"/>
        <w:spacing w:line="240" w:lineRule="auto"/>
        <w:jc w:val="center"/>
        <w:rPr>
          <w:b/>
          <w:bCs/>
          <w:kern w:val="0"/>
          <w:sz w:val="30"/>
          <w:szCs w:val="30"/>
          <w:lang w:val="zh-CN"/>
        </w:rPr>
      </w:pPr>
      <w:r>
        <w:rPr>
          <w:b/>
          <w:bCs/>
          <w:kern w:val="0"/>
          <w:sz w:val="30"/>
          <w:szCs w:val="30"/>
          <w:lang w:val="zh-CN"/>
        </w:rPr>
        <w:t>无重大违法记录声明</w:t>
      </w:r>
    </w:p>
    <w:p w14:paraId="17101F9F">
      <w:pPr>
        <w:autoSpaceDE w:val="0"/>
        <w:autoSpaceDN w:val="0"/>
        <w:adjustRightInd w:val="0"/>
        <w:spacing w:line="240" w:lineRule="auto"/>
        <w:rPr>
          <w:kern w:val="0"/>
          <w:sz w:val="24"/>
          <w:lang w:val="zh-CN"/>
        </w:rPr>
      </w:pPr>
    </w:p>
    <w:p w14:paraId="00842569">
      <w:pPr>
        <w:spacing w:line="240" w:lineRule="auto"/>
        <w:ind w:firstLine="496" w:firstLineChars="177"/>
        <w:rPr>
          <w:rFonts w:ascii="宋体" w:cs="Arial"/>
          <w:color w:val="000000"/>
          <w:sz w:val="24"/>
        </w:rPr>
      </w:pPr>
      <w:bookmarkStart w:id="123" w:name="_Hlk490491531"/>
      <w:r>
        <w:rPr>
          <w:rFonts w:hint="eastAsia" w:ascii="宋体" w:hAnsi="Times New Roman" w:eastAsia="宋体" w:cs="宋体"/>
          <w:b/>
          <w:bCs/>
          <w:color w:val="000000"/>
          <w:kern w:val="0"/>
          <w:sz w:val="28"/>
          <w:szCs w:val="28"/>
          <w:lang w:val="zh-CN"/>
        </w:rPr>
        <w:t>致：</w:t>
      </w:r>
      <w:r>
        <w:rPr>
          <w:rFonts w:hint="eastAsia" w:ascii="宋体" w:hAnsi="Times New Roman" w:eastAsia="宋体" w:cs="宋体"/>
          <w:b/>
          <w:bCs/>
          <w:color w:val="000000"/>
          <w:kern w:val="0"/>
          <w:sz w:val="28"/>
          <w:szCs w:val="28"/>
          <w:lang w:val="en-US" w:eastAsia="zh-CN"/>
        </w:rPr>
        <w:t xml:space="preserve"> </w:t>
      </w:r>
      <w:r>
        <w:rPr>
          <w:rFonts w:hint="eastAsia" w:ascii="宋体" w:hAnsi="Times New Roman" w:eastAsia="宋体" w:cs="宋体"/>
          <w:b/>
          <w:bCs/>
          <w:color w:val="000000"/>
          <w:kern w:val="0"/>
          <w:sz w:val="28"/>
          <w:szCs w:val="28"/>
          <w:lang w:val="zh-CN"/>
        </w:rPr>
        <w:t>湟源县</w:t>
      </w:r>
      <w:r>
        <w:rPr>
          <w:rFonts w:hint="eastAsia" w:ascii="宋体" w:cs="宋体"/>
          <w:b/>
          <w:bCs/>
          <w:color w:val="000000"/>
          <w:kern w:val="0"/>
          <w:sz w:val="28"/>
          <w:szCs w:val="28"/>
          <w:lang w:val="zh-CN"/>
        </w:rPr>
        <w:t>政府采购服务中心</w:t>
      </w:r>
    </w:p>
    <w:p w14:paraId="12C387B4">
      <w:pPr>
        <w:spacing w:line="240" w:lineRule="auto"/>
        <w:ind w:left="632" w:hanging="723" w:hangingChars="300"/>
        <w:rPr>
          <w:rFonts w:hint="eastAsia" w:eastAsia="宋体"/>
          <w:b/>
          <w:lang w:val="en-US" w:eastAsia="zh-CN"/>
        </w:rPr>
      </w:pPr>
    </w:p>
    <w:p w14:paraId="40856FD3">
      <w:pPr>
        <w:spacing w:line="240" w:lineRule="auto"/>
        <w:ind w:firstLine="482" w:firstLineChars="200"/>
        <w:rPr>
          <w:sz w:val="24"/>
        </w:rPr>
      </w:pPr>
      <w:r>
        <w:rPr>
          <w:sz w:val="24"/>
        </w:rPr>
        <w:t>（投标供应商名称）郑重声明，我方参加本项目前三年内无重大违法活动记录，</w:t>
      </w:r>
    </w:p>
    <w:p w14:paraId="18540DEE">
      <w:pPr>
        <w:spacing w:line="240" w:lineRule="auto"/>
        <w:ind w:firstLine="482" w:firstLineChars="200"/>
        <w:rPr>
          <w:sz w:val="24"/>
        </w:rPr>
      </w:pPr>
      <w:r>
        <w:rPr>
          <w:sz w:val="24"/>
        </w:rPr>
        <w:t>符合规定的供应商资格条件。我方对此声明负全部法律责任。</w:t>
      </w:r>
    </w:p>
    <w:p w14:paraId="5A8817E3">
      <w:pPr>
        <w:spacing w:line="240" w:lineRule="auto"/>
        <w:ind w:firstLine="723" w:firstLineChars="300"/>
        <w:rPr>
          <w:sz w:val="24"/>
        </w:rPr>
      </w:pPr>
      <w:r>
        <w:rPr>
          <w:sz w:val="24"/>
        </w:rPr>
        <w:t>特此声明。</w:t>
      </w:r>
    </w:p>
    <w:p w14:paraId="2CF76D4E">
      <w:pPr>
        <w:spacing w:line="240" w:lineRule="auto"/>
        <w:rPr>
          <w:lang w:val="zh-CN"/>
        </w:rPr>
      </w:pPr>
    </w:p>
    <w:p w14:paraId="603D0F8E">
      <w:pPr>
        <w:autoSpaceDE w:val="0"/>
        <w:autoSpaceDN w:val="0"/>
        <w:adjustRightInd w:val="0"/>
        <w:spacing w:line="240" w:lineRule="auto"/>
        <w:rPr>
          <w:kern w:val="0"/>
          <w:sz w:val="24"/>
          <w:lang w:val="zh-CN"/>
        </w:rPr>
      </w:pPr>
    </w:p>
    <w:p w14:paraId="6D8DC454">
      <w:pPr>
        <w:autoSpaceDE w:val="0"/>
        <w:autoSpaceDN w:val="0"/>
        <w:adjustRightInd w:val="0"/>
        <w:spacing w:line="240" w:lineRule="auto"/>
        <w:rPr>
          <w:kern w:val="0"/>
          <w:sz w:val="24"/>
          <w:lang w:val="zh-CN"/>
        </w:rPr>
      </w:pPr>
    </w:p>
    <w:p w14:paraId="356E6E6A">
      <w:pPr>
        <w:autoSpaceDE w:val="0"/>
        <w:autoSpaceDN w:val="0"/>
        <w:adjustRightInd w:val="0"/>
        <w:spacing w:line="240" w:lineRule="auto"/>
        <w:rPr>
          <w:rFonts w:hint="eastAsia"/>
          <w:kern w:val="0"/>
          <w:sz w:val="24"/>
          <w:lang w:val="zh-CN"/>
        </w:rPr>
      </w:pPr>
    </w:p>
    <w:p w14:paraId="2303F3E3">
      <w:pPr>
        <w:autoSpaceDE w:val="0"/>
        <w:autoSpaceDN w:val="0"/>
        <w:adjustRightInd w:val="0"/>
        <w:spacing w:line="240" w:lineRule="auto"/>
        <w:rPr>
          <w:rFonts w:hint="eastAsia"/>
          <w:kern w:val="0"/>
          <w:sz w:val="24"/>
          <w:lang w:val="zh-CN"/>
        </w:rPr>
      </w:pPr>
    </w:p>
    <w:p w14:paraId="2AB56408">
      <w:pPr>
        <w:autoSpaceDE w:val="0"/>
        <w:autoSpaceDN w:val="0"/>
        <w:adjustRightInd w:val="0"/>
        <w:spacing w:line="240" w:lineRule="auto"/>
        <w:rPr>
          <w:rFonts w:hint="eastAsia"/>
          <w:kern w:val="0"/>
          <w:sz w:val="24"/>
          <w:lang w:val="zh-CN"/>
        </w:rPr>
      </w:pPr>
    </w:p>
    <w:p w14:paraId="0540E7C6">
      <w:pPr>
        <w:autoSpaceDE w:val="0"/>
        <w:autoSpaceDN w:val="0"/>
        <w:adjustRightInd w:val="0"/>
        <w:spacing w:line="240" w:lineRule="auto"/>
        <w:rPr>
          <w:rFonts w:hint="eastAsia"/>
          <w:kern w:val="0"/>
          <w:sz w:val="24"/>
          <w:lang w:val="zh-CN"/>
        </w:rPr>
      </w:pPr>
    </w:p>
    <w:p w14:paraId="73B50F54">
      <w:pPr>
        <w:autoSpaceDE w:val="0"/>
        <w:autoSpaceDN w:val="0"/>
        <w:adjustRightInd w:val="0"/>
        <w:spacing w:line="240" w:lineRule="auto"/>
        <w:rPr>
          <w:kern w:val="0"/>
          <w:sz w:val="24"/>
          <w:lang w:val="zh-CN"/>
        </w:rPr>
      </w:pPr>
    </w:p>
    <w:p w14:paraId="7C6A5BCF">
      <w:pPr>
        <w:autoSpaceDE w:val="0"/>
        <w:autoSpaceDN w:val="0"/>
        <w:adjustRightInd w:val="0"/>
        <w:spacing w:line="240" w:lineRule="auto"/>
        <w:rPr>
          <w:kern w:val="0"/>
          <w:sz w:val="24"/>
          <w:lang w:val="zh-CN"/>
        </w:rPr>
      </w:pPr>
    </w:p>
    <w:bookmarkEnd w:id="123"/>
    <w:p w14:paraId="6AF6B887">
      <w:pPr>
        <w:spacing w:line="240" w:lineRule="auto"/>
        <w:jc w:val="right"/>
        <w:rPr>
          <w:b/>
          <w:sz w:val="24"/>
        </w:rPr>
      </w:pPr>
      <w:r>
        <w:rPr>
          <w:rFonts w:hint="eastAsia"/>
          <w:b/>
          <w:sz w:val="24"/>
          <w:lang w:eastAsia="zh-CN"/>
        </w:rPr>
        <w:t>供应商</w:t>
      </w:r>
      <w:r>
        <w:rPr>
          <w:b/>
          <w:sz w:val="24"/>
        </w:rPr>
        <w:t>：                        （公章）</w:t>
      </w:r>
    </w:p>
    <w:p w14:paraId="20BDD1AD">
      <w:pPr>
        <w:spacing w:line="240" w:lineRule="auto"/>
        <w:jc w:val="right"/>
        <w:rPr>
          <w:b/>
          <w:sz w:val="24"/>
        </w:rPr>
      </w:pPr>
      <w:r>
        <w:rPr>
          <w:b/>
          <w:sz w:val="24"/>
        </w:rPr>
        <w:t>法定代表人或委托代理人：        （签字）</w:t>
      </w:r>
    </w:p>
    <w:p w14:paraId="69B14665">
      <w:pPr>
        <w:spacing w:line="240" w:lineRule="auto"/>
        <w:jc w:val="center"/>
      </w:pPr>
      <w:r>
        <w:rPr>
          <w:rFonts w:hint="eastAsia"/>
          <w:b/>
          <w:sz w:val="24"/>
          <w:lang w:val="en-US" w:eastAsia="zh-CN"/>
        </w:rPr>
        <w:t xml:space="preserve">                               </w:t>
      </w:r>
      <w:r>
        <w:rPr>
          <w:b/>
          <w:sz w:val="24"/>
        </w:rPr>
        <w:t>日期：   年   月   日</w:t>
      </w:r>
    </w:p>
    <w:p w14:paraId="4D5B4653">
      <w:pPr>
        <w:bidi w:val="0"/>
        <w:spacing w:line="240" w:lineRule="auto"/>
        <w:rPr>
          <w:rFonts w:hint="eastAsia" w:ascii="宋体" w:hAnsi="宋体" w:cs="宋体"/>
          <w:b w:val="0"/>
          <w:bCs w:val="0"/>
          <w:kern w:val="0"/>
          <w:sz w:val="24"/>
          <w:szCs w:val="24"/>
          <w:lang w:val="zh-CN" w:eastAsia="zh-CN" w:bidi="ar-SA"/>
        </w:rPr>
      </w:pPr>
      <w:bookmarkStart w:id="124" w:name="_Toc17535"/>
    </w:p>
    <w:p w14:paraId="7496BC03">
      <w:pPr>
        <w:bidi w:val="0"/>
        <w:spacing w:line="240" w:lineRule="auto"/>
        <w:rPr>
          <w:rStyle w:val="52"/>
          <w:lang w:val="zh-CN"/>
        </w:rPr>
      </w:pPr>
      <w:r>
        <w:rPr>
          <w:rStyle w:val="100"/>
          <w:lang w:val="zh-CN" w:eastAsia="zh-CN"/>
        </w:rPr>
        <w:br w:type="page"/>
      </w:r>
      <w:bookmarkStart w:id="125" w:name="_Toc12327"/>
      <w:r>
        <w:rPr>
          <w:rStyle w:val="52"/>
          <w:lang w:val="zh-CN" w:eastAsia="zh-CN"/>
        </w:rPr>
        <w:t>投标文件封面（下册）</w:t>
      </w:r>
      <w:bookmarkEnd w:id="124"/>
    </w:p>
    <w:bookmarkEnd w:id="125"/>
    <w:p w14:paraId="18369E2C">
      <w:pPr>
        <w:autoSpaceDE w:val="0"/>
        <w:autoSpaceDN w:val="0"/>
        <w:spacing w:line="240" w:lineRule="auto"/>
        <w:jc w:val="center"/>
        <w:rPr>
          <w:b/>
          <w:bCs/>
          <w:kern w:val="0"/>
          <w:sz w:val="52"/>
          <w:szCs w:val="52"/>
          <w:lang w:val="zh-CN"/>
        </w:rPr>
      </w:pPr>
    </w:p>
    <w:p w14:paraId="38D00537">
      <w:pPr>
        <w:autoSpaceDE w:val="0"/>
        <w:autoSpaceDN w:val="0"/>
        <w:spacing w:line="240" w:lineRule="auto"/>
        <w:jc w:val="center"/>
        <w:rPr>
          <w:b/>
          <w:bCs/>
          <w:kern w:val="0"/>
          <w:sz w:val="52"/>
          <w:szCs w:val="52"/>
          <w:lang w:val="zh-CN"/>
        </w:rPr>
      </w:pPr>
      <w:r>
        <w:rPr>
          <w:rFonts w:hint="eastAsia"/>
          <w:b/>
          <w:bCs/>
          <w:kern w:val="0"/>
          <w:sz w:val="52"/>
          <w:szCs w:val="52"/>
          <w:lang w:val="zh-CN"/>
        </w:rPr>
        <w:t>湟源县</w:t>
      </w:r>
      <w:r>
        <w:rPr>
          <w:b/>
          <w:bCs/>
          <w:kern w:val="0"/>
          <w:sz w:val="52"/>
          <w:szCs w:val="52"/>
          <w:lang w:val="zh-CN"/>
        </w:rPr>
        <w:t>政府采购项目</w:t>
      </w:r>
    </w:p>
    <w:p w14:paraId="02990481">
      <w:pPr>
        <w:autoSpaceDE w:val="0"/>
        <w:autoSpaceDN w:val="0"/>
        <w:spacing w:line="240" w:lineRule="auto"/>
        <w:rPr>
          <w:kern w:val="0"/>
          <w:sz w:val="36"/>
          <w:szCs w:val="36"/>
        </w:rPr>
      </w:pPr>
    </w:p>
    <w:p w14:paraId="18F33F3D">
      <w:pPr>
        <w:autoSpaceDE w:val="0"/>
        <w:autoSpaceDN w:val="0"/>
        <w:spacing w:line="240" w:lineRule="auto"/>
        <w:jc w:val="center"/>
        <w:rPr>
          <w:b/>
          <w:bCs/>
          <w:kern w:val="0"/>
          <w:sz w:val="72"/>
          <w:szCs w:val="72"/>
        </w:rPr>
      </w:pPr>
      <w:r>
        <w:rPr>
          <w:b/>
          <w:bCs/>
          <w:kern w:val="0"/>
          <w:sz w:val="72"/>
          <w:szCs w:val="72"/>
          <w:lang w:val="zh-CN"/>
        </w:rPr>
        <w:t>投</w:t>
      </w:r>
      <w:r>
        <w:rPr>
          <w:b/>
          <w:bCs/>
          <w:kern w:val="0"/>
          <w:sz w:val="72"/>
          <w:szCs w:val="72"/>
        </w:rPr>
        <w:t xml:space="preserve"> </w:t>
      </w:r>
      <w:r>
        <w:rPr>
          <w:b/>
          <w:bCs/>
          <w:kern w:val="0"/>
          <w:sz w:val="72"/>
          <w:szCs w:val="72"/>
          <w:lang w:val="zh-CN"/>
        </w:rPr>
        <w:t>标</w:t>
      </w:r>
      <w:r>
        <w:rPr>
          <w:b/>
          <w:bCs/>
          <w:kern w:val="0"/>
          <w:sz w:val="72"/>
          <w:szCs w:val="72"/>
        </w:rPr>
        <w:t xml:space="preserve"> </w:t>
      </w:r>
      <w:r>
        <w:rPr>
          <w:b/>
          <w:bCs/>
          <w:kern w:val="0"/>
          <w:sz w:val="72"/>
          <w:szCs w:val="72"/>
          <w:lang w:val="zh-CN"/>
        </w:rPr>
        <w:t>文</w:t>
      </w:r>
      <w:r>
        <w:rPr>
          <w:b/>
          <w:bCs/>
          <w:kern w:val="0"/>
          <w:sz w:val="72"/>
          <w:szCs w:val="72"/>
        </w:rPr>
        <w:t xml:space="preserve"> </w:t>
      </w:r>
      <w:r>
        <w:rPr>
          <w:b/>
          <w:bCs/>
          <w:kern w:val="0"/>
          <w:sz w:val="72"/>
          <w:szCs w:val="72"/>
          <w:lang w:val="zh-CN"/>
        </w:rPr>
        <w:t>件</w:t>
      </w:r>
    </w:p>
    <w:p w14:paraId="343559BF">
      <w:pPr>
        <w:autoSpaceDE w:val="0"/>
        <w:autoSpaceDN w:val="0"/>
        <w:spacing w:line="240" w:lineRule="auto"/>
        <w:jc w:val="center"/>
        <w:rPr>
          <w:sz w:val="44"/>
          <w:szCs w:val="44"/>
          <w:lang w:val="zh-CN"/>
        </w:rPr>
      </w:pPr>
      <w:r>
        <w:rPr>
          <w:sz w:val="44"/>
          <w:szCs w:val="44"/>
          <w:lang w:val="zh-CN"/>
        </w:rPr>
        <w:t>（下册）</w:t>
      </w:r>
    </w:p>
    <w:p w14:paraId="1886E9B9">
      <w:pPr>
        <w:autoSpaceDE w:val="0"/>
        <w:autoSpaceDN w:val="0"/>
        <w:spacing w:line="240" w:lineRule="auto"/>
        <w:jc w:val="center"/>
        <w:rPr>
          <w:sz w:val="44"/>
          <w:szCs w:val="44"/>
          <w:lang w:val="zh-CN"/>
        </w:rPr>
      </w:pPr>
    </w:p>
    <w:p w14:paraId="0303FFFA">
      <w:pPr>
        <w:autoSpaceDE w:val="0"/>
        <w:autoSpaceDN w:val="0"/>
        <w:spacing w:line="240" w:lineRule="auto"/>
        <w:jc w:val="center"/>
        <w:rPr>
          <w:sz w:val="44"/>
          <w:szCs w:val="44"/>
          <w:lang w:val="zh-CN"/>
        </w:rPr>
      </w:pPr>
    </w:p>
    <w:p w14:paraId="60C2187A">
      <w:pPr>
        <w:autoSpaceDE w:val="0"/>
        <w:autoSpaceDN w:val="0"/>
        <w:spacing w:line="240" w:lineRule="auto"/>
        <w:jc w:val="center"/>
        <w:rPr>
          <w:sz w:val="44"/>
          <w:szCs w:val="44"/>
          <w:lang w:val="zh-CN"/>
        </w:rPr>
      </w:pPr>
    </w:p>
    <w:p w14:paraId="5945D327">
      <w:pPr>
        <w:autoSpaceDE w:val="0"/>
        <w:autoSpaceDN w:val="0"/>
        <w:spacing w:line="240" w:lineRule="auto"/>
        <w:jc w:val="center"/>
        <w:rPr>
          <w:sz w:val="44"/>
          <w:szCs w:val="44"/>
          <w:lang w:val="zh-CN"/>
        </w:rPr>
      </w:pPr>
    </w:p>
    <w:p w14:paraId="573DE10C">
      <w:pPr>
        <w:autoSpaceDE w:val="0"/>
        <w:autoSpaceDN w:val="0"/>
        <w:spacing w:line="240" w:lineRule="auto"/>
        <w:rPr>
          <w:kern w:val="0"/>
          <w:sz w:val="36"/>
          <w:szCs w:val="36"/>
        </w:rPr>
      </w:pPr>
    </w:p>
    <w:p w14:paraId="4DAD0F7B">
      <w:pPr>
        <w:adjustRightInd w:val="0"/>
        <w:spacing w:line="240" w:lineRule="auto"/>
        <w:textAlignment w:val="baseline"/>
        <w:rPr>
          <w:rFonts w:hint="eastAsia"/>
          <w:b/>
          <w:bCs/>
          <w:sz w:val="32"/>
          <w:szCs w:val="32"/>
          <w:u w:val="single"/>
        </w:rPr>
      </w:pPr>
      <w:r>
        <w:rPr>
          <w:b/>
          <w:bCs/>
          <w:sz w:val="32"/>
          <w:szCs w:val="32"/>
        </w:rPr>
        <w:t>购项目编号:</w:t>
      </w:r>
      <w:r>
        <w:rPr>
          <w:rFonts w:hint="eastAsia"/>
          <w:b/>
          <w:bCs/>
          <w:sz w:val="32"/>
          <w:szCs w:val="32"/>
          <w:lang w:val="en-US" w:eastAsia="zh-CN"/>
        </w:rPr>
        <w:t xml:space="preserve"> </w:t>
      </w:r>
      <w:r>
        <w:rPr>
          <w:rFonts w:hint="eastAsia" w:ascii="宋体" w:cs="Arial"/>
          <w:b/>
          <w:color w:val="000000"/>
          <w:kern w:val="0"/>
          <w:sz w:val="36"/>
          <w:szCs w:val="36"/>
          <w:highlight w:val="none"/>
          <w:u w:val="single"/>
          <w:lang w:val="en-US" w:eastAsia="zh-CN"/>
        </w:rPr>
        <w:t xml:space="preserve">源政采公招（货物）2025-004号 </w:t>
      </w:r>
      <w:r>
        <w:rPr>
          <w:rFonts w:hint="eastAsia"/>
          <w:b/>
          <w:bCs/>
          <w:sz w:val="32"/>
          <w:szCs w:val="32"/>
          <w:lang w:eastAsia="zh-CN"/>
        </w:rPr>
        <w:t xml:space="preserve"> </w:t>
      </w:r>
      <w:r>
        <w:rPr>
          <w:b/>
          <w:bCs/>
          <w:sz w:val="32"/>
          <w:szCs w:val="32"/>
        </w:rPr>
        <w:t xml:space="preserve"> </w:t>
      </w:r>
      <w:r>
        <w:rPr>
          <w:b/>
          <w:bCs/>
          <w:sz w:val="32"/>
          <w:szCs w:val="32"/>
          <w:u w:val="single"/>
        </w:rPr>
        <w:t xml:space="preserve">                           </w:t>
      </w:r>
    </w:p>
    <w:p w14:paraId="05CF3A3A">
      <w:pPr>
        <w:numPr>
          <w:ilvl w:val="0"/>
          <w:numId w:val="0"/>
        </w:numPr>
        <w:spacing w:line="240" w:lineRule="auto"/>
        <w:ind w:left="2247" w:hanging="2247" w:hangingChars="700"/>
        <w:jc w:val="both"/>
        <w:rPr>
          <w:rFonts w:hint="default" w:ascii="宋体" w:cs="Arial"/>
          <w:b/>
          <w:color w:val="000000"/>
          <w:kern w:val="0"/>
          <w:sz w:val="36"/>
          <w:szCs w:val="36"/>
          <w:highlight w:val="none"/>
          <w:u w:val="single"/>
          <w:lang w:val="en-US" w:eastAsia="zh-CN"/>
        </w:rPr>
      </w:pPr>
      <w:r>
        <w:rPr>
          <w:b/>
          <w:bCs/>
          <w:sz w:val="32"/>
          <w:szCs w:val="32"/>
        </w:rPr>
        <w:t>采购项目名称：</w:t>
      </w:r>
      <w:r>
        <w:rPr>
          <w:rFonts w:hint="default" w:ascii="宋体" w:cs="Arial"/>
          <w:b/>
          <w:color w:val="000000"/>
          <w:kern w:val="0"/>
          <w:sz w:val="36"/>
          <w:szCs w:val="36"/>
          <w:highlight w:val="none"/>
          <w:u w:val="single"/>
          <w:lang w:eastAsia="zh-CN"/>
        </w:rPr>
        <w:t>湟源县交通管理系统升级改造服务项目</w:t>
      </w:r>
      <w:r>
        <w:rPr>
          <w:rFonts w:hint="eastAsia" w:ascii="宋体" w:cs="Arial"/>
          <w:b/>
          <w:color w:val="000000"/>
          <w:kern w:val="0"/>
          <w:sz w:val="36"/>
          <w:szCs w:val="36"/>
          <w:highlight w:val="none"/>
          <w:u w:val="single"/>
          <w:lang w:val="en-US" w:eastAsia="zh-CN"/>
        </w:rPr>
        <w:t xml:space="preserve">                          </w:t>
      </w:r>
    </w:p>
    <w:p w14:paraId="6717006F">
      <w:pPr>
        <w:numPr>
          <w:ilvl w:val="0"/>
          <w:numId w:val="0"/>
        </w:numPr>
        <w:spacing w:line="240" w:lineRule="auto"/>
        <w:jc w:val="both"/>
        <w:rPr>
          <w:b/>
          <w:bCs/>
          <w:sz w:val="32"/>
          <w:szCs w:val="32"/>
          <w:u w:val="single"/>
        </w:rPr>
      </w:pPr>
      <w:r>
        <w:rPr>
          <w:b/>
          <w:bCs/>
          <w:sz w:val="32"/>
          <w:szCs w:val="32"/>
        </w:rPr>
        <w:t>投   标   人</w:t>
      </w:r>
      <w:r>
        <w:rPr>
          <w:b/>
          <w:sz w:val="32"/>
          <w:szCs w:val="32"/>
        </w:rPr>
        <w:t>：</w:t>
      </w:r>
      <w:r>
        <w:rPr>
          <w:b/>
          <w:sz w:val="32"/>
          <w:szCs w:val="32"/>
          <w:u w:val="single"/>
        </w:rPr>
        <w:t xml:space="preserve">                     </w:t>
      </w:r>
      <w:r>
        <w:rPr>
          <w:rFonts w:hint="eastAsia"/>
          <w:b/>
          <w:sz w:val="32"/>
          <w:szCs w:val="32"/>
          <w:u w:val="single"/>
          <w:lang w:val="en-US" w:eastAsia="zh-CN"/>
        </w:rPr>
        <w:t xml:space="preserve">        </w:t>
      </w:r>
      <w:r>
        <w:rPr>
          <w:b/>
          <w:sz w:val="32"/>
          <w:szCs w:val="32"/>
          <w:u w:val="single"/>
        </w:rPr>
        <w:t>（公章）</w:t>
      </w:r>
    </w:p>
    <w:p w14:paraId="09F85EBB">
      <w:pPr>
        <w:autoSpaceDE w:val="0"/>
        <w:autoSpaceDN w:val="0"/>
        <w:spacing w:line="240" w:lineRule="auto"/>
        <w:rPr>
          <w:b/>
          <w:bCs/>
          <w:kern w:val="0"/>
          <w:sz w:val="36"/>
          <w:szCs w:val="36"/>
        </w:rPr>
      </w:pPr>
      <w:r>
        <w:rPr>
          <w:b/>
          <w:sz w:val="32"/>
        </w:rPr>
        <w:t>法定代表人：</w:t>
      </w:r>
      <w:r>
        <w:rPr>
          <w:b/>
          <w:sz w:val="32"/>
          <w:u w:val="single"/>
        </w:rPr>
        <w:t xml:space="preserve">           </w:t>
      </w:r>
      <w:r>
        <w:rPr>
          <w:rFonts w:hint="eastAsia"/>
          <w:b/>
          <w:sz w:val="32"/>
          <w:u w:val="single"/>
          <w:lang w:val="en-US" w:eastAsia="zh-CN"/>
        </w:rPr>
        <w:t xml:space="preserve">       </w:t>
      </w:r>
      <w:r>
        <w:rPr>
          <w:b/>
          <w:sz w:val="32"/>
          <w:u w:val="single"/>
        </w:rPr>
        <w:t>（签字</w:t>
      </w:r>
      <w:r>
        <w:rPr>
          <w:rFonts w:hint="eastAsia"/>
          <w:b/>
          <w:sz w:val="32"/>
          <w:u w:val="single"/>
          <w:lang w:eastAsia="zh-CN"/>
        </w:rPr>
        <w:t>或</w:t>
      </w:r>
      <w:r>
        <w:rPr>
          <w:b/>
          <w:sz w:val="32"/>
          <w:u w:val="single"/>
        </w:rPr>
        <w:t>加盖法人章）</w:t>
      </w:r>
    </w:p>
    <w:p w14:paraId="737A3FD7">
      <w:pPr>
        <w:spacing w:line="240" w:lineRule="auto"/>
        <w:jc w:val="center"/>
        <w:rPr>
          <w:rFonts w:hint="eastAsia"/>
          <w:sz w:val="30"/>
          <w:szCs w:val="30"/>
          <w:lang w:val="en-US" w:eastAsia="zh-CN"/>
        </w:rPr>
      </w:pPr>
      <w:r>
        <w:rPr>
          <w:rFonts w:hint="eastAsia"/>
          <w:sz w:val="30"/>
          <w:szCs w:val="30"/>
          <w:lang w:val="en-US" w:eastAsia="zh-CN"/>
        </w:rPr>
        <w:t xml:space="preserve"> </w:t>
      </w:r>
    </w:p>
    <w:p w14:paraId="022F5EA3">
      <w:pPr>
        <w:spacing w:line="240" w:lineRule="auto"/>
        <w:jc w:val="center"/>
        <w:rPr>
          <w:rFonts w:hint="eastAsia"/>
          <w:sz w:val="30"/>
          <w:szCs w:val="30"/>
          <w:lang w:val="en-US" w:eastAsia="zh-CN"/>
        </w:rPr>
      </w:pPr>
    </w:p>
    <w:p w14:paraId="3784EC56">
      <w:pPr>
        <w:spacing w:line="240" w:lineRule="auto"/>
        <w:jc w:val="center"/>
        <w:rPr>
          <w:kern w:val="0"/>
          <w:sz w:val="30"/>
          <w:szCs w:val="30"/>
          <w:lang w:val="zh-CN"/>
        </w:rPr>
      </w:pPr>
      <w:r>
        <w:rPr>
          <w:sz w:val="30"/>
          <w:szCs w:val="30"/>
        </w:rPr>
        <w:t>年  月  日</w:t>
      </w:r>
    </w:p>
    <w:p w14:paraId="16E3B663">
      <w:pPr>
        <w:pStyle w:val="27"/>
        <w:spacing w:before="0" w:after="0" w:line="240" w:lineRule="auto"/>
        <w:jc w:val="left"/>
        <w:rPr>
          <w:rFonts w:ascii="Times New Roman" w:hAnsi="Times New Roman"/>
          <w:sz w:val="44"/>
          <w:szCs w:val="44"/>
          <w:lang w:val="zh-CN"/>
        </w:rPr>
      </w:pPr>
      <w:r>
        <w:rPr>
          <w:rFonts w:ascii="Times New Roman" w:hAnsi="Times New Roman"/>
          <w:kern w:val="0"/>
          <w:lang w:val="zh-CN"/>
        </w:rPr>
        <w:br w:type="page"/>
      </w:r>
      <w:bookmarkStart w:id="126" w:name="_Toc136"/>
      <w:bookmarkStart w:id="127" w:name="_Toc15673"/>
      <w:r>
        <w:rPr>
          <w:rFonts w:ascii="Times New Roman" w:hAnsi="Times New Roman"/>
          <w:sz w:val="30"/>
          <w:szCs w:val="30"/>
          <w:lang w:val="zh-CN"/>
        </w:rPr>
        <w:t>投标文件目录（下册）</w:t>
      </w:r>
      <w:bookmarkEnd w:id="126"/>
      <w:bookmarkEnd w:id="127"/>
    </w:p>
    <w:p w14:paraId="2F6F1995">
      <w:pPr>
        <w:spacing w:line="240" w:lineRule="auto"/>
        <w:rPr>
          <w:lang w:val="zh-CN"/>
        </w:rPr>
      </w:pPr>
    </w:p>
    <w:p w14:paraId="3F847F3A">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0</w:t>
      </w:r>
      <w:r>
        <w:rPr>
          <w:rFonts w:hint="eastAsia"/>
          <w:kern w:val="0"/>
          <w:sz w:val="24"/>
          <w:lang w:val="zh-CN"/>
        </w:rPr>
        <w:t>）</w:t>
      </w:r>
      <w:r>
        <w:rPr>
          <w:kern w:val="0"/>
          <w:sz w:val="24"/>
          <w:lang w:val="zh-CN"/>
        </w:rPr>
        <w:t>.评分对照表…………………………………………………所在页码</w:t>
      </w:r>
    </w:p>
    <w:p w14:paraId="431628A4">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1</w:t>
      </w:r>
      <w:r>
        <w:rPr>
          <w:rFonts w:hint="eastAsia"/>
          <w:kern w:val="0"/>
          <w:sz w:val="24"/>
          <w:lang w:val="zh-CN"/>
        </w:rPr>
        <w:t>）</w:t>
      </w:r>
      <w:r>
        <w:rPr>
          <w:kern w:val="0"/>
          <w:sz w:val="24"/>
          <w:lang w:val="zh-CN"/>
        </w:rPr>
        <w:t>.开标一览表（报价表）……………………………………所在页码</w:t>
      </w:r>
    </w:p>
    <w:p w14:paraId="5D1E3336">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2</w:t>
      </w:r>
      <w:r>
        <w:rPr>
          <w:rFonts w:hint="eastAsia"/>
          <w:kern w:val="0"/>
          <w:sz w:val="24"/>
          <w:lang w:val="zh-CN"/>
        </w:rPr>
        <w:t>）</w:t>
      </w:r>
      <w:r>
        <w:rPr>
          <w:kern w:val="0"/>
          <w:sz w:val="24"/>
          <w:lang w:val="zh-CN"/>
        </w:rPr>
        <w:t>.分项报价表…………………………………………………所在页码</w:t>
      </w:r>
    </w:p>
    <w:p w14:paraId="7C1E2BB0">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3</w:t>
      </w:r>
      <w:r>
        <w:rPr>
          <w:rFonts w:hint="eastAsia"/>
          <w:kern w:val="0"/>
          <w:sz w:val="24"/>
          <w:lang w:val="zh-CN"/>
        </w:rPr>
        <w:t>）</w:t>
      </w:r>
      <w:r>
        <w:rPr>
          <w:kern w:val="0"/>
          <w:sz w:val="24"/>
          <w:lang w:val="zh-CN"/>
        </w:rPr>
        <w:t>.技术规格响应表……………………………………………所在页码</w:t>
      </w:r>
    </w:p>
    <w:p w14:paraId="0007C02D">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4</w:t>
      </w:r>
      <w:r>
        <w:rPr>
          <w:rFonts w:hint="eastAsia"/>
          <w:kern w:val="0"/>
          <w:sz w:val="24"/>
          <w:lang w:val="zh-CN"/>
        </w:rPr>
        <w:t>）</w:t>
      </w:r>
      <w:r>
        <w:rPr>
          <w:kern w:val="0"/>
          <w:sz w:val="24"/>
          <w:lang w:val="zh-CN"/>
        </w:rPr>
        <w:t>.投标产品相关资料…………………………………………所在页码</w:t>
      </w:r>
    </w:p>
    <w:p w14:paraId="54DA0A04">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5</w:t>
      </w:r>
      <w:r>
        <w:rPr>
          <w:rFonts w:hint="eastAsia"/>
          <w:kern w:val="0"/>
          <w:sz w:val="24"/>
          <w:lang w:val="zh-CN"/>
        </w:rPr>
        <w:t>）</w:t>
      </w:r>
      <w:r>
        <w:rPr>
          <w:kern w:val="0"/>
          <w:sz w:val="24"/>
          <w:lang w:val="zh-CN"/>
        </w:rPr>
        <w:t>.</w:t>
      </w:r>
      <w:r>
        <w:rPr>
          <w:rFonts w:hint="eastAsia"/>
          <w:kern w:val="0"/>
          <w:sz w:val="24"/>
          <w:lang w:val="zh-CN"/>
        </w:rPr>
        <w:t>供应商</w:t>
      </w:r>
      <w:r>
        <w:rPr>
          <w:kern w:val="0"/>
          <w:sz w:val="24"/>
          <w:lang w:val="zh-CN"/>
        </w:rPr>
        <w:t>的类似业绩证明材料………………………………所在页码</w:t>
      </w:r>
    </w:p>
    <w:p w14:paraId="5A5C2704">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6</w:t>
      </w:r>
      <w:r>
        <w:rPr>
          <w:rFonts w:hint="eastAsia"/>
          <w:kern w:val="0"/>
          <w:sz w:val="24"/>
          <w:lang w:val="zh-CN"/>
        </w:rPr>
        <w:t>）</w:t>
      </w:r>
      <w:r>
        <w:rPr>
          <w:kern w:val="0"/>
          <w:sz w:val="24"/>
          <w:lang w:val="zh-CN"/>
        </w:rPr>
        <w:t>.</w:t>
      </w:r>
      <w:r>
        <w:rPr>
          <w:rFonts w:hint="eastAsia"/>
          <w:kern w:val="0"/>
          <w:sz w:val="24"/>
          <w:lang w:val="zh-CN"/>
        </w:rPr>
        <w:t>享受政府采购政策优惠的证明资料</w:t>
      </w:r>
      <w:r>
        <w:rPr>
          <w:kern w:val="0"/>
          <w:sz w:val="24"/>
          <w:lang w:val="zh-CN"/>
        </w:rPr>
        <w:t>………………………所在页码</w:t>
      </w:r>
    </w:p>
    <w:p w14:paraId="07FA8887">
      <w:pPr>
        <w:autoSpaceDE w:val="0"/>
        <w:autoSpaceDN w:val="0"/>
        <w:spacing w:line="240" w:lineRule="auto"/>
        <w:ind w:firstLine="241" w:firstLineChars="100"/>
        <w:jc w:val="left"/>
        <w:rPr>
          <w:kern w:val="0"/>
          <w:sz w:val="24"/>
          <w:lang w:val="zh-CN"/>
        </w:rPr>
      </w:pPr>
      <w:r>
        <w:rPr>
          <w:rFonts w:hint="eastAsia"/>
          <w:kern w:val="0"/>
          <w:sz w:val="24"/>
          <w:lang w:val="zh-CN"/>
        </w:rPr>
        <w:t>（1</w:t>
      </w:r>
      <w:r>
        <w:rPr>
          <w:rFonts w:hint="eastAsia"/>
          <w:kern w:val="0"/>
          <w:sz w:val="24"/>
          <w:lang w:val="en-US" w:eastAsia="zh-CN"/>
        </w:rPr>
        <w:t>7</w:t>
      </w:r>
      <w:r>
        <w:rPr>
          <w:rFonts w:hint="eastAsia"/>
          <w:kern w:val="0"/>
          <w:sz w:val="24"/>
          <w:lang w:val="zh-CN"/>
        </w:rPr>
        <w:t>）</w:t>
      </w:r>
      <w:r>
        <w:rPr>
          <w:kern w:val="0"/>
          <w:sz w:val="24"/>
          <w:lang w:val="zh-CN"/>
        </w:rPr>
        <w:t>.</w:t>
      </w:r>
      <w:r>
        <w:rPr>
          <w:rFonts w:hint="eastAsia"/>
          <w:kern w:val="0"/>
          <w:sz w:val="24"/>
          <w:lang w:val="zh-CN"/>
        </w:rPr>
        <w:t>供应商</w:t>
      </w:r>
      <w:r>
        <w:rPr>
          <w:kern w:val="0"/>
          <w:sz w:val="24"/>
          <w:lang w:val="zh-CN"/>
        </w:rPr>
        <w:t>认为在其他方面有必要说明的事项………………所在页码</w:t>
      </w:r>
    </w:p>
    <w:p w14:paraId="50335574">
      <w:pPr>
        <w:pStyle w:val="27"/>
        <w:spacing w:before="0" w:after="0" w:line="240" w:lineRule="auto"/>
        <w:jc w:val="left"/>
        <w:rPr>
          <w:rFonts w:ascii="Times New Roman" w:hAnsi="Times New Roman"/>
          <w:sz w:val="30"/>
          <w:szCs w:val="30"/>
          <w:lang w:val="zh-CN"/>
        </w:rPr>
      </w:pPr>
      <w:r>
        <w:rPr>
          <w:rFonts w:ascii="Times New Roman" w:hAnsi="Times New Roman"/>
          <w:kern w:val="0"/>
          <w:sz w:val="28"/>
          <w:szCs w:val="28"/>
          <w:lang w:val="zh-CN"/>
        </w:rPr>
        <w:br w:type="page"/>
      </w:r>
      <w:bookmarkStart w:id="128" w:name="_Toc27212"/>
      <w:bookmarkStart w:id="129" w:name="_Toc25843"/>
      <w:r>
        <w:rPr>
          <w:rFonts w:hint="eastAsia" w:ascii="Times New Roman" w:hAnsi="Times New Roman"/>
          <w:sz w:val="30"/>
          <w:szCs w:val="30"/>
        </w:rPr>
        <w:t>格式1</w:t>
      </w:r>
      <w:r>
        <w:rPr>
          <w:rFonts w:hint="eastAsia" w:ascii="Times New Roman" w:hAnsi="Times New Roman"/>
          <w:sz w:val="30"/>
          <w:szCs w:val="30"/>
          <w:lang w:val="en-US" w:eastAsia="zh-CN"/>
        </w:rPr>
        <w:t>0</w:t>
      </w:r>
      <w:r>
        <w:rPr>
          <w:rFonts w:hint="eastAsia" w:ascii="Times New Roman" w:hAnsi="Times New Roman"/>
          <w:sz w:val="30"/>
          <w:szCs w:val="30"/>
        </w:rPr>
        <w:t>：</w:t>
      </w:r>
      <w:r>
        <w:rPr>
          <w:rFonts w:ascii="Times New Roman" w:hAnsi="Times New Roman"/>
          <w:sz w:val="30"/>
          <w:szCs w:val="30"/>
          <w:lang w:val="zh-CN"/>
        </w:rPr>
        <w:t>评分对照表</w:t>
      </w:r>
      <w:bookmarkEnd w:id="128"/>
      <w:bookmarkEnd w:id="129"/>
    </w:p>
    <w:p w14:paraId="3BA848B9">
      <w:pPr>
        <w:spacing w:line="240" w:lineRule="auto"/>
        <w:rPr>
          <w:sz w:val="28"/>
          <w:szCs w:val="28"/>
        </w:rPr>
      </w:pPr>
    </w:p>
    <w:p w14:paraId="7C1B85E8">
      <w:pPr>
        <w:spacing w:line="240" w:lineRule="auto"/>
        <w:jc w:val="center"/>
      </w:pPr>
      <w:r>
        <w:rPr>
          <w:b/>
          <w:bCs/>
          <w:sz w:val="28"/>
          <w:szCs w:val="28"/>
        </w:rPr>
        <w:t>评分对照表</w:t>
      </w:r>
    </w:p>
    <w:p w14:paraId="2A6F6AA6">
      <w:pPr>
        <w:spacing w:line="240" w:lineRule="auto"/>
        <w:rPr>
          <w:sz w:val="28"/>
          <w:szCs w:val="28"/>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6AF7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853C022">
            <w:pPr>
              <w:pStyle w:val="8"/>
              <w:spacing w:line="240" w:lineRule="auto"/>
              <w:ind w:firstLine="0" w:firstLineChars="0"/>
              <w:jc w:val="center"/>
              <w:rPr>
                <w:sz w:val="24"/>
              </w:rPr>
            </w:pPr>
            <w:r>
              <w:rPr>
                <w:sz w:val="24"/>
              </w:rPr>
              <w:t>序号</w:t>
            </w:r>
          </w:p>
        </w:tc>
        <w:tc>
          <w:tcPr>
            <w:tcW w:w="2514" w:type="dxa"/>
            <w:noWrap w:val="0"/>
            <w:vAlign w:val="center"/>
          </w:tcPr>
          <w:p w14:paraId="34E6CDD7">
            <w:pPr>
              <w:pStyle w:val="8"/>
              <w:spacing w:line="240" w:lineRule="auto"/>
              <w:ind w:firstLine="480"/>
              <w:rPr>
                <w:sz w:val="24"/>
              </w:rPr>
            </w:pPr>
            <w:r>
              <w:rPr>
                <w:sz w:val="24"/>
              </w:rPr>
              <w:t>招标文件评分标准</w:t>
            </w:r>
          </w:p>
        </w:tc>
        <w:tc>
          <w:tcPr>
            <w:tcW w:w="2266" w:type="dxa"/>
            <w:noWrap w:val="0"/>
            <w:vAlign w:val="center"/>
          </w:tcPr>
          <w:p w14:paraId="4637E504">
            <w:pPr>
              <w:pStyle w:val="8"/>
              <w:spacing w:line="240" w:lineRule="auto"/>
              <w:ind w:firstLine="480"/>
              <w:rPr>
                <w:sz w:val="24"/>
              </w:rPr>
            </w:pPr>
            <w:r>
              <w:rPr>
                <w:sz w:val="24"/>
              </w:rPr>
              <w:t>投标响应部分</w:t>
            </w:r>
          </w:p>
        </w:tc>
        <w:tc>
          <w:tcPr>
            <w:tcW w:w="2966" w:type="dxa"/>
            <w:noWrap w:val="0"/>
            <w:vAlign w:val="center"/>
          </w:tcPr>
          <w:p w14:paraId="6F056D7B">
            <w:pPr>
              <w:pStyle w:val="8"/>
              <w:spacing w:line="240" w:lineRule="auto"/>
              <w:ind w:firstLine="480"/>
              <w:rPr>
                <w:sz w:val="24"/>
              </w:rPr>
            </w:pPr>
            <w:r>
              <w:rPr>
                <w:sz w:val="24"/>
              </w:rPr>
              <w:t>投标文件中对应页码</w:t>
            </w:r>
          </w:p>
        </w:tc>
      </w:tr>
      <w:tr w14:paraId="4FEC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57F36A6">
            <w:pPr>
              <w:pStyle w:val="8"/>
              <w:spacing w:line="240" w:lineRule="auto"/>
              <w:jc w:val="center"/>
            </w:pPr>
          </w:p>
        </w:tc>
        <w:tc>
          <w:tcPr>
            <w:tcW w:w="2514" w:type="dxa"/>
            <w:noWrap w:val="0"/>
            <w:vAlign w:val="center"/>
          </w:tcPr>
          <w:p w14:paraId="78ECC1B4">
            <w:pPr>
              <w:pStyle w:val="8"/>
              <w:spacing w:line="240" w:lineRule="auto"/>
              <w:jc w:val="center"/>
            </w:pPr>
          </w:p>
        </w:tc>
        <w:tc>
          <w:tcPr>
            <w:tcW w:w="2266" w:type="dxa"/>
            <w:noWrap w:val="0"/>
            <w:vAlign w:val="center"/>
          </w:tcPr>
          <w:p w14:paraId="66123B8D">
            <w:pPr>
              <w:pStyle w:val="8"/>
              <w:spacing w:line="240" w:lineRule="auto"/>
              <w:jc w:val="center"/>
            </w:pPr>
          </w:p>
        </w:tc>
        <w:tc>
          <w:tcPr>
            <w:tcW w:w="2966" w:type="dxa"/>
            <w:noWrap w:val="0"/>
            <w:vAlign w:val="center"/>
          </w:tcPr>
          <w:p w14:paraId="76B73401">
            <w:pPr>
              <w:pStyle w:val="8"/>
              <w:spacing w:line="240" w:lineRule="auto"/>
              <w:jc w:val="center"/>
            </w:pPr>
          </w:p>
        </w:tc>
      </w:tr>
      <w:tr w14:paraId="4923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9463DFE">
            <w:pPr>
              <w:pStyle w:val="8"/>
              <w:spacing w:line="240" w:lineRule="auto"/>
              <w:jc w:val="center"/>
            </w:pPr>
          </w:p>
        </w:tc>
        <w:tc>
          <w:tcPr>
            <w:tcW w:w="2514" w:type="dxa"/>
            <w:noWrap w:val="0"/>
            <w:vAlign w:val="center"/>
          </w:tcPr>
          <w:p w14:paraId="4920F7E8">
            <w:pPr>
              <w:pStyle w:val="8"/>
              <w:spacing w:line="240" w:lineRule="auto"/>
              <w:jc w:val="center"/>
            </w:pPr>
          </w:p>
        </w:tc>
        <w:tc>
          <w:tcPr>
            <w:tcW w:w="2266" w:type="dxa"/>
            <w:noWrap w:val="0"/>
            <w:vAlign w:val="center"/>
          </w:tcPr>
          <w:p w14:paraId="5C65C18A">
            <w:pPr>
              <w:pStyle w:val="8"/>
              <w:spacing w:line="240" w:lineRule="auto"/>
              <w:jc w:val="center"/>
            </w:pPr>
          </w:p>
        </w:tc>
        <w:tc>
          <w:tcPr>
            <w:tcW w:w="2966" w:type="dxa"/>
            <w:noWrap w:val="0"/>
            <w:vAlign w:val="center"/>
          </w:tcPr>
          <w:p w14:paraId="29A985FD">
            <w:pPr>
              <w:pStyle w:val="8"/>
              <w:spacing w:line="240" w:lineRule="auto"/>
              <w:jc w:val="center"/>
            </w:pPr>
          </w:p>
        </w:tc>
      </w:tr>
      <w:tr w14:paraId="5D7F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D171099">
            <w:pPr>
              <w:pStyle w:val="8"/>
              <w:spacing w:line="240" w:lineRule="auto"/>
              <w:jc w:val="center"/>
            </w:pPr>
          </w:p>
        </w:tc>
        <w:tc>
          <w:tcPr>
            <w:tcW w:w="2514" w:type="dxa"/>
            <w:noWrap w:val="0"/>
            <w:vAlign w:val="center"/>
          </w:tcPr>
          <w:p w14:paraId="76EA4CE2">
            <w:pPr>
              <w:pStyle w:val="8"/>
              <w:spacing w:line="240" w:lineRule="auto"/>
              <w:jc w:val="center"/>
            </w:pPr>
          </w:p>
        </w:tc>
        <w:tc>
          <w:tcPr>
            <w:tcW w:w="2266" w:type="dxa"/>
            <w:noWrap w:val="0"/>
            <w:vAlign w:val="center"/>
          </w:tcPr>
          <w:p w14:paraId="5EEF7C80">
            <w:pPr>
              <w:pStyle w:val="8"/>
              <w:spacing w:line="240" w:lineRule="auto"/>
              <w:jc w:val="center"/>
            </w:pPr>
          </w:p>
        </w:tc>
        <w:tc>
          <w:tcPr>
            <w:tcW w:w="2966" w:type="dxa"/>
            <w:noWrap w:val="0"/>
            <w:vAlign w:val="center"/>
          </w:tcPr>
          <w:p w14:paraId="209BF1D0">
            <w:pPr>
              <w:pStyle w:val="8"/>
              <w:spacing w:line="240" w:lineRule="auto"/>
              <w:jc w:val="center"/>
            </w:pPr>
          </w:p>
        </w:tc>
      </w:tr>
      <w:tr w14:paraId="25A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1DE44344">
            <w:pPr>
              <w:pStyle w:val="8"/>
              <w:spacing w:line="240" w:lineRule="auto"/>
              <w:jc w:val="center"/>
            </w:pPr>
          </w:p>
        </w:tc>
        <w:tc>
          <w:tcPr>
            <w:tcW w:w="2514" w:type="dxa"/>
            <w:noWrap w:val="0"/>
            <w:vAlign w:val="center"/>
          </w:tcPr>
          <w:p w14:paraId="7A7304A0">
            <w:pPr>
              <w:pStyle w:val="8"/>
              <w:spacing w:line="240" w:lineRule="auto"/>
              <w:jc w:val="center"/>
            </w:pPr>
          </w:p>
        </w:tc>
        <w:tc>
          <w:tcPr>
            <w:tcW w:w="2266" w:type="dxa"/>
            <w:noWrap w:val="0"/>
            <w:vAlign w:val="center"/>
          </w:tcPr>
          <w:p w14:paraId="6E75E485">
            <w:pPr>
              <w:pStyle w:val="8"/>
              <w:spacing w:line="240" w:lineRule="auto"/>
              <w:jc w:val="center"/>
            </w:pPr>
          </w:p>
        </w:tc>
        <w:tc>
          <w:tcPr>
            <w:tcW w:w="2966" w:type="dxa"/>
            <w:noWrap w:val="0"/>
            <w:vAlign w:val="center"/>
          </w:tcPr>
          <w:p w14:paraId="19D50148">
            <w:pPr>
              <w:pStyle w:val="8"/>
              <w:spacing w:line="240" w:lineRule="auto"/>
              <w:jc w:val="center"/>
            </w:pPr>
          </w:p>
        </w:tc>
      </w:tr>
      <w:tr w14:paraId="5500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F8BB5C0">
            <w:pPr>
              <w:pStyle w:val="8"/>
              <w:spacing w:line="240" w:lineRule="auto"/>
              <w:jc w:val="center"/>
            </w:pPr>
          </w:p>
        </w:tc>
        <w:tc>
          <w:tcPr>
            <w:tcW w:w="2514" w:type="dxa"/>
            <w:noWrap w:val="0"/>
            <w:vAlign w:val="center"/>
          </w:tcPr>
          <w:p w14:paraId="120EEEC5">
            <w:pPr>
              <w:pStyle w:val="8"/>
              <w:spacing w:line="240" w:lineRule="auto"/>
              <w:jc w:val="center"/>
            </w:pPr>
          </w:p>
        </w:tc>
        <w:tc>
          <w:tcPr>
            <w:tcW w:w="2266" w:type="dxa"/>
            <w:noWrap w:val="0"/>
            <w:vAlign w:val="center"/>
          </w:tcPr>
          <w:p w14:paraId="1CA8A6D9">
            <w:pPr>
              <w:pStyle w:val="8"/>
              <w:spacing w:line="240" w:lineRule="auto"/>
              <w:jc w:val="center"/>
            </w:pPr>
          </w:p>
        </w:tc>
        <w:tc>
          <w:tcPr>
            <w:tcW w:w="2966" w:type="dxa"/>
            <w:noWrap w:val="0"/>
            <w:vAlign w:val="center"/>
          </w:tcPr>
          <w:p w14:paraId="6F8283FD">
            <w:pPr>
              <w:pStyle w:val="8"/>
              <w:spacing w:line="240" w:lineRule="auto"/>
              <w:jc w:val="center"/>
            </w:pPr>
          </w:p>
        </w:tc>
      </w:tr>
      <w:tr w14:paraId="18E8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443C8CC1">
            <w:pPr>
              <w:pStyle w:val="8"/>
              <w:spacing w:line="240" w:lineRule="auto"/>
              <w:jc w:val="center"/>
            </w:pPr>
          </w:p>
        </w:tc>
        <w:tc>
          <w:tcPr>
            <w:tcW w:w="2514" w:type="dxa"/>
            <w:noWrap w:val="0"/>
            <w:vAlign w:val="center"/>
          </w:tcPr>
          <w:p w14:paraId="144FF9F1">
            <w:pPr>
              <w:pStyle w:val="8"/>
              <w:spacing w:line="240" w:lineRule="auto"/>
              <w:jc w:val="center"/>
            </w:pPr>
          </w:p>
        </w:tc>
        <w:tc>
          <w:tcPr>
            <w:tcW w:w="2266" w:type="dxa"/>
            <w:noWrap w:val="0"/>
            <w:vAlign w:val="center"/>
          </w:tcPr>
          <w:p w14:paraId="10C423B3">
            <w:pPr>
              <w:pStyle w:val="8"/>
              <w:spacing w:line="240" w:lineRule="auto"/>
              <w:jc w:val="center"/>
            </w:pPr>
          </w:p>
        </w:tc>
        <w:tc>
          <w:tcPr>
            <w:tcW w:w="2966" w:type="dxa"/>
            <w:noWrap w:val="0"/>
            <w:vAlign w:val="center"/>
          </w:tcPr>
          <w:p w14:paraId="7C525B65">
            <w:pPr>
              <w:pStyle w:val="8"/>
              <w:spacing w:line="240" w:lineRule="auto"/>
              <w:jc w:val="center"/>
            </w:pPr>
          </w:p>
        </w:tc>
      </w:tr>
    </w:tbl>
    <w:p w14:paraId="15EC2C0B">
      <w:pPr>
        <w:spacing w:line="240" w:lineRule="auto"/>
        <w:jc w:val="center"/>
        <w:rPr>
          <w:kern w:val="0"/>
          <w:sz w:val="28"/>
          <w:szCs w:val="28"/>
          <w:lang w:val="zh-CN"/>
        </w:rPr>
      </w:pPr>
    </w:p>
    <w:p w14:paraId="20120F83">
      <w:pPr>
        <w:pStyle w:val="27"/>
        <w:spacing w:before="0" w:after="0" w:line="240" w:lineRule="auto"/>
        <w:jc w:val="left"/>
        <w:rPr>
          <w:rFonts w:ascii="Times New Roman" w:hAnsi="Times New Roman"/>
          <w:lang w:val="zh-CN"/>
        </w:rPr>
      </w:pPr>
      <w:r>
        <w:rPr>
          <w:rFonts w:ascii="Times New Roman" w:hAnsi="Times New Roman"/>
          <w:kern w:val="0"/>
          <w:sz w:val="28"/>
          <w:szCs w:val="28"/>
          <w:lang w:val="zh-CN"/>
        </w:rPr>
        <w:br w:type="page"/>
      </w:r>
      <w:bookmarkStart w:id="130" w:name="_Toc8298"/>
      <w:bookmarkStart w:id="131" w:name="_Toc11014"/>
      <w:bookmarkStart w:id="132" w:name="_Toc26451"/>
      <w:r>
        <w:rPr>
          <w:rFonts w:hint="eastAsia" w:ascii="Times New Roman" w:hAnsi="Times New Roman"/>
          <w:sz w:val="30"/>
          <w:szCs w:val="30"/>
        </w:rPr>
        <w:t>格式1</w:t>
      </w:r>
      <w:r>
        <w:rPr>
          <w:rFonts w:hint="eastAsia" w:ascii="Times New Roman" w:hAnsi="Times New Roman"/>
          <w:sz w:val="30"/>
          <w:szCs w:val="30"/>
          <w:lang w:val="en-US" w:eastAsia="zh-CN"/>
        </w:rPr>
        <w:t>1</w:t>
      </w:r>
      <w:r>
        <w:rPr>
          <w:rFonts w:hint="eastAsia" w:ascii="Times New Roman" w:hAnsi="Times New Roman"/>
          <w:sz w:val="30"/>
          <w:szCs w:val="30"/>
        </w:rPr>
        <w:t>：</w:t>
      </w:r>
      <w:r>
        <w:rPr>
          <w:rFonts w:ascii="Times New Roman" w:hAnsi="Times New Roman"/>
          <w:sz w:val="30"/>
          <w:szCs w:val="30"/>
          <w:lang w:val="zh-CN"/>
        </w:rPr>
        <w:t>开标一览表（报价表）</w:t>
      </w:r>
      <w:bookmarkEnd w:id="130"/>
      <w:bookmarkEnd w:id="131"/>
      <w:bookmarkEnd w:id="132"/>
    </w:p>
    <w:p w14:paraId="245B82F8">
      <w:pPr>
        <w:autoSpaceDE w:val="0"/>
        <w:autoSpaceDN w:val="0"/>
        <w:spacing w:line="240" w:lineRule="auto"/>
        <w:rPr>
          <w:b/>
          <w:bCs/>
          <w:kern w:val="0"/>
          <w:sz w:val="28"/>
          <w:szCs w:val="28"/>
          <w:lang w:val="zh-CN"/>
        </w:rPr>
      </w:pPr>
    </w:p>
    <w:p w14:paraId="648A19C3">
      <w:pPr>
        <w:autoSpaceDE w:val="0"/>
        <w:autoSpaceDN w:val="0"/>
        <w:spacing w:line="240" w:lineRule="auto"/>
        <w:jc w:val="center"/>
        <w:rPr>
          <w:b/>
          <w:bCs/>
          <w:kern w:val="0"/>
          <w:sz w:val="36"/>
          <w:szCs w:val="36"/>
          <w:lang w:val="zh-CN"/>
        </w:rPr>
      </w:pPr>
      <w:r>
        <w:rPr>
          <w:b/>
          <w:bCs/>
          <w:kern w:val="0"/>
          <w:sz w:val="28"/>
          <w:szCs w:val="28"/>
          <w:lang w:val="zh-CN"/>
        </w:rPr>
        <w:t>开标一览表（报价表）</w:t>
      </w:r>
    </w:p>
    <w:p w14:paraId="4EC48377">
      <w:pPr>
        <w:autoSpaceDE w:val="0"/>
        <w:autoSpaceDN w:val="0"/>
        <w:spacing w:line="240" w:lineRule="auto"/>
        <w:rPr>
          <w:b/>
          <w:bCs/>
          <w:kern w:val="0"/>
          <w:sz w:val="28"/>
          <w:szCs w:val="28"/>
          <w:lang w:val="zh-CN"/>
        </w:rPr>
      </w:pPr>
    </w:p>
    <w:p w14:paraId="5B1969A8">
      <w:pPr>
        <w:numPr>
          <w:ilvl w:val="0"/>
          <w:numId w:val="0"/>
        </w:numPr>
        <w:spacing w:line="240" w:lineRule="auto"/>
        <w:ind w:leftChars="0" w:firstLine="482" w:firstLineChars="200"/>
        <w:jc w:val="both"/>
        <w:rPr>
          <w:rFonts w:hint="eastAsia" w:ascii="Times New Roman" w:hAnsi="Times New Roman" w:eastAsia="宋体" w:cs="Times New Roman"/>
          <w:bCs/>
          <w:kern w:val="0"/>
          <w:sz w:val="24"/>
          <w:u w:val="single"/>
          <w:lang w:val="en-US" w:eastAsia="zh-CN"/>
        </w:rPr>
      </w:pPr>
      <w:r>
        <w:rPr>
          <w:bCs/>
          <w:kern w:val="0"/>
          <w:sz w:val="24"/>
          <w:lang w:val="zh-CN"/>
        </w:rPr>
        <w:t>采购项目名称：</w:t>
      </w:r>
    </w:p>
    <w:p w14:paraId="20EC5467">
      <w:pPr>
        <w:autoSpaceDE w:val="0"/>
        <w:autoSpaceDN w:val="0"/>
        <w:spacing w:line="240" w:lineRule="auto"/>
        <w:ind w:firstLine="602" w:firstLineChars="250"/>
        <w:rPr>
          <w:lang w:val="zh-CN"/>
        </w:rPr>
      </w:pPr>
      <w:r>
        <w:rPr>
          <w:bCs/>
          <w:kern w:val="0"/>
          <w:sz w:val="24"/>
          <w:lang w:val="zh-CN"/>
        </w:rPr>
        <w:t xml:space="preserve">                                          单位：人民币（元）</w:t>
      </w:r>
    </w:p>
    <w:tbl>
      <w:tblPr>
        <w:tblStyle w:val="31"/>
        <w:tblW w:w="8978" w:type="dxa"/>
        <w:jc w:val="center"/>
        <w:tblLayout w:type="fixed"/>
        <w:tblCellMar>
          <w:top w:w="0" w:type="dxa"/>
          <w:left w:w="108" w:type="dxa"/>
          <w:bottom w:w="0" w:type="dxa"/>
          <w:right w:w="108" w:type="dxa"/>
        </w:tblCellMar>
      </w:tblPr>
      <w:tblGrid>
        <w:gridCol w:w="2176"/>
        <w:gridCol w:w="3284"/>
        <w:gridCol w:w="938"/>
        <w:gridCol w:w="967"/>
        <w:gridCol w:w="929"/>
        <w:gridCol w:w="684"/>
      </w:tblGrid>
      <w:tr w14:paraId="50EE6E3F">
        <w:tblPrEx>
          <w:tblCellMar>
            <w:top w:w="0" w:type="dxa"/>
            <w:left w:w="108" w:type="dxa"/>
            <w:bottom w:w="0" w:type="dxa"/>
            <w:right w:w="108" w:type="dxa"/>
          </w:tblCellMar>
        </w:tblPrEx>
        <w:trPr>
          <w:trHeight w:val="699" w:hRule="atLeast"/>
          <w:jc w:val="center"/>
        </w:trPr>
        <w:tc>
          <w:tcPr>
            <w:tcW w:w="21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493318">
            <w:pPr>
              <w:autoSpaceDE w:val="0"/>
              <w:autoSpaceDN w:val="0"/>
              <w:spacing w:line="240" w:lineRule="auto"/>
              <w:jc w:val="center"/>
              <w:rPr>
                <w:rFonts w:ascii="宋体" w:hAnsi="宋体" w:cs="Arial"/>
                <w:bCs/>
                <w:sz w:val="24"/>
                <w:lang w:val="zh-CN"/>
              </w:rPr>
            </w:pPr>
            <w:r>
              <w:rPr>
                <w:rFonts w:ascii="宋体" w:hAnsi="宋体" w:cs="Arial"/>
                <w:bCs/>
                <w:sz w:val="24"/>
                <w:lang w:val="zh-CN"/>
              </w:rPr>
              <w:t>项目名称</w:t>
            </w:r>
          </w:p>
        </w:tc>
        <w:tc>
          <w:tcPr>
            <w:tcW w:w="32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792704">
            <w:pPr>
              <w:autoSpaceDE w:val="0"/>
              <w:autoSpaceDN w:val="0"/>
              <w:spacing w:line="240" w:lineRule="auto"/>
              <w:jc w:val="center"/>
              <w:rPr>
                <w:rFonts w:ascii="宋体" w:hAnsi="宋体" w:cs="Arial"/>
                <w:bCs/>
                <w:sz w:val="24"/>
                <w:lang w:val="zh-CN"/>
              </w:rPr>
            </w:pPr>
            <w:r>
              <w:rPr>
                <w:rFonts w:hint="eastAsia" w:ascii="宋体" w:hAnsi="宋体" w:cs="Arial"/>
                <w:bCs/>
                <w:sz w:val="24"/>
                <w:lang w:val="zh-CN"/>
              </w:rPr>
              <w:t>投标</w:t>
            </w:r>
            <w:r>
              <w:rPr>
                <w:rFonts w:ascii="宋体" w:hAnsi="宋体" w:cs="Arial"/>
                <w:bCs/>
                <w:sz w:val="24"/>
                <w:lang w:val="zh-CN"/>
              </w:rPr>
              <w:t>报价</w:t>
            </w:r>
          </w:p>
        </w:tc>
        <w:tc>
          <w:tcPr>
            <w:tcW w:w="938"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43FBBE3E">
            <w:pPr>
              <w:autoSpaceDE w:val="0"/>
              <w:autoSpaceDN w:val="0"/>
              <w:spacing w:line="240" w:lineRule="auto"/>
              <w:jc w:val="center"/>
              <w:rPr>
                <w:rFonts w:ascii="宋体" w:hAnsi="宋体" w:cs="Arial"/>
                <w:bCs/>
                <w:sz w:val="24"/>
                <w:lang w:val="zh-CN"/>
              </w:rPr>
            </w:pPr>
            <w:r>
              <w:rPr>
                <w:rFonts w:ascii="宋体" w:hAnsi="宋体" w:cs="Arial"/>
                <w:bCs/>
                <w:sz w:val="24"/>
                <w:lang w:val="zh-CN"/>
              </w:rPr>
              <w:t>交货期</w:t>
            </w:r>
          </w:p>
        </w:tc>
        <w:tc>
          <w:tcPr>
            <w:tcW w:w="9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888A3C">
            <w:pPr>
              <w:autoSpaceDE w:val="0"/>
              <w:autoSpaceDN w:val="0"/>
              <w:spacing w:line="240" w:lineRule="auto"/>
              <w:jc w:val="center"/>
              <w:rPr>
                <w:rFonts w:hint="eastAsia" w:ascii="宋体" w:hAnsi="宋体" w:cs="Arial"/>
                <w:bCs/>
                <w:sz w:val="24"/>
                <w:lang w:val="en-US" w:eastAsia="zh-CN"/>
              </w:rPr>
            </w:pPr>
            <w:r>
              <w:rPr>
                <w:rFonts w:hint="eastAsia" w:ascii="宋体" w:hAnsi="宋体" w:cs="Arial"/>
                <w:bCs/>
                <w:sz w:val="24"/>
                <w:lang w:val="en-US" w:eastAsia="zh-CN"/>
              </w:rPr>
              <w:t>硬件</w:t>
            </w:r>
          </w:p>
          <w:p w14:paraId="5FB5405E">
            <w:pPr>
              <w:autoSpaceDE w:val="0"/>
              <w:autoSpaceDN w:val="0"/>
              <w:spacing w:line="240" w:lineRule="auto"/>
              <w:jc w:val="center"/>
              <w:rPr>
                <w:rFonts w:hint="default" w:ascii="宋体" w:hAnsi="宋体" w:eastAsia="宋体" w:cs="Arial"/>
                <w:bCs/>
                <w:sz w:val="24"/>
                <w:lang w:val="en-US" w:eastAsia="zh-CN"/>
              </w:rPr>
            </w:pPr>
            <w:r>
              <w:rPr>
                <w:rFonts w:hint="eastAsia" w:ascii="宋体" w:hAnsi="宋体" w:cs="Arial"/>
                <w:bCs/>
                <w:sz w:val="24"/>
                <w:lang w:val="en-US" w:eastAsia="zh-CN"/>
              </w:rPr>
              <w:t>质保</w:t>
            </w:r>
          </w:p>
        </w:tc>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9014E5">
            <w:pPr>
              <w:autoSpaceDE w:val="0"/>
              <w:autoSpaceDN w:val="0"/>
              <w:spacing w:line="240" w:lineRule="auto"/>
              <w:jc w:val="center"/>
              <w:rPr>
                <w:rFonts w:hint="default" w:ascii="宋体" w:hAnsi="宋体" w:eastAsia="宋体" w:cs="Arial"/>
                <w:bCs/>
                <w:sz w:val="24"/>
                <w:lang w:val="en-US" w:eastAsia="zh-CN"/>
              </w:rPr>
            </w:pPr>
            <w:r>
              <w:rPr>
                <w:rFonts w:hint="eastAsia" w:ascii="宋体" w:hAnsi="宋体" w:cs="Arial"/>
                <w:bCs/>
                <w:sz w:val="24"/>
                <w:lang w:val="en-US" w:eastAsia="zh-CN"/>
              </w:rPr>
              <w:t>软件维护</w:t>
            </w:r>
          </w:p>
        </w:tc>
        <w:tc>
          <w:tcPr>
            <w:tcW w:w="6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20F5F4">
            <w:pPr>
              <w:autoSpaceDE w:val="0"/>
              <w:autoSpaceDN w:val="0"/>
              <w:spacing w:line="240" w:lineRule="auto"/>
              <w:jc w:val="center"/>
              <w:rPr>
                <w:rFonts w:ascii="宋体" w:hAnsi="宋体" w:cs="Arial"/>
                <w:bCs/>
                <w:sz w:val="24"/>
                <w:lang w:val="zh-CN"/>
              </w:rPr>
            </w:pPr>
            <w:r>
              <w:rPr>
                <w:rFonts w:ascii="宋体" w:hAnsi="宋体" w:cs="Arial"/>
                <w:bCs/>
                <w:sz w:val="24"/>
                <w:lang w:val="zh-CN"/>
              </w:rPr>
              <w:t>备注</w:t>
            </w:r>
          </w:p>
        </w:tc>
      </w:tr>
      <w:tr w14:paraId="682612D8">
        <w:tblPrEx>
          <w:tblCellMar>
            <w:top w:w="0" w:type="dxa"/>
            <w:left w:w="108" w:type="dxa"/>
            <w:bottom w:w="0" w:type="dxa"/>
            <w:right w:w="108" w:type="dxa"/>
          </w:tblCellMar>
        </w:tblPrEx>
        <w:trPr>
          <w:trHeight w:val="343" w:hRule="atLeast"/>
          <w:jc w:val="center"/>
        </w:trPr>
        <w:tc>
          <w:tcPr>
            <w:tcW w:w="2176" w:type="dxa"/>
            <w:vMerge w:val="restart"/>
            <w:tcBorders>
              <w:top w:val="single" w:color="000000" w:sz="6" w:space="0"/>
              <w:left w:val="single" w:color="000000" w:sz="6" w:space="0"/>
              <w:right w:val="single" w:color="000000" w:sz="6" w:space="0"/>
            </w:tcBorders>
            <w:shd w:val="clear" w:color="000000" w:fill="FFFFFF"/>
            <w:noWrap w:val="0"/>
            <w:vAlign w:val="center"/>
          </w:tcPr>
          <w:p w14:paraId="17F06223">
            <w:pPr>
              <w:autoSpaceDE w:val="0"/>
              <w:autoSpaceDN w:val="0"/>
              <w:spacing w:line="240" w:lineRule="auto"/>
              <w:rPr>
                <w:rFonts w:ascii="宋体" w:hAnsi="宋体" w:cs="Arial"/>
                <w:bCs/>
                <w:sz w:val="24"/>
                <w:lang w:val="zh-CN"/>
              </w:rPr>
            </w:pPr>
          </w:p>
        </w:tc>
        <w:tc>
          <w:tcPr>
            <w:tcW w:w="32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194BA6">
            <w:pPr>
              <w:autoSpaceDE w:val="0"/>
              <w:autoSpaceDN w:val="0"/>
              <w:spacing w:line="240" w:lineRule="auto"/>
              <w:rPr>
                <w:rFonts w:ascii="宋体" w:hAnsi="宋体" w:cs="Arial"/>
                <w:bCs/>
                <w:sz w:val="24"/>
                <w:lang w:val="zh-CN"/>
              </w:rPr>
            </w:pPr>
            <w:r>
              <w:rPr>
                <w:rFonts w:ascii="宋体" w:hAnsi="宋体" w:cs="Arial"/>
                <w:bCs/>
                <w:sz w:val="24"/>
                <w:lang w:val="zh-CN"/>
              </w:rPr>
              <w:t>大写：</w:t>
            </w:r>
          </w:p>
        </w:tc>
        <w:tc>
          <w:tcPr>
            <w:tcW w:w="938"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60A1EEDA">
            <w:pPr>
              <w:autoSpaceDE w:val="0"/>
              <w:autoSpaceDN w:val="0"/>
              <w:spacing w:line="240" w:lineRule="auto"/>
              <w:rPr>
                <w:rFonts w:ascii="宋体" w:hAnsi="宋体" w:cs="Arial"/>
                <w:bCs/>
                <w:sz w:val="24"/>
                <w:lang w:val="zh-CN"/>
              </w:rPr>
            </w:pPr>
          </w:p>
        </w:tc>
        <w:tc>
          <w:tcPr>
            <w:tcW w:w="96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94E883">
            <w:pPr>
              <w:autoSpaceDE w:val="0"/>
              <w:autoSpaceDN w:val="0"/>
              <w:spacing w:line="240" w:lineRule="auto"/>
              <w:rPr>
                <w:rFonts w:ascii="宋体" w:hAnsi="宋体" w:cs="Arial"/>
                <w:bCs/>
                <w:sz w:val="24"/>
                <w:lang w:val="zh-CN"/>
              </w:rPr>
            </w:pPr>
          </w:p>
        </w:tc>
        <w:tc>
          <w:tcPr>
            <w:tcW w:w="929" w:type="dxa"/>
            <w:vMerge w:val="restart"/>
            <w:tcBorders>
              <w:top w:val="single" w:color="000000" w:sz="6" w:space="0"/>
              <w:left w:val="single" w:color="000000" w:sz="6" w:space="0"/>
              <w:right w:val="single" w:color="000000" w:sz="6" w:space="0"/>
            </w:tcBorders>
            <w:shd w:val="clear" w:color="000000" w:fill="FFFFFF"/>
            <w:noWrap w:val="0"/>
            <w:vAlign w:val="center"/>
          </w:tcPr>
          <w:p w14:paraId="5B406E09">
            <w:pPr>
              <w:autoSpaceDE w:val="0"/>
              <w:autoSpaceDN w:val="0"/>
              <w:spacing w:line="240" w:lineRule="auto"/>
              <w:rPr>
                <w:rFonts w:ascii="宋体" w:hAnsi="宋体" w:cs="Arial"/>
                <w:bCs/>
                <w:sz w:val="24"/>
                <w:lang w:val="zh-CN"/>
              </w:rPr>
            </w:pPr>
          </w:p>
        </w:tc>
        <w:tc>
          <w:tcPr>
            <w:tcW w:w="684" w:type="dxa"/>
            <w:vMerge w:val="restart"/>
            <w:tcBorders>
              <w:top w:val="single" w:color="000000" w:sz="6" w:space="0"/>
              <w:left w:val="single" w:color="000000" w:sz="6" w:space="0"/>
              <w:right w:val="single" w:color="000000" w:sz="6" w:space="0"/>
            </w:tcBorders>
            <w:shd w:val="clear" w:color="000000" w:fill="FFFFFF"/>
            <w:noWrap w:val="0"/>
            <w:vAlign w:val="center"/>
          </w:tcPr>
          <w:p w14:paraId="72EF10C4">
            <w:pPr>
              <w:autoSpaceDE w:val="0"/>
              <w:autoSpaceDN w:val="0"/>
              <w:spacing w:line="240" w:lineRule="auto"/>
              <w:rPr>
                <w:rFonts w:ascii="宋体" w:hAnsi="宋体" w:cs="Arial"/>
                <w:bCs/>
                <w:sz w:val="24"/>
                <w:lang w:val="zh-CN"/>
              </w:rPr>
            </w:pPr>
          </w:p>
        </w:tc>
      </w:tr>
      <w:tr w14:paraId="2439CF87">
        <w:tblPrEx>
          <w:tblCellMar>
            <w:top w:w="0" w:type="dxa"/>
            <w:left w:w="108" w:type="dxa"/>
            <w:bottom w:w="0" w:type="dxa"/>
            <w:right w:w="108" w:type="dxa"/>
          </w:tblCellMar>
        </w:tblPrEx>
        <w:trPr>
          <w:trHeight w:val="393" w:hRule="atLeast"/>
          <w:jc w:val="center"/>
        </w:trPr>
        <w:tc>
          <w:tcPr>
            <w:tcW w:w="2176" w:type="dxa"/>
            <w:vMerge w:val="continue"/>
            <w:tcBorders>
              <w:left w:val="single" w:color="000000" w:sz="6" w:space="0"/>
              <w:bottom w:val="single" w:color="000000" w:sz="6" w:space="0"/>
              <w:right w:val="single" w:color="000000" w:sz="6" w:space="0"/>
            </w:tcBorders>
            <w:shd w:val="clear" w:color="000000" w:fill="FFFFFF"/>
            <w:noWrap w:val="0"/>
            <w:vAlign w:val="center"/>
          </w:tcPr>
          <w:p w14:paraId="2FBC4D4C">
            <w:pPr>
              <w:autoSpaceDE w:val="0"/>
              <w:autoSpaceDN w:val="0"/>
              <w:spacing w:line="240" w:lineRule="auto"/>
              <w:rPr>
                <w:rFonts w:ascii="宋体" w:hAnsi="宋体" w:cs="宋体"/>
                <w:b/>
                <w:bCs/>
                <w:sz w:val="24"/>
                <w:lang w:val="zh-CN"/>
              </w:rPr>
            </w:pPr>
          </w:p>
        </w:tc>
        <w:tc>
          <w:tcPr>
            <w:tcW w:w="32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87F771">
            <w:pPr>
              <w:autoSpaceDE w:val="0"/>
              <w:autoSpaceDN w:val="0"/>
              <w:spacing w:line="240" w:lineRule="auto"/>
              <w:rPr>
                <w:rFonts w:ascii="宋体" w:hAnsi="宋体" w:cs="宋体"/>
                <w:b/>
                <w:bCs/>
                <w:sz w:val="24"/>
                <w:lang w:val="zh-CN"/>
              </w:rPr>
            </w:pPr>
            <w:r>
              <w:rPr>
                <w:rFonts w:ascii="宋体" w:hAnsi="宋体" w:cs="Arial"/>
                <w:bCs/>
                <w:sz w:val="24"/>
                <w:lang w:val="zh-CN"/>
              </w:rPr>
              <w:t>小写：</w:t>
            </w:r>
          </w:p>
        </w:tc>
        <w:tc>
          <w:tcPr>
            <w:tcW w:w="938"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186EF40C">
            <w:pPr>
              <w:autoSpaceDE w:val="0"/>
              <w:autoSpaceDN w:val="0"/>
              <w:spacing w:line="240" w:lineRule="auto"/>
              <w:rPr>
                <w:rFonts w:ascii="宋体" w:hAnsi="宋体" w:cs="宋体"/>
                <w:b/>
                <w:bCs/>
                <w:sz w:val="24"/>
                <w:lang w:val="zh-CN"/>
              </w:rPr>
            </w:pPr>
          </w:p>
        </w:tc>
        <w:tc>
          <w:tcPr>
            <w:tcW w:w="96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5BEAE4">
            <w:pPr>
              <w:autoSpaceDE w:val="0"/>
              <w:autoSpaceDN w:val="0"/>
              <w:spacing w:line="240" w:lineRule="auto"/>
              <w:rPr>
                <w:rFonts w:ascii="宋体" w:hAnsi="宋体" w:cs="宋体"/>
                <w:b/>
                <w:bCs/>
                <w:sz w:val="24"/>
                <w:lang w:val="zh-CN"/>
              </w:rPr>
            </w:pPr>
          </w:p>
        </w:tc>
        <w:tc>
          <w:tcPr>
            <w:tcW w:w="929" w:type="dxa"/>
            <w:vMerge w:val="continue"/>
            <w:tcBorders>
              <w:left w:val="single" w:color="000000" w:sz="6" w:space="0"/>
              <w:bottom w:val="single" w:color="000000" w:sz="6" w:space="0"/>
              <w:right w:val="single" w:color="000000" w:sz="6" w:space="0"/>
            </w:tcBorders>
            <w:shd w:val="clear" w:color="000000" w:fill="FFFFFF"/>
            <w:noWrap w:val="0"/>
            <w:vAlign w:val="center"/>
          </w:tcPr>
          <w:p w14:paraId="56266E96">
            <w:pPr>
              <w:autoSpaceDE w:val="0"/>
              <w:autoSpaceDN w:val="0"/>
              <w:spacing w:line="240" w:lineRule="auto"/>
              <w:rPr>
                <w:rFonts w:ascii="宋体" w:hAnsi="宋体" w:cs="宋体"/>
                <w:b/>
                <w:bCs/>
                <w:sz w:val="24"/>
                <w:lang w:val="zh-CN"/>
              </w:rPr>
            </w:pPr>
          </w:p>
        </w:tc>
        <w:tc>
          <w:tcPr>
            <w:tcW w:w="684" w:type="dxa"/>
            <w:vMerge w:val="continue"/>
            <w:tcBorders>
              <w:left w:val="single" w:color="000000" w:sz="6" w:space="0"/>
              <w:bottom w:val="single" w:color="000000" w:sz="6" w:space="0"/>
              <w:right w:val="single" w:color="000000" w:sz="6" w:space="0"/>
            </w:tcBorders>
            <w:shd w:val="clear" w:color="000000" w:fill="FFFFFF"/>
            <w:noWrap w:val="0"/>
            <w:vAlign w:val="center"/>
          </w:tcPr>
          <w:p w14:paraId="5ED2A956">
            <w:pPr>
              <w:autoSpaceDE w:val="0"/>
              <w:autoSpaceDN w:val="0"/>
              <w:spacing w:line="240" w:lineRule="auto"/>
              <w:rPr>
                <w:rFonts w:ascii="宋体" w:hAnsi="宋体" w:cs="宋体"/>
                <w:b/>
                <w:bCs/>
                <w:sz w:val="24"/>
                <w:lang w:val="zh-CN"/>
              </w:rPr>
            </w:pPr>
          </w:p>
        </w:tc>
      </w:tr>
    </w:tbl>
    <w:p w14:paraId="010D9C3F">
      <w:pPr>
        <w:autoSpaceDE w:val="0"/>
        <w:autoSpaceDN w:val="0"/>
        <w:spacing w:line="240" w:lineRule="auto"/>
        <w:rPr>
          <w:b/>
          <w:bCs/>
          <w:kern w:val="0"/>
          <w:sz w:val="24"/>
          <w:lang w:val="zh-CN"/>
        </w:rPr>
      </w:pPr>
    </w:p>
    <w:p w14:paraId="2554000C">
      <w:pPr>
        <w:autoSpaceDE w:val="0"/>
        <w:autoSpaceDN w:val="0"/>
        <w:spacing w:line="240" w:lineRule="auto"/>
        <w:rPr>
          <w:kern w:val="0"/>
          <w:sz w:val="24"/>
          <w:lang w:val="zh-CN"/>
        </w:rPr>
      </w:pPr>
      <w:r>
        <w:rPr>
          <w:b/>
          <w:bCs/>
          <w:kern w:val="0"/>
          <w:sz w:val="24"/>
          <w:lang w:val="zh-CN"/>
        </w:rPr>
        <w:t>注：</w:t>
      </w:r>
      <w:r>
        <w:rPr>
          <w:kern w:val="0"/>
          <w:sz w:val="24"/>
          <w:lang w:val="zh-CN"/>
        </w:rPr>
        <w:t>1.填写此表时不得改变表格形式。</w:t>
      </w:r>
    </w:p>
    <w:p w14:paraId="58EDBA91">
      <w:pPr>
        <w:autoSpaceDE w:val="0"/>
        <w:autoSpaceDN w:val="0"/>
        <w:spacing w:line="240" w:lineRule="auto"/>
        <w:ind w:firstLine="480"/>
        <w:rPr>
          <w:rFonts w:hint="eastAsia" w:eastAsia="宋体"/>
          <w:kern w:val="0"/>
          <w:sz w:val="24"/>
          <w:lang w:val="zh-CN" w:eastAsia="zh-CN"/>
        </w:rPr>
      </w:pPr>
      <w:r>
        <w:rPr>
          <w:kern w:val="0"/>
          <w:sz w:val="24"/>
          <w:lang w:val="zh-CN"/>
        </w:rPr>
        <w:t>2.“投标报价”为投标总价。</w:t>
      </w:r>
      <w:r>
        <w:rPr>
          <w:sz w:val="24"/>
        </w:rPr>
        <w:t>投标报价应包含全部</w:t>
      </w:r>
      <w:r>
        <w:rPr>
          <w:rFonts w:hint="eastAsia"/>
          <w:sz w:val="24"/>
          <w:lang w:eastAsia="zh-CN"/>
        </w:rPr>
        <w:t>产品费、验收费、手续费、包装费、运输费、保险费、售前、售中、售后服务费、招标代理费、税金</w:t>
      </w:r>
      <w:r>
        <w:rPr>
          <w:rFonts w:hint="eastAsia"/>
          <w:color w:val="auto"/>
          <w:sz w:val="24"/>
          <w:lang w:eastAsia="zh-CN"/>
        </w:rPr>
        <w:t>、抽样检测费及不可预见费等全部费用。</w:t>
      </w:r>
    </w:p>
    <w:p w14:paraId="4325D182">
      <w:pPr>
        <w:autoSpaceDE w:val="0"/>
        <w:autoSpaceDN w:val="0"/>
        <w:spacing w:line="240" w:lineRule="auto"/>
        <w:ind w:firstLine="480"/>
        <w:rPr>
          <w:kern w:val="0"/>
          <w:sz w:val="24"/>
          <w:lang w:val="zh-CN"/>
        </w:rPr>
      </w:pPr>
      <w:r>
        <w:rPr>
          <w:kern w:val="0"/>
          <w:sz w:val="24"/>
          <w:lang w:val="zh-CN"/>
        </w:rPr>
        <w:t>3.投标报价不能有两个或两个以上的报价方案，</w:t>
      </w:r>
      <w:r>
        <w:rPr>
          <w:kern w:val="0"/>
          <w:sz w:val="24"/>
        </w:rPr>
        <w:t>否则投标无效</w:t>
      </w:r>
      <w:r>
        <w:rPr>
          <w:kern w:val="0"/>
          <w:sz w:val="24"/>
          <w:lang w:val="zh-CN"/>
        </w:rPr>
        <w:t>。</w:t>
      </w:r>
    </w:p>
    <w:p w14:paraId="25AF9709">
      <w:pPr>
        <w:autoSpaceDE w:val="0"/>
        <w:autoSpaceDN w:val="0"/>
        <w:spacing w:line="240" w:lineRule="auto"/>
        <w:ind w:firstLine="480"/>
        <w:rPr>
          <w:kern w:val="0"/>
          <w:sz w:val="24"/>
          <w:lang w:val="zh-CN"/>
        </w:rPr>
      </w:pPr>
      <w:r>
        <w:rPr>
          <w:rFonts w:hint="eastAsia"/>
          <w:kern w:val="0"/>
          <w:sz w:val="24"/>
          <w:lang w:val="en-US" w:eastAsia="zh-CN"/>
        </w:rPr>
        <w:t xml:space="preserve">                                                                                                                                                                                          </w:t>
      </w:r>
    </w:p>
    <w:p w14:paraId="6725580C">
      <w:pPr>
        <w:spacing w:line="240" w:lineRule="auto"/>
        <w:jc w:val="both"/>
        <w:rPr>
          <w:rFonts w:hint="eastAsia"/>
          <w:b/>
          <w:sz w:val="24"/>
        </w:rPr>
      </w:pPr>
    </w:p>
    <w:p w14:paraId="75A8B4B2">
      <w:pPr>
        <w:spacing w:line="240" w:lineRule="auto"/>
        <w:jc w:val="right"/>
        <w:rPr>
          <w:rFonts w:hint="eastAsia"/>
          <w:b/>
          <w:sz w:val="24"/>
        </w:rPr>
      </w:pPr>
    </w:p>
    <w:p w14:paraId="13091484">
      <w:pPr>
        <w:spacing w:line="240" w:lineRule="auto"/>
        <w:ind w:right="239"/>
        <w:jc w:val="right"/>
        <w:rPr>
          <w:b/>
          <w:sz w:val="24"/>
        </w:rPr>
      </w:pPr>
      <w:r>
        <w:rPr>
          <w:rFonts w:hint="eastAsia"/>
          <w:b/>
          <w:sz w:val="24"/>
        </w:rPr>
        <w:t xml:space="preserve"> </w:t>
      </w:r>
      <w:r>
        <w:rPr>
          <w:rFonts w:hint="eastAsia"/>
          <w:b/>
          <w:sz w:val="24"/>
          <w:lang w:eastAsia="zh-CN"/>
        </w:rPr>
        <w:t>供应商</w:t>
      </w:r>
      <w:r>
        <w:rPr>
          <w:b/>
          <w:sz w:val="24"/>
        </w:rPr>
        <w:t>：                      （公章）</w:t>
      </w:r>
    </w:p>
    <w:p w14:paraId="06EDB1A8">
      <w:pPr>
        <w:spacing w:line="240" w:lineRule="auto"/>
        <w:jc w:val="right"/>
        <w:rPr>
          <w:b/>
          <w:sz w:val="24"/>
        </w:rPr>
      </w:pPr>
      <w:r>
        <w:rPr>
          <w:b/>
          <w:sz w:val="24"/>
        </w:rPr>
        <w:t>法定代表人或委托代理人：        （签字）</w:t>
      </w:r>
    </w:p>
    <w:p w14:paraId="317FF4AC">
      <w:pPr>
        <w:wordWrap w:val="0"/>
        <w:spacing w:line="240" w:lineRule="auto"/>
        <w:jc w:val="right"/>
        <w:rPr>
          <w:b/>
          <w:bCs/>
          <w:kern w:val="0"/>
          <w:lang w:val="zh-CN"/>
        </w:rPr>
      </w:pPr>
      <w:r>
        <w:rPr>
          <w:rFonts w:hint="eastAsia"/>
          <w:sz w:val="24"/>
        </w:rPr>
        <w:t xml:space="preserve">        </w:t>
      </w:r>
      <w:r>
        <w:rPr>
          <w:sz w:val="24"/>
        </w:rPr>
        <w:t xml:space="preserve">   </w:t>
      </w:r>
      <w:r>
        <w:rPr>
          <w:rFonts w:hint="eastAsia"/>
          <w:sz w:val="24"/>
        </w:rPr>
        <w:t xml:space="preserve">  </w:t>
      </w:r>
      <w:r>
        <w:rPr>
          <w:b/>
          <w:sz w:val="24"/>
        </w:rPr>
        <w:t>日期：    年   月   日</w:t>
      </w:r>
    </w:p>
    <w:p w14:paraId="4BF722A4">
      <w:pPr>
        <w:pStyle w:val="27"/>
        <w:spacing w:before="0" w:after="0" w:line="240" w:lineRule="auto"/>
        <w:jc w:val="left"/>
        <w:rPr>
          <w:rFonts w:ascii="Times New Roman" w:hAnsi="Times New Roman"/>
        </w:rPr>
      </w:pPr>
      <w:r>
        <w:rPr>
          <w:rFonts w:ascii="Times New Roman" w:hAnsi="Times New Roman"/>
          <w:b w:val="0"/>
          <w:bCs w:val="0"/>
          <w:kern w:val="0"/>
          <w:lang w:val="zh-CN"/>
        </w:rPr>
        <w:br w:type="page"/>
      </w:r>
      <w:bookmarkStart w:id="133" w:name="_Toc22401"/>
      <w:r>
        <w:rPr>
          <w:rFonts w:hint="eastAsia" w:ascii="Times New Roman" w:hAnsi="Times New Roman"/>
          <w:sz w:val="30"/>
          <w:szCs w:val="30"/>
        </w:rPr>
        <w:t>格式1</w:t>
      </w:r>
      <w:r>
        <w:rPr>
          <w:rFonts w:hint="eastAsia" w:ascii="Times New Roman" w:hAnsi="Times New Roman"/>
          <w:sz w:val="30"/>
          <w:szCs w:val="30"/>
          <w:lang w:val="en-US" w:eastAsia="zh-CN"/>
        </w:rPr>
        <w:t>2</w:t>
      </w:r>
      <w:r>
        <w:rPr>
          <w:rFonts w:hint="eastAsia" w:ascii="Times New Roman" w:hAnsi="Times New Roman"/>
          <w:sz w:val="30"/>
          <w:szCs w:val="30"/>
        </w:rPr>
        <w:t>：</w:t>
      </w:r>
      <w:r>
        <w:rPr>
          <w:rFonts w:ascii="Times New Roman" w:hAnsi="Times New Roman"/>
          <w:sz w:val="30"/>
          <w:szCs w:val="30"/>
          <w:lang w:val="zh-CN"/>
        </w:rPr>
        <w:t>分项报价表</w:t>
      </w:r>
      <w:bookmarkEnd w:id="133"/>
    </w:p>
    <w:p w14:paraId="017F7718">
      <w:pPr>
        <w:autoSpaceDE w:val="0"/>
        <w:autoSpaceDN w:val="0"/>
        <w:spacing w:line="240" w:lineRule="auto"/>
        <w:jc w:val="center"/>
        <w:rPr>
          <w:b/>
          <w:bCs/>
          <w:kern w:val="0"/>
          <w:sz w:val="36"/>
          <w:szCs w:val="36"/>
          <w:lang w:val="zh-CN"/>
        </w:rPr>
      </w:pPr>
      <w:r>
        <w:rPr>
          <w:b/>
          <w:bCs/>
          <w:kern w:val="0"/>
          <w:sz w:val="28"/>
          <w:szCs w:val="28"/>
          <w:lang w:val="zh-CN"/>
        </w:rPr>
        <w:t>分项报价表</w:t>
      </w:r>
    </w:p>
    <w:p w14:paraId="20359652">
      <w:pPr>
        <w:autoSpaceDE w:val="0"/>
        <w:autoSpaceDN w:val="0"/>
        <w:spacing w:line="240" w:lineRule="auto"/>
        <w:ind w:firstLine="723" w:firstLineChars="300"/>
        <w:rPr>
          <w:rFonts w:hint="eastAsia"/>
          <w:kern w:val="0"/>
          <w:sz w:val="24"/>
          <w:lang w:val="en-US" w:eastAsia="zh-CN"/>
        </w:rPr>
      </w:pPr>
      <w:r>
        <w:rPr>
          <w:rFonts w:hint="eastAsia"/>
          <w:kern w:val="0"/>
          <w:sz w:val="24"/>
          <w:lang w:val="zh-CN"/>
        </w:rPr>
        <w:t>供应商</w:t>
      </w:r>
      <w:r>
        <w:rPr>
          <w:kern w:val="0"/>
          <w:sz w:val="24"/>
          <w:lang w:val="zh-CN"/>
        </w:rPr>
        <w:t>名称</w:t>
      </w:r>
      <w:r>
        <w:rPr>
          <w:kern w:val="0"/>
          <w:sz w:val="24"/>
        </w:rPr>
        <w:t xml:space="preserve">：                                  </w:t>
      </w:r>
      <w:r>
        <w:rPr>
          <w:kern w:val="0"/>
          <w:sz w:val="24"/>
          <w:lang w:val="zh-CN"/>
        </w:rPr>
        <w:t>采购项目编号：</w:t>
      </w:r>
    </w:p>
    <w:tbl>
      <w:tblPr>
        <w:tblStyle w:val="31"/>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598EF19C">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748179B9">
            <w:pPr>
              <w:autoSpaceDE w:val="0"/>
              <w:autoSpaceDN w:val="0"/>
              <w:spacing w:line="240" w:lineRule="auto"/>
              <w:jc w:val="center"/>
              <w:rPr>
                <w:kern w:val="0"/>
                <w:sz w:val="24"/>
                <w:lang w:val="zh-CN"/>
              </w:rPr>
            </w:pPr>
            <w:r>
              <w:rPr>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480C4FEE">
            <w:pPr>
              <w:autoSpaceDE w:val="0"/>
              <w:autoSpaceDN w:val="0"/>
              <w:spacing w:line="240" w:lineRule="auto"/>
              <w:jc w:val="center"/>
              <w:rPr>
                <w:kern w:val="0"/>
                <w:sz w:val="24"/>
                <w:lang w:val="zh-CN"/>
              </w:rPr>
            </w:pPr>
            <w:r>
              <w:rPr>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5578EF43">
            <w:pPr>
              <w:autoSpaceDE w:val="0"/>
              <w:autoSpaceDN w:val="0"/>
              <w:spacing w:line="240" w:lineRule="auto"/>
              <w:jc w:val="center"/>
              <w:rPr>
                <w:kern w:val="0"/>
                <w:sz w:val="24"/>
                <w:lang w:val="zh-CN"/>
              </w:rPr>
            </w:pPr>
            <w:r>
              <w:rPr>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287C71B8">
            <w:pPr>
              <w:autoSpaceDE w:val="0"/>
              <w:autoSpaceDN w:val="0"/>
              <w:spacing w:line="240" w:lineRule="auto"/>
              <w:jc w:val="center"/>
              <w:rPr>
                <w:kern w:val="0"/>
                <w:sz w:val="24"/>
                <w:lang w:val="zh-CN"/>
              </w:rPr>
            </w:pPr>
            <w:r>
              <w:rPr>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5DCE3F7D">
            <w:pPr>
              <w:autoSpaceDE w:val="0"/>
              <w:autoSpaceDN w:val="0"/>
              <w:spacing w:line="240" w:lineRule="auto"/>
              <w:jc w:val="center"/>
              <w:rPr>
                <w:kern w:val="0"/>
                <w:sz w:val="24"/>
                <w:lang w:val="zh-CN"/>
              </w:rPr>
            </w:pPr>
            <w:r>
              <w:rPr>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361E3F82">
            <w:pPr>
              <w:autoSpaceDE w:val="0"/>
              <w:autoSpaceDN w:val="0"/>
              <w:spacing w:line="240" w:lineRule="auto"/>
              <w:jc w:val="center"/>
              <w:rPr>
                <w:kern w:val="0"/>
                <w:sz w:val="24"/>
                <w:lang w:val="zh-CN"/>
              </w:rPr>
            </w:pPr>
            <w:r>
              <w:rPr>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7DC60CD6">
            <w:pPr>
              <w:autoSpaceDE w:val="0"/>
              <w:autoSpaceDN w:val="0"/>
              <w:spacing w:line="240" w:lineRule="auto"/>
              <w:jc w:val="center"/>
              <w:rPr>
                <w:kern w:val="0"/>
                <w:sz w:val="24"/>
                <w:lang w:val="zh-CN"/>
              </w:rPr>
            </w:pPr>
            <w:r>
              <w:rPr>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0745811F">
            <w:pPr>
              <w:autoSpaceDE w:val="0"/>
              <w:autoSpaceDN w:val="0"/>
              <w:spacing w:line="240" w:lineRule="auto"/>
              <w:jc w:val="center"/>
              <w:rPr>
                <w:kern w:val="0"/>
                <w:sz w:val="24"/>
                <w:lang w:val="zh-CN"/>
              </w:rPr>
            </w:pPr>
            <w:r>
              <w:rPr>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43269825">
            <w:pPr>
              <w:autoSpaceDE w:val="0"/>
              <w:autoSpaceDN w:val="0"/>
              <w:spacing w:line="240" w:lineRule="auto"/>
              <w:jc w:val="center"/>
              <w:rPr>
                <w:kern w:val="0"/>
                <w:sz w:val="24"/>
                <w:lang w:val="zh-CN"/>
              </w:rPr>
            </w:pPr>
            <w:r>
              <w:rPr>
                <w:sz w:val="24"/>
              </w:rPr>
              <w:t>质保期</w:t>
            </w:r>
          </w:p>
        </w:tc>
      </w:tr>
      <w:tr w14:paraId="42B8BBA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168DC45">
            <w:pPr>
              <w:autoSpaceDE w:val="0"/>
              <w:autoSpaceDN w:val="0"/>
              <w:spacing w:line="240" w:lineRule="auto"/>
              <w:jc w:val="center"/>
              <w:rPr>
                <w:kern w:val="0"/>
                <w:sz w:val="24"/>
                <w:lang w:val="zh-CN"/>
              </w:rPr>
            </w:pPr>
            <w:r>
              <w:rPr>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00B2C2C">
            <w:pPr>
              <w:autoSpaceDE w:val="0"/>
              <w:autoSpaceDN w:val="0"/>
              <w:spacing w:line="24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9D82227">
            <w:pPr>
              <w:autoSpaceDE w:val="0"/>
              <w:autoSpaceDN w:val="0"/>
              <w:spacing w:line="24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12A2F901">
            <w:pPr>
              <w:autoSpaceDE w:val="0"/>
              <w:autoSpaceDN w:val="0"/>
              <w:spacing w:line="24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BAE8016">
            <w:pPr>
              <w:autoSpaceDE w:val="0"/>
              <w:autoSpaceDN w:val="0"/>
              <w:spacing w:line="24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36AC6841">
            <w:pPr>
              <w:autoSpaceDE w:val="0"/>
              <w:autoSpaceDN w:val="0"/>
              <w:spacing w:line="24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00913B91">
            <w:pPr>
              <w:autoSpaceDE w:val="0"/>
              <w:autoSpaceDN w:val="0"/>
              <w:spacing w:line="24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5254323">
            <w:pPr>
              <w:autoSpaceDE w:val="0"/>
              <w:autoSpaceDN w:val="0"/>
              <w:spacing w:line="24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FEE0DA5">
            <w:pPr>
              <w:autoSpaceDE w:val="0"/>
              <w:autoSpaceDN w:val="0"/>
              <w:spacing w:line="240" w:lineRule="auto"/>
              <w:jc w:val="center"/>
              <w:rPr>
                <w:kern w:val="0"/>
                <w:sz w:val="24"/>
                <w:lang w:val="zh-CN"/>
              </w:rPr>
            </w:pPr>
          </w:p>
        </w:tc>
      </w:tr>
      <w:tr w14:paraId="51D6F8A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E6E09B6">
            <w:pPr>
              <w:autoSpaceDE w:val="0"/>
              <w:autoSpaceDN w:val="0"/>
              <w:spacing w:line="240" w:lineRule="auto"/>
              <w:jc w:val="center"/>
              <w:rPr>
                <w:kern w:val="0"/>
                <w:sz w:val="24"/>
                <w:lang w:val="zh-CN"/>
              </w:rPr>
            </w:pPr>
            <w:r>
              <w:rPr>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7D3B5BF4">
            <w:pPr>
              <w:autoSpaceDE w:val="0"/>
              <w:autoSpaceDN w:val="0"/>
              <w:spacing w:line="24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2435AC0">
            <w:pPr>
              <w:autoSpaceDE w:val="0"/>
              <w:autoSpaceDN w:val="0"/>
              <w:spacing w:line="24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70C2578D">
            <w:pPr>
              <w:autoSpaceDE w:val="0"/>
              <w:autoSpaceDN w:val="0"/>
              <w:spacing w:line="24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41CCD835">
            <w:pPr>
              <w:autoSpaceDE w:val="0"/>
              <w:autoSpaceDN w:val="0"/>
              <w:spacing w:line="24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F8545F3">
            <w:pPr>
              <w:autoSpaceDE w:val="0"/>
              <w:autoSpaceDN w:val="0"/>
              <w:spacing w:line="24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203B28C">
            <w:pPr>
              <w:autoSpaceDE w:val="0"/>
              <w:autoSpaceDN w:val="0"/>
              <w:spacing w:line="24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1AB41436">
            <w:pPr>
              <w:autoSpaceDE w:val="0"/>
              <w:autoSpaceDN w:val="0"/>
              <w:spacing w:line="24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CC1C2E6">
            <w:pPr>
              <w:autoSpaceDE w:val="0"/>
              <w:autoSpaceDN w:val="0"/>
              <w:spacing w:line="240" w:lineRule="auto"/>
              <w:jc w:val="center"/>
              <w:rPr>
                <w:kern w:val="0"/>
                <w:sz w:val="24"/>
                <w:lang w:val="zh-CN"/>
              </w:rPr>
            </w:pPr>
          </w:p>
        </w:tc>
      </w:tr>
      <w:tr w14:paraId="02BDE16A">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2E1E1325">
            <w:pPr>
              <w:autoSpaceDE w:val="0"/>
              <w:autoSpaceDN w:val="0"/>
              <w:spacing w:line="240" w:lineRule="auto"/>
              <w:jc w:val="center"/>
              <w:rPr>
                <w:kern w:val="0"/>
                <w:sz w:val="24"/>
                <w:lang w:val="zh-CN"/>
              </w:rPr>
            </w:pPr>
            <w:r>
              <w:rPr>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D6000FD">
            <w:pPr>
              <w:autoSpaceDE w:val="0"/>
              <w:autoSpaceDN w:val="0"/>
              <w:spacing w:line="24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7340C70">
            <w:pPr>
              <w:autoSpaceDE w:val="0"/>
              <w:autoSpaceDN w:val="0"/>
              <w:spacing w:line="24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2D44AAE">
            <w:pPr>
              <w:autoSpaceDE w:val="0"/>
              <w:autoSpaceDN w:val="0"/>
              <w:spacing w:line="24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B99153F">
            <w:pPr>
              <w:autoSpaceDE w:val="0"/>
              <w:autoSpaceDN w:val="0"/>
              <w:spacing w:line="24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05E92F0B">
            <w:pPr>
              <w:autoSpaceDE w:val="0"/>
              <w:autoSpaceDN w:val="0"/>
              <w:spacing w:line="24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83D0173">
            <w:pPr>
              <w:autoSpaceDE w:val="0"/>
              <w:autoSpaceDN w:val="0"/>
              <w:spacing w:line="24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1ECEC69">
            <w:pPr>
              <w:autoSpaceDE w:val="0"/>
              <w:autoSpaceDN w:val="0"/>
              <w:spacing w:line="24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FC834E2">
            <w:pPr>
              <w:autoSpaceDE w:val="0"/>
              <w:autoSpaceDN w:val="0"/>
              <w:spacing w:line="240" w:lineRule="auto"/>
              <w:jc w:val="center"/>
              <w:rPr>
                <w:kern w:val="0"/>
                <w:sz w:val="24"/>
                <w:lang w:val="zh-CN"/>
              </w:rPr>
            </w:pPr>
          </w:p>
        </w:tc>
      </w:tr>
      <w:tr w14:paraId="19DBB7B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83E0FCE">
            <w:pPr>
              <w:autoSpaceDE w:val="0"/>
              <w:autoSpaceDN w:val="0"/>
              <w:spacing w:line="240" w:lineRule="auto"/>
              <w:jc w:val="center"/>
              <w:rPr>
                <w:kern w:val="0"/>
                <w:sz w:val="24"/>
                <w:lang w:val="zh-CN"/>
              </w:rPr>
            </w:pPr>
            <w:r>
              <w:rPr>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2C9A711E">
            <w:pPr>
              <w:autoSpaceDE w:val="0"/>
              <w:autoSpaceDN w:val="0"/>
              <w:spacing w:line="24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F9D6168">
            <w:pPr>
              <w:autoSpaceDE w:val="0"/>
              <w:autoSpaceDN w:val="0"/>
              <w:spacing w:line="24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58FE8CC9">
            <w:pPr>
              <w:autoSpaceDE w:val="0"/>
              <w:autoSpaceDN w:val="0"/>
              <w:spacing w:line="24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325C4A7">
            <w:pPr>
              <w:autoSpaceDE w:val="0"/>
              <w:autoSpaceDN w:val="0"/>
              <w:spacing w:line="240" w:lineRule="auto"/>
              <w:jc w:val="both"/>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AE88831">
            <w:pPr>
              <w:autoSpaceDE w:val="0"/>
              <w:autoSpaceDN w:val="0"/>
              <w:spacing w:line="24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E3051D7">
            <w:pPr>
              <w:autoSpaceDE w:val="0"/>
              <w:autoSpaceDN w:val="0"/>
              <w:spacing w:line="24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BE0F5C3">
            <w:pPr>
              <w:autoSpaceDE w:val="0"/>
              <w:autoSpaceDN w:val="0"/>
              <w:spacing w:line="24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BA610BF">
            <w:pPr>
              <w:autoSpaceDE w:val="0"/>
              <w:autoSpaceDN w:val="0"/>
              <w:spacing w:line="240" w:lineRule="auto"/>
              <w:jc w:val="center"/>
              <w:rPr>
                <w:kern w:val="0"/>
                <w:sz w:val="24"/>
                <w:lang w:val="zh-CN"/>
              </w:rPr>
            </w:pPr>
          </w:p>
        </w:tc>
      </w:tr>
      <w:tr w14:paraId="1E8B3C9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9855C73">
            <w:pPr>
              <w:autoSpaceDE w:val="0"/>
              <w:autoSpaceDN w:val="0"/>
              <w:spacing w:line="240" w:lineRule="auto"/>
              <w:jc w:val="center"/>
              <w:rPr>
                <w:kern w:val="0"/>
                <w:sz w:val="24"/>
                <w:lang w:val="zh-CN"/>
              </w:rPr>
            </w:pPr>
            <w:r>
              <w:rPr>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6CD5B063">
            <w:pPr>
              <w:autoSpaceDE w:val="0"/>
              <w:autoSpaceDN w:val="0"/>
              <w:spacing w:line="240" w:lineRule="auto"/>
              <w:jc w:val="center"/>
              <w:rPr>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5068773">
            <w:pPr>
              <w:autoSpaceDE w:val="0"/>
              <w:autoSpaceDN w:val="0"/>
              <w:spacing w:line="240" w:lineRule="auto"/>
              <w:jc w:val="center"/>
              <w:rPr>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68E43A77">
            <w:pPr>
              <w:autoSpaceDE w:val="0"/>
              <w:autoSpaceDN w:val="0"/>
              <w:spacing w:line="240" w:lineRule="auto"/>
              <w:jc w:val="center"/>
              <w:rPr>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E0A6C87">
            <w:pPr>
              <w:autoSpaceDE w:val="0"/>
              <w:autoSpaceDN w:val="0"/>
              <w:spacing w:line="240" w:lineRule="auto"/>
              <w:jc w:val="center"/>
              <w:rPr>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60BE751">
            <w:pPr>
              <w:autoSpaceDE w:val="0"/>
              <w:autoSpaceDN w:val="0"/>
              <w:spacing w:line="240" w:lineRule="auto"/>
              <w:jc w:val="center"/>
              <w:rPr>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760F67F">
            <w:pPr>
              <w:autoSpaceDE w:val="0"/>
              <w:autoSpaceDN w:val="0"/>
              <w:spacing w:line="240" w:lineRule="auto"/>
              <w:jc w:val="center"/>
              <w:rPr>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C4F435F">
            <w:pPr>
              <w:autoSpaceDE w:val="0"/>
              <w:autoSpaceDN w:val="0"/>
              <w:spacing w:line="240" w:lineRule="auto"/>
              <w:jc w:val="center"/>
              <w:rPr>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5E87AC22">
            <w:pPr>
              <w:autoSpaceDE w:val="0"/>
              <w:autoSpaceDN w:val="0"/>
              <w:spacing w:line="240" w:lineRule="auto"/>
              <w:jc w:val="center"/>
              <w:rPr>
                <w:kern w:val="0"/>
                <w:sz w:val="24"/>
                <w:lang w:val="zh-CN"/>
              </w:rPr>
            </w:pPr>
          </w:p>
        </w:tc>
      </w:tr>
      <w:tr w14:paraId="381385EF">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noWrap w:val="0"/>
            <w:vAlign w:val="center"/>
          </w:tcPr>
          <w:p w14:paraId="5529B046">
            <w:pPr>
              <w:spacing w:line="240" w:lineRule="auto"/>
              <w:jc w:val="left"/>
              <w:rPr>
                <w:sz w:val="24"/>
                <w:lang w:val="zh-CN"/>
              </w:rPr>
            </w:pPr>
            <w:r>
              <w:rPr>
                <w:sz w:val="24"/>
                <w:lang w:val="zh-CN"/>
              </w:rPr>
              <w:t>优惠承诺及其他：</w:t>
            </w:r>
          </w:p>
          <w:p w14:paraId="1712316D">
            <w:pPr>
              <w:autoSpaceDE w:val="0"/>
              <w:autoSpaceDN w:val="0"/>
              <w:spacing w:line="240" w:lineRule="auto"/>
              <w:jc w:val="center"/>
              <w:rPr>
                <w:kern w:val="0"/>
                <w:sz w:val="24"/>
                <w:lang w:val="zh-CN"/>
              </w:rPr>
            </w:pPr>
          </w:p>
        </w:tc>
      </w:tr>
      <w:tr w14:paraId="2D2144C7">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4E3320B0">
            <w:pPr>
              <w:autoSpaceDE w:val="0"/>
              <w:autoSpaceDN w:val="0"/>
              <w:spacing w:line="240" w:lineRule="auto"/>
              <w:jc w:val="center"/>
              <w:rPr>
                <w:kern w:val="0"/>
                <w:sz w:val="24"/>
                <w:lang w:val="zh-CN"/>
              </w:rPr>
            </w:pPr>
            <w:r>
              <w:rPr>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1023B3FB">
            <w:pPr>
              <w:autoSpaceDE w:val="0"/>
              <w:autoSpaceDN w:val="0"/>
              <w:spacing w:line="240" w:lineRule="auto"/>
              <w:rPr>
                <w:kern w:val="0"/>
                <w:sz w:val="24"/>
                <w:lang w:val="zh-CN"/>
              </w:rPr>
            </w:pPr>
            <w:r>
              <w:rPr>
                <w:kern w:val="0"/>
                <w:sz w:val="24"/>
                <w:lang w:val="zh-CN"/>
              </w:rPr>
              <w:t>大写：</w:t>
            </w:r>
          </w:p>
          <w:p w14:paraId="4F04DA90">
            <w:pPr>
              <w:autoSpaceDE w:val="0"/>
              <w:autoSpaceDN w:val="0"/>
              <w:spacing w:line="240" w:lineRule="auto"/>
              <w:rPr>
                <w:kern w:val="0"/>
                <w:sz w:val="24"/>
                <w:lang w:val="zh-CN"/>
              </w:rPr>
            </w:pPr>
            <w:r>
              <w:rPr>
                <w:kern w:val="0"/>
                <w:sz w:val="24"/>
                <w:lang w:val="zh-CN"/>
              </w:rPr>
              <w:t>小写：</w:t>
            </w:r>
          </w:p>
        </w:tc>
      </w:tr>
    </w:tbl>
    <w:p w14:paraId="0426F7A7">
      <w:pPr>
        <w:autoSpaceDE w:val="0"/>
        <w:autoSpaceDN w:val="0"/>
        <w:spacing w:line="240" w:lineRule="auto"/>
        <w:rPr>
          <w:kern w:val="0"/>
          <w:lang w:val="zh-CN"/>
        </w:rPr>
      </w:pPr>
      <w:r>
        <w:rPr>
          <w:kern w:val="0"/>
          <w:lang w:val="zh-CN"/>
        </w:rPr>
        <w:t>注：</w:t>
      </w:r>
      <w:r>
        <w:rPr>
          <w:kern w:val="0"/>
        </w:rPr>
        <w:t>1.</w:t>
      </w:r>
      <w:r>
        <w:rPr>
          <w:kern w:val="0"/>
          <w:lang w:val="zh-CN"/>
        </w:rPr>
        <w:t>本表应按照“项目概况及技术参数”中产品序号的指标逐项填写，不得遗漏。</w:t>
      </w:r>
    </w:p>
    <w:p w14:paraId="3F4AC965">
      <w:pPr>
        <w:numPr>
          <w:ilvl w:val="0"/>
          <w:numId w:val="6"/>
        </w:numPr>
        <w:autoSpaceDE w:val="0"/>
        <w:autoSpaceDN w:val="0"/>
        <w:spacing w:line="240" w:lineRule="auto"/>
        <w:ind w:left="482" w:leftChars="0" w:firstLine="0" w:firstLineChars="0"/>
      </w:pPr>
      <w:r>
        <w:rPr>
          <w:kern w:val="0"/>
          <w:lang w:val="zh-CN"/>
        </w:rPr>
        <w:t>投标报价不能有两个或两个以上的报价方案。</w:t>
      </w:r>
    </w:p>
    <w:p w14:paraId="44F4850F">
      <w:pPr>
        <w:spacing w:line="240" w:lineRule="auto"/>
        <w:jc w:val="right"/>
        <w:rPr>
          <w:rFonts w:hint="eastAsia"/>
          <w:b/>
          <w:sz w:val="24"/>
        </w:rPr>
      </w:pPr>
    </w:p>
    <w:p w14:paraId="68D833E1">
      <w:pPr>
        <w:spacing w:line="240" w:lineRule="auto"/>
        <w:jc w:val="both"/>
        <w:rPr>
          <w:rFonts w:hint="eastAsia"/>
          <w:b/>
          <w:sz w:val="24"/>
        </w:rPr>
      </w:pPr>
    </w:p>
    <w:p w14:paraId="2C866420">
      <w:pPr>
        <w:spacing w:line="240" w:lineRule="auto"/>
        <w:jc w:val="both"/>
        <w:rPr>
          <w:rFonts w:hint="eastAsia"/>
          <w:b/>
          <w:sz w:val="24"/>
        </w:rPr>
      </w:pPr>
    </w:p>
    <w:p w14:paraId="7CDFA141">
      <w:pPr>
        <w:spacing w:line="240" w:lineRule="auto"/>
        <w:jc w:val="right"/>
        <w:rPr>
          <w:b/>
          <w:sz w:val="24"/>
        </w:rPr>
      </w:pPr>
      <w:r>
        <w:rPr>
          <w:rFonts w:hint="eastAsia"/>
          <w:b/>
          <w:sz w:val="24"/>
          <w:lang w:eastAsia="zh-CN"/>
        </w:rPr>
        <w:t>供应商</w:t>
      </w:r>
      <w:r>
        <w:rPr>
          <w:b/>
          <w:sz w:val="24"/>
        </w:rPr>
        <w:t>：                        （公章）</w:t>
      </w:r>
    </w:p>
    <w:p w14:paraId="2BE910AE">
      <w:pPr>
        <w:spacing w:line="240" w:lineRule="auto"/>
        <w:jc w:val="right"/>
        <w:rPr>
          <w:b/>
          <w:sz w:val="24"/>
        </w:rPr>
      </w:pPr>
      <w:r>
        <w:rPr>
          <w:b/>
          <w:sz w:val="24"/>
        </w:rPr>
        <w:t>法定代表人或委托代理人：        （签字）</w:t>
      </w:r>
    </w:p>
    <w:p w14:paraId="6F06C674">
      <w:pPr>
        <w:spacing w:line="240" w:lineRule="auto"/>
        <w:jc w:val="right"/>
        <w:rPr>
          <w:b/>
          <w:bCs/>
          <w:kern w:val="0"/>
          <w:lang w:val="zh-CN"/>
        </w:rPr>
      </w:pPr>
      <w:r>
        <w:rPr>
          <w:sz w:val="24"/>
        </w:rPr>
        <w:t xml:space="preserve">      </w:t>
      </w:r>
      <w:r>
        <w:rPr>
          <w:b/>
          <w:sz w:val="24"/>
        </w:rPr>
        <w:t>日期：    年   月   日</w:t>
      </w:r>
    </w:p>
    <w:p w14:paraId="03F07311">
      <w:pPr>
        <w:pStyle w:val="27"/>
        <w:spacing w:before="0" w:after="0" w:line="240" w:lineRule="auto"/>
        <w:jc w:val="both"/>
        <w:rPr>
          <w:kern w:val="0"/>
          <w:sz w:val="28"/>
          <w:szCs w:val="28"/>
          <w:lang w:val="zh-CN"/>
        </w:rPr>
      </w:pPr>
      <w:bookmarkStart w:id="134" w:name="_Toc20466"/>
      <w:bookmarkStart w:id="135" w:name="_Toc12702"/>
      <w:r>
        <w:rPr>
          <w:rFonts w:hint="eastAsia" w:ascii="Times New Roman" w:hAnsi="Times New Roman"/>
          <w:sz w:val="30"/>
          <w:szCs w:val="30"/>
        </w:rPr>
        <w:t>格式1</w:t>
      </w:r>
      <w:r>
        <w:rPr>
          <w:rFonts w:hint="eastAsia" w:ascii="Times New Roman" w:hAnsi="Times New Roman"/>
          <w:sz w:val="30"/>
          <w:szCs w:val="30"/>
          <w:lang w:val="en-US" w:eastAsia="zh-CN"/>
        </w:rPr>
        <w:t>3</w:t>
      </w:r>
      <w:r>
        <w:rPr>
          <w:rFonts w:hint="eastAsia" w:ascii="Times New Roman" w:hAnsi="Times New Roman"/>
          <w:sz w:val="30"/>
          <w:szCs w:val="30"/>
        </w:rPr>
        <w:t>：</w:t>
      </w:r>
      <w:r>
        <w:rPr>
          <w:rFonts w:ascii="Times New Roman" w:hAnsi="Times New Roman"/>
          <w:sz w:val="30"/>
          <w:szCs w:val="30"/>
          <w:lang w:val="zh-CN"/>
        </w:rPr>
        <w:t>技术规格响应表</w:t>
      </w:r>
      <w:bookmarkEnd w:id="134"/>
      <w:bookmarkEnd w:id="135"/>
    </w:p>
    <w:p w14:paraId="7E185FA1">
      <w:pPr>
        <w:autoSpaceDE w:val="0"/>
        <w:autoSpaceDN w:val="0"/>
        <w:spacing w:line="240" w:lineRule="auto"/>
        <w:jc w:val="center"/>
        <w:rPr>
          <w:b/>
          <w:bCs/>
          <w:kern w:val="0"/>
          <w:sz w:val="36"/>
          <w:szCs w:val="36"/>
          <w:lang w:val="zh-CN"/>
        </w:rPr>
      </w:pPr>
      <w:r>
        <w:rPr>
          <w:b/>
          <w:bCs/>
          <w:kern w:val="0"/>
          <w:sz w:val="28"/>
          <w:szCs w:val="28"/>
          <w:lang w:val="zh-CN"/>
        </w:rPr>
        <w:t>技术规格响应表</w:t>
      </w:r>
    </w:p>
    <w:p w14:paraId="036AC122">
      <w:pPr>
        <w:autoSpaceDE w:val="0"/>
        <w:autoSpaceDN w:val="0"/>
        <w:spacing w:line="240" w:lineRule="auto"/>
        <w:rPr>
          <w:b/>
          <w:bCs/>
          <w:kern w:val="0"/>
          <w:sz w:val="24"/>
          <w:lang w:val="zh-CN"/>
        </w:rPr>
      </w:pPr>
      <w:r>
        <w:rPr>
          <w:rFonts w:hint="eastAsia"/>
          <w:b/>
          <w:bCs/>
          <w:kern w:val="0"/>
          <w:lang w:val="zh-CN"/>
        </w:rPr>
        <w:t>供应商</w:t>
      </w:r>
      <w:r>
        <w:rPr>
          <w:b/>
          <w:bCs/>
          <w:kern w:val="0"/>
          <w:lang w:val="zh-CN"/>
        </w:rPr>
        <w:t>名称</w:t>
      </w:r>
      <w:r>
        <w:rPr>
          <w:b/>
          <w:bCs/>
          <w:kern w:val="0"/>
        </w:rPr>
        <w:t xml:space="preserve">：                       </w:t>
      </w:r>
      <w:r>
        <w:rPr>
          <w:b/>
          <w:bCs/>
          <w:kern w:val="0"/>
          <w:sz w:val="24"/>
          <w:lang w:val="zh-CN"/>
        </w:rPr>
        <w:t>采购项目编号：</w:t>
      </w:r>
    </w:p>
    <w:tbl>
      <w:tblPr>
        <w:tblStyle w:val="31"/>
        <w:tblW w:w="0" w:type="auto"/>
        <w:jc w:val="center"/>
        <w:tblLayout w:type="fixed"/>
        <w:tblCellMar>
          <w:top w:w="0" w:type="dxa"/>
          <w:left w:w="28" w:type="dxa"/>
          <w:bottom w:w="0" w:type="dxa"/>
          <w:right w:w="28" w:type="dxa"/>
        </w:tblCellMar>
      </w:tblPr>
      <w:tblGrid>
        <w:gridCol w:w="677"/>
        <w:gridCol w:w="1355"/>
        <w:gridCol w:w="2127"/>
        <w:gridCol w:w="672"/>
        <w:gridCol w:w="1186"/>
        <w:gridCol w:w="2259"/>
        <w:gridCol w:w="605"/>
        <w:gridCol w:w="590"/>
      </w:tblGrid>
      <w:tr w14:paraId="357DC1DC">
        <w:tblPrEx>
          <w:tblCellMar>
            <w:top w:w="0" w:type="dxa"/>
            <w:left w:w="28" w:type="dxa"/>
            <w:bottom w:w="0" w:type="dxa"/>
            <w:right w:w="28" w:type="dxa"/>
          </w:tblCellMar>
        </w:tblPrEx>
        <w:trPr>
          <w:trHeight w:val="1" w:hRule="atLeast"/>
          <w:jc w:val="center"/>
        </w:trPr>
        <w:tc>
          <w:tcPr>
            <w:tcW w:w="677" w:type="dxa"/>
            <w:vMerge w:val="restart"/>
            <w:tcBorders>
              <w:top w:val="single" w:color="000000" w:sz="6" w:space="0"/>
              <w:left w:val="single" w:color="000000" w:sz="6" w:space="0"/>
              <w:right w:val="single" w:color="000000" w:sz="6" w:space="0"/>
            </w:tcBorders>
            <w:noWrap w:val="0"/>
            <w:vAlign w:val="center"/>
          </w:tcPr>
          <w:p w14:paraId="50058FA7">
            <w:pPr>
              <w:autoSpaceDE w:val="0"/>
              <w:autoSpaceDN w:val="0"/>
              <w:spacing w:line="240" w:lineRule="auto"/>
              <w:jc w:val="center"/>
              <w:rPr>
                <w:kern w:val="0"/>
                <w:sz w:val="24"/>
                <w:lang w:val="zh-CN"/>
              </w:rPr>
            </w:pPr>
            <w:r>
              <w:rPr>
                <w:kern w:val="0"/>
                <w:sz w:val="24"/>
                <w:lang w:val="zh-CN"/>
              </w:rPr>
              <w:t>序号</w:t>
            </w:r>
          </w:p>
        </w:tc>
        <w:tc>
          <w:tcPr>
            <w:tcW w:w="4154" w:type="dxa"/>
            <w:gridSpan w:val="3"/>
            <w:tcBorders>
              <w:top w:val="single" w:color="000000" w:sz="6" w:space="0"/>
              <w:left w:val="single" w:color="000000" w:sz="6" w:space="0"/>
              <w:bottom w:val="single" w:color="000000" w:sz="6" w:space="0"/>
              <w:right w:val="single" w:color="000000" w:sz="6" w:space="0"/>
            </w:tcBorders>
            <w:noWrap w:val="0"/>
            <w:vAlign w:val="center"/>
          </w:tcPr>
          <w:p w14:paraId="181D43F5">
            <w:pPr>
              <w:autoSpaceDE w:val="0"/>
              <w:autoSpaceDN w:val="0"/>
              <w:spacing w:line="240" w:lineRule="auto"/>
              <w:jc w:val="center"/>
              <w:rPr>
                <w:kern w:val="0"/>
                <w:sz w:val="24"/>
                <w:lang w:val="zh-CN"/>
              </w:rPr>
            </w:pPr>
            <w:r>
              <w:rPr>
                <w:kern w:val="0"/>
                <w:sz w:val="24"/>
                <w:lang w:val="zh-CN"/>
              </w:rPr>
              <w:t>采购需求技术参数、指标</w:t>
            </w:r>
          </w:p>
        </w:tc>
        <w:tc>
          <w:tcPr>
            <w:tcW w:w="4050" w:type="dxa"/>
            <w:gridSpan w:val="3"/>
            <w:tcBorders>
              <w:top w:val="single" w:color="000000" w:sz="6" w:space="0"/>
              <w:left w:val="single" w:color="000000" w:sz="6" w:space="0"/>
              <w:bottom w:val="single" w:color="000000" w:sz="6" w:space="0"/>
              <w:right w:val="single" w:color="000000" w:sz="6" w:space="0"/>
            </w:tcBorders>
            <w:noWrap w:val="0"/>
            <w:vAlign w:val="center"/>
          </w:tcPr>
          <w:p w14:paraId="71C200DC">
            <w:pPr>
              <w:autoSpaceDE w:val="0"/>
              <w:autoSpaceDN w:val="0"/>
              <w:spacing w:line="240" w:lineRule="auto"/>
              <w:jc w:val="center"/>
              <w:rPr>
                <w:kern w:val="0"/>
                <w:sz w:val="24"/>
                <w:lang w:val="zh-CN"/>
              </w:rPr>
            </w:pPr>
            <w:r>
              <w:rPr>
                <w:kern w:val="0"/>
                <w:sz w:val="24"/>
                <w:lang w:val="zh-CN"/>
              </w:rPr>
              <w:t>投标产品技术参数、指标</w:t>
            </w:r>
          </w:p>
        </w:tc>
        <w:tc>
          <w:tcPr>
            <w:tcW w:w="590" w:type="dxa"/>
            <w:vMerge w:val="restart"/>
            <w:tcBorders>
              <w:top w:val="single" w:color="000000" w:sz="6" w:space="0"/>
              <w:left w:val="single" w:color="000000" w:sz="6" w:space="0"/>
              <w:right w:val="single" w:color="000000" w:sz="6" w:space="0"/>
            </w:tcBorders>
            <w:noWrap w:val="0"/>
            <w:vAlign w:val="center"/>
          </w:tcPr>
          <w:p w14:paraId="0DA4051E">
            <w:pPr>
              <w:autoSpaceDE w:val="0"/>
              <w:autoSpaceDN w:val="0"/>
              <w:spacing w:line="240" w:lineRule="auto"/>
              <w:jc w:val="center"/>
              <w:rPr>
                <w:kern w:val="0"/>
                <w:sz w:val="24"/>
                <w:lang w:val="zh-CN"/>
              </w:rPr>
            </w:pPr>
            <w:r>
              <w:rPr>
                <w:kern w:val="0"/>
                <w:sz w:val="24"/>
                <w:lang w:val="zh-CN"/>
              </w:rPr>
              <w:t>偏离</w:t>
            </w:r>
          </w:p>
        </w:tc>
      </w:tr>
      <w:tr w14:paraId="5A30F397">
        <w:tblPrEx>
          <w:tblCellMar>
            <w:top w:w="0" w:type="dxa"/>
            <w:left w:w="28" w:type="dxa"/>
            <w:bottom w:w="0" w:type="dxa"/>
            <w:right w:w="28" w:type="dxa"/>
          </w:tblCellMar>
        </w:tblPrEx>
        <w:trPr>
          <w:trHeight w:val="1" w:hRule="atLeast"/>
          <w:jc w:val="center"/>
        </w:trPr>
        <w:tc>
          <w:tcPr>
            <w:tcW w:w="677" w:type="dxa"/>
            <w:vMerge w:val="continue"/>
            <w:tcBorders>
              <w:left w:val="single" w:color="000000" w:sz="6" w:space="0"/>
              <w:bottom w:val="single" w:color="000000" w:sz="6" w:space="0"/>
              <w:right w:val="single" w:color="000000" w:sz="6" w:space="0"/>
            </w:tcBorders>
            <w:noWrap w:val="0"/>
            <w:vAlign w:val="center"/>
          </w:tcPr>
          <w:p w14:paraId="0D81EDE6">
            <w:pPr>
              <w:autoSpaceDE w:val="0"/>
              <w:autoSpaceDN w:val="0"/>
              <w:spacing w:line="240" w:lineRule="auto"/>
              <w:jc w:val="center"/>
              <w:rPr>
                <w:kern w:val="0"/>
                <w:sz w:val="24"/>
                <w:lang w:val="zh-CN"/>
              </w:rPr>
            </w:pP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71553F7C">
            <w:pPr>
              <w:autoSpaceDE w:val="0"/>
              <w:autoSpaceDN w:val="0"/>
              <w:spacing w:line="240" w:lineRule="auto"/>
              <w:jc w:val="center"/>
              <w:rPr>
                <w:kern w:val="0"/>
                <w:sz w:val="24"/>
                <w:lang w:val="zh-CN"/>
              </w:rPr>
            </w:pPr>
            <w:r>
              <w:rPr>
                <w:kern w:val="0"/>
                <w:sz w:val="24"/>
                <w:lang w:val="zh-CN"/>
              </w:rPr>
              <w:t>名称</w:t>
            </w: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2FFC0C71">
            <w:pPr>
              <w:autoSpaceDE w:val="0"/>
              <w:autoSpaceDN w:val="0"/>
              <w:spacing w:line="240" w:lineRule="auto"/>
              <w:jc w:val="center"/>
              <w:rPr>
                <w:kern w:val="0"/>
                <w:sz w:val="24"/>
                <w:lang w:val="zh-CN"/>
              </w:rPr>
            </w:pPr>
            <w:r>
              <w:rPr>
                <w:kern w:val="0"/>
                <w:sz w:val="24"/>
                <w:lang w:val="zh-CN"/>
              </w:rPr>
              <w:t>技术参数及配置</w:t>
            </w: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7B888524">
            <w:pPr>
              <w:autoSpaceDE w:val="0"/>
              <w:autoSpaceDN w:val="0"/>
              <w:spacing w:line="240" w:lineRule="auto"/>
              <w:jc w:val="center"/>
              <w:rPr>
                <w:kern w:val="0"/>
                <w:sz w:val="24"/>
                <w:lang w:val="zh-CN"/>
              </w:rPr>
            </w:pPr>
            <w:r>
              <w:rPr>
                <w:kern w:val="0"/>
                <w:sz w:val="24"/>
                <w:lang w:val="zh-CN"/>
              </w:rPr>
              <w:t>数量</w:t>
            </w: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65DDE45B">
            <w:pPr>
              <w:autoSpaceDE w:val="0"/>
              <w:autoSpaceDN w:val="0"/>
              <w:spacing w:line="240" w:lineRule="auto"/>
              <w:jc w:val="center"/>
              <w:rPr>
                <w:kern w:val="0"/>
                <w:sz w:val="24"/>
                <w:lang w:val="zh-CN"/>
              </w:rPr>
            </w:pPr>
            <w:r>
              <w:rPr>
                <w:kern w:val="0"/>
                <w:sz w:val="24"/>
                <w:lang w:val="zh-CN"/>
              </w:rPr>
              <w:t>名称</w:t>
            </w: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06E7142D">
            <w:pPr>
              <w:autoSpaceDE w:val="0"/>
              <w:autoSpaceDN w:val="0"/>
              <w:spacing w:line="240" w:lineRule="auto"/>
              <w:jc w:val="center"/>
              <w:rPr>
                <w:kern w:val="0"/>
                <w:sz w:val="24"/>
                <w:lang w:val="zh-CN"/>
              </w:rPr>
            </w:pPr>
            <w:r>
              <w:rPr>
                <w:kern w:val="0"/>
                <w:sz w:val="24"/>
                <w:lang w:val="zh-CN"/>
              </w:rPr>
              <w:t>技术参数及配置</w:t>
            </w: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0D050A98">
            <w:pPr>
              <w:autoSpaceDE w:val="0"/>
              <w:autoSpaceDN w:val="0"/>
              <w:spacing w:line="240" w:lineRule="auto"/>
              <w:jc w:val="center"/>
              <w:rPr>
                <w:kern w:val="0"/>
                <w:sz w:val="24"/>
                <w:lang w:val="zh-CN"/>
              </w:rPr>
            </w:pPr>
            <w:r>
              <w:rPr>
                <w:kern w:val="0"/>
                <w:sz w:val="24"/>
                <w:lang w:val="zh-CN"/>
              </w:rPr>
              <w:t>数量</w:t>
            </w:r>
          </w:p>
        </w:tc>
        <w:tc>
          <w:tcPr>
            <w:tcW w:w="590" w:type="dxa"/>
            <w:vMerge w:val="continue"/>
            <w:tcBorders>
              <w:left w:val="single" w:color="000000" w:sz="6" w:space="0"/>
              <w:bottom w:val="single" w:color="000000" w:sz="6" w:space="0"/>
              <w:right w:val="single" w:color="000000" w:sz="6" w:space="0"/>
            </w:tcBorders>
            <w:noWrap w:val="0"/>
            <w:vAlign w:val="center"/>
          </w:tcPr>
          <w:p w14:paraId="7C03D292">
            <w:pPr>
              <w:autoSpaceDE w:val="0"/>
              <w:autoSpaceDN w:val="0"/>
              <w:spacing w:line="240" w:lineRule="auto"/>
              <w:jc w:val="center"/>
              <w:rPr>
                <w:kern w:val="0"/>
                <w:sz w:val="24"/>
                <w:lang w:val="zh-CN"/>
              </w:rPr>
            </w:pPr>
          </w:p>
        </w:tc>
      </w:tr>
      <w:tr w14:paraId="05457626">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207CB1BF">
            <w:pPr>
              <w:autoSpaceDE w:val="0"/>
              <w:autoSpaceDN w:val="0"/>
              <w:spacing w:line="240" w:lineRule="auto"/>
              <w:jc w:val="center"/>
              <w:rPr>
                <w:kern w:val="0"/>
                <w:lang w:val="zh-CN"/>
              </w:rPr>
            </w:pPr>
            <w:r>
              <w:rPr>
                <w:kern w:val="0"/>
                <w:lang w:val="zh-CN"/>
              </w:rPr>
              <w:t>1</w:t>
            </w: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2EC80844">
            <w:pPr>
              <w:autoSpaceDE w:val="0"/>
              <w:autoSpaceDN w:val="0"/>
              <w:spacing w:line="240" w:lineRule="auto"/>
              <w:jc w:val="center"/>
              <w:rPr>
                <w:kern w:val="0"/>
                <w:lang w:val="zh-CN"/>
              </w:rPr>
            </w:pP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6A5F32DE">
            <w:pPr>
              <w:autoSpaceDE w:val="0"/>
              <w:autoSpaceDN w:val="0"/>
              <w:spacing w:line="240" w:lineRule="auto"/>
              <w:jc w:val="center"/>
              <w:rPr>
                <w:kern w:val="0"/>
                <w:lang w:val="zh-CN"/>
              </w:rPr>
            </w:pP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100DD1F7">
            <w:pPr>
              <w:autoSpaceDE w:val="0"/>
              <w:autoSpaceDN w:val="0"/>
              <w:spacing w:line="240" w:lineRule="auto"/>
              <w:jc w:val="center"/>
              <w:rPr>
                <w:kern w:val="0"/>
                <w:lang w:val="zh-CN"/>
              </w:rPr>
            </w:pP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4EE7113E">
            <w:pPr>
              <w:autoSpaceDE w:val="0"/>
              <w:autoSpaceDN w:val="0"/>
              <w:spacing w:line="240" w:lineRule="auto"/>
              <w:jc w:val="center"/>
              <w:rPr>
                <w:kern w:val="0"/>
                <w:lang w:val="zh-CN"/>
              </w:rPr>
            </w:pP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5C3A55D2">
            <w:pPr>
              <w:autoSpaceDE w:val="0"/>
              <w:autoSpaceDN w:val="0"/>
              <w:spacing w:line="240" w:lineRule="auto"/>
              <w:jc w:val="center"/>
              <w:rPr>
                <w:kern w:val="0"/>
                <w:lang w:val="zh-CN"/>
              </w:rPr>
            </w:pP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27B8EA05">
            <w:pPr>
              <w:autoSpaceDE w:val="0"/>
              <w:autoSpaceDN w:val="0"/>
              <w:spacing w:line="240" w:lineRule="auto"/>
              <w:jc w:val="center"/>
              <w:rPr>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2D906C49">
            <w:pPr>
              <w:autoSpaceDE w:val="0"/>
              <w:autoSpaceDN w:val="0"/>
              <w:spacing w:line="240" w:lineRule="auto"/>
              <w:jc w:val="center"/>
              <w:rPr>
                <w:kern w:val="0"/>
                <w:lang w:val="zh-CN"/>
              </w:rPr>
            </w:pPr>
          </w:p>
        </w:tc>
      </w:tr>
      <w:tr w14:paraId="18204970">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698F1F6D">
            <w:pPr>
              <w:autoSpaceDE w:val="0"/>
              <w:autoSpaceDN w:val="0"/>
              <w:spacing w:line="240" w:lineRule="auto"/>
              <w:jc w:val="center"/>
              <w:rPr>
                <w:kern w:val="0"/>
                <w:lang w:val="zh-CN"/>
              </w:rPr>
            </w:pPr>
            <w:r>
              <w:rPr>
                <w:kern w:val="0"/>
                <w:lang w:val="zh-CN"/>
              </w:rPr>
              <w:t>2</w:t>
            </w: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5C86656E">
            <w:pPr>
              <w:autoSpaceDE w:val="0"/>
              <w:autoSpaceDN w:val="0"/>
              <w:spacing w:line="240" w:lineRule="auto"/>
              <w:jc w:val="center"/>
              <w:rPr>
                <w:kern w:val="0"/>
                <w:lang w:val="zh-CN"/>
              </w:rPr>
            </w:pP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7DCA71F1">
            <w:pPr>
              <w:autoSpaceDE w:val="0"/>
              <w:autoSpaceDN w:val="0"/>
              <w:spacing w:line="240" w:lineRule="auto"/>
              <w:jc w:val="center"/>
              <w:rPr>
                <w:kern w:val="0"/>
                <w:lang w:val="zh-CN"/>
              </w:rPr>
            </w:pP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1AF34528">
            <w:pPr>
              <w:autoSpaceDE w:val="0"/>
              <w:autoSpaceDN w:val="0"/>
              <w:spacing w:line="240" w:lineRule="auto"/>
              <w:jc w:val="center"/>
              <w:rPr>
                <w:kern w:val="0"/>
                <w:lang w:val="zh-CN"/>
              </w:rPr>
            </w:pP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3C91929C">
            <w:pPr>
              <w:autoSpaceDE w:val="0"/>
              <w:autoSpaceDN w:val="0"/>
              <w:spacing w:line="240" w:lineRule="auto"/>
              <w:jc w:val="center"/>
              <w:rPr>
                <w:kern w:val="0"/>
                <w:lang w:val="zh-CN"/>
              </w:rPr>
            </w:pP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24FD7F01">
            <w:pPr>
              <w:autoSpaceDE w:val="0"/>
              <w:autoSpaceDN w:val="0"/>
              <w:spacing w:line="240" w:lineRule="auto"/>
              <w:jc w:val="center"/>
              <w:rPr>
                <w:kern w:val="0"/>
                <w:lang w:val="zh-CN"/>
              </w:rPr>
            </w:pP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445D40FC">
            <w:pPr>
              <w:autoSpaceDE w:val="0"/>
              <w:autoSpaceDN w:val="0"/>
              <w:spacing w:line="240" w:lineRule="auto"/>
              <w:jc w:val="center"/>
              <w:rPr>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07500392">
            <w:pPr>
              <w:autoSpaceDE w:val="0"/>
              <w:autoSpaceDN w:val="0"/>
              <w:spacing w:line="240" w:lineRule="auto"/>
              <w:jc w:val="center"/>
              <w:rPr>
                <w:kern w:val="0"/>
                <w:lang w:val="zh-CN"/>
              </w:rPr>
            </w:pPr>
          </w:p>
        </w:tc>
      </w:tr>
      <w:tr w14:paraId="56B25902">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012ACE5F">
            <w:pPr>
              <w:autoSpaceDE w:val="0"/>
              <w:autoSpaceDN w:val="0"/>
              <w:spacing w:line="240" w:lineRule="auto"/>
              <w:jc w:val="center"/>
              <w:rPr>
                <w:kern w:val="0"/>
                <w:lang w:val="zh-CN"/>
              </w:rPr>
            </w:pPr>
            <w:r>
              <w:rPr>
                <w:rFonts w:hint="eastAsia"/>
                <w:kern w:val="0"/>
                <w:lang w:val="zh-CN"/>
              </w:rPr>
              <w:t>3</w:t>
            </w: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5DE2F072">
            <w:pPr>
              <w:autoSpaceDE w:val="0"/>
              <w:autoSpaceDN w:val="0"/>
              <w:spacing w:line="240" w:lineRule="auto"/>
              <w:jc w:val="center"/>
              <w:rPr>
                <w:kern w:val="0"/>
                <w:lang w:val="zh-CN"/>
              </w:rPr>
            </w:pP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7357A39E">
            <w:pPr>
              <w:autoSpaceDE w:val="0"/>
              <w:autoSpaceDN w:val="0"/>
              <w:spacing w:line="240" w:lineRule="auto"/>
              <w:jc w:val="center"/>
              <w:rPr>
                <w:kern w:val="0"/>
                <w:lang w:val="zh-CN"/>
              </w:rPr>
            </w:pP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382494AC">
            <w:pPr>
              <w:autoSpaceDE w:val="0"/>
              <w:autoSpaceDN w:val="0"/>
              <w:spacing w:line="240" w:lineRule="auto"/>
              <w:jc w:val="center"/>
              <w:rPr>
                <w:kern w:val="0"/>
                <w:lang w:val="zh-CN"/>
              </w:rPr>
            </w:pP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572BC02C">
            <w:pPr>
              <w:autoSpaceDE w:val="0"/>
              <w:autoSpaceDN w:val="0"/>
              <w:spacing w:line="240" w:lineRule="auto"/>
              <w:jc w:val="center"/>
              <w:rPr>
                <w:kern w:val="0"/>
                <w:lang w:val="zh-CN"/>
              </w:rPr>
            </w:pP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1775A348">
            <w:pPr>
              <w:autoSpaceDE w:val="0"/>
              <w:autoSpaceDN w:val="0"/>
              <w:spacing w:line="240" w:lineRule="auto"/>
              <w:jc w:val="center"/>
              <w:rPr>
                <w:kern w:val="0"/>
                <w:lang w:val="zh-CN"/>
              </w:rPr>
            </w:pP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0E259F01">
            <w:pPr>
              <w:autoSpaceDE w:val="0"/>
              <w:autoSpaceDN w:val="0"/>
              <w:spacing w:line="240" w:lineRule="auto"/>
              <w:jc w:val="center"/>
              <w:rPr>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080A398F">
            <w:pPr>
              <w:autoSpaceDE w:val="0"/>
              <w:autoSpaceDN w:val="0"/>
              <w:spacing w:line="240" w:lineRule="auto"/>
              <w:jc w:val="center"/>
              <w:rPr>
                <w:kern w:val="0"/>
                <w:lang w:val="zh-CN"/>
              </w:rPr>
            </w:pPr>
          </w:p>
        </w:tc>
      </w:tr>
      <w:tr w14:paraId="673F0D60">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2C9DCDE9">
            <w:pPr>
              <w:autoSpaceDE w:val="0"/>
              <w:autoSpaceDN w:val="0"/>
              <w:spacing w:line="240" w:lineRule="auto"/>
              <w:jc w:val="center"/>
              <w:rPr>
                <w:rFonts w:hint="eastAsia"/>
                <w:kern w:val="0"/>
                <w:lang w:val="zh-CN"/>
              </w:rPr>
            </w:pPr>
            <w:r>
              <w:rPr>
                <w:rFonts w:hint="eastAsia"/>
                <w:kern w:val="0"/>
                <w:lang w:val="zh-CN"/>
              </w:rPr>
              <w:t>4</w:t>
            </w: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189FDD5B">
            <w:pPr>
              <w:autoSpaceDE w:val="0"/>
              <w:autoSpaceDN w:val="0"/>
              <w:spacing w:line="240" w:lineRule="auto"/>
              <w:jc w:val="center"/>
              <w:rPr>
                <w:kern w:val="0"/>
                <w:lang w:val="zh-CN"/>
              </w:rPr>
            </w:pP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7C5DE4A3">
            <w:pPr>
              <w:autoSpaceDE w:val="0"/>
              <w:autoSpaceDN w:val="0"/>
              <w:spacing w:line="240" w:lineRule="auto"/>
              <w:jc w:val="center"/>
              <w:rPr>
                <w:kern w:val="0"/>
                <w:lang w:val="zh-CN"/>
              </w:rPr>
            </w:pP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3380F009">
            <w:pPr>
              <w:autoSpaceDE w:val="0"/>
              <w:autoSpaceDN w:val="0"/>
              <w:spacing w:line="240" w:lineRule="auto"/>
              <w:jc w:val="center"/>
              <w:rPr>
                <w:kern w:val="0"/>
                <w:lang w:val="zh-CN"/>
              </w:rPr>
            </w:pP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73DBA678">
            <w:pPr>
              <w:autoSpaceDE w:val="0"/>
              <w:autoSpaceDN w:val="0"/>
              <w:spacing w:line="240" w:lineRule="auto"/>
              <w:jc w:val="center"/>
              <w:rPr>
                <w:kern w:val="0"/>
                <w:lang w:val="zh-CN"/>
              </w:rPr>
            </w:pP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7BD77F8A">
            <w:pPr>
              <w:autoSpaceDE w:val="0"/>
              <w:autoSpaceDN w:val="0"/>
              <w:spacing w:line="240" w:lineRule="auto"/>
              <w:jc w:val="center"/>
              <w:rPr>
                <w:kern w:val="0"/>
                <w:lang w:val="zh-CN"/>
              </w:rPr>
            </w:pP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7BE56074">
            <w:pPr>
              <w:autoSpaceDE w:val="0"/>
              <w:autoSpaceDN w:val="0"/>
              <w:spacing w:line="240" w:lineRule="auto"/>
              <w:jc w:val="center"/>
              <w:rPr>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374427FF">
            <w:pPr>
              <w:autoSpaceDE w:val="0"/>
              <w:autoSpaceDN w:val="0"/>
              <w:spacing w:line="240" w:lineRule="auto"/>
              <w:jc w:val="center"/>
              <w:rPr>
                <w:kern w:val="0"/>
                <w:lang w:val="zh-CN"/>
              </w:rPr>
            </w:pPr>
          </w:p>
        </w:tc>
      </w:tr>
      <w:tr w14:paraId="5DAAAC4B">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23C606D3">
            <w:pPr>
              <w:autoSpaceDE w:val="0"/>
              <w:autoSpaceDN w:val="0"/>
              <w:spacing w:line="240" w:lineRule="auto"/>
              <w:jc w:val="center"/>
              <w:rPr>
                <w:kern w:val="0"/>
                <w:lang w:val="zh-CN"/>
              </w:rPr>
            </w:pPr>
            <w:r>
              <w:rPr>
                <w:kern w:val="0"/>
                <w:lang w:val="zh-CN"/>
              </w:rPr>
              <w:t>…</w:t>
            </w:r>
          </w:p>
        </w:tc>
        <w:tc>
          <w:tcPr>
            <w:tcW w:w="1355" w:type="dxa"/>
            <w:tcBorders>
              <w:top w:val="single" w:color="000000" w:sz="6" w:space="0"/>
              <w:left w:val="single" w:color="000000" w:sz="6" w:space="0"/>
              <w:bottom w:val="single" w:color="000000" w:sz="6" w:space="0"/>
              <w:right w:val="single" w:color="000000" w:sz="6" w:space="0"/>
            </w:tcBorders>
            <w:noWrap w:val="0"/>
            <w:vAlign w:val="center"/>
          </w:tcPr>
          <w:p w14:paraId="2268650E">
            <w:pPr>
              <w:autoSpaceDE w:val="0"/>
              <w:autoSpaceDN w:val="0"/>
              <w:spacing w:line="240" w:lineRule="auto"/>
              <w:jc w:val="center"/>
              <w:rPr>
                <w:kern w:val="0"/>
                <w:lang w:val="zh-CN"/>
              </w:rPr>
            </w:pPr>
          </w:p>
        </w:tc>
        <w:tc>
          <w:tcPr>
            <w:tcW w:w="2127" w:type="dxa"/>
            <w:tcBorders>
              <w:top w:val="single" w:color="000000" w:sz="6" w:space="0"/>
              <w:left w:val="single" w:color="000000" w:sz="6" w:space="0"/>
              <w:bottom w:val="single" w:color="000000" w:sz="6" w:space="0"/>
              <w:right w:val="single" w:color="auto" w:sz="4" w:space="0"/>
            </w:tcBorders>
            <w:noWrap w:val="0"/>
            <w:vAlign w:val="center"/>
          </w:tcPr>
          <w:p w14:paraId="4D9288EA">
            <w:pPr>
              <w:autoSpaceDE w:val="0"/>
              <w:autoSpaceDN w:val="0"/>
              <w:spacing w:line="240" w:lineRule="auto"/>
              <w:jc w:val="center"/>
              <w:rPr>
                <w:kern w:val="0"/>
                <w:lang w:val="zh-CN"/>
              </w:rPr>
            </w:pPr>
          </w:p>
        </w:tc>
        <w:tc>
          <w:tcPr>
            <w:tcW w:w="672" w:type="dxa"/>
            <w:tcBorders>
              <w:top w:val="single" w:color="000000" w:sz="6" w:space="0"/>
              <w:left w:val="single" w:color="auto" w:sz="4" w:space="0"/>
              <w:bottom w:val="single" w:color="000000" w:sz="6" w:space="0"/>
              <w:right w:val="single" w:color="000000" w:sz="6" w:space="0"/>
            </w:tcBorders>
            <w:noWrap w:val="0"/>
            <w:vAlign w:val="center"/>
          </w:tcPr>
          <w:p w14:paraId="17CDE8E3">
            <w:pPr>
              <w:autoSpaceDE w:val="0"/>
              <w:autoSpaceDN w:val="0"/>
              <w:spacing w:line="240" w:lineRule="auto"/>
              <w:jc w:val="center"/>
              <w:rPr>
                <w:kern w:val="0"/>
                <w:lang w:val="zh-CN"/>
              </w:rPr>
            </w:pPr>
          </w:p>
        </w:tc>
        <w:tc>
          <w:tcPr>
            <w:tcW w:w="1186" w:type="dxa"/>
            <w:tcBorders>
              <w:top w:val="single" w:color="000000" w:sz="6" w:space="0"/>
              <w:left w:val="single" w:color="000000" w:sz="6" w:space="0"/>
              <w:bottom w:val="single" w:color="000000" w:sz="6" w:space="0"/>
              <w:right w:val="single" w:color="000000" w:sz="6" w:space="0"/>
            </w:tcBorders>
            <w:noWrap w:val="0"/>
            <w:vAlign w:val="center"/>
          </w:tcPr>
          <w:p w14:paraId="495A3D47">
            <w:pPr>
              <w:autoSpaceDE w:val="0"/>
              <w:autoSpaceDN w:val="0"/>
              <w:spacing w:line="240" w:lineRule="auto"/>
              <w:jc w:val="center"/>
              <w:rPr>
                <w:kern w:val="0"/>
                <w:lang w:val="zh-CN"/>
              </w:rPr>
            </w:pPr>
          </w:p>
        </w:tc>
        <w:tc>
          <w:tcPr>
            <w:tcW w:w="2259" w:type="dxa"/>
            <w:tcBorders>
              <w:top w:val="single" w:color="000000" w:sz="6" w:space="0"/>
              <w:left w:val="single" w:color="000000" w:sz="6" w:space="0"/>
              <w:bottom w:val="single" w:color="000000" w:sz="6" w:space="0"/>
              <w:right w:val="single" w:color="auto" w:sz="4" w:space="0"/>
            </w:tcBorders>
            <w:noWrap w:val="0"/>
            <w:vAlign w:val="center"/>
          </w:tcPr>
          <w:p w14:paraId="6C04F1CC">
            <w:pPr>
              <w:autoSpaceDE w:val="0"/>
              <w:autoSpaceDN w:val="0"/>
              <w:spacing w:line="240" w:lineRule="auto"/>
              <w:jc w:val="center"/>
              <w:rPr>
                <w:kern w:val="0"/>
                <w:lang w:val="zh-CN"/>
              </w:rPr>
            </w:pPr>
          </w:p>
        </w:tc>
        <w:tc>
          <w:tcPr>
            <w:tcW w:w="605" w:type="dxa"/>
            <w:tcBorders>
              <w:top w:val="single" w:color="000000" w:sz="6" w:space="0"/>
              <w:left w:val="single" w:color="auto" w:sz="4" w:space="0"/>
              <w:bottom w:val="single" w:color="000000" w:sz="6" w:space="0"/>
              <w:right w:val="single" w:color="000000" w:sz="6" w:space="0"/>
            </w:tcBorders>
            <w:noWrap w:val="0"/>
            <w:vAlign w:val="center"/>
          </w:tcPr>
          <w:p w14:paraId="7D6086C2">
            <w:pPr>
              <w:autoSpaceDE w:val="0"/>
              <w:autoSpaceDN w:val="0"/>
              <w:spacing w:line="240" w:lineRule="auto"/>
              <w:jc w:val="center"/>
              <w:rPr>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6CF56ECE">
            <w:pPr>
              <w:autoSpaceDE w:val="0"/>
              <w:autoSpaceDN w:val="0"/>
              <w:spacing w:line="240" w:lineRule="auto"/>
              <w:jc w:val="center"/>
              <w:rPr>
                <w:kern w:val="0"/>
                <w:lang w:val="zh-CN"/>
              </w:rPr>
            </w:pPr>
          </w:p>
        </w:tc>
      </w:tr>
    </w:tbl>
    <w:p w14:paraId="79195A1A">
      <w:pPr>
        <w:autoSpaceDE w:val="0"/>
        <w:autoSpaceDN w:val="0"/>
        <w:spacing w:line="240" w:lineRule="auto"/>
        <w:rPr>
          <w:b/>
          <w:bCs/>
          <w:kern w:val="0"/>
          <w:lang w:val="zh-CN"/>
        </w:rPr>
      </w:pPr>
    </w:p>
    <w:p w14:paraId="2C2F46FB">
      <w:pPr>
        <w:autoSpaceDE w:val="0"/>
        <w:autoSpaceDN w:val="0"/>
        <w:spacing w:line="240" w:lineRule="auto"/>
        <w:rPr>
          <w:kern w:val="0"/>
          <w:lang w:val="zh-CN"/>
        </w:rPr>
      </w:pPr>
      <w:r>
        <w:rPr>
          <w:kern w:val="0"/>
          <w:lang w:val="zh-CN"/>
        </w:rPr>
        <w:t>注：</w:t>
      </w:r>
      <w:r>
        <w:rPr>
          <w:rFonts w:hint="eastAsia"/>
          <w:kern w:val="0"/>
          <w:lang w:val="zh-CN"/>
        </w:rPr>
        <w:t xml:space="preserve"> </w:t>
      </w:r>
      <w:r>
        <w:rPr>
          <w:kern w:val="0"/>
          <w:lang w:val="zh-CN"/>
        </w:rPr>
        <w:t>1.本表应按照每包“项目概况及技术参数”中产品序号的指标逐项填写，不得遗漏。</w:t>
      </w:r>
    </w:p>
    <w:p w14:paraId="18DBF8F8">
      <w:pPr>
        <w:numPr>
          <w:ilvl w:val="0"/>
          <w:numId w:val="7"/>
        </w:numPr>
        <w:autoSpaceDE w:val="0"/>
        <w:autoSpaceDN w:val="0"/>
        <w:spacing w:line="240" w:lineRule="auto"/>
        <w:ind w:firstLine="480"/>
        <w:rPr>
          <w:kern w:val="0"/>
          <w:lang w:val="zh-CN"/>
        </w:rPr>
      </w:pPr>
      <w:r>
        <w:rPr>
          <w:kern w:val="0"/>
          <w:lang w:val="zh-CN"/>
        </w:rPr>
        <w:t>“投标产品技术参数、指标”必须与投标文件中的证明材料的实质性响应情况相一致。若在评标环节发现该项与投标文件中提供的证明材料的实质性响应情况不一致或直接复制招标文件“采购需求技术参数、指标”内容的，按无效投标处理。</w:t>
      </w:r>
    </w:p>
    <w:p w14:paraId="38888593">
      <w:pPr>
        <w:numPr>
          <w:ilvl w:val="0"/>
          <w:numId w:val="7"/>
        </w:numPr>
        <w:autoSpaceDE w:val="0"/>
        <w:autoSpaceDN w:val="0"/>
        <w:spacing w:line="240" w:lineRule="auto"/>
        <w:ind w:firstLine="480"/>
        <w:rPr>
          <w:kern w:val="0"/>
          <w:lang w:val="zh-CN"/>
        </w:rPr>
      </w:pPr>
      <w:r>
        <w:rPr>
          <w:kern w:val="0"/>
          <w:lang w:val="zh-CN"/>
        </w:rPr>
        <w:t>填写此表时以招标项目参数要求为基本投标要求，满足招标项目参数要求的指标需列出“</w:t>
      </w:r>
      <w:r>
        <w:rPr>
          <w:kern w:val="0"/>
        </w:rPr>
        <w:t>0</w:t>
      </w:r>
      <w:r>
        <w:rPr>
          <w:kern w:val="0"/>
          <w:lang w:val="zh-CN"/>
        </w:rPr>
        <w:t>”；超出、不满足招标项目参数要求的指标需列出“+”、“-”偏差，并做出详细说明；如果只注明“+”、“-”或未填写，将视为该项指标不响应。</w:t>
      </w:r>
    </w:p>
    <w:p w14:paraId="5CBA1137">
      <w:pPr>
        <w:numPr>
          <w:ilvl w:val="0"/>
          <w:numId w:val="7"/>
        </w:numPr>
        <w:autoSpaceDE w:val="0"/>
        <w:autoSpaceDN w:val="0"/>
        <w:spacing w:line="240" w:lineRule="auto"/>
        <w:ind w:firstLine="480"/>
        <w:rPr>
          <w:kern w:val="0"/>
          <w:lang w:val="zh-CN"/>
        </w:rPr>
      </w:pPr>
      <w:r>
        <w:rPr>
          <w:kern w:val="0"/>
          <w:lang w:val="zh-CN"/>
        </w:rPr>
        <w:t>投标供应商应按投标产品实际情况填写，不得照抄、复制招标文件技术参数要求。</w:t>
      </w:r>
    </w:p>
    <w:p w14:paraId="7EF2ED22">
      <w:pPr>
        <w:numPr>
          <w:ilvl w:val="0"/>
          <w:numId w:val="7"/>
        </w:numPr>
        <w:autoSpaceDE w:val="0"/>
        <w:autoSpaceDN w:val="0"/>
        <w:spacing w:line="240" w:lineRule="auto"/>
        <w:ind w:firstLine="480"/>
        <w:rPr>
          <w:rFonts w:hint="eastAsia"/>
          <w:b/>
          <w:sz w:val="24"/>
        </w:rPr>
      </w:pPr>
      <w:r>
        <w:rPr>
          <w:rFonts w:hint="eastAsia"/>
          <w:kern w:val="0"/>
          <w:lang w:val="zh-CN"/>
        </w:rPr>
        <w:t>供应商</w:t>
      </w:r>
      <w:r>
        <w:rPr>
          <w:kern w:val="0"/>
          <w:lang w:val="zh-CN"/>
        </w:rPr>
        <w:t>响应采购需求应具体、明确，含糊不清、不确切或伪造、编造证明材料的，按照实质性不响应处理。对伪造、编造证明材料的，将报送采购监管部门查处。</w:t>
      </w:r>
    </w:p>
    <w:p w14:paraId="281422B4">
      <w:pPr>
        <w:spacing w:line="240" w:lineRule="auto"/>
        <w:jc w:val="right"/>
        <w:rPr>
          <w:rFonts w:hint="eastAsia"/>
          <w:b/>
          <w:sz w:val="24"/>
        </w:rPr>
      </w:pPr>
    </w:p>
    <w:p w14:paraId="3070B0C2">
      <w:pPr>
        <w:spacing w:line="240" w:lineRule="auto"/>
        <w:jc w:val="right"/>
        <w:rPr>
          <w:b/>
          <w:sz w:val="24"/>
        </w:rPr>
      </w:pPr>
      <w:r>
        <w:rPr>
          <w:rFonts w:hint="eastAsia"/>
          <w:b/>
          <w:sz w:val="24"/>
          <w:lang w:eastAsia="zh-CN"/>
        </w:rPr>
        <w:t>供应商</w:t>
      </w:r>
      <w:r>
        <w:rPr>
          <w:b/>
          <w:sz w:val="24"/>
        </w:rPr>
        <w:t>：        （公章）</w:t>
      </w:r>
    </w:p>
    <w:p w14:paraId="728EAB93">
      <w:pPr>
        <w:spacing w:line="240" w:lineRule="auto"/>
        <w:jc w:val="right"/>
        <w:rPr>
          <w:b/>
          <w:sz w:val="24"/>
        </w:rPr>
      </w:pPr>
      <w:r>
        <w:rPr>
          <w:b/>
          <w:sz w:val="24"/>
        </w:rPr>
        <w:t>法定代表人或委托代理人：        （签字）</w:t>
      </w:r>
    </w:p>
    <w:p w14:paraId="23F5C0AE">
      <w:pPr>
        <w:spacing w:line="240" w:lineRule="auto"/>
        <w:jc w:val="left"/>
        <w:rPr>
          <w:rFonts w:ascii="Times New Roman" w:hAnsi="Times New Roman"/>
        </w:rPr>
      </w:pPr>
      <w:r>
        <w:rPr>
          <w:sz w:val="24"/>
        </w:rPr>
        <w:t xml:space="preserve">      </w:t>
      </w:r>
      <w:r>
        <w:rPr>
          <w:rFonts w:hint="eastAsia"/>
          <w:sz w:val="24"/>
          <w:lang w:val="en-US" w:eastAsia="zh-CN"/>
        </w:rPr>
        <w:t xml:space="preserve">                                    </w:t>
      </w:r>
      <w:r>
        <w:rPr>
          <w:b/>
          <w:sz w:val="24"/>
        </w:rPr>
        <w:t>日期： 年   月   日</w:t>
      </w:r>
      <w:bookmarkStart w:id="136" w:name="_Toc2601"/>
      <w:r>
        <w:rPr>
          <w:rFonts w:ascii="Times New Roman" w:hAnsi="Times New Roman"/>
          <w:b w:val="0"/>
          <w:bCs w:val="0"/>
          <w:kern w:val="0"/>
          <w:lang w:val="zh-CN"/>
        </w:rPr>
        <w:br w:type="page"/>
      </w:r>
      <w:bookmarkStart w:id="137" w:name="_Toc16911"/>
      <w:r>
        <w:rPr>
          <w:rFonts w:hint="eastAsia" w:ascii="Times New Roman" w:hAnsi="Times New Roman"/>
          <w:sz w:val="30"/>
          <w:szCs w:val="30"/>
        </w:rPr>
        <w:t>格式1</w:t>
      </w:r>
      <w:r>
        <w:rPr>
          <w:rFonts w:hint="eastAsia" w:ascii="Times New Roman" w:hAnsi="Times New Roman"/>
          <w:sz w:val="30"/>
          <w:szCs w:val="30"/>
          <w:lang w:val="en-US" w:eastAsia="zh-CN"/>
        </w:rPr>
        <w:t>4</w:t>
      </w:r>
      <w:r>
        <w:rPr>
          <w:rFonts w:hint="eastAsia" w:ascii="Times New Roman" w:hAnsi="Times New Roman"/>
          <w:sz w:val="30"/>
          <w:szCs w:val="30"/>
        </w:rPr>
        <w:t>：</w:t>
      </w:r>
      <w:r>
        <w:rPr>
          <w:rFonts w:ascii="Times New Roman" w:hAnsi="Times New Roman"/>
          <w:sz w:val="30"/>
          <w:szCs w:val="30"/>
          <w:lang w:val="zh-CN"/>
        </w:rPr>
        <w:t>投标产品相关资料</w:t>
      </w:r>
      <w:bookmarkEnd w:id="136"/>
      <w:bookmarkEnd w:id="137"/>
    </w:p>
    <w:p w14:paraId="02C616E6">
      <w:pPr>
        <w:autoSpaceDE w:val="0"/>
        <w:autoSpaceDN w:val="0"/>
        <w:spacing w:line="240" w:lineRule="auto"/>
        <w:rPr>
          <w:kern w:val="0"/>
          <w:sz w:val="28"/>
          <w:szCs w:val="28"/>
          <w:lang w:val="zh-CN"/>
        </w:rPr>
      </w:pPr>
    </w:p>
    <w:p w14:paraId="22FA0892">
      <w:pPr>
        <w:autoSpaceDE w:val="0"/>
        <w:autoSpaceDN w:val="0"/>
        <w:spacing w:line="240" w:lineRule="auto"/>
        <w:jc w:val="center"/>
        <w:rPr>
          <w:b/>
          <w:bCs/>
          <w:kern w:val="0"/>
          <w:sz w:val="28"/>
          <w:szCs w:val="28"/>
          <w:lang w:val="zh-CN"/>
        </w:rPr>
      </w:pPr>
      <w:r>
        <w:rPr>
          <w:b/>
          <w:bCs/>
          <w:kern w:val="0"/>
          <w:sz w:val="28"/>
          <w:szCs w:val="28"/>
          <w:lang w:val="zh-CN"/>
        </w:rPr>
        <w:t>投标产品相关资料</w:t>
      </w:r>
    </w:p>
    <w:p w14:paraId="18249D09">
      <w:pPr>
        <w:autoSpaceDE w:val="0"/>
        <w:autoSpaceDN w:val="0"/>
        <w:spacing w:line="240" w:lineRule="auto"/>
        <w:rPr>
          <w:kern w:val="0"/>
          <w:sz w:val="28"/>
          <w:szCs w:val="28"/>
          <w:lang w:val="zh-CN"/>
        </w:rPr>
      </w:pPr>
    </w:p>
    <w:p w14:paraId="1A1E23E3">
      <w:pPr>
        <w:spacing w:line="240" w:lineRule="auto"/>
        <w:ind w:firstLine="482" w:firstLineChars="200"/>
        <w:jc w:val="left"/>
        <w:rPr>
          <w:color w:val="auto"/>
          <w:kern w:val="0"/>
          <w:sz w:val="24"/>
          <w:lang w:val="zh-CN"/>
        </w:rPr>
      </w:pPr>
      <w:r>
        <w:rPr>
          <w:color w:val="auto"/>
          <w:kern w:val="0"/>
          <w:sz w:val="24"/>
          <w:lang w:val="zh-CN"/>
        </w:rPr>
        <w:t>根据采购项目内容，投标时提供</w:t>
      </w:r>
      <w:r>
        <w:rPr>
          <w:rFonts w:hint="eastAsia"/>
          <w:color w:val="auto"/>
          <w:kern w:val="0"/>
          <w:sz w:val="24"/>
          <w:lang w:val="en-US" w:eastAsia="zh-CN"/>
        </w:rPr>
        <w:t>相关</w:t>
      </w:r>
      <w:r>
        <w:rPr>
          <w:color w:val="auto"/>
          <w:kern w:val="0"/>
          <w:sz w:val="24"/>
          <w:lang w:val="zh-CN"/>
        </w:rPr>
        <w:t>投标产品的产品检验报告、证明技术参数响应的相关资料、彩页（或厂家公开发布的资料参数）、相关认证等资料。</w:t>
      </w:r>
    </w:p>
    <w:p w14:paraId="0C1655E5">
      <w:pPr>
        <w:pStyle w:val="23"/>
        <w:spacing w:line="240" w:lineRule="auto"/>
        <w:jc w:val="left"/>
        <w:rPr>
          <w:rFonts w:ascii="Times New Roman" w:hAnsi="Times New Roman"/>
        </w:rPr>
      </w:pPr>
      <w:r>
        <w:rPr>
          <w:rFonts w:ascii="Times New Roman" w:hAnsi="Times New Roman"/>
          <w:kern w:val="0"/>
          <w:lang w:val="zh-CN"/>
        </w:rPr>
        <w:br w:type="page"/>
      </w:r>
      <w:bookmarkStart w:id="138" w:name="_Toc17047"/>
      <w:bookmarkStart w:id="139" w:name="_Toc444715743"/>
      <w:bookmarkStart w:id="140" w:name="_Toc7570"/>
      <w:r>
        <w:rPr>
          <w:rFonts w:hint="eastAsia" w:ascii="Times New Roman" w:hAnsi="Times New Roman"/>
          <w:sz w:val="30"/>
          <w:szCs w:val="30"/>
        </w:rPr>
        <w:t>格式1</w:t>
      </w:r>
      <w:r>
        <w:rPr>
          <w:rFonts w:hint="eastAsia" w:ascii="Times New Roman" w:hAnsi="Times New Roman"/>
          <w:sz w:val="30"/>
          <w:szCs w:val="30"/>
          <w:lang w:val="en-US" w:eastAsia="zh-CN"/>
        </w:rPr>
        <w:t>5</w:t>
      </w:r>
      <w:r>
        <w:rPr>
          <w:rFonts w:hint="eastAsia" w:ascii="Times New Roman" w:hAnsi="Times New Roman"/>
          <w:sz w:val="30"/>
          <w:szCs w:val="30"/>
        </w:rPr>
        <w:t>：</w:t>
      </w:r>
      <w:r>
        <w:rPr>
          <w:rFonts w:ascii="Times New Roman" w:hAnsi="Times New Roman"/>
          <w:lang w:val="zh-CN"/>
        </w:rPr>
        <w:t>投标供应商类似业绩证明材料</w:t>
      </w:r>
      <w:bookmarkEnd w:id="138"/>
      <w:bookmarkEnd w:id="139"/>
      <w:bookmarkEnd w:id="140"/>
    </w:p>
    <w:p w14:paraId="0BDF91C3">
      <w:pPr>
        <w:autoSpaceDE w:val="0"/>
        <w:autoSpaceDN w:val="0"/>
        <w:spacing w:line="240" w:lineRule="auto"/>
        <w:jc w:val="center"/>
        <w:rPr>
          <w:b/>
          <w:bCs/>
          <w:kern w:val="0"/>
          <w:sz w:val="28"/>
          <w:szCs w:val="28"/>
          <w:lang w:val="zh-CN"/>
        </w:rPr>
      </w:pPr>
    </w:p>
    <w:p w14:paraId="1814F690">
      <w:pPr>
        <w:autoSpaceDE w:val="0"/>
        <w:autoSpaceDN w:val="0"/>
        <w:spacing w:line="240" w:lineRule="auto"/>
        <w:jc w:val="center"/>
        <w:rPr>
          <w:b/>
          <w:bCs/>
          <w:kern w:val="0"/>
          <w:sz w:val="28"/>
          <w:szCs w:val="28"/>
          <w:lang w:val="zh-CN"/>
        </w:rPr>
      </w:pPr>
      <w:r>
        <w:rPr>
          <w:b/>
          <w:bCs/>
          <w:kern w:val="0"/>
          <w:sz w:val="28"/>
          <w:szCs w:val="28"/>
          <w:lang w:val="zh-CN"/>
        </w:rPr>
        <w:t>投标供应商类似业绩证明材料</w:t>
      </w:r>
    </w:p>
    <w:p w14:paraId="2D783579">
      <w:pPr>
        <w:autoSpaceDE w:val="0"/>
        <w:autoSpaceDN w:val="0"/>
        <w:adjustRightInd w:val="0"/>
        <w:spacing w:line="240" w:lineRule="auto"/>
        <w:rPr>
          <w:kern w:val="0"/>
          <w:sz w:val="24"/>
          <w:lang w:val="zh-CN"/>
        </w:rPr>
      </w:pPr>
    </w:p>
    <w:p w14:paraId="28FC8811">
      <w:pPr>
        <w:autoSpaceDE w:val="0"/>
        <w:autoSpaceDN w:val="0"/>
        <w:adjustRightInd w:val="0"/>
        <w:spacing w:line="240" w:lineRule="auto"/>
        <w:ind w:firstLine="602" w:firstLineChars="250"/>
        <w:rPr>
          <w:rFonts w:ascii="宋体" w:hAnsi="宋体" w:cs="宋体"/>
          <w:kern w:val="0"/>
          <w:sz w:val="24"/>
          <w:lang w:val="zh-CN"/>
        </w:rPr>
      </w:pPr>
      <w:r>
        <w:rPr>
          <w:rFonts w:hint="eastAsia" w:ascii="宋体" w:hAnsi="宋体" w:cs="宋体"/>
          <w:kern w:val="0"/>
          <w:sz w:val="24"/>
          <w:lang w:val="zh-CN"/>
        </w:rPr>
        <w:t>根据评分表要求提供相应的业绩证明材料。</w:t>
      </w:r>
    </w:p>
    <w:p w14:paraId="0A286C8D">
      <w:pPr>
        <w:pStyle w:val="23"/>
        <w:spacing w:line="240" w:lineRule="auto"/>
        <w:jc w:val="left"/>
        <w:rPr>
          <w:rFonts w:hint="eastAsia" w:ascii="Times New Roman" w:hAnsi="Times New Roman"/>
          <w:lang w:val="zh-CN"/>
        </w:rPr>
      </w:pPr>
      <w:r>
        <w:rPr>
          <w:kern w:val="0"/>
          <w:sz w:val="24"/>
          <w:lang w:val="zh-CN"/>
        </w:rPr>
        <w:br w:type="page"/>
      </w:r>
      <w:bookmarkStart w:id="141" w:name="_Toc26870"/>
      <w:bookmarkStart w:id="142" w:name="_Toc10010"/>
      <w:bookmarkStart w:id="143" w:name="_Toc1304"/>
      <w:r>
        <w:rPr>
          <w:rFonts w:hint="eastAsia" w:ascii="Times New Roman" w:hAnsi="Times New Roman"/>
          <w:lang w:val="zh-CN"/>
        </w:rPr>
        <w:t>格式1</w:t>
      </w:r>
      <w:r>
        <w:rPr>
          <w:rFonts w:hint="eastAsia" w:ascii="Times New Roman" w:hAnsi="Times New Roman"/>
          <w:lang w:val="en-US" w:eastAsia="zh-CN"/>
        </w:rPr>
        <w:t>6</w:t>
      </w:r>
      <w:r>
        <w:rPr>
          <w:rFonts w:hint="eastAsia" w:ascii="Times New Roman" w:hAnsi="Times New Roman"/>
          <w:lang w:val="zh-CN"/>
        </w:rPr>
        <w:t>：享受政府采购政策优惠的证明资料</w:t>
      </w:r>
      <w:bookmarkEnd w:id="141"/>
      <w:bookmarkEnd w:id="142"/>
      <w:bookmarkEnd w:id="143"/>
    </w:p>
    <w:p w14:paraId="5A1DA93E">
      <w:pPr>
        <w:autoSpaceDE w:val="0"/>
        <w:autoSpaceDN w:val="0"/>
        <w:spacing w:line="240" w:lineRule="auto"/>
        <w:jc w:val="center"/>
        <w:rPr>
          <w:rFonts w:hint="eastAsia"/>
          <w:b/>
          <w:bCs/>
          <w:kern w:val="0"/>
          <w:sz w:val="28"/>
          <w:szCs w:val="28"/>
        </w:rPr>
      </w:pPr>
      <w:bookmarkStart w:id="144" w:name="_Toc25276"/>
    </w:p>
    <w:p w14:paraId="3F9F810F">
      <w:pPr>
        <w:autoSpaceDE w:val="0"/>
        <w:autoSpaceDN w:val="0"/>
        <w:spacing w:line="240" w:lineRule="auto"/>
        <w:jc w:val="center"/>
        <w:rPr>
          <w:rFonts w:hint="eastAsia"/>
          <w:b/>
          <w:bCs/>
          <w:kern w:val="0"/>
          <w:sz w:val="28"/>
          <w:szCs w:val="28"/>
        </w:rPr>
      </w:pPr>
      <w:r>
        <w:rPr>
          <w:rFonts w:hint="eastAsia"/>
          <w:b/>
          <w:bCs/>
          <w:kern w:val="0"/>
          <w:sz w:val="28"/>
          <w:szCs w:val="28"/>
        </w:rPr>
        <w:t>节能产品、环境标志产品证明材料</w:t>
      </w:r>
      <w:bookmarkEnd w:id="144"/>
    </w:p>
    <w:p w14:paraId="2DE37E69">
      <w:pPr>
        <w:autoSpaceDE w:val="0"/>
        <w:autoSpaceDN w:val="0"/>
        <w:spacing w:line="240" w:lineRule="auto"/>
        <w:jc w:val="center"/>
        <w:rPr>
          <w:b/>
          <w:bCs/>
          <w:kern w:val="0"/>
          <w:sz w:val="28"/>
          <w:szCs w:val="28"/>
        </w:rPr>
      </w:pPr>
    </w:p>
    <w:p w14:paraId="383AD27C">
      <w:pPr>
        <w:spacing w:line="240" w:lineRule="auto"/>
        <w:rPr>
          <w:rFonts w:ascii="宋体" w:hAnsi="宋体" w:cs="仿宋"/>
          <w:kern w:val="0"/>
          <w:sz w:val="24"/>
        </w:rPr>
      </w:pPr>
      <w:r>
        <w:rPr>
          <w:rFonts w:hint="eastAsia" w:ascii="宋体" w:hAnsi="宋体" w:cs="仿宋"/>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45D7AD82">
      <w:pPr>
        <w:spacing w:line="240" w:lineRule="auto"/>
        <w:rPr>
          <w:sz w:val="28"/>
          <w:szCs w:val="28"/>
          <w:lang w:val="zh-CN"/>
        </w:rPr>
      </w:pPr>
    </w:p>
    <w:p w14:paraId="252C0E65">
      <w:pPr>
        <w:autoSpaceDE w:val="0"/>
        <w:autoSpaceDN w:val="0"/>
        <w:spacing w:line="240" w:lineRule="auto"/>
        <w:jc w:val="center"/>
        <w:rPr>
          <w:b/>
          <w:bCs/>
          <w:kern w:val="0"/>
          <w:sz w:val="36"/>
          <w:szCs w:val="36"/>
          <w:lang w:val="zh-CN"/>
        </w:rPr>
      </w:pPr>
      <w:r>
        <w:rPr>
          <w:b/>
          <w:bCs/>
          <w:kern w:val="0"/>
          <w:sz w:val="28"/>
          <w:szCs w:val="28"/>
        </w:rPr>
        <w:br w:type="page"/>
      </w:r>
      <w:r>
        <w:rPr>
          <w:rFonts w:hint="eastAsia"/>
          <w:b/>
          <w:bCs/>
          <w:kern w:val="0"/>
          <w:sz w:val="28"/>
          <w:szCs w:val="28"/>
        </w:rPr>
        <w:t>中小</w:t>
      </w:r>
      <w:r>
        <w:rPr>
          <w:b/>
          <w:bCs/>
          <w:kern w:val="0"/>
          <w:sz w:val="28"/>
          <w:szCs w:val="28"/>
          <w:lang w:val="zh-CN"/>
        </w:rPr>
        <w:t>企业声明函</w:t>
      </w:r>
    </w:p>
    <w:p w14:paraId="30A874E5">
      <w:pPr>
        <w:autoSpaceDE w:val="0"/>
        <w:autoSpaceDN w:val="0"/>
        <w:spacing w:line="240" w:lineRule="auto"/>
        <w:rPr>
          <w:kern w:val="0"/>
          <w:sz w:val="28"/>
          <w:szCs w:val="28"/>
          <w:lang w:val="zh-CN"/>
        </w:rPr>
      </w:pPr>
    </w:p>
    <w:p w14:paraId="58897386">
      <w:pPr>
        <w:autoSpaceDE w:val="0"/>
        <w:autoSpaceDN w:val="0"/>
        <w:adjustRightInd w:val="0"/>
        <w:spacing w:line="240" w:lineRule="auto"/>
        <w:jc w:val="left"/>
        <w:rPr>
          <w:rFonts w:ascii="宋体" w:hAnsi="宋体" w:cs="仿宋"/>
          <w:kern w:val="0"/>
          <w:sz w:val="24"/>
        </w:rPr>
      </w:pPr>
      <w:r>
        <w:rPr>
          <w:rFonts w:hint="eastAsia" w:ascii="宋体" w:hAnsi="宋体" w:cs="仿宋"/>
          <w:kern w:val="0"/>
          <w:sz w:val="24"/>
        </w:rPr>
        <w:t xml:space="preserve">     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采购活动，提供的货物全部由符合政策要求的中小企业制造。相关企业（含联合体中的中小企业、签订分包意向协议的中小企业）的具体情况如下：</w:t>
      </w:r>
    </w:p>
    <w:p w14:paraId="1607C2D9">
      <w:pPr>
        <w:autoSpaceDE w:val="0"/>
        <w:autoSpaceDN w:val="0"/>
        <w:adjustRightInd w:val="0"/>
        <w:spacing w:line="240" w:lineRule="auto"/>
        <w:jc w:val="left"/>
        <w:rPr>
          <w:rFonts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1.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w:t>
      </w:r>
      <w:r>
        <w:rPr>
          <w:rFonts w:hint="eastAsia" w:ascii="宋体" w:hAnsi="宋体" w:cs="仿宋"/>
          <w:kern w:val="0"/>
          <w:sz w:val="24"/>
          <w:highlight w:val="none"/>
        </w:rPr>
        <w:t>于</w:t>
      </w:r>
      <w:r>
        <w:rPr>
          <w:rFonts w:hint="eastAsia" w:ascii="宋体" w:hAnsi="宋体" w:cs="仿宋"/>
          <w:kern w:val="0"/>
          <w:sz w:val="24"/>
          <w:highlight w:val="none"/>
          <w:u w:val="single"/>
        </w:rPr>
        <w:t>（</w:t>
      </w:r>
      <w:r>
        <w:rPr>
          <w:rFonts w:hint="eastAsia" w:ascii="宋体" w:hAnsi="宋体" w:cs="仿宋"/>
          <w:kern w:val="0"/>
          <w:sz w:val="24"/>
          <w:highlight w:val="none"/>
          <w:u w:val="single"/>
          <w:lang w:val="en-US" w:eastAsia="zh-CN"/>
        </w:rPr>
        <w:t>信息化</w:t>
      </w:r>
      <w:r>
        <w:rPr>
          <w:rFonts w:hint="eastAsia" w:ascii="宋体" w:hAnsi="宋体" w:cs="仿宋"/>
          <w:kern w:val="0"/>
          <w:sz w:val="24"/>
          <w:highlight w:val="none"/>
          <w:u w:val="single"/>
        </w:rPr>
        <w:t>）</w:t>
      </w:r>
      <w:r>
        <w:rPr>
          <w:rFonts w:hint="eastAsia" w:ascii="宋体" w:hAnsi="宋体" w:cs="仿宋"/>
          <w:kern w:val="0"/>
          <w:sz w:val="24"/>
          <w:highlight w:val="none"/>
        </w:rPr>
        <w:t>行业</w:t>
      </w:r>
      <w:r>
        <w:rPr>
          <w:rFonts w:hint="eastAsia" w:ascii="宋体" w:hAnsi="宋体" w:cs="仿宋"/>
          <w:kern w:val="0"/>
          <w:sz w:val="24"/>
        </w:rPr>
        <w:t>；制造商为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lang w:val="en-US" w:eastAsia="zh-CN"/>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2B0A499D">
      <w:pPr>
        <w:autoSpaceDE w:val="0"/>
        <w:autoSpaceDN w:val="0"/>
        <w:adjustRightInd w:val="0"/>
        <w:spacing w:line="240" w:lineRule="auto"/>
        <w:jc w:val="left"/>
        <w:rPr>
          <w:rFonts w:hint="eastAsia" w:ascii="宋体" w:hAnsi="宋体" w:cs="仿宋"/>
          <w:kern w:val="0"/>
          <w:sz w:val="24"/>
        </w:rPr>
      </w:pPr>
      <w:r>
        <w:rPr>
          <w:rFonts w:hint="eastAsia" w:ascii="宋体" w:hAnsi="宋体" w:cs="仿宋"/>
          <w:kern w:val="0"/>
          <w:sz w:val="24"/>
        </w:rPr>
        <w:t xml:space="preserve">    </w:t>
      </w:r>
      <w:r>
        <w:rPr>
          <w:rFonts w:ascii="宋体" w:hAnsi="宋体" w:cs="仿宋"/>
          <w:kern w:val="0"/>
          <w:sz w:val="24"/>
        </w:rPr>
        <w:t xml:space="preserve">2. </w:t>
      </w:r>
      <w:r>
        <w:rPr>
          <w:rFonts w:hint="eastAsia" w:ascii="宋体" w:hAnsi="宋体" w:cs="仿宋"/>
          <w:kern w:val="0"/>
          <w:sz w:val="24"/>
          <w:u w:val="single"/>
        </w:rPr>
        <w:t>（标的名称）</w:t>
      </w:r>
      <w:r>
        <w:rPr>
          <w:rFonts w:ascii="宋体" w:hAnsi="宋体" w:cs="仿宋"/>
          <w:kern w:val="0"/>
          <w:sz w:val="24"/>
          <w:u w:val="single"/>
        </w:rPr>
        <w:t xml:space="preserve">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w:t>
      </w:r>
      <w:r>
        <w:rPr>
          <w:rFonts w:hint="eastAsia" w:ascii="宋体" w:hAnsi="宋体" w:cs="仿宋"/>
          <w:kern w:val="0"/>
          <w:sz w:val="24"/>
          <w:u w:val="single"/>
          <w:lang w:val="en-US" w:eastAsia="zh-CN"/>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hint="eastAsia" w:ascii="宋体" w:hAnsi="宋体" w:cs="仿宋"/>
          <w:kern w:val="0"/>
          <w:sz w:val="24"/>
        </w:rPr>
        <w:t>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73054B5">
      <w:pPr>
        <w:autoSpaceDE w:val="0"/>
        <w:autoSpaceDN w:val="0"/>
        <w:adjustRightInd w:val="0"/>
        <w:spacing w:line="240" w:lineRule="auto"/>
        <w:jc w:val="left"/>
        <w:rPr>
          <w:rFonts w:hint="eastAsia" w:ascii="宋体" w:hAnsi="宋体" w:cs="仿宋"/>
          <w:kern w:val="0"/>
          <w:sz w:val="24"/>
        </w:rPr>
      </w:pPr>
      <w:r>
        <w:rPr>
          <w:rFonts w:hint="eastAsia" w:ascii="宋体" w:hAnsi="宋体" w:cs="仿宋"/>
          <w:kern w:val="0"/>
          <w:sz w:val="24"/>
        </w:rPr>
        <w:t>……</w:t>
      </w:r>
    </w:p>
    <w:p w14:paraId="1D6457CC">
      <w:pPr>
        <w:autoSpaceDE w:val="0"/>
        <w:autoSpaceDN w:val="0"/>
        <w:adjustRightInd w:val="0"/>
        <w:spacing w:line="240" w:lineRule="auto"/>
        <w:jc w:val="left"/>
        <w:rPr>
          <w:rFonts w:ascii="宋体" w:hAnsi="宋体" w:cs="仿宋"/>
          <w:kern w:val="0"/>
          <w:sz w:val="24"/>
        </w:rPr>
      </w:pPr>
      <w:r>
        <w:rPr>
          <w:rFonts w:hint="eastAsia" w:ascii="宋体" w:hAnsi="宋体" w:cs="仿宋"/>
          <w:kern w:val="0"/>
          <w:sz w:val="24"/>
        </w:rPr>
        <w:t xml:space="preserve">    以上企业，不属于大企业的分支机构，不存在控股股东为大企业的情形，也不存在与大企业的负责人为同一人的情形。</w:t>
      </w:r>
    </w:p>
    <w:p w14:paraId="11C8563A">
      <w:pPr>
        <w:autoSpaceDE w:val="0"/>
        <w:autoSpaceDN w:val="0"/>
        <w:adjustRightInd w:val="0"/>
        <w:spacing w:line="240" w:lineRule="auto"/>
        <w:jc w:val="left"/>
        <w:rPr>
          <w:rFonts w:hint="eastAsia"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414B09F2">
      <w:pPr>
        <w:autoSpaceDE w:val="0"/>
        <w:autoSpaceDN w:val="0"/>
        <w:adjustRightInd w:val="0"/>
        <w:spacing w:line="240" w:lineRule="auto"/>
        <w:jc w:val="left"/>
        <w:rPr>
          <w:rFonts w:hint="eastAsia" w:ascii="宋体" w:hAnsi="宋体" w:cs="仿宋"/>
          <w:kern w:val="0"/>
          <w:sz w:val="24"/>
        </w:rPr>
      </w:pPr>
      <w:r>
        <w:rPr>
          <w:rFonts w:hint="eastAsia"/>
          <w:color w:val="FF0000"/>
          <w:sz w:val="24"/>
        </w:rPr>
        <w:t xml:space="preserve">  </w:t>
      </w:r>
      <w:r>
        <w:rPr>
          <w:rFonts w:hint="eastAsia"/>
          <w:b/>
          <w:bCs/>
          <w:color w:val="FF0000"/>
          <w:sz w:val="24"/>
        </w:rPr>
        <w:t xml:space="preserve">  </w:t>
      </w:r>
      <w:r>
        <w:rPr>
          <w:rFonts w:hint="eastAsia"/>
          <w:b/>
          <w:bCs/>
          <w:color w:val="FF0000"/>
          <w:sz w:val="24"/>
          <w:lang w:val="en-US" w:eastAsia="zh-CN"/>
        </w:rPr>
        <w:t>注：本项目的所属行业为信息化；</w:t>
      </w:r>
    </w:p>
    <w:p w14:paraId="30F444B8">
      <w:pPr>
        <w:autoSpaceDE w:val="0"/>
        <w:autoSpaceDN w:val="0"/>
        <w:adjustRightInd w:val="0"/>
        <w:spacing w:line="240" w:lineRule="auto"/>
        <w:jc w:val="center"/>
        <w:rPr>
          <w:rFonts w:ascii="宋体" w:hAnsi="宋体" w:cs="仿宋"/>
          <w:kern w:val="0"/>
          <w:sz w:val="24"/>
        </w:rPr>
      </w:pPr>
      <w:r>
        <w:rPr>
          <w:rFonts w:hint="eastAsia" w:ascii="宋体" w:hAnsi="宋体" w:cs="仿宋"/>
          <w:kern w:val="0"/>
          <w:sz w:val="24"/>
        </w:rPr>
        <w:t xml:space="preserve">                                           企业名称（盖章）：   </w:t>
      </w:r>
    </w:p>
    <w:p w14:paraId="31855B66">
      <w:pPr>
        <w:autoSpaceDE w:val="0"/>
        <w:autoSpaceDN w:val="0"/>
        <w:adjustRightInd w:val="0"/>
        <w:spacing w:line="240" w:lineRule="auto"/>
        <w:jc w:val="center"/>
        <w:rPr>
          <w:rFonts w:ascii="宋体" w:hAnsi="宋体" w:cs="仿宋"/>
          <w:kern w:val="0"/>
          <w:sz w:val="24"/>
        </w:rPr>
      </w:pPr>
      <w:r>
        <w:rPr>
          <w:rFonts w:hint="eastAsia" w:ascii="宋体" w:hAnsi="宋体" w:cs="仿宋"/>
          <w:kern w:val="0"/>
          <w:sz w:val="24"/>
        </w:rPr>
        <w:t xml:space="preserve">                                                       日期：</w:t>
      </w:r>
    </w:p>
    <w:p w14:paraId="4A920343">
      <w:pPr>
        <w:spacing w:line="240" w:lineRule="auto"/>
        <w:rPr>
          <w:sz w:val="24"/>
        </w:rPr>
      </w:pPr>
      <w:r>
        <w:rPr>
          <w:rFonts w:hint="eastAsia" w:ascii="宋体" w:cs="宋体"/>
          <w:kern w:val="0"/>
          <w:sz w:val="24"/>
        </w:rPr>
        <w:t>从业人员、营业收入、资产总额填报上一年度数据，无上一年度数据的新成立企业可不填报。</w:t>
      </w:r>
    </w:p>
    <w:p w14:paraId="5FBA8194">
      <w:pPr>
        <w:autoSpaceDE w:val="0"/>
        <w:autoSpaceDN w:val="0"/>
        <w:spacing w:line="240" w:lineRule="auto"/>
        <w:jc w:val="center"/>
        <w:rPr>
          <w:rFonts w:hint="eastAsia"/>
          <w:b/>
          <w:bCs/>
          <w:kern w:val="0"/>
          <w:sz w:val="28"/>
          <w:szCs w:val="28"/>
        </w:rPr>
      </w:pPr>
      <w:bookmarkStart w:id="145" w:name="_Toc743"/>
      <w:bookmarkStart w:id="146" w:name="_Toc17668"/>
      <w:r>
        <w:rPr>
          <w:sz w:val="30"/>
          <w:szCs w:val="30"/>
        </w:rPr>
        <w:br w:type="page"/>
      </w:r>
      <w:bookmarkStart w:id="147" w:name="_Toc9477"/>
      <w:bookmarkStart w:id="148" w:name="_Toc30801"/>
      <w:r>
        <w:rPr>
          <w:rFonts w:hint="eastAsia"/>
          <w:b/>
          <w:bCs/>
          <w:kern w:val="0"/>
          <w:sz w:val="28"/>
          <w:szCs w:val="28"/>
        </w:rPr>
        <w:t>监狱企业证明资料</w:t>
      </w:r>
      <w:bookmarkEnd w:id="147"/>
      <w:bookmarkEnd w:id="148"/>
    </w:p>
    <w:p w14:paraId="744F9D47">
      <w:pPr>
        <w:autoSpaceDE w:val="0"/>
        <w:autoSpaceDN w:val="0"/>
        <w:spacing w:line="240" w:lineRule="auto"/>
        <w:jc w:val="center"/>
        <w:rPr>
          <w:rFonts w:ascii="楷体" w:hAnsi="楷体" w:eastAsia="楷体" w:cs="楷体"/>
          <w:sz w:val="32"/>
          <w:szCs w:val="32"/>
        </w:rPr>
      </w:pPr>
    </w:p>
    <w:p w14:paraId="2FF7E202">
      <w:pPr>
        <w:adjustRightInd w:val="0"/>
        <w:snapToGrid w:val="0"/>
        <w:spacing w:line="360" w:lineRule="auto"/>
        <w:jc w:val="center"/>
        <w:rPr>
          <w:rFonts w:ascii="仿宋_GB2312" w:hAnsi="仿宋_GB2312" w:eastAsia="仿宋_GB2312" w:cs="仿宋_GB2312"/>
          <w:sz w:val="32"/>
          <w:szCs w:val="32"/>
        </w:rPr>
      </w:pPr>
      <w:bookmarkStart w:id="149" w:name="_Toc25903_WPSOffice_Level3"/>
      <w:bookmarkStart w:id="150" w:name="_Toc28022_WPSOffice_Level3"/>
      <w:r>
        <w:rPr>
          <w:rFonts w:hint="eastAsia" w:ascii="仿宋_GB2312" w:hAnsi="仿宋_GB2312" w:eastAsia="仿宋_GB2312" w:cs="仿宋_GB2312"/>
          <w:b/>
          <w:spacing w:val="6"/>
          <w:sz w:val="32"/>
          <w:szCs w:val="32"/>
        </w:rPr>
        <w:t>(不属于监狱企业的无需提供)</w:t>
      </w:r>
      <w:bookmarkEnd w:id="149"/>
      <w:bookmarkEnd w:id="150"/>
    </w:p>
    <w:p w14:paraId="3FA70564">
      <w:pPr>
        <w:adjustRightInd w:val="0"/>
        <w:snapToGrid w:val="0"/>
        <w:spacing w:line="360" w:lineRule="auto"/>
        <w:ind w:firstLine="482" w:firstLineChars="200"/>
        <w:rPr>
          <w:rFonts w:ascii="宋体" w:hAnsi="宋体" w:cs="仿宋"/>
          <w:kern w:val="0"/>
          <w:sz w:val="24"/>
        </w:rPr>
      </w:pPr>
      <w:r>
        <w:rPr>
          <w:rFonts w:hint="eastAsia" w:ascii="宋体" w:hAnsi="宋体" w:cs="仿宋"/>
          <w:kern w:val="0"/>
          <w:sz w:val="24"/>
        </w:rPr>
        <w:t>备注：按《财政部司法部关于政府采购支持监狱企业发展有关问题的通知》(财库〔2014〕68号)文件规定提供证明文件（复印件）。</w:t>
      </w:r>
    </w:p>
    <w:p w14:paraId="77A63D84">
      <w:pPr>
        <w:spacing w:before="120" w:beforeLines="50" w:line="240" w:lineRule="auto"/>
        <w:ind w:firstLine="482" w:firstLineChars="200"/>
        <w:jc w:val="right"/>
        <w:rPr>
          <w:rFonts w:hint="eastAsia" w:ascii="宋体" w:hAnsi="宋体" w:cs="仿宋"/>
          <w:kern w:val="0"/>
          <w:sz w:val="24"/>
        </w:rPr>
      </w:pPr>
      <w:r>
        <w:rPr>
          <w:rFonts w:hint="eastAsia" w:ascii="宋体" w:hAnsi="宋体" w:cs="仿宋"/>
          <w:kern w:val="0"/>
          <w:sz w:val="24"/>
        </w:rPr>
        <w:t xml:space="preserve">                 </w:t>
      </w:r>
      <w:bookmarkStart w:id="151" w:name="_Toc22071_WPSOffice_Level3"/>
    </w:p>
    <w:p w14:paraId="5C238B15">
      <w:pPr>
        <w:spacing w:before="120" w:beforeLines="50" w:line="240" w:lineRule="auto"/>
        <w:ind w:firstLine="482" w:firstLineChars="200"/>
        <w:jc w:val="right"/>
        <w:rPr>
          <w:rFonts w:hint="eastAsia" w:ascii="宋体" w:hAnsi="宋体" w:cs="仿宋"/>
          <w:kern w:val="0"/>
          <w:sz w:val="24"/>
        </w:rPr>
      </w:pPr>
    </w:p>
    <w:p w14:paraId="036E176A">
      <w:pPr>
        <w:spacing w:before="120" w:beforeLines="50" w:line="240" w:lineRule="auto"/>
        <w:ind w:firstLine="482" w:firstLineChars="200"/>
        <w:jc w:val="right"/>
        <w:rPr>
          <w:rFonts w:hint="eastAsia" w:ascii="宋体" w:hAnsi="宋体" w:cs="仿宋"/>
          <w:kern w:val="0"/>
          <w:sz w:val="24"/>
        </w:rPr>
      </w:pPr>
    </w:p>
    <w:p w14:paraId="2395E45E">
      <w:pPr>
        <w:spacing w:before="120" w:beforeLines="50" w:line="240" w:lineRule="auto"/>
        <w:ind w:firstLine="482" w:firstLineChars="200"/>
        <w:jc w:val="right"/>
        <w:rPr>
          <w:rFonts w:hint="eastAsia" w:ascii="宋体" w:hAnsi="宋体" w:cs="仿宋"/>
          <w:kern w:val="0"/>
          <w:sz w:val="24"/>
        </w:rPr>
      </w:pPr>
    </w:p>
    <w:p w14:paraId="58EA6493">
      <w:pPr>
        <w:spacing w:before="120" w:beforeLines="50" w:line="240" w:lineRule="auto"/>
        <w:ind w:firstLine="482" w:firstLineChars="200"/>
        <w:jc w:val="right"/>
        <w:rPr>
          <w:rFonts w:hint="eastAsia" w:ascii="宋体" w:hAnsi="宋体" w:cs="仿宋"/>
          <w:kern w:val="0"/>
          <w:sz w:val="24"/>
        </w:rPr>
      </w:pPr>
    </w:p>
    <w:p w14:paraId="36B416D6">
      <w:pPr>
        <w:spacing w:before="120" w:beforeLines="50" w:line="240" w:lineRule="auto"/>
        <w:ind w:firstLine="482" w:firstLineChars="200"/>
        <w:jc w:val="right"/>
        <w:rPr>
          <w:rFonts w:hint="eastAsia" w:ascii="宋体" w:hAnsi="宋体" w:cs="仿宋"/>
          <w:kern w:val="0"/>
          <w:sz w:val="24"/>
        </w:rPr>
      </w:pPr>
    </w:p>
    <w:p w14:paraId="084E5EC4">
      <w:pPr>
        <w:spacing w:before="120" w:beforeLines="50" w:line="240" w:lineRule="auto"/>
        <w:jc w:val="both"/>
        <w:rPr>
          <w:rFonts w:hint="eastAsia" w:ascii="宋体" w:hAnsi="宋体" w:cs="仿宋"/>
          <w:kern w:val="0"/>
          <w:sz w:val="24"/>
        </w:rPr>
      </w:pPr>
    </w:p>
    <w:p w14:paraId="7B0D58FF">
      <w:pPr>
        <w:spacing w:before="120" w:beforeLines="50" w:line="240" w:lineRule="auto"/>
        <w:ind w:firstLine="482" w:firstLineChars="200"/>
        <w:jc w:val="right"/>
        <w:rPr>
          <w:rFonts w:hint="eastAsia" w:ascii="宋体" w:hAnsi="宋体" w:cs="仿宋"/>
          <w:kern w:val="0"/>
          <w:sz w:val="24"/>
        </w:rPr>
      </w:pPr>
    </w:p>
    <w:p w14:paraId="78A2D56F">
      <w:pPr>
        <w:spacing w:before="120" w:beforeLines="50" w:line="240" w:lineRule="auto"/>
        <w:ind w:firstLine="482" w:firstLineChars="200"/>
        <w:jc w:val="right"/>
        <w:rPr>
          <w:rFonts w:hint="eastAsia" w:ascii="宋体" w:hAnsi="宋体" w:cs="仿宋"/>
          <w:kern w:val="0"/>
          <w:sz w:val="24"/>
        </w:rPr>
      </w:pPr>
    </w:p>
    <w:p w14:paraId="09495791">
      <w:pPr>
        <w:spacing w:before="120" w:beforeLines="50" w:line="240" w:lineRule="auto"/>
        <w:ind w:firstLine="482" w:firstLineChars="200"/>
        <w:jc w:val="right"/>
        <w:rPr>
          <w:rFonts w:ascii="宋体" w:hAnsi="宋体" w:cs="仿宋"/>
          <w:kern w:val="0"/>
          <w:sz w:val="24"/>
        </w:rPr>
      </w:pPr>
      <w:r>
        <w:rPr>
          <w:rFonts w:hint="eastAsia" w:ascii="宋体" w:hAnsi="宋体" w:cs="仿宋"/>
          <w:kern w:val="0"/>
          <w:sz w:val="24"/>
        </w:rPr>
        <w:t>单位名称：       （公章）</w:t>
      </w:r>
      <w:bookmarkEnd w:id="151"/>
    </w:p>
    <w:p w14:paraId="25BBA5CB">
      <w:pPr>
        <w:spacing w:before="120" w:beforeLines="50" w:line="240" w:lineRule="auto"/>
        <w:ind w:firstLine="482" w:firstLineChars="200"/>
        <w:jc w:val="right"/>
        <w:rPr>
          <w:rFonts w:ascii="宋体" w:hAnsi="宋体" w:cs="仿宋"/>
          <w:kern w:val="0"/>
          <w:sz w:val="24"/>
        </w:rPr>
      </w:pPr>
      <w:r>
        <w:rPr>
          <w:rFonts w:hint="eastAsia" w:ascii="宋体" w:hAnsi="宋体" w:cs="仿宋"/>
          <w:kern w:val="0"/>
          <w:sz w:val="24"/>
        </w:rPr>
        <w:t xml:space="preserve">        </w:t>
      </w:r>
      <w:bookmarkStart w:id="152" w:name="_Toc11539_WPSOffice_Level3"/>
      <w:r>
        <w:rPr>
          <w:rFonts w:hint="eastAsia" w:ascii="宋体" w:hAnsi="宋体" w:cs="仿宋"/>
          <w:kern w:val="0"/>
          <w:sz w:val="24"/>
        </w:rPr>
        <w:t>法定代表人或委托代理人：       （签字或盖章）</w:t>
      </w:r>
      <w:bookmarkEnd w:id="152"/>
    </w:p>
    <w:p w14:paraId="5FD8A225">
      <w:pPr>
        <w:spacing w:before="120" w:beforeLines="50" w:line="240" w:lineRule="auto"/>
        <w:ind w:firstLine="642" w:firstLineChars="200"/>
        <w:jc w:val="center"/>
        <w:rPr>
          <w:rFonts w:ascii="宋体" w:hAnsi="宋体" w:cs="仿宋"/>
          <w:kern w:val="0"/>
          <w:sz w:val="24"/>
        </w:rPr>
      </w:pPr>
      <w:r>
        <w:rPr>
          <w:rFonts w:hint="eastAsia" w:ascii="仿宋_GB2312" w:hAnsi="仿宋_GB2312" w:eastAsia="仿宋_GB2312" w:cs="仿宋_GB2312"/>
          <w:bCs/>
          <w:color w:val="000000"/>
          <w:sz w:val="32"/>
          <w:szCs w:val="32"/>
        </w:rPr>
        <w:t xml:space="preserve">                        </w:t>
      </w:r>
      <w:bookmarkStart w:id="153" w:name="_Toc3285_WPSOffice_Level3"/>
      <w:r>
        <w:rPr>
          <w:rFonts w:hint="eastAsia" w:ascii="宋体" w:hAnsi="宋体" w:cs="仿宋"/>
          <w:kern w:val="0"/>
          <w:sz w:val="24"/>
        </w:rPr>
        <w:t>年   月  日</w:t>
      </w:r>
      <w:bookmarkEnd w:id="153"/>
    </w:p>
    <w:p w14:paraId="15D4DFE2">
      <w:pPr>
        <w:autoSpaceDE w:val="0"/>
        <w:autoSpaceDN w:val="0"/>
        <w:spacing w:line="240" w:lineRule="auto"/>
        <w:jc w:val="both"/>
        <w:rPr>
          <w:b/>
          <w:bCs/>
          <w:kern w:val="0"/>
          <w:sz w:val="28"/>
          <w:szCs w:val="28"/>
          <w:lang w:val="zh-CN"/>
        </w:rPr>
      </w:pPr>
    </w:p>
    <w:p w14:paraId="2C6E63C2">
      <w:pPr>
        <w:bidi w:val="0"/>
        <w:spacing w:line="360" w:lineRule="auto"/>
        <w:jc w:val="center"/>
        <w:rPr>
          <w:b/>
          <w:bCs/>
          <w:kern w:val="0"/>
          <w:sz w:val="28"/>
          <w:szCs w:val="28"/>
        </w:rPr>
      </w:pPr>
      <w:r>
        <w:rPr>
          <w:b/>
          <w:bCs/>
          <w:kern w:val="0"/>
          <w:sz w:val="28"/>
          <w:szCs w:val="28"/>
        </w:rPr>
        <w:t>残疾人福利性单位声明函</w:t>
      </w:r>
    </w:p>
    <w:p w14:paraId="4AA85770">
      <w:pPr>
        <w:bidi w:val="0"/>
        <w:spacing w:line="360" w:lineRule="auto"/>
        <w:jc w:val="center"/>
        <w:rPr>
          <w:b/>
          <w:bCs/>
          <w:kern w:val="0"/>
          <w:sz w:val="28"/>
          <w:szCs w:val="28"/>
        </w:rPr>
      </w:pPr>
    </w:p>
    <w:p w14:paraId="5FF83274">
      <w:pPr>
        <w:adjustRightInd w:val="0"/>
        <w:snapToGrid w:val="0"/>
        <w:spacing w:line="360" w:lineRule="auto"/>
        <w:ind w:left="6960" w:hanging="6989" w:hangingChars="2900"/>
        <w:rPr>
          <w:b/>
          <w:bCs/>
          <w:color w:val="000000"/>
          <w:kern w:val="0"/>
          <w:sz w:val="24"/>
          <w:lang w:val="zh-CN"/>
        </w:rPr>
      </w:pPr>
      <w:r>
        <w:rPr>
          <w:b/>
          <w:bCs/>
          <w:kern w:val="0"/>
          <w:sz w:val="24"/>
          <w:lang w:val="zh-CN"/>
        </w:rPr>
        <w:t>致：</w:t>
      </w:r>
      <w:r>
        <w:rPr>
          <w:rFonts w:hint="eastAsia"/>
          <w:b/>
          <w:bCs/>
          <w:color w:val="000000"/>
          <w:kern w:val="0"/>
          <w:sz w:val="24"/>
          <w:lang w:val="zh-CN"/>
        </w:rPr>
        <w:t>湟源县政府采购服务中心</w:t>
      </w:r>
    </w:p>
    <w:p w14:paraId="4A57D6F6">
      <w:pPr>
        <w:adjustRightInd w:val="0"/>
        <w:snapToGrid w:val="0"/>
        <w:spacing w:line="360" w:lineRule="auto"/>
        <w:ind w:firstLine="482" w:firstLineChars="200"/>
        <w:rPr>
          <w:sz w:val="24"/>
        </w:rPr>
      </w:pPr>
      <w:r>
        <w:rPr>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706ABC47">
      <w:pPr>
        <w:adjustRightInd w:val="0"/>
        <w:snapToGrid w:val="0"/>
        <w:spacing w:line="360" w:lineRule="auto"/>
        <w:ind w:left="-4" w:leftChars="-2" w:firstLine="482" w:firstLineChars="200"/>
        <w:rPr>
          <w:sz w:val="24"/>
        </w:rPr>
      </w:pPr>
      <w:r>
        <w:rPr>
          <w:sz w:val="24"/>
        </w:rPr>
        <w:t>本单位对上述声明的真实性负责。如有虚假，将依法承担相应责任。</w:t>
      </w:r>
    </w:p>
    <w:p w14:paraId="576625AD">
      <w:pPr>
        <w:adjustRightInd w:val="0"/>
        <w:snapToGrid w:val="0"/>
        <w:spacing w:line="360" w:lineRule="auto"/>
        <w:ind w:left="-4" w:leftChars="-2" w:firstLine="482" w:firstLineChars="200"/>
        <w:rPr>
          <w:sz w:val="24"/>
        </w:rPr>
      </w:pPr>
    </w:p>
    <w:p w14:paraId="31026A20">
      <w:pPr>
        <w:adjustRightInd w:val="0"/>
        <w:snapToGrid w:val="0"/>
        <w:spacing w:line="360" w:lineRule="auto"/>
        <w:ind w:left="-4" w:leftChars="-2" w:firstLine="482" w:firstLineChars="200"/>
        <w:rPr>
          <w:sz w:val="24"/>
        </w:rPr>
      </w:pPr>
    </w:p>
    <w:p w14:paraId="30ED561F">
      <w:pPr>
        <w:adjustRightInd w:val="0"/>
        <w:snapToGrid w:val="0"/>
        <w:spacing w:line="360" w:lineRule="auto"/>
        <w:rPr>
          <w:rFonts w:hint="eastAsia"/>
        </w:rPr>
      </w:pPr>
      <w:r>
        <w:rPr>
          <w:sz w:val="24"/>
        </w:rPr>
        <w:t>注：若无此项内容，可不提供此函。</w:t>
      </w:r>
    </w:p>
    <w:p w14:paraId="04F640CE">
      <w:pPr>
        <w:spacing w:line="240" w:lineRule="auto"/>
        <w:ind w:firstLine="480"/>
        <w:rPr>
          <w:rFonts w:hint="eastAsia"/>
        </w:rPr>
      </w:pPr>
    </w:p>
    <w:p w14:paraId="75C82579">
      <w:pPr>
        <w:spacing w:line="240" w:lineRule="auto"/>
        <w:ind w:firstLine="480"/>
        <w:rPr>
          <w:rFonts w:hint="eastAsia"/>
        </w:rPr>
      </w:pPr>
    </w:p>
    <w:p w14:paraId="6B5D056E">
      <w:pPr>
        <w:spacing w:line="240" w:lineRule="auto"/>
        <w:rPr>
          <w:rFonts w:hint="eastAsia"/>
        </w:rPr>
      </w:pPr>
    </w:p>
    <w:p w14:paraId="66EFE664">
      <w:pPr>
        <w:spacing w:line="240" w:lineRule="auto"/>
        <w:ind w:firstLine="480"/>
      </w:pPr>
    </w:p>
    <w:p w14:paraId="1227F597">
      <w:pPr>
        <w:autoSpaceDE w:val="0"/>
        <w:autoSpaceDN w:val="0"/>
        <w:spacing w:line="240" w:lineRule="auto"/>
        <w:jc w:val="right"/>
        <w:rPr>
          <w:bCs/>
          <w:sz w:val="24"/>
          <w:szCs w:val="28"/>
        </w:rPr>
      </w:pPr>
      <w:r>
        <w:rPr>
          <w:b/>
        </w:rPr>
        <w:t xml:space="preserve">                      </w:t>
      </w:r>
      <w:r>
        <w:rPr>
          <w:bCs/>
          <w:sz w:val="24"/>
          <w:szCs w:val="28"/>
        </w:rPr>
        <w:t>企业名称：       （公章）</w:t>
      </w:r>
    </w:p>
    <w:p w14:paraId="237400F9">
      <w:pPr>
        <w:autoSpaceDE w:val="0"/>
        <w:autoSpaceDN w:val="0"/>
        <w:spacing w:line="240" w:lineRule="auto"/>
        <w:jc w:val="right"/>
        <w:rPr>
          <w:bCs/>
          <w:sz w:val="24"/>
          <w:szCs w:val="28"/>
        </w:rPr>
      </w:pPr>
      <w:r>
        <w:rPr>
          <w:bCs/>
          <w:sz w:val="24"/>
          <w:szCs w:val="28"/>
        </w:rPr>
        <w:t xml:space="preserve">       企业法定代表人：       （签字或盖章）</w:t>
      </w:r>
    </w:p>
    <w:p w14:paraId="48862CDF">
      <w:pPr>
        <w:spacing w:line="240" w:lineRule="auto"/>
        <w:rPr>
          <w:lang w:val="zh-CN"/>
        </w:rPr>
      </w:pPr>
      <w:r>
        <w:rPr>
          <w:bCs/>
          <w:sz w:val="24"/>
          <w:szCs w:val="28"/>
        </w:rPr>
        <w:t xml:space="preserve">                                                 年   月  日</w:t>
      </w:r>
    </w:p>
    <w:p w14:paraId="145D42B9">
      <w:pPr>
        <w:spacing w:line="240" w:lineRule="auto"/>
        <w:rPr>
          <w:lang w:val="zh-CN"/>
        </w:rPr>
      </w:pPr>
    </w:p>
    <w:p w14:paraId="34933A8E">
      <w:pPr>
        <w:pStyle w:val="27"/>
        <w:spacing w:before="0" w:after="0" w:line="240" w:lineRule="auto"/>
        <w:jc w:val="left"/>
        <w:rPr>
          <w:rFonts w:ascii="Times New Roman" w:hAnsi="Times New Roman"/>
        </w:rPr>
      </w:pPr>
      <w:r>
        <w:rPr>
          <w:rFonts w:ascii="Times New Roman" w:hAnsi="Times New Roman"/>
          <w:sz w:val="30"/>
          <w:szCs w:val="30"/>
        </w:rPr>
        <w:br w:type="page"/>
      </w:r>
      <w:bookmarkStart w:id="154" w:name="_Toc8114"/>
      <w:r>
        <w:rPr>
          <w:rFonts w:hint="eastAsia" w:ascii="Times New Roman" w:hAnsi="Times New Roman"/>
          <w:sz w:val="30"/>
          <w:szCs w:val="30"/>
        </w:rPr>
        <w:t>格式1</w:t>
      </w:r>
      <w:r>
        <w:rPr>
          <w:rFonts w:hint="eastAsia" w:ascii="Times New Roman" w:hAnsi="Times New Roman"/>
          <w:sz w:val="30"/>
          <w:szCs w:val="30"/>
          <w:lang w:val="en-US" w:eastAsia="zh-CN"/>
        </w:rPr>
        <w:t>7</w:t>
      </w:r>
      <w:r>
        <w:rPr>
          <w:rFonts w:hint="eastAsia" w:ascii="Times New Roman" w:hAnsi="Times New Roman"/>
          <w:sz w:val="30"/>
          <w:szCs w:val="30"/>
        </w:rPr>
        <w:t>：</w:t>
      </w:r>
      <w:r>
        <w:rPr>
          <w:rFonts w:hint="eastAsia" w:ascii="Times New Roman" w:hAnsi="Times New Roman"/>
          <w:sz w:val="30"/>
          <w:szCs w:val="30"/>
          <w:lang w:val="zh-CN"/>
        </w:rPr>
        <w:t>供应商</w:t>
      </w:r>
      <w:r>
        <w:rPr>
          <w:rFonts w:ascii="Times New Roman" w:hAnsi="Times New Roman"/>
          <w:sz w:val="30"/>
          <w:szCs w:val="30"/>
          <w:lang w:val="zh-CN"/>
        </w:rPr>
        <w:t>认为在其他方面有必要说明的事项</w:t>
      </w:r>
      <w:bookmarkEnd w:id="145"/>
      <w:bookmarkEnd w:id="146"/>
      <w:bookmarkEnd w:id="154"/>
    </w:p>
    <w:p w14:paraId="6E596240">
      <w:pPr>
        <w:autoSpaceDE w:val="0"/>
        <w:autoSpaceDN w:val="0"/>
        <w:spacing w:line="240" w:lineRule="auto"/>
        <w:jc w:val="center"/>
        <w:rPr>
          <w:kern w:val="0"/>
          <w:sz w:val="28"/>
          <w:szCs w:val="28"/>
          <w:lang w:val="zh-CN"/>
        </w:rPr>
      </w:pPr>
    </w:p>
    <w:p w14:paraId="4970A8B8">
      <w:pPr>
        <w:autoSpaceDE w:val="0"/>
        <w:autoSpaceDN w:val="0"/>
        <w:spacing w:line="240" w:lineRule="auto"/>
        <w:jc w:val="center"/>
        <w:rPr>
          <w:b/>
          <w:bCs/>
          <w:kern w:val="0"/>
          <w:sz w:val="28"/>
          <w:szCs w:val="28"/>
          <w:lang w:val="zh-CN"/>
        </w:rPr>
      </w:pPr>
      <w:r>
        <w:rPr>
          <w:rFonts w:hint="eastAsia"/>
          <w:b/>
          <w:bCs/>
          <w:kern w:val="0"/>
          <w:sz w:val="28"/>
          <w:szCs w:val="28"/>
          <w:lang w:val="zh-CN"/>
        </w:rPr>
        <w:t>供应商</w:t>
      </w:r>
      <w:r>
        <w:rPr>
          <w:b/>
          <w:bCs/>
          <w:kern w:val="0"/>
          <w:sz w:val="28"/>
          <w:szCs w:val="28"/>
          <w:lang w:val="zh-CN"/>
        </w:rPr>
        <w:t>认为在其他方面有必要说明的事项</w:t>
      </w:r>
    </w:p>
    <w:p w14:paraId="686BBFE0">
      <w:pPr>
        <w:autoSpaceDE w:val="0"/>
        <w:autoSpaceDN w:val="0"/>
        <w:spacing w:line="240" w:lineRule="auto"/>
        <w:jc w:val="center"/>
        <w:rPr>
          <w:sz w:val="24"/>
        </w:rPr>
      </w:pPr>
    </w:p>
    <w:p w14:paraId="434E329A">
      <w:pPr>
        <w:spacing w:line="240" w:lineRule="auto"/>
        <w:ind w:firstLine="482" w:firstLineChars="200"/>
        <w:jc w:val="left"/>
        <w:rPr>
          <w:sz w:val="24"/>
        </w:rPr>
      </w:pPr>
      <w:r>
        <w:rPr>
          <w:rFonts w:hint="eastAsia"/>
          <w:sz w:val="24"/>
        </w:rPr>
        <w:t>投标供应商在参加本项目</w:t>
      </w:r>
      <w:r>
        <w:rPr>
          <w:rFonts w:hint="eastAsia"/>
          <w:sz w:val="24"/>
          <w:lang w:val="en-US" w:eastAsia="zh-CN"/>
        </w:rPr>
        <w:t>投标</w:t>
      </w:r>
      <w:r>
        <w:rPr>
          <w:rFonts w:hint="eastAsia"/>
          <w:sz w:val="24"/>
        </w:rPr>
        <w:t>中根据</w:t>
      </w:r>
      <w:r>
        <w:rPr>
          <w:rFonts w:hint="eastAsia"/>
          <w:sz w:val="24"/>
          <w:lang w:val="en-US" w:eastAsia="zh-CN"/>
        </w:rPr>
        <w:t>招标</w:t>
      </w:r>
      <w:r>
        <w:rPr>
          <w:rFonts w:hint="eastAsia"/>
          <w:sz w:val="24"/>
        </w:rPr>
        <w:t>文件的要求认为需要说明的事项。如没有说明事项，此项可忽略。（格式可自定）</w:t>
      </w:r>
    </w:p>
    <w:p w14:paraId="483506B5">
      <w:pPr>
        <w:widowControl/>
        <w:spacing w:line="240" w:lineRule="auto"/>
        <w:jc w:val="left"/>
        <w:rPr>
          <w:rFonts w:ascii="宋体"/>
          <w:b/>
          <w:bCs/>
          <w:color w:val="000000"/>
          <w:kern w:val="28"/>
          <w:sz w:val="48"/>
          <w:szCs w:val="32"/>
        </w:rPr>
      </w:pPr>
      <w:r>
        <w:rPr>
          <w:rFonts w:ascii="宋体"/>
          <w:color w:val="000000"/>
          <w:sz w:val="48"/>
        </w:rPr>
        <w:br w:type="page"/>
      </w:r>
    </w:p>
    <w:bookmarkEnd w:id="75"/>
    <w:p w14:paraId="1B5F62BA">
      <w:pPr>
        <w:pStyle w:val="27"/>
        <w:spacing w:line="240" w:lineRule="auto"/>
        <w:rPr>
          <w:rFonts w:ascii="Times New Roman" w:hAnsi="Times New Roman"/>
        </w:rPr>
      </w:pPr>
      <w:bookmarkStart w:id="155" w:name="_Toc22706"/>
      <w:bookmarkStart w:id="156" w:name="_Toc496626259"/>
      <w:r>
        <w:rPr>
          <w:rFonts w:ascii="Times New Roman" w:hAnsi="Times New Roman"/>
          <w:lang w:val="zh-CN"/>
        </w:rPr>
        <w:t>第五部分  采购项目要求及技术参数</w:t>
      </w:r>
      <w:bookmarkEnd w:id="155"/>
    </w:p>
    <w:p w14:paraId="2F4823DA">
      <w:pPr>
        <w:pStyle w:val="23"/>
        <w:spacing w:line="240" w:lineRule="auto"/>
        <w:jc w:val="left"/>
        <w:rPr>
          <w:rFonts w:ascii="Times New Roman" w:hAnsi="Times New Roman"/>
          <w:szCs w:val="36"/>
        </w:rPr>
      </w:pPr>
      <w:bookmarkStart w:id="157" w:name="_Toc24135"/>
      <w:bookmarkStart w:id="158" w:name="_Toc5937"/>
      <w:bookmarkStart w:id="159" w:name="_Toc444715746"/>
      <w:r>
        <w:rPr>
          <w:rFonts w:ascii="Times New Roman" w:hAnsi="Times New Roman"/>
          <w:lang w:val="zh-CN"/>
        </w:rPr>
        <w:t>一、投标要求</w:t>
      </w:r>
      <w:bookmarkEnd w:id="157"/>
      <w:bookmarkEnd w:id="158"/>
      <w:bookmarkEnd w:id="159"/>
    </w:p>
    <w:p w14:paraId="28943713">
      <w:pPr>
        <w:pStyle w:val="16"/>
        <w:numPr>
          <w:ilvl w:val="0"/>
          <w:numId w:val="8"/>
        </w:numPr>
        <w:spacing w:line="240" w:lineRule="auto"/>
        <w:rPr>
          <w:rFonts w:ascii="Times New Roman" w:hAnsi="Times New Roman"/>
          <w:kern w:val="0"/>
          <w:sz w:val="24"/>
          <w:lang w:val="zh-CN"/>
        </w:rPr>
      </w:pPr>
      <w:bookmarkStart w:id="160" w:name="_Toc5271"/>
      <w:bookmarkStart w:id="161" w:name="_Toc444715747"/>
      <w:r>
        <w:rPr>
          <w:rFonts w:ascii="Times New Roman" w:hAnsi="Times New Roman"/>
          <w:b/>
          <w:sz w:val="24"/>
          <w:szCs w:val="28"/>
        </w:rPr>
        <w:t>投标说明</w:t>
      </w:r>
      <w:bookmarkEnd w:id="160"/>
      <w:bookmarkEnd w:id="161"/>
    </w:p>
    <w:p w14:paraId="44422EB0">
      <w:pPr>
        <w:autoSpaceDE w:val="0"/>
        <w:autoSpaceDN w:val="0"/>
        <w:spacing w:line="240" w:lineRule="auto"/>
        <w:ind w:firstLine="482" w:firstLineChars="200"/>
        <w:rPr>
          <w:kern w:val="0"/>
          <w:sz w:val="24"/>
          <w:lang w:val="zh-CN"/>
        </w:rPr>
      </w:pPr>
      <w:r>
        <w:rPr>
          <w:kern w:val="0"/>
          <w:sz w:val="24"/>
          <w:lang w:val="zh-CN"/>
        </w:rPr>
        <w:t>1.1</w:t>
      </w:r>
      <w:r>
        <w:rPr>
          <w:kern w:val="0"/>
          <w:sz w:val="24"/>
        </w:rPr>
        <w:t xml:space="preserve"> </w:t>
      </w:r>
      <w:r>
        <w:rPr>
          <w:rFonts w:hint="eastAsia"/>
          <w:kern w:val="0"/>
          <w:sz w:val="24"/>
          <w:lang w:val="zh-CN"/>
        </w:rPr>
        <w:t>供应商须</w:t>
      </w:r>
      <w:r>
        <w:rPr>
          <w:kern w:val="0"/>
          <w:sz w:val="24"/>
          <w:lang w:val="zh-CN"/>
        </w:rPr>
        <w:t>按照招标文件规定的包号投标，但必须对所投包号中的所有内容作为一个整体进行投标，不能拆分或少报。否则，投标无效。</w:t>
      </w:r>
    </w:p>
    <w:p w14:paraId="4E50C4E9">
      <w:pPr>
        <w:autoSpaceDE w:val="0"/>
        <w:autoSpaceDN w:val="0"/>
        <w:spacing w:line="240" w:lineRule="auto"/>
        <w:ind w:firstLine="482" w:firstLineChars="200"/>
        <w:rPr>
          <w:kern w:val="0"/>
          <w:sz w:val="24"/>
          <w:lang w:val="zh-CN"/>
        </w:rPr>
      </w:pPr>
      <w:r>
        <w:rPr>
          <w:kern w:val="0"/>
          <w:sz w:val="24"/>
          <w:lang w:val="zh-CN"/>
        </w:rPr>
        <w:t>1.2</w:t>
      </w:r>
      <w:r>
        <w:rPr>
          <w:kern w:val="0"/>
          <w:sz w:val="24"/>
        </w:rPr>
        <w:t xml:space="preserve"> </w:t>
      </w:r>
      <w:r>
        <w:rPr>
          <w:rFonts w:hint="eastAsia"/>
          <w:kern w:val="0"/>
          <w:sz w:val="24"/>
          <w:lang w:val="zh-CN"/>
        </w:rPr>
        <w:t>供应商</w:t>
      </w:r>
      <w:r>
        <w:rPr>
          <w:kern w:val="0"/>
          <w:sz w:val="24"/>
          <w:lang w:val="zh-CN"/>
        </w:rPr>
        <w:t>必须如实填写“技术规格响应表”，在“投标产品技术参数、指标”栏中列出所投产品的具体技术参数、指标；以采购人需求为最低指标要求，</w:t>
      </w:r>
      <w:r>
        <w:rPr>
          <w:rFonts w:hint="eastAsia"/>
          <w:kern w:val="0"/>
          <w:sz w:val="24"/>
          <w:lang w:val="zh-CN"/>
        </w:rPr>
        <w:t>供应商</w:t>
      </w:r>
      <w:r>
        <w:rPr>
          <w:kern w:val="0"/>
          <w:sz w:val="24"/>
          <w:lang w:val="zh-CN"/>
        </w:rPr>
        <w:t>对超出或不满足最低指标要求的指标需列出“＋、-”偏差。如果与投标文件中提供的产品检测报告、彩页等证明材料中的实质性响应情况不一致或直接复制招标文件“采购需求技术参数、指标”内容的，按无效投标处理。</w:t>
      </w:r>
    </w:p>
    <w:p w14:paraId="07F32CDE">
      <w:pPr>
        <w:autoSpaceDE w:val="0"/>
        <w:autoSpaceDN w:val="0"/>
        <w:spacing w:line="240" w:lineRule="auto"/>
        <w:ind w:firstLine="482" w:firstLineChars="200"/>
        <w:jc w:val="left"/>
        <w:rPr>
          <w:rFonts w:hint="eastAsia"/>
          <w:kern w:val="0"/>
          <w:sz w:val="24"/>
          <w:lang w:val="zh-CN"/>
        </w:rPr>
      </w:pPr>
      <w:r>
        <w:rPr>
          <w:kern w:val="0"/>
          <w:sz w:val="24"/>
          <w:lang w:val="zh-CN"/>
        </w:rPr>
        <w:t>1.3投标报价应包含全部</w:t>
      </w:r>
      <w:r>
        <w:rPr>
          <w:rFonts w:hint="eastAsia"/>
          <w:sz w:val="24"/>
          <w:lang w:eastAsia="zh-CN"/>
        </w:rPr>
        <w:t>产品费、验收费、手续费、包装费、运输费、保险费、售前、售中、售后服务费、招标代理费、税</w:t>
      </w:r>
      <w:r>
        <w:rPr>
          <w:rFonts w:hint="eastAsia"/>
          <w:color w:val="auto"/>
          <w:sz w:val="24"/>
          <w:lang w:eastAsia="zh-CN"/>
        </w:rPr>
        <w:t>金、抽样检测费及不</w:t>
      </w:r>
      <w:r>
        <w:rPr>
          <w:rFonts w:hint="eastAsia"/>
          <w:sz w:val="24"/>
          <w:lang w:eastAsia="zh-CN"/>
        </w:rPr>
        <w:t>可预见费等全部费用。</w:t>
      </w:r>
      <w:r>
        <w:rPr>
          <w:kern w:val="0"/>
          <w:sz w:val="24"/>
          <w:lang w:val="zh-CN"/>
        </w:rPr>
        <w:t>若投标报价不能完全包括上述内容，该投标将被视为非实质性相应。</w:t>
      </w:r>
    </w:p>
    <w:p w14:paraId="054883BC">
      <w:pPr>
        <w:pStyle w:val="16"/>
        <w:spacing w:line="240" w:lineRule="auto"/>
        <w:ind w:firstLine="482" w:firstLineChars="200"/>
        <w:rPr>
          <w:rFonts w:hint="eastAsia" w:ascii="Times New Roman" w:hAnsi="Times New Roman" w:eastAsia="宋体"/>
          <w:kern w:val="0"/>
          <w:sz w:val="24"/>
          <w:szCs w:val="24"/>
          <w:lang w:val="zh-CN" w:eastAsia="zh-CN"/>
        </w:rPr>
      </w:pPr>
      <w:r>
        <w:rPr>
          <w:rFonts w:ascii="Times New Roman" w:hAnsi="Times New Roman"/>
          <w:kern w:val="0"/>
          <w:sz w:val="24"/>
          <w:szCs w:val="24"/>
        </w:rPr>
        <w:t>1.4 项目中标后分包情况：</w:t>
      </w:r>
      <w:r>
        <w:rPr>
          <w:rFonts w:ascii="Times New Roman" w:hAnsi="Times New Roman"/>
          <w:kern w:val="0"/>
          <w:sz w:val="24"/>
          <w:szCs w:val="24"/>
          <w:lang w:bidi="ar"/>
        </w:rPr>
        <w:t>不允许</w:t>
      </w:r>
      <w:r>
        <w:rPr>
          <w:rFonts w:ascii="Times New Roman" w:hAnsi="Times New Roman"/>
          <w:kern w:val="0"/>
          <w:sz w:val="24"/>
          <w:szCs w:val="24"/>
        </w:rPr>
        <w:t>。（允许，</w:t>
      </w:r>
      <w:r>
        <w:rPr>
          <w:rFonts w:hint="eastAsia" w:ascii="Times New Roman" w:hAnsi="Times New Roman"/>
          <w:kern w:val="0"/>
          <w:sz w:val="24"/>
          <w:szCs w:val="24"/>
          <w:lang w:eastAsia="zh-CN"/>
        </w:rPr>
        <w:t>供应商</w:t>
      </w:r>
      <w:r>
        <w:rPr>
          <w:rFonts w:ascii="Times New Roman" w:hAnsi="Times New Roman"/>
          <w:kern w:val="0"/>
          <w:sz w:val="24"/>
          <w:szCs w:val="24"/>
        </w:rPr>
        <w:t>拟在中标后将中标项目的非主体、非关键</w:t>
      </w:r>
      <w:r>
        <w:rPr>
          <w:rFonts w:hint="eastAsia" w:ascii="Times New Roman" w:hAnsi="Times New Roman"/>
          <w:kern w:val="0"/>
          <w:sz w:val="24"/>
          <w:szCs w:val="24"/>
        </w:rPr>
        <w:t>性工作分包的，应当在投标文件中载明分包承担主体，分包承担主体应当具备相应</w:t>
      </w:r>
      <w:r>
        <w:rPr>
          <w:rFonts w:ascii="Times New Roman" w:hAnsi="Times New Roman"/>
          <w:kern w:val="0"/>
          <w:sz w:val="24"/>
          <w:szCs w:val="24"/>
        </w:rPr>
        <w:t>资质条件且不得再次分包）</w:t>
      </w:r>
      <w:r>
        <w:rPr>
          <w:rFonts w:hint="eastAsia" w:ascii="Times New Roman" w:hAnsi="Times New Roman"/>
          <w:kern w:val="0"/>
          <w:sz w:val="24"/>
          <w:szCs w:val="24"/>
          <w:lang w:eastAsia="zh-CN"/>
        </w:rPr>
        <w:t>。</w:t>
      </w:r>
    </w:p>
    <w:p w14:paraId="704BA874">
      <w:pPr>
        <w:pStyle w:val="16"/>
        <w:numPr>
          <w:ilvl w:val="0"/>
          <w:numId w:val="8"/>
        </w:numPr>
        <w:spacing w:line="240" w:lineRule="auto"/>
        <w:rPr>
          <w:rFonts w:ascii="Times New Roman" w:hAnsi="Times New Roman"/>
          <w:b/>
          <w:sz w:val="24"/>
          <w:szCs w:val="28"/>
        </w:rPr>
      </w:pPr>
      <w:bookmarkStart w:id="162" w:name="_Toc32105"/>
      <w:bookmarkStart w:id="163" w:name="_Toc444715749"/>
      <w:r>
        <w:rPr>
          <w:rFonts w:ascii="Times New Roman" w:hAnsi="Times New Roman"/>
          <w:b/>
          <w:sz w:val="24"/>
          <w:szCs w:val="28"/>
        </w:rPr>
        <w:t>重要指标</w:t>
      </w:r>
      <w:bookmarkEnd w:id="162"/>
      <w:bookmarkEnd w:id="163"/>
    </w:p>
    <w:p w14:paraId="5634EBBC">
      <w:pPr>
        <w:pStyle w:val="16"/>
        <w:spacing w:line="240" w:lineRule="auto"/>
        <w:ind w:firstLine="482" w:firstLineChars="200"/>
        <w:rPr>
          <w:rFonts w:hint="eastAsia"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lang w:val="zh-CN"/>
        </w:rPr>
        <w:t>.1</w:t>
      </w:r>
      <w:r>
        <w:rPr>
          <w:rFonts w:hint="eastAsia" w:ascii="Times New Roman" w:hAnsi="Times New Roman"/>
          <w:kern w:val="0"/>
          <w:sz w:val="24"/>
          <w:szCs w:val="24"/>
        </w:rPr>
        <w:t>投标人需承诺能够满足与青海省统一政务服务平台无缝对接，提供书面承诺并加盖公章，承诺</w:t>
      </w:r>
      <w:r>
        <w:rPr>
          <w:rFonts w:hint="eastAsia" w:ascii="Times New Roman" w:hAnsi="Times New Roman"/>
          <w:kern w:val="0"/>
          <w:sz w:val="24"/>
          <w:szCs w:val="24"/>
          <w:lang w:val="en-US" w:eastAsia="zh-CN"/>
        </w:rPr>
        <w:t>中包括由此</w:t>
      </w:r>
      <w:r>
        <w:rPr>
          <w:rFonts w:hint="eastAsia" w:ascii="Times New Roman" w:hAnsi="Times New Roman"/>
          <w:kern w:val="0"/>
          <w:sz w:val="24"/>
          <w:szCs w:val="24"/>
        </w:rPr>
        <w:t>产生的费用由投标人自行承担</w:t>
      </w: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格式自拟</w:t>
      </w:r>
      <w:r>
        <w:rPr>
          <w:rFonts w:hint="eastAsia" w:ascii="Times New Roman" w:hAnsi="Times New Roman"/>
          <w:kern w:val="0"/>
          <w:sz w:val="24"/>
          <w:szCs w:val="24"/>
          <w:lang w:eastAsia="zh-CN"/>
        </w:rPr>
        <w:t>）</w:t>
      </w:r>
      <w:r>
        <w:rPr>
          <w:rFonts w:hint="eastAsia" w:ascii="Times New Roman" w:hAnsi="Times New Roman"/>
          <w:kern w:val="0"/>
          <w:sz w:val="24"/>
          <w:szCs w:val="24"/>
        </w:rPr>
        <w:t>。</w:t>
      </w:r>
    </w:p>
    <w:p w14:paraId="10692B61">
      <w:pPr>
        <w:pStyle w:val="16"/>
        <w:spacing w:line="240" w:lineRule="auto"/>
        <w:ind w:firstLine="482" w:firstLineChars="200"/>
        <w:rPr>
          <w:rFonts w:ascii="Times New Roman" w:hAnsi="Times New Roman"/>
          <w:kern w:val="0"/>
          <w:sz w:val="24"/>
          <w:szCs w:val="24"/>
        </w:rPr>
      </w:pPr>
      <w:r>
        <w:rPr>
          <w:rFonts w:hint="eastAsia" w:ascii="Times New Roman" w:hAnsi="Times New Roman"/>
          <w:kern w:val="0"/>
          <w:sz w:val="24"/>
          <w:lang w:val="en-US" w:eastAsia="zh-CN"/>
        </w:rPr>
        <w:t>2.2</w:t>
      </w:r>
      <w:r>
        <w:rPr>
          <w:rFonts w:ascii="Times New Roman" w:hAnsi="Times New Roman"/>
          <w:kern w:val="0"/>
          <w:sz w:val="24"/>
          <w:szCs w:val="24"/>
        </w:rPr>
        <w:t>技术参数中除注明签订合同时提供的相关授权、服务承诺等资料以外，其余相关资料在投标时必须附在投标文件中。</w:t>
      </w:r>
    </w:p>
    <w:p w14:paraId="5CBA1285">
      <w:pPr>
        <w:pStyle w:val="16"/>
        <w:spacing w:line="240" w:lineRule="auto"/>
        <w:ind w:firstLine="482" w:firstLineChars="200"/>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2.3本次采购软硬件需满足国产化要求；</w:t>
      </w:r>
    </w:p>
    <w:p w14:paraId="2575E3CD">
      <w:pPr>
        <w:pStyle w:val="16"/>
        <w:numPr>
          <w:ilvl w:val="0"/>
          <w:numId w:val="8"/>
        </w:numPr>
        <w:spacing w:line="240" w:lineRule="auto"/>
        <w:rPr>
          <w:rFonts w:ascii="Times New Roman" w:hAnsi="Times New Roman"/>
          <w:b/>
          <w:sz w:val="24"/>
          <w:szCs w:val="28"/>
          <w:highlight w:val="none"/>
        </w:rPr>
      </w:pPr>
      <w:bookmarkStart w:id="164" w:name="_Toc4237"/>
      <w:bookmarkStart w:id="165" w:name="_Toc444715751"/>
      <w:r>
        <w:rPr>
          <w:rFonts w:ascii="Times New Roman" w:hAnsi="Times New Roman"/>
          <w:b/>
          <w:sz w:val="24"/>
          <w:szCs w:val="28"/>
          <w:highlight w:val="none"/>
        </w:rPr>
        <w:t>商务要求</w:t>
      </w:r>
    </w:p>
    <w:p w14:paraId="0D058AE5">
      <w:pPr>
        <w:autoSpaceDE w:val="0"/>
        <w:autoSpaceDN w:val="0"/>
        <w:spacing w:line="240" w:lineRule="auto"/>
        <w:ind w:left="425"/>
        <w:rPr>
          <w:rFonts w:hint="default" w:ascii="宋体" w:hAnsi="宋体" w:eastAsia="宋体"/>
          <w:b w:val="0"/>
          <w:bCs w:val="0"/>
          <w:color w:val="FF0000"/>
          <w:sz w:val="24"/>
          <w:highlight w:val="none"/>
          <w:lang w:val="en-US" w:eastAsia="zh-CN"/>
        </w:rPr>
      </w:pPr>
      <w:bookmarkStart w:id="167" w:name="_GoBack"/>
      <w:r>
        <w:rPr>
          <w:b w:val="0"/>
          <w:bCs w:val="0"/>
          <w:color w:val="auto"/>
          <w:kern w:val="0"/>
          <w:sz w:val="24"/>
          <w:highlight w:val="none"/>
        </w:rPr>
        <w:t>3</w:t>
      </w:r>
      <w:r>
        <w:rPr>
          <w:b w:val="0"/>
          <w:bCs w:val="0"/>
          <w:color w:val="auto"/>
          <w:kern w:val="0"/>
          <w:sz w:val="24"/>
          <w:highlight w:val="none"/>
          <w:lang w:val="zh-CN"/>
        </w:rPr>
        <w:t>.1.交货期：</w:t>
      </w:r>
      <w:r>
        <w:rPr>
          <w:rFonts w:hint="eastAsia"/>
          <w:b w:val="0"/>
          <w:bCs w:val="0"/>
          <w:color w:val="auto"/>
          <w:kern w:val="0"/>
          <w:sz w:val="24"/>
          <w:highlight w:val="none"/>
          <w:lang w:val="en-US" w:eastAsia="zh-CN"/>
        </w:rPr>
        <w:t>自合同签订之日起60个工作日；</w:t>
      </w:r>
    </w:p>
    <w:bookmarkEnd w:id="167"/>
    <w:p w14:paraId="46F5D068">
      <w:pPr>
        <w:autoSpaceDE w:val="0"/>
        <w:autoSpaceDN w:val="0"/>
        <w:spacing w:line="240" w:lineRule="auto"/>
        <w:ind w:left="425"/>
        <w:rPr>
          <w:color w:val="auto"/>
          <w:sz w:val="24"/>
          <w:highlight w:val="none"/>
          <w:u w:val="single"/>
        </w:rPr>
      </w:pPr>
      <w:r>
        <w:rPr>
          <w:color w:val="auto"/>
          <w:kern w:val="0"/>
          <w:sz w:val="24"/>
          <w:highlight w:val="none"/>
        </w:rPr>
        <w:t>3</w:t>
      </w:r>
      <w:r>
        <w:rPr>
          <w:color w:val="auto"/>
          <w:kern w:val="0"/>
          <w:sz w:val="24"/>
          <w:highlight w:val="none"/>
          <w:lang w:val="zh-CN"/>
        </w:rPr>
        <w:t>.2.</w:t>
      </w:r>
      <w:r>
        <w:rPr>
          <w:color w:val="auto"/>
          <w:sz w:val="24"/>
          <w:highlight w:val="none"/>
        </w:rPr>
        <w:t>交货地点：</w:t>
      </w:r>
      <w:r>
        <w:rPr>
          <w:rFonts w:hint="eastAsia"/>
          <w:color w:val="auto"/>
          <w:kern w:val="0"/>
          <w:sz w:val="24"/>
          <w:highlight w:val="none"/>
          <w:lang w:val="zh-CN"/>
        </w:rPr>
        <w:t>采购单位指定地点</w:t>
      </w:r>
      <w:r>
        <w:rPr>
          <w:color w:val="auto"/>
          <w:kern w:val="0"/>
          <w:sz w:val="24"/>
          <w:highlight w:val="none"/>
          <w:lang w:val="zh-CN"/>
        </w:rPr>
        <w:t>；</w:t>
      </w:r>
    </w:p>
    <w:p w14:paraId="77D81840">
      <w:pPr>
        <w:autoSpaceDE w:val="0"/>
        <w:autoSpaceDN w:val="0"/>
        <w:spacing w:line="240" w:lineRule="auto"/>
        <w:ind w:left="425"/>
        <w:rPr>
          <w:color w:val="auto"/>
          <w:kern w:val="0"/>
          <w:sz w:val="24"/>
          <w:highlight w:val="none"/>
        </w:rPr>
      </w:pPr>
      <w:r>
        <w:rPr>
          <w:color w:val="auto"/>
          <w:kern w:val="0"/>
          <w:sz w:val="24"/>
          <w:highlight w:val="none"/>
        </w:rPr>
        <w:t>3</w:t>
      </w:r>
      <w:r>
        <w:rPr>
          <w:color w:val="auto"/>
          <w:kern w:val="0"/>
          <w:sz w:val="24"/>
          <w:highlight w:val="none"/>
          <w:lang w:val="zh-CN"/>
        </w:rPr>
        <w:t>.3.付款方式：</w:t>
      </w:r>
      <w:r>
        <w:rPr>
          <w:color w:val="auto"/>
          <w:kern w:val="0"/>
          <w:sz w:val="24"/>
          <w:highlight w:val="none"/>
        </w:rPr>
        <w:t>详见“第三部分</w:t>
      </w:r>
      <w:r>
        <w:rPr>
          <w:rFonts w:hint="eastAsia"/>
          <w:color w:val="auto"/>
          <w:kern w:val="0"/>
          <w:sz w:val="24"/>
          <w:highlight w:val="none"/>
          <w:lang w:eastAsia="zh-CN"/>
        </w:rPr>
        <w:t>湟源县政府采购项目合同书</w:t>
      </w:r>
      <w:r>
        <w:rPr>
          <w:color w:val="auto"/>
          <w:kern w:val="0"/>
          <w:sz w:val="24"/>
          <w:highlight w:val="none"/>
        </w:rPr>
        <w:t>范本”中“四、付款方式”的规定。</w:t>
      </w:r>
    </w:p>
    <w:p w14:paraId="38647519">
      <w:pPr>
        <w:autoSpaceDE w:val="0"/>
        <w:autoSpaceDN w:val="0"/>
        <w:spacing w:line="240" w:lineRule="auto"/>
        <w:ind w:left="425"/>
        <w:rPr>
          <w:rFonts w:hint="eastAsia"/>
          <w:color w:val="auto"/>
          <w:kern w:val="0"/>
          <w:sz w:val="24"/>
          <w:highlight w:val="none"/>
          <w:lang w:val="en-US" w:eastAsia="zh-CN"/>
        </w:rPr>
      </w:pPr>
      <w:r>
        <w:rPr>
          <w:color w:val="auto"/>
          <w:kern w:val="0"/>
          <w:sz w:val="24"/>
          <w:highlight w:val="none"/>
        </w:rPr>
        <w:t>3.4.</w:t>
      </w:r>
      <w:r>
        <w:rPr>
          <w:rFonts w:hint="eastAsia"/>
          <w:color w:val="auto"/>
          <w:kern w:val="0"/>
          <w:sz w:val="24"/>
          <w:highlight w:val="none"/>
          <w:lang w:val="en-US" w:eastAsia="zh-CN"/>
        </w:rPr>
        <w:t>硬件质保期：3年；</w:t>
      </w:r>
    </w:p>
    <w:p w14:paraId="18D3C7C1">
      <w:pPr>
        <w:autoSpaceDE w:val="0"/>
        <w:autoSpaceDN w:val="0"/>
        <w:spacing w:line="240" w:lineRule="auto"/>
        <w:ind w:left="425"/>
        <w:rPr>
          <w:rFonts w:hint="default"/>
          <w:color w:val="auto"/>
          <w:kern w:val="0"/>
          <w:sz w:val="24"/>
          <w:highlight w:val="none"/>
          <w:lang w:val="en-US" w:eastAsia="zh-CN"/>
        </w:rPr>
      </w:pPr>
      <w:r>
        <w:rPr>
          <w:rFonts w:hint="eastAsia"/>
          <w:color w:val="auto"/>
          <w:kern w:val="0"/>
          <w:sz w:val="24"/>
          <w:highlight w:val="none"/>
          <w:lang w:val="en-US" w:eastAsia="zh-CN"/>
        </w:rPr>
        <w:t>3.5软件免费运维：3年</w:t>
      </w:r>
    </w:p>
    <w:p w14:paraId="467F3472">
      <w:pPr>
        <w:autoSpaceDE w:val="0"/>
        <w:autoSpaceDN w:val="0"/>
        <w:spacing w:line="240" w:lineRule="auto"/>
        <w:ind w:left="425"/>
        <w:rPr>
          <w:rFonts w:hint="eastAsia"/>
          <w:color w:val="auto"/>
          <w:kern w:val="0"/>
          <w:sz w:val="24"/>
          <w:highlight w:val="none"/>
          <w:lang w:val="en-US" w:eastAsia="zh-CN"/>
        </w:rPr>
      </w:pPr>
      <w:r>
        <w:rPr>
          <w:rFonts w:hint="eastAsia"/>
          <w:color w:val="auto"/>
          <w:kern w:val="0"/>
          <w:sz w:val="24"/>
          <w:highlight w:val="none"/>
          <w:lang w:val="en-US" w:eastAsia="zh-CN"/>
        </w:rPr>
        <w:t>3.5.所投软件均要求出具正版软件授权书。</w:t>
      </w:r>
    </w:p>
    <w:p w14:paraId="4ED2B7EE">
      <w:pPr>
        <w:rPr>
          <w:rFonts w:hint="default"/>
          <w:color w:val="auto"/>
          <w:kern w:val="0"/>
          <w:sz w:val="24"/>
          <w:highlight w:val="none"/>
          <w:lang w:val="en-US" w:eastAsia="zh-CN"/>
        </w:rPr>
      </w:pPr>
    </w:p>
    <w:bookmarkEnd w:id="164"/>
    <w:bookmarkEnd w:id="165"/>
    <w:p w14:paraId="794B6546">
      <w:pPr>
        <w:pStyle w:val="23"/>
        <w:spacing w:line="240" w:lineRule="auto"/>
        <w:jc w:val="left"/>
        <w:rPr>
          <w:rFonts w:ascii="Times New Roman" w:hAnsi="Times New Roman"/>
          <w:lang w:val="zh-CN"/>
        </w:rPr>
      </w:pPr>
      <w:bookmarkStart w:id="166" w:name="_Toc9023"/>
      <w:r>
        <w:rPr>
          <w:rFonts w:ascii="Times New Roman" w:hAnsi="Times New Roman"/>
          <w:lang w:val="zh-CN"/>
        </w:rPr>
        <w:t>二、项目概况及技术参数</w:t>
      </w:r>
      <w:bookmarkEnd w:id="166"/>
    </w:p>
    <w:bookmarkEnd w:id="156"/>
    <w:p w14:paraId="60E8BAC1">
      <w:pPr>
        <w:autoSpaceDE w:val="0"/>
        <w:autoSpaceDN w:val="0"/>
        <w:spacing w:line="240" w:lineRule="auto"/>
        <w:ind w:left="425"/>
        <w:rPr>
          <w:rFonts w:hint="default"/>
          <w:color w:val="auto"/>
          <w:kern w:val="0"/>
          <w:sz w:val="24"/>
          <w:highlight w:val="none"/>
          <w:lang w:val="en-US" w:eastAsia="zh-CN"/>
        </w:rPr>
      </w:pPr>
      <w:r>
        <w:rPr>
          <w:rFonts w:hint="eastAsia"/>
          <w:color w:val="auto"/>
          <w:kern w:val="0"/>
          <w:sz w:val="24"/>
          <w:highlight w:val="none"/>
          <w:lang w:val="en-US" w:eastAsia="zh-CN"/>
        </w:rPr>
        <w:t>详见下表</w:t>
      </w:r>
    </w:p>
    <w:p w14:paraId="148C2527">
      <w:pPr>
        <w:pStyle w:val="3"/>
        <w:spacing w:line="240" w:lineRule="auto"/>
        <w:ind w:firstLine="0" w:firstLineChars="0"/>
      </w:pPr>
    </w:p>
    <w:p w14:paraId="27720F85">
      <w:pPr>
        <w:widowControl/>
        <w:spacing w:line="240" w:lineRule="auto"/>
        <w:jc w:val="left"/>
        <w:sectPr>
          <w:headerReference r:id="rId3" w:type="default"/>
          <w:footerReference r:id="rId4" w:type="default"/>
          <w:pgSz w:w="11905" w:h="16838"/>
          <w:pgMar w:top="1474" w:right="1984" w:bottom="1587" w:left="2098" w:header="851" w:footer="1587" w:gutter="0"/>
          <w:cols w:space="0" w:num="1"/>
          <w:docGrid w:type="linesAndChars" w:linePitch="579" w:charSpace="293"/>
        </w:sectPr>
      </w:pPr>
    </w:p>
    <w:tbl>
      <w:tblPr>
        <w:tblStyle w:val="31"/>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556"/>
        <w:gridCol w:w="7700"/>
        <w:gridCol w:w="1016"/>
        <w:gridCol w:w="1184"/>
        <w:gridCol w:w="1477"/>
      </w:tblGrid>
      <w:tr w14:paraId="1635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A6F">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91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名称</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BFA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技术参数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0A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9F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9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备注</w:t>
            </w:r>
          </w:p>
        </w:tc>
      </w:tr>
      <w:tr w14:paraId="055C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nil"/>
            </w:tcBorders>
            <w:shd w:val="clear" w:color="auto" w:fill="auto"/>
            <w:vAlign w:val="center"/>
          </w:tcPr>
          <w:p w14:paraId="1C8A352B">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一、信号控制管理系统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D13">
            <w:pPr>
              <w:jc w:val="center"/>
              <w:rPr>
                <w:rFonts w:hint="eastAsia" w:ascii="等线" w:hAnsi="等线" w:eastAsia="等线" w:cs="等线"/>
                <w:i w:val="0"/>
                <w:iCs w:val="0"/>
                <w:color w:val="000000"/>
                <w:sz w:val="28"/>
                <w:szCs w:val="28"/>
                <w:u w:val="none"/>
              </w:rPr>
            </w:pPr>
          </w:p>
        </w:tc>
      </w:tr>
      <w:tr w14:paraId="2B9B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A529E5">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（一）9个信号灯（新建）路口</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A7C3">
            <w:pPr>
              <w:jc w:val="left"/>
              <w:rPr>
                <w:rFonts w:hint="eastAsia" w:ascii="等线" w:hAnsi="等线" w:eastAsia="等线" w:cs="等线"/>
                <w:b/>
                <w:bCs/>
                <w:i w:val="0"/>
                <w:iCs w:val="0"/>
                <w:color w:val="000000"/>
                <w:sz w:val="22"/>
                <w:szCs w:val="22"/>
                <w:u w:val="none"/>
              </w:rPr>
            </w:pPr>
          </w:p>
        </w:tc>
      </w:tr>
      <w:tr w14:paraId="0DB0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E90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88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信号控制机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89A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执行国家标准GB25280－2016《道路交通信号控制机》，具有集中协调控制、无电缆协调控制、感应控制、多时段定时控制、手动控制、黄闪、关灯等多种工作方式，并可灵活控制过渡灯色的时间，适用于各类交叉路口的交通信号控制。《提供公安部交通科研所出具的有效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（1）主控芯片采用RK3568J（工业级），集成与四核64位Cortex-A55处理器和Mali G52 2EE图形处理器同等及以上配置的处理器，内置独立的NPU，可用于轻量级人工智能应用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（2）支持公安专网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（3）支持平板管理、维护信号机，支持平板导航路径规划及护航功能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（4）支持无线倒计时功能，解决信号机配时方案调整时，自学习倒计时错乱问题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（5）机架式结构设计，安装和维护方便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（6）采用固态无触点开关控制信号灯，运行稳定</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（7）对检测器、通信、灯具（末端检测方式）等外部设备的工作状态自动监控和记录，发生故障自动告警并可自动采取相应的处理措施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（8）灯控输出路数：≥56</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（9）信号机使用电源：AC220V±20% 50Hz±5 %；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（10）信号机备用插座共三座，单座最大容量最大为AC250V 10A，负载总容量最大为AC250V 20A；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（11）信号机的外壳防护等级：≥IP54；防水、防潮、防尘，可在大风、大雨、冰雹、雷雨等恶劣环境下正常运行；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21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5F4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D72F">
            <w:pPr>
              <w:jc w:val="left"/>
              <w:rPr>
                <w:rFonts w:hint="eastAsia" w:ascii="等线" w:hAnsi="等线" w:eastAsia="等线" w:cs="等线"/>
                <w:i w:val="0"/>
                <w:iCs w:val="0"/>
                <w:color w:val="000000"/>
                <w:sz w:val="22"/>
                <w:szCs w:val="22"/>
                <w:u w:val="none"/>
              </w:rPr>
            </w:pPr>
          </w:p>
        </w:tc>
      </w:tr>
      <w:tr w14:paraId="74C4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C73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5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机动车信号灯（箭头）</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61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1、信号灯为Φ400mm±10mm规格2、 3灯一组，箭头灯；《提供公安部交通科研所出具的有效检测报告》；依据GB 14887-2011《道路交通信号灯》经29项检测，该型道路交通信号灯符合GB 14887-2011《道路交通信号灯》中强制性项目的要求。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439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04D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06E9">
            <w:pPr>
              <w:jc w:val="left"/>
              <w:rPr>
                <w:rFonts w:hint="eastAsia" w:ascii="等线" w:hAnsi="等线" w:eastAsia="等线" w:cs="等线"/>
                <w:i w:val="0"/>
                <w:iCs w:val="0"/>
                <w:color w:val="000000"/>
                <w:sz w:val="22"/>
                <w:szCs w:val="22"/>
                <w:u w:val="none"/>
              </w:rPr>
            </w:pPr>
          </w:p>
        </w:tc>
      </w:tr>
      <w:tr w14:paraId="5501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6FD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9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机动车信号灯（满屏）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FE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1、信号灯为Φ400mm±10mm规格2、 3灯一组，满屏灯；《提供公安部交通科研所出具的有效检测报告》；依据GB 14887-2011《道路交通信号灯》经29项检测，该型道路交通信号灯符合GB 14887-2011《道路交通信号灯》中强制性项目的要求。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6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F8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F101">
            <w:pPr>
              <w:jc w:val="left"/>
              <w:rPr>
                <w:rFonts w:hint="eastAsia" w:ascii="等线" w:hAnsi="等线" w:eastAsia="等线" w:cs="等线"/>
                <w:i w:val="0"/>
                <w:iCs w:val="0"/>
                <w:color w:val="000000"/>
                <w:sz w:val="22"/>
                <w:szCs w:val="22"/>
                <w:u w:val="none"/>
              </w:rPr>
            </w:pPr>
          </w:p>
        </w:tc>
      </w:tr>
      <w:tr w14:paraId="7931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572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1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倒计时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A0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1.类型:通讯式倒计时屏  ；《提供公安部交通科研所出具的有效检测报告》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2.信号灯规格、组数:LED；依据GA/T 508-2014《道路交通信号倒计时显示器》经24项检测，该型道路交通信号倒计时显示器符合GA/T508-2014《道路交通信号倒计时显示器》的要求。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9B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8F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DA89">
            <w:pPr>
              <w:jc w:val="left"/>
              <w:rPr>
                <w:rFonts w:hint="eastAsia" w:ascii="等线" w:hAnsi="等线" w:eastAsia="等线" w:cs="等线"/>
                <w:i w:val="0"/>
                <w:iCs w:val="0"/>
                <w:color w:val="000000"/>
                <w:sz w:val="22"/>
                <w:szCs w:val="22"/>
                <w:u w:val="none"/>
              </w:rPr>
            </w:pPr>
          </w:p>
        </w:tc>
      </w:tr>
      <w:tr w14:paraId="5E6F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22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31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单立柱人行灯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89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1.类型人行灯杆件2.说明立柱高3.7m±0.1m（φ114mm±10mm，壁厚4.5mm±0.5mm），包含基础开挖、钢筋笼预埋、基础混凝土浇筑、接地极安装；人行灯：1.类型交通行人信号灯2.信号灯规格、型号、组数Φ300，双灯，两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677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B4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21EF">
            <w:pPr>
              <w:jc w:val="left"/>
              <w:rPr>
                <w:rFonts w:hint="eastAsia" w:ascii="等线" w:hAnsi="等线" w:eastAsia="等线" w:cs="等线"/>
                <w:i w:val="0"/>
                <w:iCs w:val="0"/>
                <w:color w:val="000000"/>
                <w:sz w:val="22"/>
                <w:szCs w:val="22"/>
                <w:u w:val="none"/>
              </w:rPr>
            </w:pPr>
          </w:p>
        </w:tc>
      </w:tr>
      <w:tr w14:paraId="7045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70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937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机动车信号灯灯杆1</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870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1.类型长挑臂信号灯杆件1.规格立柱高7m±0.1m，悬臂长9m±0.1m，包含基础开挖、钢筋笼预埋、基础混凝土浇筑、接地极安装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E1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D9B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5339">
            <w:pPr>
              <w:jc w:val="left"/>
              <w:rPr>
                <w:rFonts w:hint="eastAsia" w:ascii="等线" w:hAnsi="等线" w:eastAsia="等线" w:cs="等线"/>
                <w:i w:val="0"/>
                <w:iCs w:val="0"/>
                <w:color w:val="000000"/>
                <w:sz w:val="22"/>
                <w:szCs w:val="22"/>
                <w:u w:val="none"/>
              </w:rPr>
            </w:pPr>
          </w:p>
        </w:tc>
      </w:tr>
      <w:tr w14:paraId="6F73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8C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B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机动车信号灯灯杆2</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16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1.类型长挑臂信号灯杆件2.规格立柱高7m±0.1m，悬臂长6m±0.1m，包含基础开挖、钢筋笼预埋、基础混凝土浇筑、接地极安装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4A2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F0A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EC1">
            <w:pPr>
              <w:jc w:val="left"/>
              <w:rPr>
                <w:rFonts w:hint="eastAsia" w:ascii="等线" w:hAnsi="等线" w:eastAsia="等线" w:cs="等线"/>
                <w:i w:val="0"/>
                <w:iCs w:val="0"/>
                <w:color w:val="000000"/>
                <w:sz w:val="22"/>
                <w:szCs w:val="22"/>
                <w:u w:val="none"/>
              </w:rPr>
            </w:pPr>
          </w:p>
        </w:tc>
      </w:tr>
      <w:tr w14:paraId="1927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4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186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机动车信号灯灯杆3</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B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单立柱辅助灯杆；杆件Φ152mm，立柱式L=5M；规格包含基础开挖、钢筋笼预埋、基础混凝土浇筑、接地极安装。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05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C48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CFBA">
            <w:pPr>
              <w:jc w:val="left"/>
              <w:rPr>
                <w:rFonts w:hint="eastAsia" w:ascii="等线" w:hAnsi="等线" w:eastAsia="等线" w:cs="等线"/>
                <w:i w:val="0"/>
                <w:iCs w:val="0"/>
                <w:color w:val="000000"/>
                <w:sz w:val="22"/>
                <w:szCs w:val="22"/>
                <w:u w:val="none"/>
              </w:rPr>
            </w:pPr>
          </w:p>
        </w:tc>
      </w:tr>
      <w:tr w14:paraId="12A7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B1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67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E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RVVSP2×1.0MM2屏蔽双绞线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073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512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3D35">
            <w:pPr>
              <w:jc w:val="left"/>
              <w:rPr>
                <w:rFonts w:hint="eastAsia" w:ascii="等线" w:hAnsi="等线" w:eastAsia="等线" w:cs="等线"/>
                <w:i w:val="0"/>
                <w:iCs w:val="0"/>
                <w:color w:val="000000"/>
                <w:sz w:val="22"/>
                <w:szCs w:val="22"/>
                <w:u w:val="none"/>
              </w:rPr>
            </w:pPr>
          </w:p>
        </w:tc>
      </w:tr>
      <w:tr w14:paraId="6872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F7E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09F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8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RVV4×1.5MM2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D13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7600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9EF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58AF">
            <w:pPr>
              <w:jc w:val="left"/>
              <w:rPr>
                <w:rFonts w:hint="eastAsia" w:ascii="等线" w:hAnsi="等线" w:eastAsia="等线" w:cs="等线"/>
                <w:i w:val="0"/>
                <w:iCs w:val="0"/>
                <w:color w:val="000000"/>
                <w:sz w:val="22"/>
                <w:szCs w:val="22"/>
                <w:u w:val="none"/>
              </w:rPr>
            </w:pPr>
          </w:p>
        </w:tc>
      </w:tr>
      <w:tr w14:paraId="1270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1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01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6D5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RVV2×2.5MM2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A0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450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DB3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5FF9">
            <w:pPr>
              <w:jc w:val="left"/>
              <w:rPr>
                <w:rFonts w:hint="eastAsia" w:ascii="等线" w:hAnsi="等线" w:eastAsia="等线" w:cs="等线"/>
                <w:i w:val="0"/>
                <w:iCs w:val="0"/>
                <w:color w:val="000000"/>
                <w:sz w:val="22"/>
                <w:szCs w:val="22"/>
                <w:u w:val="none"/>
              </w:rPr>
            </w:pPr>
          </w:p>
        </w:tc>
      </w:tr>
      <w:tr w14:paraId="71F3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E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EFE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347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超五类</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BD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2DF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F99E">
            <w:pPr>
              <w:jc w:val="left"/>
              <w:rPr>
                <w:rFonts w:hint="eastAsia" w:ascii="等线" w:hAnsi="等线" w:eastAsia="等线" w:cs="等线"/>
                <w:i w:val="0"/>
                <w:iCs w:val="0"/>
                <w:color w:val="000000"/>
                <w:sz w:val="22"/>
                <w:szCs w:val="22"/>
                <w:u w:val="none"/>
              </w:rPr>
            </w:pPr>
          </w:p>
        </w:tc>
      </w:tr>
      <w:tr w14:paraId="08C2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35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57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塑料管（PE）</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3B3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≥Φ50*2，含敷设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B02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1550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E0A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C02A">
            <w:pPr>
              <w:jc w:val="left"/>
              <w:rPr>
                <w:rFonts w:hint="eastAsia" w:ascii="等线" w:hAnsi="等线" w:eastAsia="等线" w:cs="等线"/>
                <w:i w:val="0"/>
                <w:iCs w:val="0"/>
                <w:color w:val="000000"/>
                <w:sz w:val="22"/>
                <w:szCs w:val="22"/>
                <w:u w:val="none"/>
              </w:rPr>
            </w:pPr>
          </w:p>
        </w:tc>
      </w:tr>
      <w:tr w14:paraId="70F2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79F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2C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过路管道（钢管）</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6C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≥Φ100*2，含开挖和敷设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1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C48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米</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D1A1">
            <w:pPr>
              <w:jc w:val="left"/>
              <w:rPr>
                <w:rFonts w:hint="eastAsia" w:ascii="等线" w:hAnsi="等线" w:eastAsia="等线" w:cs="等线"/>
                <w:i w:val="0"/>
                <w:iCs w:val="0"/>
                <w:color w:val="000000"/>
                <w:sz w:val="22"/>
                <w:szCs w:val="22"/>
                <w:u w:val="none"/>
              </w:rPr>
            </w:pPr>
          </w:p>
        </w:tc>
      </w:tr>
      <w:tr w14:paraId="3356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26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D3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手孔井</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89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≥500mm*500mm*500mm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44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46F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座</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A23C">
            <w:pPr>
              <w:jc w:val="left"/>
              <w:rPr>
                <w:rFonts w:hint="eastAsia" w:ascii="等线" w:hAnsi="等线" w:eastAsia="等线" w:cs="等线"/>
                <w:i w:val="0"/>
                <w:iCs w:val="0"/>
                <w:color w:val="000000"/>
                <w:sz w:val="22"/>
                <w:szCs w:val="22"/>
                <w:u w:val="none"/>
              </w:rPr>
            </w:pPr>
          </w:p>
        </w:tc>
      </w:tr>
      <w:tr w14:paraId="5B22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26C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0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取电</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52D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根据路口实际情况取电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F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81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处</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30A9">
            <w:pPr>
              <w:jc w:val="left"/>
              <w:rPr>
                <w:rFonts w:hint="eastAsia" w:ascii="等线" w:hAnsi="等线" w:eastAsia="等线" w:cs="等线"/>
                <w:i w:val="0"/>
                <w:iCs w:val="0"/>
                <w:color w:val="000000"/>
                <w:sz w:val="22"/>
                <w:szCs w:val="22"/>
                <w:u w:val="none"/>
              </w:rPr>
            </w:pPr>
          </w:p>
        </w:tc>
      </w:tr>
      <w:tr w14:paraId="02C2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1A2791">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（二）16个信号灯改造路口</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55D6">
            <w:pPr>
              <w:jc w:val="left"/>
              <w:rPr>
                <w:rFonts w:hint="eastAsia" w:ascii="等线" w:hAnsi="等线" w:eastAsia="等线" w:cs="等线"/>
                <w:b/>
                <w:bCs/>
                <w:i w:val="0"/>
                <w:iCs w:val="0"/>
                <w:color w:val="000000"/>
                <w:sz w:val="22"/>
                <w:szCs w:val="22"/>
                <w:u w:val="none"/>
              </w:rPr>
            </w:pPr>
          </w:p>
        </w:tc>
      </w:tr>
      <w:tr w14:paraId="4C14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3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51A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5个路口改造</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3DA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1、更换信号控制机，规格型号与新建路口一致。维修老旧信号灯、线缆及辅助设施。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2、材质、机箱规格426mm*684mm*1413mm±5mm:含接地设备。</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3、基础、垫层:材料品种、厚度:C25钢筋砼基础，基础上覆盖一层与螺栓等高的素混凝土，含安 装费及所有辅材费用。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4、构建网络，调试接入信控平台，实现：具有集中协调控制、无电缆协调控制、感应控制、多时段定时控制、手动控制、黄闪、关灯等多种工作方式，并可灵活控制。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9F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5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路口</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A49A">
            <w:pPr>
              <w:jc w:val="left"/>
              <w:rPr>
                <w:rFonts w:hint="eastAsia" w:ascii="等线" w:hAnsi="等线" w:eastAsia="等线" w:cs="等线"/>
                <w:i w:val="0"/>
                <w:iCs w:val="0"/>
                <w:color w:val="000000"/>
                <w:sz w:val="22"/>
                <w:szCs w:val="22"/>
                <w:u w:val="none"/>
              </w:rPr>
            </w:pPr>
          </w:p>
        </w:tc>
      </w:tr>
      <w:tr w14:paraId="4ED7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D5D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6D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11个路口改造</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C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1、维修老旧信号灯、线缆及辅助设施。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2、构建网络，调试接入信控平台，实现：具有集中协调控制、无电缆协调控制、感应控制、多时段定时控制、手动控制、黄闪、关灯等多种工作方式，并可灵活控制。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0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A08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路口</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BCA6">
            <w:pPr>
              <w:jc w:val="left"/>
              <w:rPr>
                <w:rFonts w:hint="eastAsia" w:ascii="等线" w:hAnsi="等线" w:eastAsia="等线" w:cs="等线"/>
                <w:i w:val="0"/>
                <w:iCs w:val="0"/>
                <w:color w:val="000000"/>
                <w:sz w:val="22"/>
                <w:szCs w:val="22"/>
                <w:u w:val="none"/>
              </w:rPr>
            </w:pPr>
          </w:p>
        </w:tc>
      </w:tr>
      <w:tr w14:paraId="219D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947C5">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（三）信号控制管理系统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0697">
            <w:pPr>
              <w:jc w:val="left"/>
              <w:rPr>
                <w:rFonts w:hint="eastAsia" w:ascii="等线" w:hAnsi="等线" w:eastAsia="等线" w:cs="等线"/>
                <w:b/>
                <w:bCs/>
                <w:i w:val="0"/>
                <w:iCs w:val="0"/>
                <w:color w:val="000000"/>
                <w:sz w:val="22"/>
                <w:szCs w:val="22"/>
                <w:u w:val="none"/>
              </w:rPr>
            </w:pPr>
          </w:p>
        </w:tc>
      </w:tr>
      <w:tr w14:paraId="6302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D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91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服务器产品（国产）</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8C0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服务器主板≥2*（20，24核2.6GHz，8DIMM）（含BMC硬件监控软件V2.0）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机架服务器≥12*3.5英寸硬盘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通用内存，DDR4，RDIMM，≥32GB，3200MHz，1.2V，2Rank，ECC（≥2）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SASHDD，1.2TB，12Gb/s，10Krpm，2.5英寸，带托架（≥2）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3*16XSLOT（PCIEX8）RISER1&amp;2模组</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RAID标卡-PCIE3.0X8-nocache-RAID0，1，10支持边带管理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IO灵活卡，4*GE接口卡，四端口，电口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电源≥2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国产化操作系统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22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B26D">
            <w:pPr>
              <w:jc w:val="left"/>
              <w:rPr>
                <w:rFonts w:hint="eastAsia" w:ascii="等线" w:hAnsi="等线" w:eastAsia="等线" w:cs="等线"/>
                <w:i w:val="0"/>
                <w:iCs w:val="0"/>
                <w:color w:val="000000"/>
                <w:sz w:val="22"/>
                <w:szCs w:val="22"/>
                <w:u w:val="none"/>
              </w:rPr>
            </w:pPr>
          </w:p>
        </w:tc>
      </w:tr>
      <w:tr w14:paraId="7A92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D5B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991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系统基础模块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BF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基础平台功能，包含门户、资源管理、权限认知。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7B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9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8484">
            <w:pPr>
              <w:jc w:val="left"/>
              <w:rPr>
                <w:rFonts w:hint="eastAsia" w:ascii="等线" w:hAnsi="等线" w:eastAsia="等线" w:cs="等线"/>
                <w:i w:val="0"/>
                <w:iCs w:val="0"/>
                <w:color w:val="000000"/>
                <w:sz w:val="22"/>
                <w:szCs w:val="22"/>
                <w:u w:val="none"/>
              </w:rPr>
            </w:pPr>
          </w:p>
        </w:tc>
      </w:tr>
      <w:tr w14:paraId="1F7E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FED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568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信控基础模块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0CA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提供路口信号机状态展示、信号机手动控制、方案配置、可满足用户日常对路口信号机的进行监控、配置、控制的业务应用。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06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F2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4F64">
            <w:pPr>
              <w:jc w:val="left"/>
              <w:rPr>
                <w:rFonts w:hint="eastAsia" w:ascii="等线" w:hAnsi="等线" w:eastAsia="等线" w:cs="等线"/>
                <w:i w:val="0"/>
                <w:iCs w:val="0"/>
                <w:color w:val="000000"/>
                <w:sz w:val="22"/>
                <w:szCs w:val="22"/>
                <w:u w:val="none"/>
              </w:rPr>
            </w:pPr>
          </w:p>
        </w:tc>
      </w:tr>
      <w:tr w14:paraId="60B0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84F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D9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信号机接入数量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8B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授权用户通过平台查看、管理的信号机的数量。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76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F2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0F5">
            <w:pPr>
              <w:jc w:val="left"/>
              <w:rPr>
                <w:rFonts w:hint="eastAsia" w:ascii="等线" w:hAnsi="等线" w:eastAsia="等线" w:cs="等线"/>
                <w:i w:val="0"/>
                <w:iCs w:val="0"/>
                <w:color w:val="000000"/>
                <w:sz w:val="22"/>
                <w:szCs w:val="22"/>
                <w:u w:val="none"/>
              </w:rPr>
            </w:pPr>
          </w:p>
        </w:tc>
      </w:tr>
      <w:tr w14:paraId="482F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B91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2D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本级车道数</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8E8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授权用户通过平台管理路口的车道数量。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1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5D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EC06">
            <w:pPr>
              <w:jc w:val="left"/>
              <w:rPr>
                <w:rFonts w:hint="eastAsia" w:ascii="等线" w:hAnsi="等线" w:eastAsia="等线" w:cs="等线"/>
                <w:i w:val="0"/>
                <w:iCs w:val="0"/>
                <w:color w:val="000000"/>
                <w:sz w:val="22"/>
                <w:szCs w:val="22"/>
                <w:u w:val="none"/>
              </w:rPr>
            </w:pPr>
          </w:p>
        </w:tc>
      </w:tr>
      <w:tr w14:paraId="031C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79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85F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警卫方案模块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BBA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可自定义警卫任务及执行警卫任务。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B2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95E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C2DA">
            <w:pPr>
              <w:jc w:val="left"/>
              <w:rPr>
                <w:rFonts w:hint="eastAsia" w:ascii="等线" w:hAnsi="等线" w:eastAsia="等线" w:cs="等线"/>
                <w:i w:val="0"/>
                <w:iCs w:val="0"/>
                <w:color w:val="000000"/>
                <w:sz w:val="22"/>
                <w:szCs w:val="22"/>
                <w:u w:val="none"/>
              </w:rPr>
            </w:pPr>
          </w:p>
        </w:tc>
      </w:tr>
      <w:tr w14:paraId="1A6E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59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3A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路网信息模块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73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可以在离线地图展示路口位置及编制路网关系。</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28A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DB1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2E76">
            <w:pPr>
              <w:jc w:val="left"/>
              <w:rPr>
                <w:rFonts w:hint="eastAsia" w:ascii="等线" w:hAnsi="等线" w:eastAsia="等线" w:cs="等线"/>
                <w:i w:val="0"/>
                <w:iCs w:val="0"/>
                <w:color w:val="000000"/>
                <w:sz w:val="22"/>
                <w:szCs w:val="22"/>
                <w:u w:val="none"/>
              </w:rPr>
            </w:pPr>
          </w:p>
        </w:tc>
      </w:tr>
      <w:tr w14:paraId="120C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FC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6FE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绿波控制模块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95C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可以编辑及管理绿波路段。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46E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2B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3049">
            <w:pPr>
              <w:jc w:val="left"/>
              <w:rPr>
                <w:rFonts w:hint="eastAsia" w:ascii="等线" w:hAnsi="等线" w:eastAsia="等线" w:cs="等线"/>
                <w:i w:val="0"/>
                <w:iCs w:val="0"/>
                <w:color w:val="000000"/>
                <w:sz w:val="22"/>
                <w:szCs w:val="22"/>
                <w:u w:val="none"/>
              </w:rPr>
            </w:pPr>
          </w:p>
        </w:tc>
      </w:tr>
      <w:tr w14:paraId="029E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BE1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E0E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车道实时信息模块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3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可以车道级精度展示当前路口的实时放行情况。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DA6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7D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CF10">
            <w:pPr>
              <w:jc w:val="left"/>
              <w:rPr>
                <w:rFonts w:hint="eastAsia" w:ascii="等线" w:hAnsi="等线" w:eastAsia="等线" w:cs="等线"/>
                <w:i w:val="0"/>
                <w:iCs w:val="0"/>
                <w:color w:val="000000"/>
                <w:sz w:val="22"/>
                <w:szCs w:val="22"/>
                <w:u w:val="none"/>
              </w:rPr>
            </w:pPr>
          </w:p>
        </w:tc>
      </w:tr>
      <w:tr w14:paraId="6EB9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C3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B8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故障反馈模块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4CF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提供路口信号机的状态监测，包括设备的在线状态、故障状态。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310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B9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1988">
            <w:pPr>
              <w:jc w:val="left"/>
              <w:rPr>
                <w:rFonts w:hint="eastAsia" w:ascii="等线" w:hAnsi="等线" w:eastAsia="等线" w:cs="等线"/>
                <w:i w:val="0"/>
                <w:iCs w:val="0"/>
                <w:color w:val="000000"/>
                <w:sz w:val="22"/>
                <w:szCs w:val="22"/>
                <w:u w:val="none"/>
              </w:rPr>
            </w:pPr>
          </w:p>
        </w:tc>
      </w:tr>
      <w:tr w14:paraId="6525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ADC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D1C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系统日志运维信息模块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14D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提供系统的操作日志记录查询及导出。可以保存及查看所有设备的生产/建设单位信息及其他运维信息。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DE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04A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1D7E">
            <w:pPr>
              <w:jc w:val="left"/>
              <w:rPr>
                <w:rFonts w:hint="eastAsia" w:ascii="等线" w:hAnsi="等线" w:eastAsia="等线" w:cs="等线"/>
                <w:i w:val="0"/>
                <w:iCs w:val="0"/>
                <w:color w:val="000000"/>
                <w:sz w:val="22"/>
                <w:szCs w:val="22"/>
                <w:u w:val="none"/>
              </w:rPr>
            </w:pPr>
          </w:p>
        </w:tc>
      </w:tr>
      <w:tr w14:paraId="15C9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B86E9">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（四）弯道预警系统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96D6">
            <w:pPr>
              <w:jc w:val="left"/>
              <w:rPr>
                <w:rFonts w:hint="eastAsia" w:ascii="等线" w:hAnsi="等线" w:eastAsia="等线" w:cs="等线"/>
                <w:b/>
                <w:bCs/>
                <w:i w:val="0"/>
                <w:iCs w:val="0"/>
                <w:color w:val="000000"/>
                <w:sz w:val="22"/>
                <w:szCs w:val="22"/>
                <w:u w:val="none"/>
              </w:rPr>
            </w:pPr>
          </w:p>
        </w:tc>
      </w:tr>
      <w:tr w14:paraId="5474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BE8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B58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弯道会车预警立柱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87B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2800mm×420mm×130mm（±5mm）（不含太阳能板）；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红绿双基色LED屏，数量≥2；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雷达≥1；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爆闪灯≥4，喇叭≥1；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太阳能+蓄电池；</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无线通讯。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662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19F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F7EC">
            <w:pPr>
              <w:jc w:val="left"/>
              <w:rPr>
                <w:rFonts w:hint="eastAsia" w:ascii="等线" w:hAnsi="等线" w:eastAsia="等线" w:cs="等线"/>
                <w:i w:val="0"/>
                <w:iCs w:val="0"/>
                <w:color w:val="000000"/>
                <w:sz w:val="22"/>
                <w:szCs w:val="22"/>
                <w:u w:val="none"/>
              </w:rPr>
            </w:pPr>
          </w:p>
        </w:tc>
      </w:tr>
      <w:tr w14:paraId="0A9B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B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2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主支干道相互预警</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DA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2.测距范围：5-200米可调，测距精度：±0.5m；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5.一体化设计，集成水平仪及角刻度；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6.环境适应性强，全天候工作，性能不受光照、灰尘、雨雪、雾霾等恶劣环境影响。整体尺寸：2000mm*420mm*120mm（±5mm）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7.防护等级：≥IP65。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8.工作温度：-20℃-70℃。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9.集成毫米波雷达、“停”字牌、LED显示屏、爆闪灯、语音提示等模块于一体。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10.环境适应性强，全天候工作，雷达性能不受光照、灰尘、雨雪、雾霾等恶劣环境影响。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11.多车道检测雷达：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（2）测速范围：4-400km/h，测速精度：-1-0km/h，可识别正常行走的行人；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（3）测距范围：5-250米可调，测距精度：±0.5m；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（6）一体化设计，集成水平仪及角刻度，安装轻松；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12.LED显示屏：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（1）户外P10LED红绿双色屏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（2）屏幕尺寸(宽×高)：320mm×960mm（±5mm）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（3）模组分辨率：≥32×16点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（4）显示亮度：≥5500cd/m²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（5）刷新频率：≥1000HZ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13.爆闪灯：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（1）红蓝双色组合；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（2）电压：12V或24V；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（3）尺寸：1800mm×75mm（±5mm）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EC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6B2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8138">
            <w:pPr>
              <w:jc w:val="left"/>
              <w:rPr>
                <w:rFonts w:hint="eastAsia" w:ascii="等线" w:hAnsi="等线" w:eastAsia="等线" w:cs="等线"/>
                <w:i w:val="0"/>
                <w:iCs w:val="0"/>
                <w:color w:val="000000"/>
                <w:sz w:val="22"/>
                <w:szCs w:val="22"/>
                <w:u w:val="none"/>
              </w:rPr>
            </w:pPr>
          </w:p>
        </w:tc>
      </w:tr>
      <w:tr w14:paraId="1289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D40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F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测速预警标牌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17B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适用于各种类型的园区内部道路，包括窄道、弯道、盲区等。使用环境温度：-20℃至+50℃。太阳能供电系统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大阳能光伏板:峰值功率≥120W，尺寸:≥900*670mm/块</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1.产品规格：1400*700mm（±5mm）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2.雷达测速范围：150米内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3.车牌屏幕尺寸：160*640mm（±5mm）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4.车速屏幕尺寸：520*390mm（±5mm）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5.相机焦距：8-32mm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6.存储容量：≥128G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7.数据传输方式：有线/4G网络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8.设备采用低辐射设计，符合国家相关标准。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DA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0D2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2D2">
            <w:pPr>
              <w:jc w:val="left"/>
              <w:rPr>
                <w:rFonts w:hint="eastAsia" w:ascii="等线" w:hAnsi="等线" w:eastAsia="等线" w:cs="等线"/>
                <w:i w:val="0"/>
                <w:iCs w:val="0"/>
                <w:color w:val="000000"/>
                <w:sz w:val="22"/>
                <w:szCs w:val="22"/>
                <w:u w:val="none"/>
              </w:rPr>
            </w:pPr>
          </w:p>
        </w:tc>
      </w:tr>
      <w:tr w14:paraId="4787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9E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08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警示标志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92C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≥1000mm*1500mm，含反光膜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68B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804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6923">
            <w:pPr>
              <w:jc w:val="left"/>
              <w:rPr>
                <w:rFonts w:hint="eastAsia" w:ascii="等线" w:hAnsi="等线" w:eastAsia="等线" w:cs="等线"/>
                <w:i w:val="0"/>
                <w:iCs w:val="0"/>
                <w:color w:val="000000"/>
                <w:sz w:val="22"/>
                <w:szCs w:val="22"/>
                <w:u w:val="none"/>
              </w:rPr>
            </w:pPr>
          </w:p>
        </w:tc>
      </w:tr>
      <w:tr w14:paraId="3CCF0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5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D90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交通诱导屏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00C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1.户外双色LED交通诱导提示屏,外壳采用不锈钢材质，外形尺寸≥2560mm*160mm0*150mm，点间距≤10mm，亮度不小于4500cd/m2，色温6500-8000K，箱体平整度小于0.4mm，盲点率小于万分之一；</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2.灰度等级支持红、绿、蓝各12-16bits，显示颜色≥1600万种，支持与计算机同步控制，支持五类线最远100米传输，单模光纤传输最远10km；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3.显示文字内容可变，支持后台更改显示内容。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4.平均无故障时间（小时）：大于6000小时；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5.衰减率（工作3年）：小于15%；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6.离散失控点：&lt;0.0001，出厂时为0；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7.平整度：任意相邻像素间≤0.3mm，模块拼接间隙&lt;1.0mm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8.使用寿命：&gt;7万小时；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9.工作温度：-20至60℃，工作湿度范围（RH）：10-90%；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10.电源：交流110~220VAC±15%；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11.功耗：屏体峰值功耗小于2.5KW，平均功耗1.5KW；</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12.安装方式：悬臂式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97D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E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CF88">
            <w:pPr>
              <w:jc w:val="left"/>
              <w:rPr>
                <w:rFonts w:hint="eastAsia" w:ascii="等线" w:hAnsi="等线" w:eastAsia="等线" w:cs="等线"/>
                <w:i w:val="0"/>
                <w:iCs w:val="0"/>
                <w:color w:val="000000"/>
                <w:sz w:val="22"/>
                <w:szCs w:val="22"/>
                <w:u w:val="none"/>
              </w:rPr>
            </w:pPr>
          </w:p>
        </w:tc>
      </w:tr>
      <w:tr w14:paraId="0477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CF9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5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道标</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0C8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≥400mm*600mm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7F3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59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B6BA">
            <w:pPr>
              <w:jc w:val="left"/>
              <w:rPr>
                <w:rFonts w:hint="eastAsia" w:ascii="等线" w:hAnsi="等线" w:eastAsia="等线" w:cs="等线"/>
                <w:i w:val="0"/>
                <w:iCs w:val="0"/>
                <w:color w:val="000000"/>
                <w:sz w:val="22"/>
                <w:szCs w:val="22"/>
                <w:u w:val="none"/>
              </w:rPr>
            </w:pPr>
          </w:p>
        </w:tc>
      </w:tr>
      <w:tr w14:paraId="68DF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C50E1">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（五）4个路口的人行过街预警系统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FBC8">
            <w:pPr>
              <w:jc w:val="left"/>
              <w:rPr>
                <w:rFonts w:hint="eastAsia" w:ascii="等线" w:hAnsi="等线" w:eastAsia="等线" w:cs="等线"/>
                <w:i w:val="0"/>
                <w:iCs w:val="0"/>
                <w:color w:val="000000"/>
                <w:sz w:val="22"/>
                <w:szCs w:val="22"/>
                <w:u w:val="none"/>
              </w:rPr>
            </w:pPr>
          </w:p>
        </w:tc>
      </w:tr>
      <w:tr w14:paraId="4286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5FBD1">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1、湟源县城关第一小学行人过街预警</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DAE3">
            <w:pPr>
              <w:jc w:val="left"/>
              <w:rPr>
                <w:rFonts w:hint="eastAsia" w:ascii="等线" w:hAnsi="等线" w:eastAsia="等线" w:cs="等线"/>
                <w:b/>
                <w:bCs/>
                <w:i w:val="0"/>
                <w:iCs w:val="0"/>
                <w:color w:val="000000"/>
                <w:sz w:val="22"/>
                <w:szCs w:val="22"/>
                <w:u w:val="none"/>
              </w:rPr>
            </w:pPr>
          </w:p>
        </w:tc>
      </w:tr>
      <w:tr w14:paraId="4B89C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C3C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247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209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集成毫米波雷达、高精度摄像机、黄色圆形灯盘、显示屏、爆闪灯、语音提示等模块于一体。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1.规格尺寸：3250mm*420mm×120mm（±5mm）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3.工作温度：-20℃-70℃。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4.多车道检测雷达：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（2）测速范围：4-400km/h，测速精度：-1-0km/h；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（3）测距范围：5-250米可调，测距精度：±0.5m；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5.检测相机：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（1）通过智能算法，检测并定位设定区域内的行人及非机动车辆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（2）接口类型：与发光地砖控制器之间采用以太网接口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（3）检测距离：2-45米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6.圆形灯盘：黄闪，尺寸≥Ø300mm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7.文字显示屏：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尺寸：1000mm×280mm1000mm×250mm（±5mm）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8.爆闪灯：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（1）红蓝双色组合；：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（2）尺寸：185mm×75mm（±5mm）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9.环境适应性强，全天候工作，雷达性能不受光照、灰尘、雨雪、雾霾等恶劣环境影响，一体化设计，集成水平仪及角刻度。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F0A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A3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02B">
            <w:pPr>
              <w:jc w:val="left"/>
              <w:rPr>
                <w:rFonts w:hint="eastAsia" w:ascii="等线" w:hAnsi="等线" w:eastAsia="等线" w:cs="等线"/>
                <w:i w:val="0"/>
                <w:iCs w:val="0"/>
                <w:color w:val="000000"/>
                <w:sz w:val="22"/>
                <w:szCs w:val="22"/>
                <w:u w:val="none"/>
              </w:rPr>
            </w:pPr>
          </w:p>
        </w:tc>
      </w:tr>
      <w:tr w14:paraId="4B92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A5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07C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BB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1、名称：混凝土一体浇筑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2、标号：≥C40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590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B1F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F03A">
            <w:pPr>
              <w:jc w:val="left"/>
              <w:rPr>
                <w:rFonts w:hint="eastAsia" w:ascii="等线" w:hAnsi="等线" w:eastAsia="等线" w:cs="等线"/>
                <w:i w:val="0"/>
                <w:iCs w:val="0"/>
                <w:color w:val="000000"/>
                <w:sz w:val="22"/>
                <w:szCs w:val="22"/>
                <w:u w:val="none"/>
              </w:rPr>
            </w:pPr>
          </w:p>
        </w:tc>
      </w:tr>
      <w:tr w14:paraId="5ADD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FEF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3C5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行人过街警示一体机通电</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31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1、名称：配线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2、规格、参数：铜芯电力电缆敷设≥3*2.5m㎡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6BE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5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D19">
            <w:pPr>
              <w:jc w:val="left"/>
              <w:rPr>
                <w:rFonts w:hint="eastAsia" w:ascii="等线" w:hAnsi="等线" w:eastAsia="等线" w:cs="等线"/>
                <w:i w:val="0"/>
                <w:iCs w:val="0"/>
                <w:color w:val="000000"/>
                <w:sz w:val="22"/>
                <w:szCs w:val="22"/>
                <w:u w:val="none"/>
              </w:rPr>
            </w:pPr>
          </w:p>
        </w:tc>
      </w:tr>
      <w:tr w14:paraId="5117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F46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60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斑马柱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89F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红白相间，警示柱，≥高1.2米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FC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78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1557">
            <w:pPr>
              <w:jc w:val="left"/>
              <w:rPr>
                <w:rFonts w:hint="eastAsia" w:ascii="等线" w:hAnsi="等线" w:eastAsia="等线" w:cs="等线"/>
                <w:i w:val="0"/>
                <w:iCs w:val="0"/>
                <w:color w:val="000000"/>
                <w:sz w:val="22"/>
                <w:szCs w:val="22"/>
                <w:u w:val="none"/>
              </w:rPr>
            </w:pPr>
          </w:p>
        </w:tc>
      </w:tr>
      <w:tr w14:paraId="5D41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2445D">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2、湟源县城关第三小学行人过街预警</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4D38">
            <w:pPr>
              <w:jc w:val="left"/>
              <w:rPr>
                <w:rFonts w:hint="eastAsia" w:ascii="等线" w:hAnsi="等线" w:eastAsia="等线" w:cs="等线"/>
                <w:b/>
                <w:bCs/>
                <w:i w:val="0"/>
                <w:iCs w:val="0"/>
                <w:color w:val="000000"/>
                <w:sz w:val="22"/>
                <w:szCs w:val="22"/>
                <w:u w:val="none"/>
              </w:rPr>
            </w:pPr>
          </w:p>
        </w:tc>
      </w:tr>
      <w:tr w14:paraId="35B5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823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72E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D1E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集成毫米波雷达、高精度摄像机、黄色圆形灯盘、显示屏、爆闪灯、语音提示等模块于一体。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1.规格尺寸：3250mm*420mm×120mm（±5mm）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3.工作温度：-20℃-70℃。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4.多车道检测雷达：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（2）测速范围：4-400km/h，测速精度：-1-0km/h；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（3）测距范围：5-250米可调，测距精度：±0.5m；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5.检测相机：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（1）通过智能算法，检测并定位设定区域内的行人及非机动车辆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（2）接口类型：与发光地砖控制器之间采用以太网接口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（3）检测距离：2-45米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6.圆形灯盘：黄闪，尺寸≥Ø300mm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7.文字显示屏：尺寸：1000mm×280mm1000mm×250mm（±5mm）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8.爆闪灯：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（1）红蓝双色组合；：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（2）电压：24V；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（3）尺寸：185mm×75mm（±5mm）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9.环境适应性强，全天候工作，雷达性能不受光照、灰尘、雨雪、雾霾等恶劣环境影响，一体化设计，集成水平仪及角刻度。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E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E4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C961">
            <w:pPr>
              <w:jc w:val="left"/>
              <w:rPr>
                <w:rFonts w:hint="eastAsia" w:ascii="等线" w:hAnsi="等线" w:eastAsia="等线" w:cs="等线"/>
                <w:i w:val="0"/>
                <w:iCs w:val="0"/>
                <w:color w:val="000000"/>
                <w:sz w:val="22"/>
                <w:szCs w:val="22"/>
                <w:u w:val="none"/>
              </w:rPr>
            </w:pPr>
          </w:p>
        </w:tc>
      </w:tr>
      <w:tr w14:paraId="0CBE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8C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56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0F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1、名称：混凝土浇筑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2、标号：C40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98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24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0494">
            <w:pPr>
              <w:jc w:val="left"/>
              <w:rPr>
                <w:rFonts w:hint="eastAsia" w:ascii="等线" w:hAnsi="等线" w:eastAsia="等线" w:cs="等线"/>
                <w:i w:val="0"/>
                <w:iCs w:val="0"/>
                <w:color w:val="000000"/>
                <w:sz w:val="22"/>
                <w:szCs w:val="22"/>
                <w:u w:val="none"/>
              </w:rPr>
            </w:pPr>
          </w:p>
        </w:tc>
      </w:tr>
      <w:tr w14:paraId="557B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7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04C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行人过街警示一体机通电</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42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1、名称：配线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2、规格、参数：铜芯电力电缆敷设YJV3*2.5mm2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D0F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6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3938">
            <w:pPr>
              <w:jc w:val="left"/>
              <w:rPr>
                <w:rFonts w:hint="eastAsia" w:ascii="等线" w:hAnsi="等线" w:eastAsia="等线" w:cs="等线"/>
                <w:i w:val="0"/>
                <w:iCs w:val="0"/>
                <w:color w:val="000000"/>
                <w:sz w:val="22"/>
                <w:szCs w:val="22"/>
                <w:u w:val="none"/>
              </w:rPr>
            </w:pPr>
          </w:p>
        </w:tc>
      </w:tr>
      <w:tr w14:paraId="08D3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D4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DB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斑马柱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9B8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红白相间，警示柱，≥1.2米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EB8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D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4B2D">
            <w:pPr>
              <w:jc w:val="left"/>
              <w:rPr>
                <w:rFonts w:hint="eastAsia" w:ascii="等线" w:hAnsi="等线" w:eastAsia="等线" w:cs="等线"/>
                <w:i w:val="0"/>
                <w:iCs w:val="0"/>
                <w:color w:val="000000"/>
                <w:sz w:val="22"/>
                <w:szCs w:val="22"/>
                <w:u w:val="none"/>
              </w:rPr>
            </w:pPr>
          </w:p>
        </w:tc>
      </w:tr>
      <w:tr w14:paraId="4180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FA2C0">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3、湟源县城关第一中学行人过街预警</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E029">
            <w:pPr>
              <w:jc w:val="left"/>
              <w:rPr>
                <w:rFonts w:hint="eastAsia" w:ascii="等线" w:hAnsi="等线" w:eastAsia="等线" w:cs="等线"/>
                <w:b/>
                <w:bCs/>
                <w:i w:val="0"/>
                <w:iCs w:val="0"/>
                <w:color w:val="000000"/>
                <w:sz w:val="22"/>
                <w:szCs w:val="22"/>
                <w:u w:val="none"/>
              </w:rPr>
            </w:pPr>
          </w:p>
        </w:tc>
      </w:tr>
      <w:tr w14:paraId="6050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2F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F2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8B9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集成毫米波雷达、高精度摄像机、黄色圆形灯盘、显示屏、爆闪灯、语音提示等模块于一体。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1.规格尺寸：3250mm*420mm×120mm（±5mm）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3.工作温度：-20℃-70℃。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4.多车道检测雷达：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（2）测速范围：4-400km/h，测速精度：-1-0km/h；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（3）测距范围：5-250米可调，测距精度：±0.5m；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5.检测相机：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（1）通过智能算法，检测并定位设定区域内的行人及非机动车辆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（2）接口类型：与发光地砖控制器之间采用以太网接口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（3）检测距离：2-45米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6.圆形灯盘：黄闪，尺寸≥Ø300mm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7.文字显示屏：尺寸：1000mm×280mm1000mm×250mm（±5mm）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8.爆闪灯：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（1）红蓝双色组合；：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（2）电压：24V；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（3）尺寸：185mm×75mm（±5mm）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9.环境适应性强，全天候工作，雷达性能不受光照、灰尘、雨雪、雾霾等恶劣环境影响，一体化设计，集成水平仪及角刻度，安装轻松。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CA8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E9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20BB">
            <w:pPr>
              <w:jc w:val="left"/>
              <w:rPr>
                <w:rFonts w:hint="eastAsia" w:ascii="等线" w:hAnsi="等线" w:eastAsia="等线" w:cs="等线"/>
                <w:i w:val="0"/>
                <w:iCs w:val="0"/>
                <w:color w:val="000000"/>
                <w:sz w:val="22"/>
                <w:szCs w:val="22"/>
                <w:u w:val="none"/>
              </w:rPr>
            </w:pPr>
          </w:p>
        </w:tc>
      </w:tr>
      <w:tr w14:paraId="1560A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BE2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F4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59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1、名称：混凝土一体浇筑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2、标号：≥C40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55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C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B0F">
            <w:pPr>
              <w:jc w:val="left"/>
              <w:rPr>
                <w:rFonts w:hint="eastAsia" w:ascii="等线" w:hAnsi="等线" w:eastAsia="等线" w:cs="等线"/>
                <w:i w:val="0"/>
                <w:iCs w:val="0"/>
                <w:color w:val="000000"/>
                <w:sz w:val="22"/>
                <w:szCs w:val="22"/>
                <w:u w:val="none"/>
              </w:rPr>
            </w:pPr>
          </w:p>
        </w:tc>
      </w:tr>
      <w:tr w14:paraId="4878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2B2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1DC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行人过街警示一体机通电</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EC0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1、名称：配线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2、规格、参数：铜芯电力电缆敷设YJV3*2.5mm2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D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C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D130">
            <w:pPr>
              <w:jc w:val="left"/>
              <w:rPr>
                <w:rFonts w:hint="eastAsia" w:ascii="等线" w:hAnsi="等线" w:eastAsia="等线" w:cs="等线"/>
                <w:i w:val="0"/>
                <w:iCs w:val="0"/>
                <w:color w:val="000000"/>
                <w:sz w:val="22"/>
                <w:szCs w:val="22"/>
                <w:u w:val="none"/>
              </w:rPr>
            </w:pPr>
          </w:p>
        </w:tc>
      </w:tr>
      <w:tr w14:paraId="3790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F9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8D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斑马柱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CEE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红白相间，警示柱，≥1.2米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53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E8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BE2B">
            <w:pPr>
              <w:jc w:val="left"/>
              <w:rPr>
                <w:rFonts w:hint="eastAsia" w:ascii="等线" w:hAnsi="等线" w:eastAsia="等线" w:cs="等线"/>
                <w:i w:val="0"/>
                <w:iCs w:val="0"/>
                <w:color w:val="000000"/>
                <w:sz w:val="22"/>
                <w:szCs w:val="22"/>
                <w:u w:val="none"/>
              </w:rPr>
            </w:pPr>
          </w:p>
        </w:tc>
      </w:tr>
      <w:tr w14:paraId="7826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B3B0EC">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4、湟源牧校北门行人过街预警</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AB9D">
            <w:pPr>
              <w:jc w:val="left"/>
              <w:rPr>
                <w:rFonts w:hint="eastAsia" w:ascii="等线" w:hAnsi="等线" w:eastAsia="等线" w:cs="等线"/>
                <w:b/>
                <w:bCs/>
                <w:i w:val="0"/>
                <w:iCs w:val="0"/>
                <w:color w:val="000000"/>
                <w:sz w:val="22"/>
                <w:szCs w:val="22"/>
                <w:u w:val="none"/>
              </w:rPr>
            </w:pPr>
          </w:p>
        </w:tc>
      </w:tr>
      <w:tr w14:paraId="681C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7A2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F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63F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集成毫米波雷达、高精度摄像机、黄色圆形灯盘、显示屏、爆闪灯、语音提示等模块于一体。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1.规格尺寸：3250mm*420mm×120mm（±5mm）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2.防护等级：≥IP65。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3.工作温度：-20℃-70℃。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4.多车道检测雷达：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（1）工作频率：≥24GHz；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（2）测速范围：4-400km/h，测速精度：-1-0km/h；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（3）测距范围：5-250米可调，测距精度：±0.5m；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（4）可探测角度：水平方向≥75°、垂直方向≥25°；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（5）自动识别车辆行驶方向：来向、去向、双向；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5.检测相机：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（1）通过智能算法，检测并定位设定区域内的行人及非机动车辆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（2）接口类型：与发光地砖控制器之间采用以太网接口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（3）检测距离：2-45米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6.圆形灯盘：黄闪，尺寸≥Ø300mm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7.文字显示屏：尺寸：1000mm×280mm1000mm×250mm（±5mm）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8.爆闪灯：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（1）红蓝双色组合；：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（2）电压：24V；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（3）尺寸：185mm×75mm（±5mm）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9.环境适应性强，全天候工作，雷达性能不受光照、灰尘、雨雪、雾霾等恶劣环境影响，一体化设计，集成水平仪及角刻度，安装轻松。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C70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AF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668F">
            <w:pPr>
              <w:jc w:val="left"/>
              <w:rPr>
                <w:rFonts w:hint="eastAsia" w:ascii="等线" w:hAnsi="等线" w:eastAsia="等线" w:cs="等线"/>
                <w:i w:val="0"/>
                <w:iCs w:val="0"/>
                <w:color w:val="000000"/>
                <w:sz w:val="22"/>
                <w:szCs w:val="22"/>
                <w:u w:val="none"/>
              </w:rPr>
            </w:pPr>
          </w:p>
        </w:tc>
      </w:tr>
      <w:tr w14:paraId="4D07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79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76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DF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1、名称：混凝土一体浇筑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2、标号：≥C40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5B8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30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070">
            <w:pPr>
              <w:jc w:val="left"/>
              <w:rPr>
                <w:rFonts w:hint="eastAsia" w:ascii="等线" w:hAnsi="等线" w:eastAsia="等线" w:cs="等线"/>
                <w:i w:val="0"/>
                <w:iCs w:val="0"/>
                <w:color w:val="000000"/>
                <w:sz w:val="22"/>
                <w:szCs w:val="22"/>
                <w:u w:val="none"/>
              </w:rPr>
            </w:pPr>
          </w:p>
        </w:tc>
      </w:tr>
      <w:tr w14:paraId="6DA2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220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B9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行人过街警示一体机通电</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EA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1、名称：配线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2、规格、参数：铜芯电力电缆敷设YJV3*2.5mm2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CD1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97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2C22">
            <w:pPr>
              <w:jc w:val="left"/>
              <w:rPr>
                <w:rFonts w:hint="eastAsia" w:ascii="等线" w:hAnsi="等线" w:eastAsia="等线" w:cs="等线"/>
                <w:i w:val="0"/>
                <w:iCs w:val="0"/>
                <w:color w:val="000000"/>
                <w:sz w:val="22"/>
                <w:szCs w:val="22"/>
                <w:u w:val="none"/>
              </w:rPr>
            </w:pPr>
          </w:p>
        </w:tc>
      </w:tr>
      <w:tr w14:paraId="010E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26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F3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斑马柱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9D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红白相间，警示柱，≥1.2米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644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1F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EC89">
            <w:pPr>
              <w:jc w:val="left"/>
              <w:rPr>
                <w:rFonts w:hint="eastAsia" w:ascii="等线" w:hAnsi="等线" w:eastAsia="等线" w:cs="等线"/>
                <w:i w:val="0"/>
                <w:iCs w:val="0"/>
                <w:color w:val="000000"/>
                <w:sz w:val="22"/>
                <w:szCs w:val="22"/>
                <w:u w:val="none"/>
              </w:rPr>
            </w:pPr>
          </w:p>
        </w:tc>
      </w:tr>
      <w:tr w14:paraId="4F7E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858D2">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（六）热熔标线更新补缺</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3057">
            <w:pPr>
              <w:jc w:val="left"/>
              <w:rPr>
                <w:rFonts w:hint="eastAsia" w:ascii="等线" w:hAnsi="等线" w:eastAsia="等线" w:cs="等线"/>
                <w:i w:val="0"/>
                <w:iCs w:val="0"/>
                <w:color w:val="000000"/>
                <w:sz w:val="22"/>
                <w:szCs w:val="22"/>
                <w:u w:val="none"/>
              </w:rPr>
            </w:pPr>
          </w:p>
        </w:tc>
      </w:tr>
      <w:tr w14:paraId="193E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347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6F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清除标线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37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采用机械除线机或高压水除线设备清除废旧标线。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62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0E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EC77">
            <w:pPr>
              <w:jc w:val="left"/>
              <w:rPr>
                <w:rFonts w:hint="eastAsia" w:ascii="等线" w:hAnsi="等线" w:eastAsia="等线" w:cs="等线"/>
                <w:i w:val="0"/>
                <w:iCs w:val="0"/>
                <w:color w:val="000000"/>
                <w:sz w:val="22"/>
                <w:szCs w:val="22"/>
                <w:u w:val="none"/>
              </w:rPr>
            </w:pPr>
          </w:p>
        </w:tc>
      </w:tr>
      <w:tr w14:paraId="7BE3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A9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5A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施划标线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E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1.材料：热熔涂料。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2.线型：施划人行横道线，停止线，导向箭头，车行分道线等。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3.厚度：标线厚度1.8-2mm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FD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B9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6D7E">
            <w:pPr>
              <w:jc w:val="left"/>
              <w:rPr>
                <w:rFonts w:hint="eastAsia" w:ascii="等线" w:hAnsi="等线" w:eastAsia="等线" w:cs="等线"/>
                <w:i w:val="0"/>
                <w:iCs w:val="0"/>
                <w:color w:val="000000"/>
                <w:sz w:val="22"/>
                <w:szCs w:val="22"/>
                <w:u w:val="none"/>
              </w:rPr>
            </w:pPr>
          </w:p>
        </w:tc>
      </w:tr>
      <w:tr w14:paraId="323E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70A68">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二、交通违法管理平台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A333">
            <w:pPr>
              <w:jc w:val="center"/>
              <w:rPr>
                <w:rFonts w:hint="eastAsia" w:ascii="等线" w:hAnsi="等线" w:eastAsia="等线" w:cs="等线"/>
                <w:i w:val="0"/>
                <w:iCs w:val="0"/>
                <w:color w:val="000000"/>
                <w:sz w:val="28"/>
                <w:szCs w:val="28"/>
                <w:u w:val="none"/>
              </w:rPr>
            </w:pPr>
          </w:p>
        </w:tc>
      </w:tr>
      <w:tr w14:paraId="1E74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A580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（一）电子警察系统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D1AC">
            <w:pPr>
              <w:jc w:val="left"/>
              <w:rPr>
                <w:rFonts w:hint="eastAsia" w:ascii="等线" w:hAnsi="等线" w:eastAsia="等线" w:cs="等线"/>
                <w:b/>
                <w:bCs/>
                <w:i w:val="0"/>
                <w:iCs w:val="0"/>
                <w:color w:val="000000"/>
                <w:sz w:val="22"/>
                <w:szCs w:val="22"/>
                <w:u w:val="none"/>
              </w:rPr>
            </w:pPr>
          </w:p>
        </w:tc>
      </w:tr>
      <w:tr w14:paraId="7DF6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99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E4F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900万电子警察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7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车辆捕获率应≥99%，车牌识别准确率应≥ 95%；支持闯红灯抓拍功能，闯红灯捕获率≥95％，记录有效率≥90％；支持压线、逆行、不按导向行驶等违法检测功能；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支持车辆抓拍，支持抓拍输出车牌局部照片、场景全景图片。（需提供第三方机构出具的检测报告）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支持识别≥ 39 种车身颜色，包括白、黑、红、黄、灰、蓝、绿、粉、紫、暗紫、棕、栗色、银灰、暗灰、白烟、深橙、浅玫瑰、番茄红、橄榄、金、暗橄榄、黄绿、绿黄、森林绿、海洋绿、深天蓝、青、深蓝、深红、深绿、深黄、深粉、深紫、深棕、深青、橙、深金、粉红、其他， 支持识别车身副颜色。（需提供第三方机构出具的检测报告）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支持设置车辆抓拍位置到立杆的架设距离、设备架设高度，并在视频图像中显示位置信息。（需提供第三方机构出具的检测报告）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支持对25×10 像素～1100×3000 像素的机动车车牌进行抓拍并识别，支持识别并抓拍垂直倾斜角度≤55°、水平倾斜角度≤35°、俯仰角度≤40°的机动车车牌。（需提供第三方机构出具的检测报告）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支持检测并跟踪指定区域内不少于 245 个目标，目标包括机动车等。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≥2个RJ45 100M/1000M自适应网口，≥3个RS485接口，≥1个触发输入、≥5路补光灯控制接口，≥1个存储卡接口，防护等级≥IP66。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0FC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FC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45BA">
            <w:pPr>
              <w:jc w:val="left"/>
              <w:rPr>
                <w:rFonts w:hint="eastAsia" w:ascii="等线" w:hAnsi="等线" w:eastAsia="等线" w:cs="等线"/>
                <w:i w:val="0"/>
                <w:iCs w:val="0"/>
                <w:color w:val="000000"/>
                <w:sz w:val="22"/>
                <w:szCs w:val="22"/>
                <w:u w:val="none"/>
              </w:rPr>
            </w:pPr>
          </w:p>
        </w:tc>
      </w:tr>
      <w:tr w14:paraId="25FD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E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B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电子警察补光灯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345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光源类型≥16颗原装大功率LED；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发光角度≥10°；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覆盖范围：单车道环境补光灯；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最佳补光范围16米～25米（±5%）；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符合GA/T 1202-2022《交通技术监控成像补光装置通用技术条件》中的一级补光装置要求；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补光灯在频率大于250Hz或占空比大于39%时进行自我保护，自动熄灭；</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71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BEF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FB2">
            <w:pPr>
              <w:jc w:val="left"/>
              <w:rPr>
                <w:rFonts w:hint="eastAsia" w:ascii="等线" w:hAnsi="等线" w:eastAsia="等线" w:cs="等线"/>
                <w:i w:val="0"/>
                <w:iCs w:val="0"/>
                <w:color w:val="000000"/>
                <w:sz w:val="22"/>
                <w:szCs w:val="22"/>
                <w:u w:val="none"/>
              </w:rPr>
            </w:pPr>
          </w:p>
        </w:tc>
      </w:tr>
      <w:tr w14:paraId="241B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58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71C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A1F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448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EDD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8E9C">
            <w:pPr>
              <w:jc w:val="left"/>
              <w:rPr>
                <w:rFonts w:hint="eastAsia" w:ascii="等线" w:hAnsi="等线" w:eastAsia="等线" w:cs="等线"/>
                <w:i w:val="0"/>
                <w:iCs w:val="0"/>
                <w:color w:val="000000"/>
                <w:sz w:val="22"/>
                <w:szCs w:val="22"/>
                <w:u w:val="none"/>
              </w:rPr>
            </w:pPr>
          </w:p>
        </w:tc>
      </w:tr>
      <w:tr w14:paraId="6A9A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5F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D6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DBB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1.内含双路220V电源防雷，双路10A空气开关≥1个，3芯插座≥1个，支持抱杆安装；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BC2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FE3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59B9">
            <w:pPr>
              <w:jc w:val="left"/>
              <w:rPr>
                <w:rFonts w:hint="eastAsia" w:ascii="等线" w:hAnsi="等线" w:eastAsia="等线" w:cs="等线"/>
                <w:i w:val="0"/>
                <w:iCs w:val="0"/>
                <w:color w:val="000000"/>
                <w:sz w:val="22"/>
                <w:szCs w:val="22"/>
                <w:u w:val="none"/>
              </w:rPr>
            </w:pPr>
          </w:p>
        </w:tc>
      </w:tr>
      <w:tr w14:paraId="4078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F9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BD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6.5m高电子警察立杆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3D8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棱热镀锌，≥立杆高6.5m，壁厚≥8mm（立柱下径≥280、上径≥220)，挑臂长≥9m，≥5mm厚（后径≥220、端径≥110；）,横臂连接法兰≥400*400*20mm，底盘法兰≥φ500*20mm，（横臂长度暂定，根据现场实际调整）整体热镀锌，喷塑；含配套地笼、基础材料、接地角钢等。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0E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93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4B99">
            <w:pPr>
              <w:jc w:val="left"/>
              <w:rPr>
                <w:rFonts w:hint="eastAsia" w:ascii="等线" w:hAnsi="等线" w:eastAsia="等线" w:cs="等线"/>
                <w:i w:val="0"/>
                <w:iCs w:val="0"/>
                <w:color w:val="000000"/>
                <w:sz w:val="22"/>
                <w:szCs w:val="22"/>
                <w:u w:val="none"/>
              </w:rPr>
            </w:pPr>
          </w:p>
        </w:tc>
      </w:tr>
      <w:tr w14:paraId="5259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31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F77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EBF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地笼和接地极（适用于立杆6.5米高以上杆体、横臂10米以内镀锌杆），固定螺杆≥8根M27螺纹钢，≥φ6mm钢筋3箍，≥10mm钢板定位法兰，≥50*50角钢接地极，预埋件直径≥500mm，高≥1500mm。≥M27*1500*8.φ500*10，散件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334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58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86A0">
            <w:pPr>
              <w:jc w:val="left"/>
              <w:rPr>
                <w:rFonts w:hint="eastAsia" w:ascii="等线" w:hAnsi="等线" w:eastAsia="等线" w:cs="等线"/>
                <w:i w:val="0"/>
                <w:iCs w:val="0"/>
                <w:color w:val="000000"/>
                <w:sz w:val="22"/>
                <w:szCs w:val="22"/>
                <w:u w:val="none"/>
              </w:rPr>
            </w:pPr>
          </w:p>
        </w:tc>
      </w:tr>
      <w:tr w14:paraId="2D97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381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E91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落地机柜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663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1.机柜含有强电模块，包含220V电源防雷，2P25A空气≥1个，三芯插座≥1个，1P10A空开≥8个；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03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CB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791F">
            <w:pPr>
              <w:jc w:val="left"/>
              <w:rPr>
                <w:rFonts w:hint="eastAsia" w:ascii="等线" w:hAnsi="等线" w:eastAsia="等线" w:cs="等线"/>
                <w:i w:val="0"/>
                <w:iCs w:val="0"/>
                <w:color w:val="000000"/>
                <w:sz w:val="22"/>
                <w:szCs w:val="22"/>
                <w:u w:val="none"/>
              </w:rPr>
            </w:pPr>
          </w:p>
        </w:tc>
      </w:tr>
      <w:tr w14:paraId="31C1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3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1E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落地机柜基础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75F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含双路220V防雷，双路空气开关≥1个，单路空气开关≥8个，三芯维护插座≥1个；防护等级≥IP54。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配置一块托盘用于放置网络设备。尺寸≥1000mm*600mm*450mm,不锈钢箱体</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89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FA8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0EF">
            <w:pPr>
              <w:jc w:val="left"/>
              <w:rPr>
                <w:rFonts w:hint="eastAsia" w:ascii="等线" w:hAnsi="等线" w:eastAsia="等线" w:cs="等线"/>
                <w:i w:val="0"/>
                <w:iCs w:val="0"/>
                <w:color w:val="000000"/>
                <w:sz w:val="22"/>
                <w:szCs w:val="22"/>
                <w:u w:val="none"/>
              </w:rPr>
            </w:pPr>
          </w:p>
        </w:tc>
      </w:tr>
      <w:tr w14:paraId="17A4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EF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902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前端智能终端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69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设备采用嵌入式操作系统，全机身散热，内部无风扇，支持车辆卡口、违法以及其他事件结构化图片存储，支持视频预览、录像和回放，支持配置录像计划，录像和图片存储空间可配置。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支持≥4块3.5或2.5英寸硬盘接入，兼容≥8TB硬盘，支持硬盘自动切换，当块硬盘损坏后，能自动切换至其它硬盘进行存储，内置≥8T监控级硬盘；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具有记录、回放、报警联动、图像检索、权限管理、视频水印、日志功能、支持叠加图像标识信息和时间，支持图像多画面显示。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≥12个10M/100M/1000M 自适应RJ45接口，≥2个1000M SFP光口，≥1个USB3.0接口，≥2个RS-485接口。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支持添加不少于12路IP摄像机，总码率≥350Mbps，支持对接入摄像机进行实时预览与录像存储。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支持图像化展示设备所连通道的在线、离线、未启用状态，支持展示各通道上线、离线时间；支持查看通道状态统计信息。（需提供第三方机构出具的检测报告）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支持将原始图片、特写图片、合成图片、车牌抠图、关联录像片上传至FTP服务器。（需提供第三方机构出具的检测报告）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需提供第三方机构出具的检测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5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98C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BF0C">
            <w:pPr>
              <w:jc w:val="left"/>
              <w:rPr>
                <w:rFonts w:hint="eastAsia" w:ascii="等线" w:hAnsi="等线" w:eastAsia="等线" w:cs="等线"/>
                <w:i w:val="0"/>
                <w:iCs w:val="0"/>
                <w:color w:val="000000"/>
                <w:sz w:val="22"/>
                <w:szCs w:val="22"/>
                <w:u w:val="none"/>
              </w:rPr>
            </w:pPr>
          </w:p>
        </w:tc>
      </w:tr>
      <w:tr w14:paraId="2CE0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1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31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信号灯检测器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B1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 16 路信号灯交流信号输入接 口，可扩展≥22 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≥4 个 RS485 输出接口；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≥1 路 100M 网口输出；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≥1 个 5VDC 输出接口；5. ≥5 路拨码开关；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≥16 路交通灯状态指示；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7.输入接口采用压电保护、光电隔 离等防护措施；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8.实时输出交通灯信号状态；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9.功耗：＜5W。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E7E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DD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57F4">
            <w:pPr>
              <w:jc w:val="left"/>
              <w:rPr>
                <w:rFonts w:hint="eastAsia" w:ascii="等线" w:hAnsi="等线" w:eastAsia="等线" w:cs="等线"/>
                <w:i w:val="0"/>
                <w:iCs w:val="0"/>
                <w:color w:val="000000"/>
                <w:sz w:val="22"/>
                <w:szCs w:val="22"/>
                <w:u w:val="none"/>
              </w:rPr>
            </w:pPr>
          </w:p>
        </w:tc>
      </w:tr>
      <w:tr w14:paraId="3BDE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2B53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（二）违停抓拍系统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3FDD">
            <w:pPr>
              <w:jc w:val="left"/>
              <w:rPr>
                <w:rFonts w:hint="eastAsia" w:ascii="等线" w:hAnsi="等线" w:eastAsia="等线" w:cs="等线"/>
                <w:b/>
                <w:bCs/>
                <w:i w:val="0"/>
                <w:iCs w:val="0"/>
                <w:color w:val="000000"/>
                <w:sz w:val="22"/>
                <w:szCs w:val="22"/>
                <w:u w:val="none"/>
              </w:rPr>
            </w:pPr>
          </w:p>
        </w:tc>
      </w:tr>
      <w:tr w14:paraId="6DF6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372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810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违停球机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3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靶面尺寸不小于1/1.8英寸，视频分辨率与帧率不小于2688*1520@25fps；支持不小于32倍光学变倍，镜头最大焦距≥192mm；支持最低照度不大于0.0005Lx，黑白不大于0.0001Lx；内置≥10颗补光灯，样机红外补光灯开启，夜晚天气晴朗无遮挡情况下，可识别距离≥150米处的人体轮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相机支持水平旋转范围:0°~360°，连续旋转；垂直旋转范围:-20°~90°；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支持≥300个预置位，可按照所设置的预置位完成≥8条巡航路径，每条巡航路径可设置≥32个预置位；支持预置位视频冻结功能；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可通过IE浏览器将视频编码格式设置为H.265、H.264、MJPEG；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检测距离≥150米的违法停车事件，在配置违停检测时，具有布防车牌颜色（黄色车牌、蓝色车牌、绿色车牌和其他车牌）和布防车型（轿车、面包车、货车、客车和其他）的设置选项；（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支持对违停、逆行、压线等多种交通违法行为进行检验并抓拍图片，当监控场景内违法事件触发报警后，可联动报警输出和上传图片；</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在天气晴朗无雾的条件下进行测试，日间测试时的环境光照度不低于2001x，夜间测试时辅助照明光照度不高于501x，日间和夜间各测试100次，日间车型正确识别次数不少于99次，夜间车型正确识别次数不少于99次；（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设备包含≥1路音频输入、≥1路音频输出、≥7路报警输入、≥2路报警输出、≥1个RS485接口、≥1个调试串口、≥1个SD卡插槽及≥1个雨刮器。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49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0F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09C3">
            <w:pPr>
              <w:jc w:val="left"/>
              <w:rPr>
                <w:rFonts w:hint="eastAsia" w:ascii="等线" w:hAnsi="等线" w:eastAsia="等线" w:cs="等线"/>
                <w:i w:val="0"/>
                <w:iCs w:val="0"/>
                <w:color w:val="000000"/>
                <w:sz w:val="22"/>
                <w:szCs w:val="22"/>
                <w:u w:val="none"/>
              </w:rPr>
            </w:pPr>
          </w:p>
        </w:tc>
      </w:tr>
      <w:tr w14:paraId="5B35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2D9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61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违停球机支架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8F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颜色：白色；材质：铝合金；安装方式：吊装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8A1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C2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052A">
            <w:pPr>
              <w:jc w:val="left"/>
              <w:rPr>
                <w:rFonts w:hint="eastAsia" w:ascii="等线" w:hAnsi="等线" w:eastAsia="等线" w:cs="等线"/>
                <w:i w:val="0"/>
                <w:iCs w:val="0"/>
                <w:color w:val="000000"/>
                <w:sz w:val="22"/>
                <w:szCs w:val="22"/>
                <w:u w:val="none"/>
              </w:rPr>
            </w:pPr>
          </w:p>
        </w:tc>
      </w:tr>
      <w:tr w14:paraId="14EF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4D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7D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CC1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88A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03B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BB15">
            <w:pPr>
              <w:jc w:val="left"/>
              <w:rPr>
                <w:rFonts w:hint="eastAsia" w:ascii="等线" w:hAnsi="等线" w:eastAsia="等线" w:cs="等线"/>
                <w:i w:val="0"/>
                <w:iCs w:val="0"/>
                <w:color w:val="000000"/>
                <w:sz w:val="22"/>
                <w:szCs w:val="22"/>
                <w:u w:val="none"/>
              </w:rPr>
            </w:pPr>
          </w:p>
        </w:tc>
      </w:tr>
      <w:tr w14:paraId="3C22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45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35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B08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内含双路220V电源防雷，双路10A空气开关≥1个， 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99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CC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E20F">
            <w:pPr>
              <w:jc w:val="left"/>
              <w:rPr>
                <w:rFonts w:hint="eastAsia" w:ascii="等线" w:hAnsi="等线" w:eastAsia="等线" w:cs="等线"/>
                <w:i w:val="0"/>
                <w:iCs w:val="0"/>
                <w:color w:val="000000"/>
                <w:sz w:val="22"/>
                <w:szCs w:val="22"/>
                <w:u w:val="none"/>
              </w:rPr>
            </w:pPr>
          </w:p>
        </w:tc>
      </w:tr>
      <w:tr w14:paraId="2E56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7E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54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706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八棱热镀锌，≥,立杆高≥6.5m，壁厚≥6mm（立柱下径≥240mm，上径≥180mm）； 挑臂长2-4m（后径≥165mm、端径≥90mm），壁厚≥4mm，横臂连接法兰≥350*350*16mm，（横臂长度暂定，根据现场实际调整），底盘法兰≥φ500*16mm，整体热镀锌，喷塑，含配套接地扁钢等。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F50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0C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4A64">
            <w:pPr>
              <w:jc w:val="left"/>
              <w:rPr>
                <w:rFonts w:hint="eastAsia" w:ascii="等线" w:hAnsi="等线" w:eastAsia="等线" w:cs="等线"/>
                <w:i w:val="0"/>
                <w:iCs w:val="0"/>
                <w:color w:val="000000"/>
                <w:sz w:val="22"/>
                <w:szCs w:val="22"/>
                <w:u w:val="none"/>
              </w:rPr>
            </w:pPr>
          </w:p>
        </w:tc>
      </w:tr>
      <w:tr w14:paraId="40FC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0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C4F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立杆基础（包含预埋件）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F7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地笼和接地极（适用于6.5米高以上、横臂6米以内八棱杆），固定螺杆≥8根M27螺纹钢，≥φ6mm钢筋2箍，≥8mm钢板定位法兰，≥L50*50角钢接地极，预埋件直径≥500mm，高≥1200mm。≥M27*1200*8.φ500*8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4F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3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3E3A">
            <w:pPr>
              <w:jc w:val="left"/>
              <w:rPr>
                <w:rFonts w:hint="eastAsia" w:ascii="等线" w:hAnsi="等线" w:eastAsia="等线" w:cs="等线"/>
                <w:i w:val="0"/>
                <w:iCs w:val="0"/>
                <w:color w:val="000000"/>
                <w:sz w:val="22"/>
                <w:szCs w:val="22"/>
                <w:u w:val="none"/>
              </w:rPr>
            </w:pPr>
          </w:p>
        </w:tc>
      </w:tr>
      <w:tr w14:paraId="0292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41E9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（三）禁止左转抓拍系统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BC04">
            <w:pPr>
              <w:jc w:val="left"/>
              <w:rPr>
                <w:rFonts w:hint="eastAsia" w:ascii="等线" w:hAnsi="等线" w:eastAsia="等线" w:cs="等线"/>
                <w:b/>
                <w:bCs/>
                <w:i w:val="0"/>
                <w:iCs w:val="0"/>
                <w:color w:val="000000"/>
                <w:sz w:val="22"/>
                <w:szCs w:val="22"/>
                <w:u w:val="none"/>
              </w:rPr>
            </w:pPr>
          </w:p>
        </w:tc>
      </w:tr>
      <w:tr w14:paraId="1D33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70F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EA0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900万电子警察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3A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包含高清一体化嵌入式摄像机、高清镜头、室外防护罩、LED补光灯、风扇、电源适配器等；摄像机采用≥1英寸CCD或全局曝光CMOS传感器，支持≥4096×2160@25fps（不含OSD叠加）视频图像输出；视频压缩支持H.265、H.264、M-JPE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车辆捕获率应≥99%，车牌识别准确率应≥ 95%；支持闯红灯抓拍功能，闯红灯捕获率≥95％，记录有效率≥90％；支持车型、车身颜色等车辆特征识别，支持压线、逆行、不按导向行驶等违法检测功能；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支持车辆抓拍，支持抓拍输出车牌局部照片、车窗局部照片、场景全景图片。（需提供第三方机构出具的检测报告）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支持识别≥39 种车身颜色，包括白、黑、红、黄、灰、蓝、绿、粉、紫、暗紫、棕、栗色、银灰、暗灰、白烟、深橙、浅玫瑰、番茄红、橄榄、金、暗橄榄、黄绿、绿黄、森林绿、海洋绿、深天蓝、青、深蓝、深红、深绿、深黄、深粉、深紫、深棕、深青、橙、深金、粉红、其他， 支持识别车身副颜色。（需提供第三方机构出具的检测报告）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支持设置车辆抓拍位置到立杆的架设距离、设备架设高度，并在视频图像中显示位置信息。（需提供第三方机构出具的检测报告）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支持对≥25×10 像素～1100×3000 像素的机动车车牌进行抓拍并识别，支持识别并抓拍垂直倾斜角度≤55°、水平倾斜角度≤35°、俯仰角度≤40°的机动车车牌。（需提供第三方机构出具的检测报告）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支持检测并跟踪指定区域内不少于 245 个目标，目标包括机动车等。（需提供第三方机构出具的检测报告）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≥2个RJ45 100M/1000M自适应网口，≥3个RS485接口，≥1个触发输入、≥5路补光灯控制接口，≥1个存储卡接口，防护等级≥IP66。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2B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B9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E30A">
            <w:pPr>
              <w:jc w:val="left"/>
              <w:rPr>
                <w:rFonts w:hint="eastAsia" w:ascii="等线" w:hAnsi="等线" w:eastAsia="等线" w:cs="等线"/>
                <w:i w:val="0"/>
                <w:iCs w:val="0"/>
                <w:color w:val="000000"/>
                <w:sz w:val="22"/>
                <w:szCs w:val="22"/>
                <w:u w:val="none"/>
              </w:rPr>
            </w:pPr>
          </w:p>
        </w:tc>
      </w:tr>
      <w:tr w14:paraId="3917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15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FE3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电子警察补光灯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669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光源类型≥16颗原装大功率LED；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发光角度≥10°；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覆盖范围：单车道环境补光灯；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最佳补光范围16米～25米（±5%）；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符合GA/T 1202-2022《交通技术监控成像补光装置通用技术条件》中的一级补光装置要求；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补光灯在频率大于250Hz或占空比大于39%时进行自我保护，自动熄灭；</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4C4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96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C1B3">
            <w:pPr>
              <w:jc w:val="left"/>
              <w:rPr>
                <w:rFonts w:hint="eastAsia" w:ascii="等线" w:hAnsi="等线" w:eastAsia="等线" w:cs="等线"/>
                <w:i w:val="0"/>
                <w:iCs w:val="0"/>
                <w:color w:val="000000"/>
                <w:sz w:val="22"/>
                <w:szCs w:val="22"/>
                <w:u w:val="none"/>
              </w:rPr>
            </w:pPr>
          </w:p>
        </w:tc>
      </w:tr>
      <w:tr w14:paraId="4B79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C6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4B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DD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9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B6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6772">
            <w:pPr>
              <w:jc w:val="left"/>
              <w:rPr>
                <w:rFonts w:hint="eastAsia" w:ascii="等线" w:hAnsi="等线" w:eastAsia="等线" w:cs="等线"/>
                <w:i w:val="0"/>
                <w:iCs w:val="0"/>
                <w:color w:val="000000"/>
                <w:sz w:val="22"/>
                <w:szCs w:val="22"/>
                <w:u w:val="none"/>
              </w:rPr>
            </w:pPr>
          </w:p>
        </w:tc>
      </w:tr>
      <w:tr w14:paraId="06E7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D6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F9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08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内含双路220V电源防雷，双路10A空气开关≥1个， 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18E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B3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AB6B">
            <w:pPr>
              <w:jc w:val="left"/>
              <w:rPr>
                <w:rFonts w:hint="eastAsia" w:ascii="等线" w:hAnsi="等线" w:eastAsia="等线" w:cs="等线"/>
                <w:i w:val="0"/>
                <w:iCs w:val="0"/>
                <w:color w:val="000000"/>
                <w:sz w:val="22"/>
                <w:szCs w:val="22"/>
                <w:u w:val="none"/>
              </w:rPr>
            </w:pPr>
          </w:p>
        </w:tc>
      </w:tr>
      <w:tr w14:paraId="141C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8A7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629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6.5m高电子警察立杆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81E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棱热镀锌,立杆高≥6.5m，壁厚≥8mm（立柱下径≥280、上径≥220)，挑臂长≥9m，厚度≥5mm（后径≥220、端径≥110；）,横臂连接法兰≥400*400*20mm，底盘法兰≥φ500*20mm，（横臂长度暂定，根据现场实际调整）整体热镀锌，喷塑；含配套地笼、基础材料、接地角钢等。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545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1C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9643">
            <w:pPr>
              <w:jc w:val="left"/>
              <w:rPr>
                <w:rFonts w:hint="eastAsia" w:ascii="等线" w:hAnsi="等线" w:eastAsia="等线" w:cs="等线"/>
                <w:i w:val="0"/>
                <w:iCs w:val="0"/>
                <w:color w:val="000000"/>
                <w:sz w:val="22"/>
                <w:szCs w:val="22"/>
                <w:u w:val="none"/>
              </w:rPr>
            </w:pPr>
          </w:p>
        </w:tc>
      </w:tr>
      <w:tr w14:paraId="14F6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91C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B8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0F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地笼和接地极（适用于立杆6.5米高以上杆体、横臂10米以内镀锌杆），固定螺杆≥8根M27螺纹钢，≥φ6mm钢筋3箍，≥10mm钢板定位法兰，≥50*50角钢接地极，预埋件直径≥500mm，高≥1500mm。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9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D3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AF8E">
            <w:pPr>
              <w:jc w:val="left"/>
              <w:rPr>
                <w:rFonts w:hint="eastAsia" w:ascii="等线" w:hAnsi="等线" w:eastAsia="等线" w:cs="等线"/>
                <w:i w:val="0"/>
                <w:iCs w:val="0"/>
                <w:color w:val="000000"/>
                <w:sz w:val="22"/>
                <w:szCs w:val="22"/>
                <w:u w:val="none"/>
              </w:rPr>
            </w:pPr>
          </w:p>
        </w:tc>
      </w:tr>
      <w:tr w14:paraId="2B1B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AB7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D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落地机柜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E1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1.机柜含有强电模块，包含220V电源防雷，2P25A空气≥1个，三芯插座≥1个，1P10A空开≥8个；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2.防护等级≥IP55。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87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31F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B277">
            <w:pPr>
              <w:jc w:val="left"/>
              <w:rPr>
                <w:rFonts w:hint="eastAsia" w:ascii="等线" w:hAnsi="等线" w:eastAsia="等线" w:cs="等线"/>
                <w:i w:val="0"/>
                <w:iCs w:val="0"/>
                <w:color w:val="000000"/>
                <w:sz w:val="22"/>
                <w:szCs w:val="22"/>
                <w:u w:val="none"/>
              </w:rPr>
            </w:pPr>
          </w:p>
        </w:tc>
      </w:tr>
      <w:tr w14:paraId="08F1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A9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022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落地机柜基础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BC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含双路220V防雷，双路空气开关≥1个，单路空气开关≥8个，三芯维护插座≥1个；防护等级≥IP54。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配置一块托盘用于放置网络设备。尺寸≥1000mm*600mm*450mm,不锈钢箱体</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60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08A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B87">
            <w:pPr>
              <w:jc w:val="left"/>
              <w:rPr>
                <w:rFonts w:hint="eastAsia" w:ascii="等线" w:hAnsi="等线" w:eastAsia="等线" w:cs="等线"/>
                <w:i w:val="0"/>
                <w:iCs w:val="0"/>
                <w:color w:val="000000"/>
                <w:sz w:val="22"/>
                <w:szCs w:val="22"/>
                <w:u w:val="none"/>
              </w:rPr>
            </w:pPr>
          </w:p>
        </w:tc>
      </w:tr>
      <w:tr w14:paraId="69F9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17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A6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前端智能终端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1F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设备采用嵌入式操作系统，全机身散热，内部无风扇，支持车辆卡口、违法以及其他事件结构化图片存储，支持视频预览、录像和回放，支持配置录像计划，录像和图片存储空间可配置。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支持≥4块3.5或2.5英寸硬盘接入，兼容≥8TB硬盘，支持硬盘自动切换，当块硬盘损坏后，能自动切换至其它硬盘进行存储，内置≥8T监控级硬盘；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具有记录、回放、报警联动、图像检索、权限管理、视频水印、日志功能、支持叠加图像标识信息和时间，支持图像多画面显示。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≥12个10M/100M/1000M 自适应RJ45接口，≥2个1000M SFP光口，≥1个USB3.0接口，≥2个RS-485接口。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支持添加不少于12路IP摄像机，总码率不小于350Mbps，支持对接入摄像机进行实时预览与录像存储，支持对图片进行实时预览和存储，并可将IP摄像机的视频图像通过网络传输至客户端。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支持图像化展示设备所连通道的在线、离线、未启用状态，支持展示各通道上线、离线时间；支持查看通道状态统计信息。（需提供第三方机构出具的检测报告）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支持将原始图片、特写图片、合成图片、车牌抠图、关联录像片上传至FTP服务器。（需提供第三方机构出具的检测报告）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需提供第三方机构出具的检测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0D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34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1542">
            <w:pPr>
              <w:jc w:val="left"/>
              <w:rPr>
                <w:rFonts w:hint="eastAsia" w:ascii="等线" w:hAnsi="等线" w:eastAsia="等线" w:cs="等线"/>
                <w:i w:val="0"/>
                <w:iCs w:val="0"/>
                <w:color w:val="000000"/>
                <w:sz w:val="22"/>
                <w:szCs w:val="22"/>
                <w:u w:val="none"/>
              </w:rPr>
            </w:pPr>
          </w:p>
        </w:tc>
      </w:tr>
      <w:tr w14:paraId="08B2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FD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CF1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信号灯检测器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F7C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 16 路信号灯交流信号输入接 口，可扩展≥22 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≥4 个 RS485 输出接口；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≥1 路 100M 网口输出；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≥1 个 5VDC 输出接口；5. ≥5 路拨码开关；</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≥16 路交通灯状态指示；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7.输入接口采用压电保护、光电隔 离等防护措施；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8.实时输出交通灯信号状态；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9.工作温度：温度-30℃~70℃;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10.电源：AC220V±10%；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11.功耗：＜5W。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A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281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A16A">
            <w:pPr>
              <w:jc w:val="left"/>
              <w:rPr>
                <w:rFonts w:hint="eastAsia" w:ascii="等线" w:hAnsi="等线" w:eastAsia="等线" w:cs="等线"/>
                <w:i w:val="0"/>
                <w:iCs w:val="0"/>
                <w:color w:val="000000"/>
                <w:sz w:val="22"/>
                <w:szCs w:val="22"/>
                <w:u w:val="none"/>
              </w:rPr>
            </w:pPr>
          </w:p>
        </w:tc>
      </w:tr>
      <w:tr w14:paraId="70D2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431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16C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路口交换机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D39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1.提供≥16 个千兆电口， ≥4 个千 兆光口。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FA6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F1B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E1F3">
            <w:pPr>
              <w:jc w:val="left"/>
              <w:rPr>
                <w:rFonts w:hint="eastAsia" w:ascii="等线" w:hAnsi="等线" w:eastAsia="等线" w:cs="等线"/>
                <w:i w:val="0"/>
                <w:iCs w:val="0"/>
                <w:color w:val="000000"/>
                <w:sz w:val="22"/>
                <w:szCs w:val="22"/>
                <w:u w:val="none"/>
              </w:rPr>
            </w:pPr>
          </w:p>
        </w:tc>
      </w:tr>
      <w:tr w14:paraId="2F6B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8D5CF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（四）诱导屏及信息发布系统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CAB2">
            <w:pPr>
              <w:jc w:val="left"/>
              <w:rPr>
                <w:rFonts w:hint="eastAsia" w:ascii="等线" w:hAnsi="等线" w:eastAsia="等线" w:cs="等线"/>
                <w:b/>
                <w:bCs/>
                <w:i w:val="0"/>
                <w:iCs w:val="0"/>
                <w:color w:val="000000"/>
                <w:sz w:val="22"/>
                <w:szCs w:val="22"/>
                <w:u w:val="none"/>
              </w:rPr>
            </w:pPr>
          </w:p>
        </w:tc>
      </w:tr>
      <w:tr w14:paraId="1CDF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65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D0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诱导屏（P25，全彩，2*3m）</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1C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LED 像素点间距≤25mm;像素密 度≥1600 点/㎡；RG 双色直插灯珠</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有效显示尺寸为≥2m*2m，投标方也可根据自身产品尺寸进行拼接，但是显示尺寸长和宽均不得小于规定长宽，误差范围不超过2％。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产品结构牢固，边角过度圆滑，无飞边、无毛刺。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产品能显示GB2312 一、二级字库中所有汉字、GB2312 指定的全部汉字和数字字符及简单图形，汉字点阵可为 16*16、24*24、32*32等，数字、英文字母点阵可为16*8、24*12、32*16 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垂直/水平角度为0 °时，黄光亮度≥8000cd/㎡；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最大功率≤240W/㎡ ，LED 发光单元功率因数≥0.9。</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产品结构稳定，承受由 40m/s的风速产生的风压后，不影响产品的使用性能，产生的永久几何变形量≤ 2mm。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B8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A2F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CB00">
            <w:pPr>
              <w:jc w:val="left"/>
              <w:rPr>
                <w:rFonts w:hint="eastAsia" w:ascii="等线" w:hAnsi="等线" w:eastAsia="等线" w:cs="等线"/>
                <w:i w:val="0"/>
                <w:iCs w:val="0"/>
                <w:color w:val="000000"/>
                <w:sz w:val="22"/>
                <w:szCs w:val="22"/>
                <w:u w:val="none"/>
              </w:rPr>
            </w:pPr>
          </w:p>
        </w:tc>
      </w:tr>
      <w:tr w14:paraId="4851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92D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F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诱导屏主机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653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配套外置配电及控制系统；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内部集成三相 20KW 开关，支持 220VAC 及 380VAC 三相电输入；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内含异步控制卡，不低于 4 核A55 的 ARM 处理器，主频不低于1.8GHZ；支持至少 1 路千兆网口接 入；支持至少2 路 LED 千兆输出网 口；最大支持≥65 万像素带载能  力；</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配电功率：≤20KW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使用寿命：≥50000 小时；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防护等级：≥IP65，含电源防 雷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D5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4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3785">
            <w:pPr>
              <w:jc w:val="left"/>
              <w:rPr>
                <w:rFonts w:hint="eastAsia" w:ascii="等线" w:hAnsi="等线" w:eastAsia="等线" w:cs="等线"/>
                <w:i w:val="0"/>
                <w:iCs w:val="0"/>
                <w:color w:val="000000"/>
                <w:sz w:val="22"/>
                <w:szCs w:val="22"/>
                <w:u w:val="none"/>
              </w:rPr>
            </w:pPr>
          </w:p>
        </w:tc>
      </w:tr>
      <w:tr w14:paraId="155D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C2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D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诱导屏光感应器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D0F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1、支持监控环境亮度，实现屏体亮度自动调节；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2、支持连接至发送卡；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3、支持标配≥5米线；</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4、支持纯户外使用。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977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466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385">
            <w:pPr>
              <w:jc w:val="left"/>
              <w:rPr>
                <w:rFonts w:hint="eastAsia" w:ascii="等线" w:hAnsi="等线" w:eastAsia="等线" w:cs="等线"/>
                <w:i w:val="0"/>
                <w:iCs w:val="0"/>
                <w:color w:val="000000"/>
                <w:sz w:val="22"/>
                <w:szCs w:val="22"/>
                <w:u w:val="none"/>
              </w:rPr>
            </w:pPr>
          </w:p>
        </w:tc>
      </w:tr>
      <w:tr w14:paraId="0FC8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19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E0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屏幕立杆以及基础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53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立杆≥φ351mm，厚度≥8mm,高度≥8000mm,底法兰≥1200mm*1200mm*20mm,框架横臂根据屏幕尺寸定制，整体热镀锌喷塑。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0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203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9FE4">
            <w:pPr>
              <w:jc w:val="left"/>
              <w:rPr>
                <w:rFonts w:hint="eastAsia" w:ascii="等线" w:hAnsi="等线" w:eastAsia="等线" w:cs="等线"/>
                <w:i w:val="0"/>
                <w:iCs w:val="0"/>
                <w:color w:val="000000"/>
                <w:sz w:val="22"/>
                <w:szCs w:val="22"/>
                <w:u w:val="none"/>
              </w:rPr>
            </w:pPr>
          </w:p>
        </w:tc>
      </w:tr>
      <w:tr w14:paraId="5D0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BEA1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（五）国道视频监控系统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A6C0">
            <w:pPr>
              <w:jc w:val="left"/>
              <w:rPr>
                <w:rFonts w:hint="eastAsia" w:ascii="等线" w:hAnsi="等线" w:eastAsia="等线" w:cs="等线"/>
                <w:b/>
                <w:bCs/>
                <w:i w:val="0"/>
                <w:iCs w:val="0"/>
                <w:color w:val="000000"/>
                <w:sz w:val="22"/>
                <w:szCs w:val="22"/>
                <w:u w:val="none"/>
              </w:rPr>
            </w:pPr>
          </w:p>
        </w:tc>
      </w:tr>
      <w:tr w14:paraId="760C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93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D5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红外网络球机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15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全景枪球一体化摄像机，具有全景和细节2个镜头，全景镜头可随细节镜头一起水平、垂直旋转，保证画面同步，最大分辨率和帧率均≥2560×1440@25fps，支持H.265、H.264编码；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摄像机靶面尺寸≥1/1.8英寸，≥1颗GPU芯片，细节通道镜头焦距范围≥5-115mm，单路及双路模式下水平视场角均≥90°；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支持水平及垂直电动旋转，支持水平360°连续旋转，垂直旋转范围≥-15°~90°，支持自动翻转；支持深度学习算法，支持人脸抓拍，支持区域入侵、越界、进入/离开区域等智能侦测，支持人车分类报警；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视频输出支持单路模式和双路模式，单路模式下双镜头可实现单通道倍率拼接，在双路模式下全景通道和细节通道可单独预览监控画面；（需提供第三方机构出具的检测报告）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支持双镜头从最小倍率至最大倍率或最大倍率至最小倍率的变倍过程中视频图像不间断；（需提供第三方机构出具的检测报告）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3D定位联动，通过框选全景通道预览画面中的任意区域，在旋转角度范围允许的条件下，设备全景通道预览画面可将该区域处于屏幕中心位置，同时联动细节通道预览画面对该区域进行放大或缩小并且聚焦；（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内置≥1对音频输入/输出接口、≥1对报警输入/输出接口、≥1个存储卡接口，内置双光补光灯，红外补光距离≥200m，白光补光距离≥30m，防水防尘等级不低于IP66。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F3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D3C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38F3">
            <w:pPr>
              <w:jc w:val="left"/>
              <w:rPr>
                <w:rFonts w:hint="eastAsia" w:ascii="等线" w:hAnsi="等线" w:eastAsia="等线" w:cs="等线"/>
                <w:i w:val="0"/>
                <w:iCs w:val="0"/>
                <w:color w:val="000000"/>
                <w:sz w:val="22"/>
                <w:szCs w:val="22"/>
                <w:u w:val="none"/>
              </w:rPr>
            </w:pPr>
          </w:p>
        </w:tc>
      </w:tr>
      <w:tr w14:paraId="5439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5C9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49C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红外网络球机支架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F9B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颜色：白色；材质：铝合金；安装方式：吊装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315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34E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B9CF">
            <w:pPr>
              <w:jc w:val="left"/>
              <w:rPr>
                <w:rFonts w:hint="eastAsia" w:ascii="等线" w:hAnsi="等线" w:eastAsia="等线" w:cs="等线"/>
                <w:i w:val="0"/>
                <w:iCs w:val="0"/>
                <w:color w:val="000000"/>
                <w:sz w:val="22"/>
                <w:szCs w:val="22"/>
                <w:u w:val="none"/>
              </w:rPr>
            </w:pPr>
          </w:p>
        </w:tc>
      </w:tr>
      <w:tr w14:paraId="07A6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8A0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D0E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红外网络钢带抱箍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23C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D3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971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C152">
            <w:pPr>
              <w:jc w:val="left"/>
              <w:rPr>
                <w:rFonts w:hint="eastAsia" w:ascii="等线" w:hAnsi="等线" w:eastAsia="等线" w:cs="等线"/>
                <w:i w:val="0"/>
                <w:iCs w:val="0"/>
                <w:color w:val="000000"/>
                <w:sz w:val="22"/>
                <w:szCs w:val="22"/>
                <w:u w:val="none"/>
              </w:rPr>
            </w:pPr>
          </w:p>
        </w:tc>
      </w:tr>
      <w:tr w14:paraId="1E36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B6A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27D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15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内含双路220V电源防雷，双路10A空气开关≥1个， 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A2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4FD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BBFB">
            <w:pPr>
              <w:jc w:val="left"/>
              <w:rPr>
                <w:rFonts w:hint="eastAsia" w:ascii="等线" w:hAnsi="等线" w:eastAsia="等线" w:cs="等线"/>
                <w:i w:val="0"/>
                <w:iCs w:val="0"/>
                <w:color w:val="000000"/>
                <w:sz w:val="22"/>
                <w:szCs w:val="22"/>
                <w:u w:val="none"/>
              </w:rPr>
            </w:pPr>
          </w:p>
        </w:tc>
      </w:tr>
      <w:tr w14:paraId="7ADD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002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06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8CF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热镀锌圆杆，立杆高≥3.5m，立杆下径≥φ140mm，长≥1000mm，立杆上径≥89mm，长≥2500mm，壁厚≥3mm; 挑臂长≥2m，横臂直径≥76mm，壁厚≥3mm，底盘法兰≥280*280*10mm，整体热镀锌，喷塑，含配套接地扁钢等。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88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E7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7E8C">
            <w:pPr>
              <w:jc w:val="left"/>
              <w:rPr>
                <w:rFonts w:hint="eastAsia" w:ascii="等线" w:hAnsi="等线" w:eastAsia="等线" w:cs="等线"/>
                <w:i w:val="0"/>
                <w:iCs w:val="0"/>
                <w:color w:val="000000"/>
                <w:sz w:val="22"/>
                <w:szCs w:val="22"/>
                <w:u w:val="none"/>
              </w:rPr>
            </w:pPr>
          </w:p>
        </w:tc>
      </w:tr>
      <w:tr w14:paraId="21B9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28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ED3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立杆基础（包含预埋件）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6A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地笼和接地极（适用于立杆3.5米高、横臂2米以内镀锌杆），固定螺杆≥4根M18螺纹钢，≥φ6mm钢筋1箍，≥4mm钢板定位法兰，预埋件直径≥280mm，高≥650mm。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8D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71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0EA">
            <w:pPr>
              <w:jc w:val="left"/>
              <w:rPr>
                <w:rFonts w:hint="eastAsia" w:ascii="等线" w:hAnsi="等线" w:eastAsia="等线" w:cs="等线"/>
                <w:i w:val="0"/>
                <w:iCs w:val="0"/>
                <w:color w:val="000000"/>
                <w:sz w:val="22"/>
                <w:szCs w:val="22"/>
                <w:u w:val="none"/>
              </w:rPr>
            </w:pPr>
          </w:p>
        </w:tc>
      </w:tr>
      <w:tr w14:paraId="295B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98C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（六）机动车测速系统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A778">
            <w:pPr>
              <w:jc w:val="left"/>
              <w:rPr>
                <w:rFonts w:hint="eastAsia" w:ascii="等线" w:hAnsi="等线" w:eastAsia="等线" w:cs="等线"/>
                <w:b/>
                <w:bCs/>
                <w:i w:val="0"/>
                <w:iCs w:val="0"/>
                <w:color w:val="000000"/>
                <w:sz w:val="22"/>
                <w:szCs w:val="22"/>
                <w:u w:val="none"/>
              </w:rPr>
            </w:pPr>
          </w:p>
        </w:tc>
      </w:tr>
      <w:tr w14:paraId="49D4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CEE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4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环保卡口摄像机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20B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包含高清一体化嵌入式摄像机、高清镜头、室外防护罩、LED补光灯、风扇、电源适配器等；摄像机具有≥2个1英寸CCD或全局曝光CMOS传感器，支持≥4096×2160@25fps（不含OSD叠加）视频图像输出，视频压缩支持H.265、H.264、M-JPE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车辆捕获率应≥99%，车牌识别准确率应≥ 95%；支持补光灯、雷达、线圈检测器接入，支持机动车的抓拍和分析；支持车型、车身颜色、车标、车辆子品牌等车辆特征识别，支持压线、逆行、违法变道等违法检测功能；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4. 支持同时预览两路sensor视频，设备场景中放置红外LED常亮灯，朝向摄像机镜头，可见光路视频图像中补光灯灯珠完全无光，同时红外路视频图像补光灯可清晰看到灯珠亮光；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支持识别车身颜色，包括但不限于白、灰、黄、红、紫、绿、蓝、棕、黑；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具备车型识别功能，支持对至少13种车型进行识别，至少支持SUV、MVP、两厢轿车、三厢轿车、轿跑、小型轿车、微型轿车、面包车、皮卡车、小型货车（包括微卡、轻卡及中卡）、大型货车、小型客车、大型客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支持对机动车等混合目标进行检测，能同时检测不少于140个混合的静态目标并对这些目标进行绿框跟踪；可同时对至少140个混合的静态目标进行优选、抓拍及属性分析；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支持联动“GA/T 1202-2022”一级频闪补光装置，夜间抓拍图片可认清道路场景、标志、表现、车辆、号牌、驾驶员等特征信息；支持联动“GA/T 1202-2022”二级频闪补光装置，夜间抓拍图片可认清道路场景、标志、表现、车辆、号牌、驾驶员等特征信息；支持多种补光方式，白天可用氙气灯光源进行补光，夜间可用LED爆闪或氙气灯或LED爆闪+氙气灯混合补光进行补光；（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支持倾斜车牌识别并抓拍垂直倾斜角度≤55°、水平倾斜角度≤35°、俯仰角度≤40°的机动车车牌号码；具有AI车牌增强功能设置选项，支持蓝牌、黄牌、白牌、黑牌、绿牌、渐变绿、黄绿双拼牌，开启后可防止车牌过曝；（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 ≥2个RJ45 100M/1000M自适应网口，≥3个RS485接口，≥5路补光灯控制接口，≥1个存储卡接口，防护等级不低于IP66。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5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F9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2CF">
            <w:pPr>
              <w:jc w:val="left"/>
              <w:rPr>
                <w:rFonts w:hint="eastAsia" w:ascii="等线" w:hAnsi="等线" w:eastAsia="等线" w:cs="等线"/>
                <w:i w:val="0"/>
                <w:iCs w:val="0"/>
                <w:color w:val="000000"/>
                <w:sz w:val="22"/>
                <w:szCs w:val="22"/>
                <w:u w:val="none"/>
              </w:rPr>
            </w:pPr>
          </w:p>
        </w:tc>
      </w:tr>
      <w:tr w14:paraId="78EB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28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8D2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环保补光灯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0B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采用LED光源和气灯放电两种光源，LED光源呈圆形排布，气体放电光源前置转轴叶片，支持红外和白光补光切换；（需提供第三方检测机构出具的检测报告证明）</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支持LED频闪、LED爆闪、白光气体爆闪及红外气体爆闪四种补光方式，可通过远程控制切换；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补光装置符合GA/T 1202-2022《交通技术监控成像补光装置通用技术条件》；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单车道补光，补光距离16米～30米，防护等级不低于IP66。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CE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B9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A769">
            <w:pPr>
              <w:jc w:val="left"/>
              <w:rPr>
                <w:rFonts w:hint="eastAsia" w:ascii="等线" w:hAnsi="等线" w:eastAsia="等线" w:cs="等线"/>
                <w:i w:val="0"/>
                <w:iCs w:val="0"/>
                <w:color w:val="000000"/>
                <w:sz w:val="22"/>
                <w:szCs w:val="22"/>
                <w:u w:val="none"/>
              </w:rPr>
            </w:pPr>
          </w:p>
        </w:tc>
      </w:tr>
      <w:tr w14:paraId="7A22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85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B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测速雷达</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34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单车道窄波测速雷达，测速距离范围≥18～35m；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支持高精度定点抓拍，拍照位置误差≤1米，抓拍率达≥99%；</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测速范围不小于20km/h-400km/h，且车辆远离时显示反向“-”，车辆接近时显示为正向“+” ；（需提供第三方机构出具的检测报告）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测速误差：车速20km/h-180km/h，误差不超过-2km/h-0km/h；车速180km/h-400km/h，误差不超过-4km/h-0km/h；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1A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F4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646">
            <w:pPr>
              <w:jc w:val="left"/>
              <w:rPr>
                <w:rFonts w:hint="eastAsia" w:ascii="等线" w:hAnsi="等线" w:eastAsia="等线" w:cs="等线"/>
                <w:i w:val="0"/>
                <w:iCs w:val="0"/>
                <w:color w:val="000000"/>
                <w:sz w:val="22"/>
                <w:szCs w:val="22"/>
                <w:u w:val="none"/>
              </w:rPr>
            </w:pPr>
          </w:p>
        </w:tc>
      </w:tr>
      <w:tr w14:paraId="0855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7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39F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0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A4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96B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E5B">
            <w:pPr>
              <w:jc w:val="left"/>
              <w:rPr>
                <w:rFonts w:hint="eastAsia" w:ascii="等线" w:hAnsi="等线" w:eastAsia="等线" w:cs="等线"/>
                <w:i w:val="0"/>
                <w:iCs w:val="0"/>
                <w:color w:val="000000"/>
                <w:sz w:val="22"/>
                <w:szCs w:val="22"/>
                <w:u w:val="none"/>
              </w:rPr>
            </w:pPr>
          </w:p>
        </w:tc>
      </w:tr>
      <w:tr w14:paraId="2E88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273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566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4AE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内含双路220V电源防雷，双路10A空气开关≥1个，3芯插座≥1个，支持抱杆安装；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0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A77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0C4E">
            <w:pPr>
              <w:jc w:val="left"/>
              <w:rPr>
                <w:rFonts w:hint="eastAsia" w:ascii="等线" w:hAnsi="等线" w:eastAsia="等线" w:cs="等线"/>
                <w:i w:val="0"/>
                <w:iCs w:val="0"/>
                <w:color w:val="000000"/>
                <w:sz w:val="22"/>
                <w:szCs w:val="22"/>
                <w:u w:val="none"/>
              </w:rPr>
            </w:pPr>
          </w:p>
        </w:tc>
      </w:tr>
      <w:tr w14:paraId="00A3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D2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253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卡口智能终端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B8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设备具有≥8个10M/100M/1000M自适应RJ45接口、≥2个1000M SFP光口。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可设置图片的存储空间，在规定的空间内自动循环覆盖，剩余空间为录像存储空间。（需提供第三方机构出具的检测报告）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对于在记录过程中出现的系统死机或意外故障，设备能够在规定的时间内自动恢复其正常工作状态并使故障前的信息不丢失。（需提供第三方机构出具的检测报告）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设备内的录像、图片文件无法直接删除或者修改，只能通过循环覆盖和硬盘格式化操作。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可实时显示接入的摄像机、线圈、车检器、红绿灯检测器等前端设备的工作状态、样机内部温度、工作时间等信息；外接机柜门时具有机柜门状态实时显示与查询功能。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F6E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02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A80E">
            <w:pPr>
              <w:jc w:val="left"/>
              <w:rPr>
                <w:rFonts w:hint="eastAsia" w:ascii="等线" w:hAnsi="等线" w:eastAsia="等线" w:cs="等线"/>
                <w:i w:val="0"/>
                <w:iCs w:val="0"/>
                <w:color w:val="000000"/>
                <w:sz w:val="22"/>
                <w:szCs w:val="22"/>
                <w:u w:val="none"/>
              </w:rPr>
            </w:pPr>
          </w:p>
        </w:tc>
      </w:tr>
      <w:tr w14:paraId="4123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DA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84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19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棱热镀锌，立杆高≥6.5m，壁厚≥8mm（立柱下径≥280、上径≥220)，挑臂长9米5mm厚（后径220、端径110；）,横臂连接法兰400*400*20mm，底盘法兰φ500*20mm，（横臂长度暂定，根据现场实际调整）整体热镀锌，喷塑；含配套地笼、基础材料、接地角钢等。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FE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E5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A5A4">
            <w:pPr>
              <w:jc w:val="left"/>
              <w:rPr>
                <w:rFonts w:hint="eastAsia" w:ascii="等线" w:hAnsi="等线" w:eastAsia="等线" w:cs="等线"/>
                <w:i w:val="0"/>
                <w:iCs w:val="0"/>
                <w:color w:val="000000"/>
                <w:sz w:val="22"/>
                <w:szCs w:val="22"/>
                <w:u w:val="none"/>
              </w:rPr>
            </w:pPr>
          </w:p>
        </w:tc>
      </w:tr>
      <w:tr w14:paraId="69C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72C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0B7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卡口基础（含预埋件）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26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地笼和接地极（适用于立杆6.5米高以上杆体、横臂10米以内镀锌杆），固定螺杆8根M27螺纹钢，φ6mm钢筋3箍，10mm钢板定位法兰，50*50角钢接地极，预埋件直径500mm，高1500mm。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69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9CD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849A">
            <w:pPr>
              <w:jc w:val="left"/>
              <w:rPr>
                <w:rFonts w:hint="eastAsia" w:ascii="等线" w:hAnsi="等线" w:eastAsia="等线" w:cs="等线"/>
                <w:i w:val="0"/>
                <w:iCs w:val="0"/>
                <w:color w:val="000000"/>
                <w:sz w:val="22"/>
                <w:szCs w:val="22"/>
                <w:u w:val="none"/>
              </w:rPr>
            </w:pPr>
          </w:p>
        </w:tc>
      </w:tr>
      <w:tr w14:paraId="222B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7EBF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（七）远程广播喊话系统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D52F">
            <w:pPr>
              <w:jc w:val="left"/>
              <w:rPr>
                <w:rFonts w:hint="eastAsia" w:ascii="等线" w:hAnsi="等线" w:eastAsia="等线" w:cs="等线"/>
                <w:b/>
                <w:bCs/>
                <w:i w:val="0"/>
                <w:iCs w:val="0"/>
                <w:color w:val="000000"/>
                <w:sz w:val="22"/>
                <w:szCs w:val="22"/>
                <w:u w:val="none"/>
              </w:rPr>
            </w:pPr>
          </w:p>
        </w:tc>
      </w:tr>
      <w:tr w14:paraId="11B2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5BB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3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广播一体机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677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主机自带≥6个串口、支持多路外接设备</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ESD 接触式≥4Kv，气隙≥6Kv电磁干扰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高可靠性网络连接双网口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支持≥17槽扩展  PCIEx16≥1 ， PCIEx4≥1 ， PCIEx1≥1 ， PCI≥1 支持多路音频扩展</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宽压 AC 100-240V ATX300W</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标准RJ45网络接口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频响范围（-3 dB）: 20Hz-20KHz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信噪比: LINE: ≥70dB， MIC: ≥70dB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实时广播: 支持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 定时广播: 支持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 处理器类型: 主频≥3.2  ≥四核四线程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12. 运行内存≥8GB 、存储内存≥256G（固态硬盘）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13. 网络协议: TCP/IP、UDP、ARP、ICMP、IGMP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14. 网络: 10/100/1000Mbps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15. USB: ≥8个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16. RS232: RS232≥6</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17. 屏幕: ≥17.3寸电容式触控屏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18. 功耗: ≤300W。</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98E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82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6E6D">
            <w:pPr>
              <w:jc w:val="left"/>
              <w:rPr>
                <w:rFonts w:hint="eastAsia" w:ascii="等线" w:hAnsi="等线" w:eastAsia="等线" w:cs="等线"/>
                <w:i w:val="0"/>
                <w:iCs w:val="0"/>
                <w:color w:val="000000"/>
                <w:sz w:val="22"/>
                <w:szCs w:val="22"/>
                <w:u w:val="none"/>
              </w:rPr>
            </w:pPr>
          </w:p>
        </w:tc>
      </w:tr>
      <w:tr w14:paraId="089C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D2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801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网络寻呼话筒</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7EC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指向性: 鹅颈麦：单指向；内置麦：全指向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频响范围: 鹅颈麦支持≥50 Hz~16 KHz；内置麦支持≥100 Hz-10 KHz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灵敏度: 鹅颈麦支持-42 dB±2 dB；内置麦支持-32 dB±3 dB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信噪比: 鹅颈麦支持≥78 dB；内置麦≥68 dB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总谐波失真THD: 1%（94 dB SPL@1 Khz）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音频编码及码率: 广播：MP3 128 Kbps；对讲：G.711U</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阻抗≥4 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额定功率≥3 W</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系统兼容性: 支持嵌入式操作系统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 网络协议: ISAPI，ISUP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11. 网络≥ 1个网络接口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12. 本地存储: 支持TF卡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13. 显示屏: IPS，≥7英寸，≥1024 × 600，支持触摸</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14. 按键类型: 实体按键+触摸按键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15. 供电方式: DC 12 V；功耗≥24 W</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16. 工作温度和湿度: -10 °C ~ +50 °C</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CF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1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9F9A">
            <w:pPr>
              <w:jc w:val="left"/>
              <w:rPr>
                <w:rFonts w:hint="eastAsia" w:ascii="等线" w:hAnsi="等线" w:eastAsia="等线" w:cs="等线"/>
                <w:i w:val="0"/>
                <w:iCs w:val="0"/>
                <w:color w:val="000000"/>
                <w:sz w:val="22"/>
                <w:szCs w:val="22"/>
                <w:u w:val="none"/>
              </w:rPr>
            </w:pPr>
          </w:p>
        </w:tc>
      </w:tr>
      <w:tr w14:paraId="6E1C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8EF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10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网络监听音箱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AC1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网络音箱，需支持网络音频解码、功率放大及声音播放，支持系统双备份，需支持NTP自动校时，支持TTS语音合成和文本广播，支持监听与对讲；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需采用MEMS麦克风，≥2个阵列，频率响应范围≥（100-20000）Hz，灵敏度≤-42dBV/Pa，额定功率≥10W，扬声器单元配置不低于全频5.25寸×1，灵敏度≥90dB，最大声压级≥95dBSPL，信噪比≥80dB；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需支持远程平台批量统一管理及本地WEB配置，支持≥60个定时任务，内置≥1GB存储空间；</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需支持安全启动、用户登录锁定机制及密码复杂度提示，支持安全审计日志事后可追溯；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≥1个RJ45 10M/100M自适应以太网口，≥1个3.5mm音频输入接口，≥1个定压输入接口，≥1个定阻输出接口。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07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548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AD13">
            <w:pPr>
              <w:jc w:val="left"/>
              <w:rPr>
                <w:rFonts w:hint="eastAsia" w:ascii="等线" w:hAnsi="等线" w:eastAsia="等线" w:cs="等线"/>
                <w:i w:val="0"/>
                <w:iCs w:val="0"/>
                <w:color w:val="000000"/>
                <w:sz w:val="22"/>
                <w:szCs w:val="22"/>
                <w:u w:val="none"/>
              </w:rPr>
            </w:pPr>
          </w:p>
        </w:tc>
      </w:tr>
      <w:tr w14:paraId="7A4E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2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DA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60W网络音柱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1C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网络音柱，需支持网络音频解码、功率放大及声音播放，支持系统双备份，需支持实时和定时任务、隔天续播，需支持NTP自动校时，支持报警输入、布防计划及语音联动，支持TTS语音合成和文本广播，支持监听与对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需采用驻极体麦克风，≥2个阵列，频率响应范围≥（100-20000）Hz，灵敏度≤-42dBV/Pa，采样率≥48kHz，量化位数≥16 bit，额定功率≥60W，扬声器单元配置不低于中低音5.≥25寸×2、号角高音≥1寸×1，灵敏度≥90dB，最大声压级≥106dBSPL，信噪比≥85 dB；</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需支持远程平台批量统一管理及本地WEB配置，支持≥60个定时任务，内置≥1GB存储空间；</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需支持安全启动、用户登录锁定机制及密码复杂度提示，支持安全审计日志事后可追溯；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≥1个RJ45 10M/100M自适应以太网口，≥2个报警输入接口，≥1个音频输入接口，防护等级≥IP66。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19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308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6419">
            <w:pPr>
              <w:jc w:val="left"/>
              <w:rPr>
                <w:rFonts w:hint="eastAsia" w:ascii="等线" w:hAnsi="等线" w:eastAsia="等线" w:cs="等线"/>
                <w:i w:val="0"/>
                <w:iCs w:val="0"/>
                <w:color w:val="000000"/>
                <w:sz w:val="22"/>
                <w:szCs w:val="22"/>
                <w:u w:val="none"/>
              </w:rPr>
            </w:pPr>
          </w:p>
        </w:tc>
      </w:tr>
      <w:tr w14:paraId="07658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4795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（八）交通违法管理平台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DE8A">
            <w:pPr>
              <w:jc w:val="left"/>
              <w:rPr>
                <w:rFonts w:hint="eastAsia" w:ascii="等线" w:hAnsi="等线" w:eastAsia="等线" w:cs="等线"/>
                <w:b/>
                <w:bCs/>
                <w:i w:val="0"/>
                <w:iCs w:val="0"/>
                <w:color w:val="000000"/>
                <w:sz w:val="22"/>
                <w:szCs w:val="22"/>
                <w:u w:val="none"/>
              </w:rPr>
            </w:pPr>
          </w:p>
        </w:tc>
      </w:tr>
      <w:tr w14:paraId="64D6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B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91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交通综合管控基础模块</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4C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1.平台基础模块，包括用户管理、权限管理、目录管理等功能；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2.支持应用以标签页方式嵌入显示在门户中；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6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A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34F6">
            <w:pPr>
              <w:jc w:val="left"/>
              <w:rPr>
                <w:rFonts w:hint="eastAsia" w:ascii="等线" w:hAnsi="等线" w:eastAsia="等线" w:cs="等线"/>
                <w:i w:val="0"/>
                <w:iCs w:val="0"/>
                <w:color w:val="000000"/>
                <w:sz w:val="22"/>
                <w:szCs w:val="22"/>
                <w:u w:val="none"/>
              </w:rPr>
            </w:pPr>
          </w:p>
        </w:tc>
      </w:tr>
      <w:tr w14:paraId="3EFE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98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CBD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本级监控通道数</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51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1.本级监控通道授权；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36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6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08DF">
            <w:pPr>
              <w:jc w:val="left"/>
              <w:rPr>
                <w:rFonts w:hint="eastAsia" w:ascii="等线" w:hAnsi="等线" w:eastAsia="等线" w:cs="等线"/>
                <w:i w:val="0"/>
                <w:iCs w:val="0"/>
                <w:color w:val="000000"/>
                <w:sz w:val="22"/>
                <w:szCs w:val="22"/>
                <w:u w:val="none"/>
              </w:rPr>
            </w:pPr>
          </w:p>
        </w:tc>
      </w:tr>
      <w:tr w14:paraId="5466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88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6C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本级车道接入数</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6A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1.本级车道接入授权；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AD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6D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52DE">
            <w:pPr>
              <w:jc w:val="left"/>
              <w:rPr>
                <w:rFonts w:hint="eastAsia" w:ascii="等线" w:hAnsi="等线" w:eastAsia="等线" w:cs="等线"/>
                <w:i w:val="0"/>
                <w:iCs w:val="0"/>
                <w:color w:val="000000"/>
                <w:sz w:val="22"/>
                <w:szCs w:val="22"/>
                <w:u w:val="none"/>
              </w:rPr>
            </w:pPr>
          </w:p>
        </w:tc>
      </w:tr>
      <w:tr w14:paraId="45C4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BD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D2F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视频监控应用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DE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1.支持视频实时预览；</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2.支持预览画面电子放大；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3.支持多屏播放；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4.支持实时视频云台控制；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5.支持录像回放；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 1/2、1、2、4、8 倍速回放。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E5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F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75C7">
            <w:pPr>
              <w:jc w:val="left"/>
              <w:rPr>
                <w:rFonts w:hint="eastAsia" w:ascii="等线" w:hAnsi="等线" w:eastAsia="等线" w:cs="等线"/>
                <w:i w:val="0"/>
                <w:iCs w:val="0"/>
                <w:color w:val="000000"/>
                <w:sz w:val="22"/>
                <w:szCs w:val="22"/>
                <w:u w:val="none"/>
              </w:rPr>
            </w:pPr>
          </w:p>
        </w:tc>
      </w:tr>
      <w:tr w14:paraId="2CD9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1C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911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视频级联网关</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CF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1.支持通过国标的方式进行视频级联；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2C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C4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B23D">
            <w:pPr>
              <w:jc w:val="left"/>
              <w:rPr>
                <w:rFonts w:hint="eastAsia" w:ascii="等线" w:hAnsi="等线" w:eastAsia="等线" w:cs="等线"/>
                <w:i w:val="0"/>
                <w:iCs w:val="0"/>
                <w:color w:val="000000"/>
                <w:sz w:val="22"/>
                <w:szCs w:val="22"/>
                <w:u w:val="none"/>
              </w:rPr>
            </w:pPr>
          </w:p>
        </w:tc>
      </w:tr>
      <w:tr w14:paraId="3306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BAF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6C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视频运维应用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C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1.提供基础运维功能，包括设备运行状态采集等。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EC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66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D6F7">
            <w:pPr>
              <w:jc w:val="left"/>
              <w:rPr>
                <w:rFonts w:hint="eastAsia" w:ascii="等线" w:hAnsi="等线" w:eastAsia="等线" w:cs="等线"/>
                <w:i w:val="0"/>
                <w:iCs w:val="0"/>
                <w:color w:val="000000"/>
                <w:sz w:val="22"/>
                <w:szCs w:val="22"/>
                <w:u w:val="none"/>
              </w:rPr>
            </w:pPr>
          </w:p>
        </w:tc>
      </w:tr>
      <w:tr w14:paraId="696A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72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6A4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地图应用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E2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1.在地图上展示业务资源，可在地图上检索业务资源，展示移动设备 的实时定位和轨迹回放。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1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0C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169E">
            <w:pPr>
              <w:jc w:val="left"/>
              <w:rPr>
                <w:rFonts w:hint="eastAsia" w:ascii="等线" w:hAnsi="等线" w:eastAsia="等线" w:cs="等线"/>
                <w:i w:val="0"/>
                <w:iCs w:val="0"/>
                <w:color w:val="000000"/>
                <w:sz w:val="22"/>
                <w:szCs w:val="22"/>
                <w:u w:val="none"/>
              </w:rPr>
            </w:pPr>
          </w:p>
        </w:tc>
      </w:tr>
      <w:tr w14:paraId="0F2A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6B3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2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违法查询</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FC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1.支持违法数据查询功能；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2.查询结果支持进行过车详情查看；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3.查询结果支持以列表形式展示。</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EC4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39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EB82">
            <w:pPr>
              <w:jc w:val="left"/>
              <w:rPr>
                <w:rFonts w:hint="eastAsia" w:ascii="等线" w:hAnsi="等线" w:eastAsia="等线" w:cs="等线"/>
                <w:i w:val="0"/>
                <w:iCs w:val="0"/>
                <w:color w:val="000000"/>
                <w:sz w:val="22"/>
                <w:szCs w:val="22"/>
                <w:u w:val="none"/>
              </w:rPr>
            </w:pPr>
          </w:p>
        </w:tc>
      </w:tr>
      <w:tr w14:paraId="04CD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F0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41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基础车辆应用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874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1.支持正常过车查询功能。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2.支持选择时段、点位范围进行过 车记录检索。3.支持查看检索结果详情。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AA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915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862F">
            <w:pPr>
              <w:jc w:val="left"/>
              <w:rPr>
                <w:rFonts w:hint="eastAsia" w:ascii="等线" w:hAnsi="等线" w:eastAsia="等线" w:cs="等线"/>
                <w:i w:val="0"/>
                <w:iCs w:val="0"/>
                <w:color w:val="000000"/>
                <w:sz w:val="22"/>
                <w:szCs w:val="22"/>
                <w:u w:val="none"/>
              </w:rPr>
            </w:pPr>
          </w:p>
        </w:tc>
      </w:tr>
      <w:tr w14:paraId="65D0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AFB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B84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区间测速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B1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1.支持区间测速查询功能。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2.支持按车辆区间车牌号码搜索区间违法超速数据。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B6D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46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8914">
            <w:pPr>
              <w:jc w:val="left"/>
              <w:rPr>
                <w:rFonts w:hint="eastAsia" w:ascii="等线" w:hAnsi="等线" w:eastAsia="等线" w:cs="等线"/>
                <w:i w:val="0"/>
                <w:iCs w:val="0"/>
                <w:color w:val="000000"/>
                <w:sz w:val="22"/>
                <w:szCs w:val="22"/>
                <w:u w:val="none"/>
              </w:rPr>
            </w:pPr>
          </w:p>
        </w:tc>
      </w:tr>
      <w:tr w14:paraId="5D53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D02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63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集成指挥平台对接</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C8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1、支持过车数据上传公安交通集成指挥平台；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5D8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C1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8155">
            <w:pPr>
              <w:jc w:val="left"/>
              <w:rPr>
                <w:rFonts w:hint="eastAsia" w:ascii="等线" w:hAnsi="等线" w:eastAsia="等线" w:cs="等线"/>
                <w:i w:val="0"/>
                <w:iCs w:val="0"/>
                <w:color w:val="000000"/>
                <w:sz w:val="22"/>
                <w:szCs w:val="22"/>
                <w:u w:val="none"/>
              </w:rPr>
            </w:pPr>
          </w:p>
        </w:tc>
      </w:tr>
      <w:tr w14:paraId="2564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E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2EC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车辆数据服务</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F56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支持车辆抓拍数据接入；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支持车辆违法数据接入和处理 服务；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支持修改过车数据、修改卡口数据、过车记录查询等服务接口。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38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EBA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FC04">
            <w:pPr>
              <w:jc w:val="left"/>
              <w:rPr>
                <w:rFonts w:hint="eastAsia" w:ascii="等线" w:hAnsi="等线" w:eastAsia="等线" w:cs="等线"/>
                <w:i w:val="0"/>
                <w:iCs w:val="0"/>
                <w:color w:val="000000"/>
                <w:sz w:val="22"/>
                <w:szCs w:val="22"/>
                <w:u w:val="none"/>
              </w:rPr>
            </w:pPr>
          </w:p>
        </w:tc>
      </w:tr>
      <w:tr w14:paraId="1337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EE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BB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国产化数据库</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0F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1、通过商用密码二级认证，具备公安部安全四级、EAL4+认证及中国国家信息安全产品认证；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2、提供网络关键设备和网络安全专用产品证书；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3、支持数据加密存储、访问控制、审计日志等完整安全策略；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4、系统可用性≥99.999%（年停机时间≤5分钟）；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5、支持7×24小时不间断服务，具备数据备份恢复、同步复制、多副本等高可用技术；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6、支持并行计算、索引覆盖等优化技术；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7、基于读写分离的负载均衡技术。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39D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DA0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3074">
            <w:pPr>
              <w:jc w:val="left"/>
              <w:rPr>
                <w:rFonts w:hint="eastAsia" w:ascii="等线" w:hAnsi="等线" w:eastAsia="等线" w:cs="等线"/>
                <w:i w:val="0"/>
                <w:iCs w:val="0"/>
                <w:color w:val="000000"/>
                <w:sz w:val="22"/>
                <w:szCs w:val="22"/>
                <w:u w:val="none"/>
              </w:rPr>
            </w:pPr>
          </w:p>
        </w:tc>
      </w:tr>
      <w:tr w14:paraId="01FD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5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9AC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国产化应用中间件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CC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1、产品应具备良好的生态环境适应能力，支持多种主流国产操作系统，如麒麟OS、统信UOS等；支持多种主流国产数据库系统，如达梦、金仓、神通、南大通用等；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2、支持集群部署，提供集群管理工具；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3、内置类加载冲突检测工具，可以检测出应用部署和运行过程中哪些类存在类加载冲突问题，并能自动生成冲突检测报告，方便快速定位和解决应用类加载问题；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4、支持在管理控制台页面上配置异步日志，保证日志输出的同时降低对应用系统性能的影响；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5、支持命令行审计功能，能记录每次命令行操作。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7A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0F8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5048">
            <w:pPr>
              <w:jc w:val="left"/>
              <w:rPr>
                <w:rFonts w:hint="eastAsia" w:ascii="等线" w:hAnsi="等线" w:eastAsia="等线" w:cs="等线"/>
                <w:i w:val="0"/>
                <w:iCs w:val="0"/>
                <w:color w:val="000000"/>
                <w:sz w:val="22"/>
                <w:szCs w:val="22"/>
                <w:u w:val="none"/>
              </w:rPr>
            </w:pPr>
          </w:p>
        </w:tc>
      </w:tr>
      <w:tr w14:paraId="4091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AC7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E6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平台服务器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63B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技术规格：CPU：不少于1个国产ARM架构处理器，核心数≥24，主频≥2.6GHz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内存：配置≥128G DDR4；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3、硬盘：≥2块1.2T 10K SAS硬盘；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4、阵列卡：9440-8i阵列卡，支持RAID 0/1/10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5、网口：板载≥2个千兆电口，≥4个万兆光口（不含模块）；</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6、电源方案：≥2个900W交流热插拔电源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7、其它端口：≥2个USB 2.0端口、≥1个DB15 VGA端口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8、≥1个USB 3.0端口、≥1个USB2.0端口，≥1个DB15 VGA端口、≥1个RJ45管理串口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A7D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92E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748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0E45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3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571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数据库服务器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32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处理器：≥1颗国产ARM架构处理器，核心数≥24，主频≥2.6GHz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内存：配置≥32G DDR4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硬盘：≥2块600G 10K SAS硬盘，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阵列卡：≥9440-8i阵列卡，支持RAID 0/1/10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PCI E扩展槽：最多≥4个PCIe4.0≥8扩展槽位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1GE≥2(电)+10GE≥4(光,不含模块)</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电源方案：≥2个900W交流热插拔电源，支持AC 220V/DC 240V，支持1+1冗余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其它端口：前面板：≥2个USB 2.0端口、≥1个DB15 VGA端口。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后面板：≥1个USB 3.0端口、≥1个USB2.0端口，≥1个DB15 VGA端口、≥1个RJ45管理串口。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265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6CB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C6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0A5E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D2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104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车辆感知服务器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3D6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技术规格：CPU：≥2个国产ARM架构处理器，核心数≥32，主频≥2.6GHz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内存：配置≥256G DDR4；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3、硬盘： 600G 10K SAS≥2+ SSD 960G≥4+ 6T 7.2K SAS≥4；M.2 480G≥1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4、阵列卡：SAS_HBA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5、网口：板载≥4个千兆电口，≥2个万兆光口（不含模块）；</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6、电源方案：≥2个900W交流热插拔电源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D88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53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E1C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2167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7B6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41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数据集成基础包</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0B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1.数据传输对对接组件基础包；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27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F0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3097">
            <w:pPr>
              <w:jc w:val="left"/>
              <w:rPr>
                <w:rFonts w:hint="eastAsia" w:ascii="等线" w:hAnsi="等线" w:eastAsia="等线" w:cs="等线"/>
                <w:i w:val="0"/>
                <w:iCs w:val="0"/>
                <w:color w:val="000000"/>
                <w:sz w:val="22"/>
                <w:szCs w:val="22"/>
                <w:u w:val="none"/>
              </w:rPr>
            </w:pPr>
          </w:p>
        </w:tc>
      </w:tr>
      <w:tr w14:paraId="3D58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759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1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视图数据级联</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35A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1.支持通过 GA/T 1400 及扩展协议 级联车辆、车辆违法等数据。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2.支持上下级视图库进行注册、保活，支持查看上下级在线情况。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549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D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3761">
            <w:pPr>
              <w:jc w:val="left"/>
              <w:rPr>
                <w:rFonts w:hint="eastAsia" w:ascii="等线" w:hAnsi="等线" w:eastAsia="等线" w:cs="等线"/>
                <w:i w:val="0"/>
                <w:iCs w:val="0"/>
                <w:color w:val="000000"/>
                <w:sz w:val="22"/>
                <w:szCs w:val="22"/>
                <w:u w:val="none"/>
              </w:rPr>
            </w:pPr>
          </w:p>
        </w:tc>
      </w:tr>
      <w:tr w14:paraId="3FAE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8D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C2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数据集成组件服务器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7C3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2U双路标准机架式服务器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CPU：≥2颗国产ARM架构内核，核数≥24；主频≥2.60 GHz)</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内存：≥64G DDR；</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阵列卡：配置9440同级别阵列卡，支持RAID 0/1/10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硬盘：≥2个1.2T 10K SAS盘；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网口：≥4个千兆自适应网络接口。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其他接口：前面板提供≥2个 USB 3.0端口、≥1 个VGA 端口。后面板提供≥2个 USB 3.0端口、≥1 个 VGA 端口、≥1 个RJ45 串口、≥1 个 RJ45 系统管理端口。</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电源：≥900W热拔插高效1+1冗余电源模块</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5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BB2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9081">
            <w:pPr>
              <w:jc w:val="left"/>
              <w:rPr>
                <w:rFonts w:hint="eastAsia" w:ascii="等线" w:hAnsi="等线" w:eastAsia="等线" w:cs="等线"/>
                <w:i w:val="0"/>
                <w:iCs w:val="0"/>
                <w:color w:val="000000"/>
                <w:sz w:val="22"/>
                <w:szCs w:val="22"/>
                <w:u w:val="none"/>
              </w:rPr>
            </w:pPr>
          </w:p>
        </w:tc>
      </w:tr>
      <w:tr w14:paraId="3689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7C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FCE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诱导发布应用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61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1、支持诱导发布终端管理；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2、包含不少于本次建设的信息发布终端的数量授权；</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3、支持与ARM操作系统适配；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4、支持适配主流国产化数据库能力；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45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C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435A">
            <w:pPr>
              <w:jc w:val="left"/>
              <w:rPr>
                <w:rFonts w:hint="eastAsia" w:ascii="等线" w:hAnsi="等线" w:eastAsia="等线" w:cs="等线"/>
                <w:i w:val="0"/>
                <w:iCs w:val="0"/>
                <w:color w:val="000000"/>
                <w:sz w:val="22"/>
                <w:szCs w:val="22"/>
                <w:u w:val="none"/>
              </w:rPr>
            </w:pPr>
          </w:p>
        </w:tc>
      </w:tr>
      <w:tr w14:paraId="5B09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A94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70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国产化操作系统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F1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1、需满足国产操作系统；不限于麒麟、飞腾、欧拉、统信等；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2、需要适配满足本次所需服务器内核要求；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3、需与本次要求的软件模块兼容、可运行。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A3E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DA1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3778">
            <w:pPr>
              <w:jc w:val="left"/>
              <w:rPr>
                <w:rFonts w:hint="eastAsia" w:ascii="等线" w:hAnsi="等线" w:eastAsia="等线" w:cs="等线"/>
                <w:i w:val="0"/>
                <w:iCs w:val="0"/>
                <w:color w:val="000000"/>
                <w:sz w:val="22"/>
                <w:szCs w:val="22"/>
                <w:u w:val="none"/>
              </w:rPr>
            </w:pPr>
          </w:p>
        </w:tc>
      </w:tr>
      <w:tr w14:paraId="4100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60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68A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视频图片存储主机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5FC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≥1颗64位多核处理器，≥8GB内存，内存支持扩展到≥256GB，内置SSD固态硬盘（可以扩展到4个SSD作为缓存盘），配置≥8个风扇，风扇支持热插拔并可冗余温控调速；支持热插拔1+1AC220V电源或1+1直流冗余电源供电；</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≥4个2.5Gb网口，支持≥4个USB3.0接口，支持≥1个前置VGA接口、≥1个后置HDMI接口，支持≥1个RS-232串口，支持≥4个PCI-E3.0；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具有≥48个硬盘热插拔插槽；且出厂满配8T企业级硬盘，支持硬盘热插拔设备在读写数据时，热插拔设备内的任意块硬盘，设备正常运行不宕机，硬盘不损坏，数据不丢失，业务不中断；</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设备具备≥1个定位灯、≥1个电源灯、≥1个设备报警灯、≥1个就绪灯、≥1个网络状态灯、≥1个系统盘状态灯、≥1个硬盘状态灯；（需提供第三方机构出具的检测报告）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每个控制单元支持双系统应用，外置系统盘支持RAID1模式，系统盘支持热插拔，当主系统出现故障时，备用系统可接管工作；支持系统盘为独立的2块HDD（SATA、SAS）或SSD盘，组成RAID1；（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6. 支持接入2T/3T/4T/6T/8T/10T/12TSATA/SAS硬盘；支持SAS 硬盘、HDD硬盘、SSD硬盘； </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支持视音频、图片、智能数据流进行混合直存，无须存储服务器和图片服务器的参与，平台服务器宕机时，存储业务正常；支持国际GB/T 28181和Onvif视频流直存模式；前端网络摄像机和设备之间可直接通过iSCSI协议进行块存储；（需提供第三方机构出具的检测报告）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纠删码技术，多台存储设备组建网络RAID，设置为负载均衡；单台或多台存储设备组建网络RAID，允许每组RAID中任意1-18个磁盘发生故障，数据不丢失，存储服务不中断；允许每组RAID中任意20块硬盘发生故障，业务不中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EB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EA6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0EF4">
            <w:pPr>
              <w:jc w:val="left"/>
              <w:rPr>
                <w:rFonts w:hint="eastAsia" w:ascii="等线" w:hAnsi="等线" w:eastAsia="等线" w:cs="等线"/>
                <w:i w:val="0"/>
                <w:iCs w:val="0"/>
                <w:color w:val="000000"/>
                <w:sz w:val="22"/>
                <w:szCs w:val="22"/>
                <w:u w:val="none"/>
              </w:rPr>
            </w:pPr>
          </w:p>
        </w:tc>
      </w:tr>
      <w:tr w14:paraId="2AA5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F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F4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视频录像存储主机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D12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存储专用操作系统，配置≥1颗≥64位多核处理器，配置≥8GB内存，并可扩展到≥64GB，可接入≥48块硬盘，出厂默认满配12T企业级硬盘，内置SATADOM(可扩展到2个SSD作为缓存盘)。可支持≥6个风扇，风扇支持热插拔并可冗余温控调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通过“一键配置”选项配置完成存储模式后，可直接运行业务；</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支持切换标准RAID模式和VRAID模式，适用于不同业务场景；（需提供第三方机构出具的检测报告）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支持录像存储过程中加入特殊字段，防止录像被篡改或伪造，以保证录像的原始性及完整性。可对录像的某个时间点添加标签，并可进行查询、回放、下载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支持录像数据恢复功能，当硬盘的录像索引区域被破坏导致无法查询并回放录像文件时，可重新建立录像索引区，使录像文件可被正常查询并回放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可通过IE浏览器对存储数据进行备份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样机均应具有权限管理、运行日志功能设备应设置操作口令，宜有防篡改、防非法复制、数据（图像、音视频等）加密等措施，以保证原始数据的完整性。重要的图像（图像、视音频、结构化数据、索引数据等）应加保护，不被删除和覆盖</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样机具有防偶发死机的措施（如硬件或软件SNMP、或定时自动起启动等），死机后的自愈恢复时间应≤3min（需提供第三方机构出具的检测报告）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1D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7CB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A6F0">
            <w:pPr>
              <w:jc w:val="left"/>
              <w:rPr>
                <w:rFonts w:hint="eastAsia" w:ascii="等线" w:hAnsi="等线" w:eastAsia="等线" w:cs="等线"/>
                <w:i w:val="0"/>
                <w:iCs w:val="0"/>
                <w:color w:val="000000"/>
                <w:sz w:val="22"/>
                <w:szCs w:val="22"/>
                <w:u w:val="none"/>
              </w:rPr>
            </w:pPr>
          </w:p>
        </w:tc>
      </w:tr>
      <w:tr w14:paraId="07C8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B0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D99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NTP校时服务器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253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支持北斗、上级NTP；</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支持多网域校时；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处理器：嵌入式ARM架构处理器；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同步精度：卫星同步精度&lt;20ns；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存储：≥512M；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守时精度：≤28us；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跟踪通道数：≥32；</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捕获通道数：≥128；</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输出接口检查：具有4种类型可插拔授时模块板卡，单卡分别支持≥4个RJ45输出接口或≥5对RS422/485接口或≥2个10GE输出接口或≥4个光口；支持≥4种类型板卡排列组合。（需提供第三方机构出具的检测报告）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 其他接口检查：具有≥1个RJ45管理口，≥1个RS232串口，≥1路1PPS输出口、≥1路10MHz输出口。（需提供第三方机构出具的检测报告）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BE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B03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B7A1">
            <w:pPr>
              <w:jc w:val="left"/>
              <w:rPr>
                <w:rFonts w:hint="eastAsia" w:ascii="等线" w:hAnsi="等线" w:eastAsia="等线" w:cs="等线"/>
                <w:i w:val="0"/>
                <w:iCs w:val="0"/>
                <w:color w:val="000000"/>
                <w:sz w:val="22"/>
                <w:szCs w:val="22"/>
                <w:u w:val="none"/>
              </w:rPr>
            </w:pPr>
          </w:p>
        </w:tc>
      </w:tr>
      <w:tr w14:paraId="2920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4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7F1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NTP校时服务器天线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1BB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配套 NTP 不低于 100m 天线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0AC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9A6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26EC">
            <w:pPr>
              <w:jc w:val="left"/>
              <w:rPr>
                <w:rFonts w:hint="eastAsia" w:ascii="等线" w:hAnsi="等线" w:eastAsia="等线" w:cs="等线"/>
                <w:i w:val="0"/>
                <w:iCs w:val="0"/>
                <w:color w:val="000000"/>
                <w:sz w:val="22"/>
                <w:szCs w:val="22"/>
                <w:u w:val="none"/>
              </w:rPr>
            </w:pPr>
          </w:p>
        </w:tc>
      </w:tr>
      <w:tr w14:paraId="6874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1D6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1A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交换机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D4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设备性能交换容量： ≥756Gbps/7.56Tbps，转发性能：≥ 252Mpps/432Mpps；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可用千兆电接口数量≥24，复用 的千兆光口数量≥8，非复用万兆光 接口数量≥4，支持 1 个扩展槽位， 支持 40G（QSFP+）端口。</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7ED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1A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C08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03C7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8A9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B4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机柜和配件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A59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≥42U，网孔门，落地机柜。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BAF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F2D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1164">
            <w:pPr>
              <w:jc w:val="left"/>
              <w:rPr>
                <w:rFonts w:hint="eastAsia" w:ascii="等线" w:hAnsi="等线" w:eastAsia="等线" w:cs="等线"/>
                <w:i w:val="0"/>
                <w:iCs w:val="0"/>
                <w:color w:val="000000"/>
                <w:sz w:val="22"/>
                <w:szCs w:val="22"/>
                <w:u w:val="none"/>
              </w:rPr>
            </w:pPr>
          </w:p>
        </w:tc>
      </w:tr>
      <w:tr w14:paraId="3D51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4564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（九）增补雷达</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061A">
            <w:pPr>
              <w:jc w:val="left"/>
              <w:rPr>
                <w:rFonts w:hint="eastAsia" w:ascii="等线" w:hAnsi="等线" w:eastAsia="等线" w:cs="等线"/>
                <w:b/>
                <w:bCs/>
                <w:i w:val="0"/>
                <w:iCs w:val="0"/>
                <w:color w:val="000000"/>
                <w:sz w:val="22"/>
                <w:szCs w:val="22"/>
                <w:u w:val="none"/>
              </w:rPr>
            </w:pPr>
          </w:p>
        </w:tc>
      </w:tr>
      <w:tr w14:paraId="3069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5A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A3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测速雷达</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2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单车道窄波测速雷达，测速距离范围≥18～35m；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支持高精度定点抓拍，拍照位置误差≤1米，抓拍率达≥99%；</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测速范围不小于20km/h-400km/h，且车辆远离时显示反向“-”，车辆接近时显示为正向“+” ；（需提供第三方机构出具的检测报告）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测速误差：车速20km/h-180km/h，误差不超过-2km/h-0km/h；车速180km/h-400km/h，误差不超过-4km/h-0km/h；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6C5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E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CEE0">
            <w:pPr>
              <w:jc w:val="left"/>
              <w:rPr>
                <w:rFonts w:hint="eastAsia" w:ascii="等线" w:hAnsi="等线" w:eastAsia="等线" w:cs="等线"/>
                <w:i w:val="0"/>
                <w:iCs w:val="0"/>
                <w:color w:val="000000"/>
                <w:sz w:val="22"/>
                <w:szCs w:val="22"/>
                <w:u w:val="none"/>
              </w:rPr>
            </w:pPr>
          </w:p>
        </w:tc>
      </w:tr>
      <w:tr w14:paraId="4B5D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07DC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（十）G109 区间测速系统</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7729">
            <w:pPr>
              <w:jc w:val="left"/>
              <w:rPr>
                <w:rFonts w:hint="eastAsia" w:ascii="等线" w:hAnsi="等线" w:eastAsia="等线" w:cs="等线"/>
                <w:b/>
                <w:bCs/>
                <w:i w:val="0"/>
                <w:iCs w:val="0"/>
                <w:color w:val="000000"/>
                <w:sz w:val="22"/>
                <w:szCs w:val="22"/>
                <w:u w:val="none"/>
              </w:rPr>
            </w:pPr>
          </w:p>
        </w:tc>
      </w:tr>
      <w:tr w14:paraId="58DD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BB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4B9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500 万环保摄像机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247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包含高清一体化嵌入式摄像机、高清镜头、室外防护罩、LED补光灯、风扇、电源适配器等；摄像机具有≥2个2/3英寸CCD或全局曝光CMOS传感器，支持≥2448×2048@25fps（不含OSD叠加）视频图像输出；视频压缩支持H.265、H.264、M-JPE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车辆捕获率应≥99%，车牌识别准确率应≥ 95%；支持补光灯、雷达、线圈检测器接入，支持机动车的抓拍和分析；支持车型、车身颜色等车辆特征识别，支持压线、逆行、违法变道等违法检测功能。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支持同时预览两路sensor视频，设备场景中放置红外LED常亮灯，朝向摄像机镜头，可见光路视频图像中补光灯灯珠完全无光，同时红外路视频图像补光灯可清晰看到灯珠亮光。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支持识别车身颜色，包括但不限于白、灰、黄、红、紫、绿、蓝、棕、黑；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具备车型识别功能，支持对至少13种车型进行识别，至少支持SUV、MVP、两厢轿车、三厢轿车、轿跑、小型轿车、微型轿车、面包车、皮卡车、小型货车（包括微卡、轻卡及中卡）、大型货车、小型客车、大型客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支持联动“GA/T 1202-2022”一级频闪补光装置，夜间抓拍图片可认清道路场景、标志、表现、车辆、号牌、驾驶员等特征信息；支持联动“GA/T 1202-2022”二级频闪补光装置，夜间抓拍图片可认清道路场景、标志、表现、车辆、号牌、驾驶员等特征信息；支持多种补光方式，白天可用氙气灯光源进行补光，夜间可用LED爆闪或氙气灯或LED爆闪+氙气灯混合补光进行补光；（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倾斜车牌识别并抓拍垂直倾斜角度≤55°、水平倾斜角度≤35°、俯仰角度≤40°的机动车车牌号码；具有AI车牌增强功能设置选项，支持蓝牌、黄牌、白牌、黑牌、绿牌、渐变绿、黄绿双拼牌，开启后可防止车牌过曝；（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≥2个RJ45 100M/1000M自适应网口，≥3个RS485接口，≥5路补光灯控制接口，≥1个存储卡接口，防护等级不低于IP66。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9F7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226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B0ED">
            <w:pPr>
              <w:jc w:val="left"/>
              <w:rPr>
                <w:rFonts w:hint="eastAsia" w:ascii="等线" w:hAnsi="等线" w:eastAsia="等线" w:cs="等线"/>
                <w:i w:val="0"/>
                <w:iCs w:val="0"/>
                <w:color w:val="000000"/>
                <w:sz w:val="22"/>
                <w:szCs w:val="22"/>
                <w:u w:val="none"/>
              </w:rPr>
            </w:pPr>
          </w:p>
        </w:tc>
      </w:tr>
      <w:tr w14:paraId="2A9C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4BB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53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环保补光灯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59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采用LED光源和气灯放电两种光源，LED光源呈圆形排布，气体放电光源前置转轴叶片，支持红外和白光补光切换；（需提供第三方机构出具的检测报告）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支持LED频闪、LED爆闪、白光气体爆闪及红外气体爆闪四种补光方式，可通过远程控制切换；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补光装置符合GA/T 1202-2022《交通技术监控成像补光装置通用技术条件》；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单车道补光，补光距离16米～30米，防护等级不低于IP66。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ADF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03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B645">
            <w:pPr>
              <w:jc w:val="left"/>
              <w:rPr>
                <w:rFonts w:hint="eastAsia" w:ascii="等线" w:hAnsi="等线" w:eastAsia="等线" w:cs="等线"/>
                <w:i w:val="0"/>
                <w:iCs w:val="0"/>
                <w:color w:val="000000"/>
                <w:sz w:val="22"/>
                <w:szCs w:val="22"/>
                <w:u w:val="none"/>
              </w:rPr>
            </w:pPr>
          </w:p>
        </w:tc>
      </w:tr>
      <w:tr w14:paraId="1622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0F6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18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测速雷达</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96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单车道窄波测速雷达，测速距离范围≥18～35m；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支持高精度定点抓拍，拍照位置误差≤1米，抓拍率达≥99%；</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测速范围不小于20km/h-400km/h，且车辆远离时显示反向“-”，车辆接近时显示为正向“+” ；（需提供第三方机构出具的检测报告）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测速误差：车速20km/h-180km/h，误差不超过-2km/h-0km/h；车速180km/h-400km/h，误差不超过-4km/h-0km/h；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防护等级不低于IP66。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D87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35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4CD0">
            <w:pPr>
              <w:jc w:val="left"/>
              <w:rPr>
                <w:rFonts w:hint="eastAsia" w:ascii="等线" w:hAnsi="等线" w:eastAsia="等线" w:cs="等线"/>
                <w:i w:val="0"/>
                <w:iCs w:val="0"/>
                <w:color w:val="000000"/>
                <w:sz w:val="22"/>
                <w:szCs w:val="22"/>
                <w:u w:val="none"/>
              </w:rPr>
            </w:pPr>
          </w:p>
        </w:tc>
      </w:tr>
      <w:tr w14:paraId="4900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5F5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2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钢带抱箍</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31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配套钢带抱箍；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安装杆件直径范围 60-300mm（±5%）；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默认周长范围：340~950mm（±5%）;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钢带数目：≥3；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8DA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81D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6763">
            <w:pPr>
              <w:jc w:val="left"/>
              <w:rPr>
                <w:rFonts w:hint="eastAsia" w:ascii="等线" w:hAnsi="等线" w:eastAsia="等线" w:cs="等线"/>
                <w:i w:val="0"/>
                <w:iCs w:val="0"/>
                <w:color w:val="000000"/>
                <w:sz w:val="22"/>
                <w:szCs w:val="22"/>
                <w:u w:val="none"/>
              </w:rPr>
            </w:pPr>
          </w:p>
        </w:tc>
      </w:tr>
      <w:tr w14:paraId="1FCBD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6B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618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二合一防雷器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A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导轨式网络二合一防雷保护器</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额定工作电压≥5V；最大持续运行电压≥6V；限制电压≤6.8V；</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通流耐受能力≥3KV /1.5KA，绝缘电阻≥0.4MΩ；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传输速率≥1000Mbps，响应时间≤10ns。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电源：标称放电电流（8/20us）10KA，响应时间≤25ns；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工作适应范围：-40℃--75℃；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外形尺寸：≤95mm*75mm*20mm；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采用PC外壳材料。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1A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52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DA23">
            <w:pPr>
              <w:jc w:val="left"/>
              <w:rPr>
                <w:rFonts w:hint="eastAsia" w:ascii="等线" w:hAnsi="等线" w:eastAsia="等线" w:cs="等线"/>
                <w:i w:val="0"/>
                <w:iCs w:val="0"/>
                <w:color w:val="000000"/>
                <w:sz w:val="22"/>
                <w:szCs w:val="22"/>
                <w:u w:val="none"/>
              </w:rPr>
            </w:pPr>
          </w:p>
        </w:tc>
      </w:tr>
      <w:tr w14:paraId="6051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4C2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02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抱杆机柜</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0E7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内含双路220V电源防雷，双路10A空气开关≥1个， 3芯插座≥1个，支持抱杆安装；</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防护等级≥IP55，保护内部设备不受外界恶劣环境的干扰；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A0D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AED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596D">
            <w:pPr>
              <w:jc w:val="left"/>
              <w:rPr>
                <w:rFonts w:hint="eastAsia" w:ascii="等线" w:hAnsi="等线" w:eastAsia="等线" w:cs="等线"/>
                <w:i w:val="0"/>
                <w:iCs w:val="0"/>
                <w:color w:val="000000"/>
                <w:sz w:val="22"/>
                <w:szCs w:val="22"/>
                <w:u w:val="none"/>
              </w:rPr>
            </w:pPr>
          </w:p>
        </w:tc>
      </w:tr>
      <w:tr w14:paraId="373E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9BD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8B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卡口智能终端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785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 设备采用嵌入式操作系统，全机身散热，内部无风扇，支持车辆卡口、违法以及其他事件结构化图片存储，支持视频预览、录像和回放，支持配置录像计划，录像和图片存储空间可配置。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支持≥4块3.5或2.5英寸硬盘接入，兼容≥8TB硬盘，支持硬盘自动切换，当块硬盘损坏后，能自动切换至其它硬盘进行存储，内置≥8T监控级硬盘；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具有记录、回放、报警联动、图像检索、权限管理、视频水印、日志功能、支持叠加图像标识信息和时间，支持图像多画面显示。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≥12个10M/100M/1000M 自适应RJ45接口，≥2个1000M SFP光口，≥1个USB3.0接口，≥2个RS-485接口。（需提供第三方机构出具的检测报告）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支持添加≥12路IP摄像机，总码率≥350Mbps，支持对接入摄像机进行实时预览与录像存储，支持对图片进行实时预览和存储，并可将IP摄像机的视频图像通过网络传输至客户端。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支持图像化展示设备所连通道的在线、离线、未启用状态，支持展示各通道上线、离线时间；支持查看通道状态统计信息。（需提供第三方机构出具的检测报告）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 支持将原始图片、特写图片、合成图片、车牌抠图、关联录像片上传至FTP服务器。（需提供第三方机构出具的检测报告）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支持配置路段名称、路段编号、路段距离，能够对驶入驶出该路段的车辆抓拍数据匹配并计算车辆的区间速度值，支持设置过滤阈值，对异常测速结果进行过滤，支持超速检测和欠速检测，可分别设定高限速和低限速值。（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 支持不少于36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需提供第三方机构出具的检测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10. 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逆行、卡口等。（需提供第三方机构出具的检测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9BB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1DD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66F2">
            <w:pPr>
              <w:jc w:val="left"/>
              <w:rPr>
                <w:rFonts w:hint="eastAsia" w:ascii="等线" w:hAnsi="等线" w:eastAsia="等线" w:cs="等线"/>
                <w:i w:val="0"/>
                <w:iCs w:val="0"/>
                <w:color w:val="000000"/>
                <w:sz w:val="22"/>
                <w:szCs w:val="22"/>
                <w:u w:val="none"/>
              </w:rPr>
            </w:pPr>
          </w:p>
        </w:tc>
      </w:tr>
      <w:tr w14:paraId="4867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04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EA9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卡口立杆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19B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八棱热镀锌杆,立杆高≥6.5m，壁厚≥6mm（立柱下径≥240mm，上径≥180mm）； 挑臂长≥6m（后径≥165mm、端径≥90mm），壁厚≥4mm，横臂连接法兰≥350*350*16mm，（横臂长度暂定，根据现场实际调整）底盘法兰≥φ500*16mm，整体热镀锌，喷塑，含配套接地扁钢等。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16D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F1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5171">
            <w:pPr>
              <w:jc w:val="left"/>
              <w:rPr>
                <w:rFonts w:hint="eastAsia" w:ascii="等线" w:hAnsi="等线" w:eastAsia="等线" w:cs="等线"/>
                <w:i w:val="0"/>
                <w:iCs w:val="0"/>
                <w:color w:val="000000"/>
                <w:sz w:val="22"/>
                <w:szCs w:val="22"/>
                <w:u w:val="none"/>
              </w:rPr>
            </w:pPr>
          </w:p>
        </w:tc>
      </w:tr>
      <w:tr w14:paraId="6856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21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A97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卡口基础（含预埋件）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2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地笼和接地极（适用于6.5米高以上、横臂6米以内八棱杆），固定螺杆≥8根，预埋件直径≥500mm，高≥1200mm。≥M27*1200*8.φ500*8，散件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C5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2E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5272">
            <w:pPr>
              <w:jc w:val="left"/>
              <w:rPr>
                <w:rFonts w:hint="eastAsia" w:ascii="等线" w:hAnsi="等线" w:eastAsia="等线" w:cs="等线"/>
                <w:i w:val="0"/>
                <w:iCs w:val="0"/>
                <w:color w:val="000000"/>
                <w:sz w:val="22"/>
                <w:szCs w:val="22"/>
                <w:u w:val="none"/>
              </w:rPr>
            </w:pPr>
          </w:p>
        </w:tc>
      </w:tr>
      <w:tr w14:paraId="5B64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B8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6A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区间测速起点提示牌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FCE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≥2mm厚铝合金板，铝合金板的板材牌号、规格、力学性能、尺寸及允许偏差等符合国家标准，标志牌规格≥1.45m*1.81m。≥IV类膜。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D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D9E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5757">
            <w:pPr>
              <w:jc w:val="left"/>
              <w:rPr>
                <w:rFonts w:hint="eastAsia" w:ascii="等线" w:hAnsi="等线" w:eastAsia="等线" w:cs="等线"/>
                <w:i w:val="0"/>
                <w:iCs w:val="0"/>
                <w:color w:val="000000"/>
                <w:sz w:val="22"/>
                <w:szCs w:val="22"/>
                <w:u w:val="none"/>
              </w:rPr>
            </w:pPr>
          </w:p>
        </w:tc>
      </w:tr>
      <w:tr w14:paraId="533E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6F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602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区间测速终点提示牌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F4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≥2mm厚铝合金板，铝合金板的板材牌号、规格、力学性能、尺寸及允许偏差等符合国家标准，标志牌规格≥1.45m*1.81m。≥IV类膜。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9B6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07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747B">
            <w:pPr>
              <w:jc w:val="left"/>
              <w:rPr>
                <w:rFonts w:hint="eastAsia" w:ascii="等线" w:hAnsi="等线" w:eastAsia="等线" w:cs="等线"/>
                <w:i w:val="0"/>
                <w:iCs w:val="0"/>
                <w:color w:val="000000"/>
                <w:sz w:val="22"/>
                <w:szCs w:val="22"/>
                <w:u w:val="none"/>
              </w:rPr>
            </w:pPr>
          </w:p>
        </w:tc>
      </w:tr>
      <w:tr w14:paraId="4E00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F7A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89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区间测速预告牌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E8D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≥2mm厚铝合金板，铝合金板的板材牌号、规格、力学性能、尺寸及允许偏差等符合国家标准，标志牌规格≥1.45m*1.81m。≥IV类膜。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336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A1A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3D8C">
            <w:pPr>
              <w:jc w:val="left"/>
              <w:rPr>
                <w:rFonts w:hint="eastAsia" w:ascii="等线" w:hAnsi="等线" w:eastAsia="等线" w:cs="等线"/>
                <w:i w:val="0"/>
                <w:iCs w:val="0"/>
                <w:color w:val="000000"/>
                <w:sz w:val="22"/>
                <w:szCs w:val="22"/>
                <w:u w:val="none"/>
              </w:rPr>
            </w:pPr>
          </w:p>
        </w:tc>
      </w:tr>
      <w:tr w14:paraId="090B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D83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CC8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全程区间测速提示牌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573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≥2mm厚铝合金板，铝合金板的板材牌号、规格、力学性能、尺寸及允许偏差等符合国家标准，标志牌规格≥1.45m*1.81m。≥IV类膜。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A0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621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8611">
            <w:pPr>
              <w:jc w:val="left"/>
              <w:rPr>
                <w:rFonts w:hint="eastAsia" w:ascii="等线" w:hAnsi="等线" w:eastAsia="等线" w:cs="等线"/>
                <w:i w:val="0"/>
                <w:iCs w:val="0"/>
                <w:color w:val="000000"/>
                <w:sz w:val="22"/>
                <w:szCs w:val="22"/>
                <w:u w:val="none"/>
              </w:rPr>
            </w:pPr>
          </w:p>
        </w:tc>
      </w:tr>
      <w:tr w14:paraId="1F4F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71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559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限速指示牌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D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≥2mm厚铝合金板，铝合金板的板材牌号、规格、力学性能、尺寸及允许偏差等符合国家标准，标志牌规格≥1.45m*1.81m。≥IV类膜。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EA0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BB4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75D9">
            <w:pPr>
              <w:jc w:val="left"/>
              <w:rPr>
                <w:rFonts w:hint="eastAsia" w:ascii="等线" w:hAnsi="等线" w:eastAsia="等线" w:cs="等线"/>
                <w:i w:val="0"/>
                <w:iCs w:val="0"/>
                <w:color w:val="000000"/>
                <w:sz w:val="22"/>
                <w:szCs w:val="22"/>
                <w:u w:val="none"/>
              </w:rPr>
            </w:pPr>
          </w:p>
        </w:tc>
      </w:tr>
      <w:tr w14:paraId="4B5B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FCC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F97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限速指示牌</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48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≥2mm厚铝合金板，铝合金板的板材牌号、规格、力学性能、尺寸及允许偏差等符合国家标准，标志牌规格为≥φ1000mm。≥IV类膜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43B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120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0352">
            <w:pPr>
              <w:jc w:val="left"/>
              <w:rPr>
                <w:rFonts w:hint="eastAsia" w:ascii="等线" w:hAnsi="等线" w:eastAsia="等线" w:cs="等线"/>
                <w:i w:val="0"/>
                <w:iCs w:val="0"/>
                <w:color w:val="000000"/>
                <w:sz w:val="22"/>
                <w:szCs w:val="22"/>
                <w:u w:val="none"/>
              </w:rPr>
            </w:pPr>
          </w:p>
        </w:tc>
      </w:tr>
      <w:tr w14:paraId="7949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233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C06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测速指示牌立杆基础</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E1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热镀锌圆杆，杆件高度为≥4米，≥φ114*4*4000mm。包含杆件地笼基础开挖，配套地笼、四角地笼、垫片及螺母等。法兰≥280*280*10，预埋件≥M18*650*4，面板280*280*4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16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D53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B191">
            <w:pPr>
              <w:jc w:val="left"/>
              <w:rPr>
                <w:rFonts w:hint="eastAsia" w:ascii="等线" w:hAnsi="等线" w:eastAsia="等线" w:cs="等线"/>
                <w:i w:val="0"/>
                <w:iCs w:val="0"/>
                <w:color w:val="000000"/>
                <w:sz w:val="22"/>
                <w:szCs w:val="22"/>
                <w:u w:val="none"/>
              </w:rPr>
            </w:pPr>
          </w:p>
        </w:tc>
      </w:tr>
      <w:tr w14:paraId="71C0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4D7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72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监控点扩容</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40C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在原有平台软件中扩容监控通道授权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5D8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9A1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3B3A">
            <w:pPr>
              <w:jc w:val="left"/>
              <w:rPr>
                <w:rFonts w:hint="eastAsia" w:ascii="等线" w:hAnsi="等线" w:eastAsia="等线" w:cs="等线"/>
                <w:i w:val="0"/>
                <w:iCs w:val="0"/>
                <w:color w:val="000000"/>
                <w:sz w:val="22"/>
                <w:szCs w:val="22"/>
                <w:u w:val="none"/>
              </w:rPr>
            </w:pPr>
          </w:p>
        </w:tc>
      </w:tr>
      <w:tr w14:paraId="2BE0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2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77A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车道扩容</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7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在原有平台软件中扩容车道接入授权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CA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743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CF99">
            <w:pPr>
              <w:jc w:val="left"/>
              <w:rPr>
                <w:rFonts w:hint="eastAsia" w:ascii="等线" w:hAnsi="等线" w:eastAsia="等线" w:cs="等线"/>
                <w:i w:val="0"/>
                <w:iCs w:val="0"/>
                <w:color w:val="000000"/>
                <w:sz w:val="22"/>
                <w:szCs w:val="22"/>
                <w:u w:val="none"/>
              </w:rPr>
            </w:pPr>
          </w:p>
        </w:tc>
      </w:tr>
      <w:tr w14:paraId="312B3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nil"/>
            </w:tcBorders>
            <w:shd w:val="clear" w:color="auto" w:fill="auto"/>
            <w:vAlign w:val="center"/>
          </w:tcPr>
          <w:p w14:paraId="1D941FB9">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三、网络安全建设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902D">
            <w:pPr>
              <w:jc w:val="center"/>
              <w:rPr>
                <w:rFonts w:hint="eastAsia" w:ascii="等线" w:hAnsi="等线" w:eastAsia="等线" w:cs="等线"/>
                <w:b/>
                <w:bCs/>
                <w:i w:val="0"/>
                <w:iCs w:val="0"/>
                <w:color w:val="000000"/>
                <w:sz w:val="28"/>
                <w:szCs w:val="28"/>
                <w:u w:val="none"/>
              </w:rPr>
            </w:pPr>
          </w:p>
        </w:tc>
      </w:tr>
      <w:tr w14:paraId="06C9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F4EB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（一）网络安全建设</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8B63">
            <w:pPr>
              <w:jc w:val="left"/>
              <w:rPr>
                <w:rFonts w:hint="eastAsia" w:ascii="等线" w:hAnsi="等线" w:eastAsia="等线" w:cs="等线"/>
                <w:b/>
                <w:bCs/>
                <w:i w:val="0"/>
                <w:iCs w:val="0"/>
                <w:color w:val="000000"/>
                <w:sz w:val="22"/>
                <w:szCs w:val="22"/>
                <w:u w:val="none"/>
              </w:rPr>
            </w:pPr>
          </w:p>
        </w:tc>
      </w:tr>
      <w:tr w14:paraId="3288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0C0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B58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数据中心防火墙</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04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1.具备千兆电口≥8个，千兆光口≥4个，万兆光口≥2个，双电源；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2.整机吞吐量≥10Gbps，每秒新建连接数≥8万，最大并发连接数≥300万；</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一体化安全策略配置，提供有效证明材料证明设备供应商参与信息安全技术第二代防火墙安全技术要求起草佐证可基于设备安全区域、地址、应用、用户等属性配置入侵防御、URL过滤、应用过滤等高级访问控制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4.支持链路质量实时探测，支持通过调整探测报文的数量、发送间隔、最大重试次数、超时时间、抖动、丢包延迟的阈值进行链路质量评估，进行智能选路。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5.支持HTTP压缩功能，支持双边加速能力，从而减少传输数据量并降低带宽消耗，缩短客户端访问的下载等待时间。</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6.支持漏洞防扫描功能和设备供应商具备有效云安全能力成熟度模型第五级认证证书，保障实现对NMAP等扫描设备采用IP地址扫描的行为阻断和日志留存。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7.支持以名称、ID、CVE标识、危险等级、描述信息等在设备界面进行快速查询，内置不低于16000种漏洞规则并支持自定义IPS规则库。</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037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7D8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F8A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1C5C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DCE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CAF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入侵防御系统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0F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1.具备千兆电口≥8个（至少2组bypass），千兆光口≥4个，万兆光口≥2个，硬盘≥1.92T SSD；配置冗余电源。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2.整机网络层吞吐≥10Gbps，IPS吞吐≥3Gbps，最大并发连接数≥300万，每秒新建连接数≥8万。</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3.产品必须为专业的入侵防御设备，不能以下一代防火墙开相关授权的方式实现。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4.支持软件bypass（CPUand内存高于85%），阀值可自定义设置。</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5.当主机故障时，双机切换时不丢包，并可实现双机部署下升级不断网。</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显示规则特征的CVE编号、CNNVD编号、操作系统、发布年份、厂商等信息，支持基于规则ID、名称关键字、CVEID、CNNVD等搜索入侵攻击特征；支持基于攻击类型、严重程度、日志记录、动作、操作系统、发布年份、厂商等信息组合过滤规则。</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7.支持对不少于9000+应用的识别和控制，应用类型包括游戏、购物、图书百科、工作招聘、P2P下载、聊天工具、旅游出行、股票软件等类型应用进行检测与控制，提供功能截图。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8.支持资产风险详情，可自动关联该资产所有安全信息，安全信息包括但不少于：入侵防御、威胁情报、WEB防护、病毒防护、防暴力破解、非法外联防护、弱密码防护、扫描攻击防御和行为模型等。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9.支持安全策略有效性分析功能，分析内容至少包括策略冗余分析、策略匹配分析、风险端口风险等内容，提供安全策略优化建议，提供产品功能截图。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FDE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45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974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646D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18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46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日志审计系统</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407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1.高度≤2U，千兆电口≥6个、万兆光口SFP+≥2个；硬盘≥8T；内存≥16G、日志处理能力≥5000条/秒，日志存储能力≥4亿条/天，审计授权≥100；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2.支持被采设备无需安装代理。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3.支持解码小工具，按照不同的解码方式解码成不同的目标内容，提供证明材料佐证支持base64、Unicode、GBK、HEX、UTF-8等编码格式。</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4.支持资产添加，可定义资产名称、IP、MAC、是否重点资产、设备型号、设备厂商、设备类型、物理位置、组织机构、责任人信息、自定义信息等，也可以使用导入模板，导入资产信息</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华为、迪普、华三、奇安信、安恒、绿盟、深信服、启明星辰、天融信、Juniper等国内外主流厂商的安全设备；支持主流的路由器、交换机、负载均衡等网络设备如迪普、华为、中兴、锐捷、Cisco、Juniper等；支持Windows、Windowserver、Linux、Unix等操作系统；支持MySQL、Oracle、SQLServer等数据库；支持Apache、Tomcat等应用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6.支持通过正则、分隔符、json、xml的可视方式进行自定义规则解析，支持对解析结果字段的新增、合并、映射，以证明除内置解析规则之外未被覆盖的日志类型的解析。</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C21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7D1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00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1200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AC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4A9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上网行为管理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65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1.具备千兆电口≥10个，千兆光口≥4个，硬盘容量≥1T，双电源。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2.吞吐量≥5.8Gbps，并发连接数≥400万，最大在线用户数≥2000人。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3.支持路由模式、透明（网桥）模式、混合模式、旁路模式、直连（虚拟线）等模式部署；</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4.支持NAT功能，支持源NAT、目的NAT、一对一NAT的等功能；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5.支持智能应用级的负载均衡，负载策略可配置：优先使用优先级最高的线路、按运营商负载、带宽比例、平均分配以及禁用默认负载策略。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单用户全天行为分析报表，一个界面同时展示用户名、用户组、在线时长、虚拟身份（如QQ号码、微博账号等）、日志关联情况、全天流量使用分布、网站访问类别分布、全天关键网络行为轴等信息；支持系统会话日志，可选择可根据源/目的地址和源/目的端口进行日志匹配，对访问系统人员进行日志留存。</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7.支持应用时长分析:支持以应用维度分析总时长和总流量等信息:支持统计每种应用对应用户的时长和流量分析，可通过饼状图或柱状图展示；</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支持本地认证、Portal认证、邮件认证、短信认证、微信认证、钉钉认证，企业微信认证、CAS认证、APP认证、IC卡认证、二维码认证、混合认证等实名制特性；支持上网用户自注册和自动录入，支持关联管理员终端，可以通过终端接受自注册、终端注册、终端绑定的审批通知</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9.支持通过抑制P2P的下行丢包，来减缓P2P的下行流量，解决网络出口在做流控后仍然压力较大的问题，提供设备功能截图证明材料。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519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E6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E6F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7A09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B56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05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堡垒机</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6F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1.千兆电口≥6个，USB接口≥2个，Console口≥1个，硬盘≥2T；内存≥8G。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2.管理点数≥50个；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3.设备支持SSHv1、SSHv2、TELNET、RDP、VNC、FTP、SFTP、RDP磁盘映射、RDP剪切板等协议类型，同时支持通过协议前置机进行协议扩展，至少支持扩展KVM、Vmware、数据库、http/https、CS应用等。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4.支持IE代填类型包括JS、flash、HTML5等特殊登录页面。</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5.支持对linux、unix、网络设备、windows2000/2003/2008的自动改密功能；无需通过插件、引擎或特殊端口对目标设备进行自动改密。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6.支持在授权基础上自定义访问审批流程，提供证明材料佐证可设置一级或多级审批人，每级审批可指定通过投票数。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7.支持web页面直接发起运维，无需安装任何控件，并同时支持调用SecureCRT、Xshell、Putty、WinSCP、FileZilla、RDP等客户端工具实现单点登陆，不改变运维人员操作习惯。</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F8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7D7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1E5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0B91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46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AE4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终端安全防护</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26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1.统一管控、高效运维。采用B/S架构的管理控制中心，具备终端安全可视，终端统一管理，统一威胁处置，统一漏洞修复，统一桌面管控等功能。</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多引擎杀毒能力，终端安全产品所使用检测引擎入围VirusTotal平台的资质证明，具备多引擎查杀能力，且引擎可自定义配置，人工智能引擎支持Windows/Linux/国产操作系统，支持ARM等国产CPU，支持PE/OFFICE/PDF常见文件类型威胁检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3.终端持续检测能力。提供对终端行为的全面监控与数据采集，包括终端进程、驱动、模块、IP访问、DNS访问、浏览器HTTP/HTTPS访问、文件操作、外设操作、打印操作、注册表变更、账户变更、操作系统日志等。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4.终端异常监控能力。提供CPU、内存、磁盘、流量异常检测与告警功能，提供对RDP、SMB、SSH协议的暴力破解监视与自动阻断。</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5.终端环境评分能力。支持对终端网络环境变化风险、恶意代码风险、漏洞风险、系统安全配置风险、应用环境风险、其它健康项进行实时和轮询安全评分。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6.支持对系统账号信息进行梳理，了解账号权限分布概况以及风险账号分布情况，提供证明材料佐证可按照隐藏账号、弱密码账号、可疑 root 权限账号、长期未使用账号、夜间登录、多 IP 登录进行账号分类查看，支持统计最近一年未修改密码的账户。</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7.数据防泄密能力。支持对终端外接设备进行管理，可禁用客户端外设，支持的类型包括U盘\USB移动存储、客户端:企业版杀毒软件WindowsPC版500点位。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提供勒索病毒整体防护体系入口，提供产品配置界面佐证直观展示最近七天勒索病毒防护效果，包括已处置的勒索病毒数量、已阻止的勒索病毒行为次数、已阻止的未知进程操作次数、已阻止的暴力破解攻击次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39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66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DBC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7574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34F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2B3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安全管理平台</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2C1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包含一台态势感知一体机分析平台主机及全流量威胁检测探针。分析平台：内存≥128G，SSD系统盘≥960G，SATA硬盘≥32T，，USB3.0接口≥4个，千兆电口≥4个，万兆光口≥2个，冗余电源。流量探针：内存≥8GB，千兆电口≥6个，千兆光口SFP≥2个，USB接口≥2个，处理性能≥1G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2.支持业内通用标准数据获取方式，获取方式不少于15种，包括Syslog、SFTP、文件、Kafka、HDFS、DB2、Mysql、Oracle、Sqlserver、Postgrel、SNMP、Netflow、WMI、ES、AWS等。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3.可接入各类硬件设备和应用系统，包含但不限于主机、防火墙、IPS/IDS、WAF、网络设备、安全设备、数据库、应用系统、中间件、存储。设备、虚拟化设备、机房设备等多种设备和系统。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4.弱密码检测规则支持高度自定义，包括规则名称、生效域名、长度规则、字符规则、字典序、web空密码、账号白名单、密码白名单、txt文件格式导入，提供功能截图。</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展示当前网络的风险指数，支持展示主机、服务、网站、域名等资产数量；支持展示合并告警、告警、安全事件、失陷资产、资产脆弱性数量；支持展示待处置与已处置安全事件数、资产总数、风险资产数量、高风险资产TOP5、威胁类型分布TOP10、高危安全事件排行TOP5、热点情报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6.以攻击者视角自动聚合相关告警，支持从地理位置、情报风险等级、情报标签、侵害资产数量、攻击阶段、最近攻击时间等对每个攻击源进行统计分析。</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7.支持资产全生命周期自动管理，提供第三方证明材料佐证包括资产自动发现、多级资产、资产入库审核、资产离线风险识别、资产退库、资产数据更新，责任人管理机制等。</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支持挖矿专项检测页面，提供设备功能配置界面佐证具备挖矿攻击事前、事中和事后全链路的检测分析能力，综合运用威胁情报、IPS特征规则和行为关联分析技术，如检测发现文件传输（上传下载）阶段的异常，对挖矿早期的准备动作即告警。</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9.平台需内置处置中心、重保中心的多个模块的安全事件内置多个处置策略模板，提供证明材料佐证支持与本次防火墙联动封锁、配置访问控制策略，与本次终端安全响应系统联动一键查杀、进程取证。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C3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CE2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F8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2DED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467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D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核心交换机（主备）</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0C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1.交换容量≥86.4Tbps，整机转发性能≥11610 Mpps，如有双重指标 X/Y，以小指标X为准；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2.主控板槽位≥2个；业务槽位数≥6个，交换网主控板数量≥2个，电源槽位数≥4个，支持冗余主控；</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3.本次实配主控数量≥2 个，交流电源≥2个，；1G SFP 光口≥20 个，10/100/1000 M 以太网电口≥24个，10GSFP+光口≥4个，；万兆单模光模块≥4 个，千兆单模光模块≥20 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4.支持多虚一虚拟化、一虚多虚拟化部署；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F7C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9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9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2FFBF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11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5E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漏洞扫描</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FAB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1.配置千兆电口≥6个，千兆光口≥4个，USB接口≥2个，内存≥8GB，硬盘存储≥4T；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持扫描SQLServer，DB2，Oracle，MySQL、Postgres、Redis、MongoDB等主流数据库；支持扫描人大金仓、达梦等国产数据库。支持扫描Tomcat、Weblogic、Apache、IIS、Nginx、Websphere等常见Web中间件；支持扫描Cassandra、Elasticsearch、Flume、Hadoop、Hbase、Hdfs、Hive、Kafka、Qozie、Spark、Yarn等大数据组件。</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4.产品支持web扫描功能，能够支持代理扫描以及对webURL等进行扫描并可以生成web报告。</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5.支持扫描Windows、Linux主流发行版本、MacOS等常见操作系统；支持识别ios、android移动端操作系统；支持扫描麒麟、统信UOS等国产操作系统。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6.支持全局风险统计功能，通过扇形图、条状图、标签、表格等形式直观展示资产风险分布、漏洞风险等级分布、紧急漏洞、风险资产清单等信息，并可查看详情，提供功能截图。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0A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E22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146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4962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0B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3A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数据库审计</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24D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1.千兆电口≥6个，万兆光口SFP+≥2个，USB接口≥2个，Console口≥1个；硬盘≥4T；内存≥8G；</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2.SQL处理能力≥20000条/秒，峰值吞吐量≥6Gbps。</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3.支持扫描网络中的开放的服务，自动发现网络中存在的数据库系统，能够自动或手动将这些服务进行安全防护。</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4.支持ORACLE、MYSQL、MSSQL、SYBASE、DB2、达梦6/7、人大金仓、神州通用、INFORMIX、PostgreSQL、Gbase、Hive、MongoDB、Redis、TeraData、cache、Kafka、ElasticSearch、HANA、MariaDB、Hbase、HDFS等≥90多种数据库类型。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5.支持内置高风险规则，防范维护人员执行nowhere删除、truncatetable等合法的授权的高危操作检测。</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日志内容能够详尽的显示访问行为发生的具体特征，具体信息包括：访问的时间、访问客户端IP、客户端MAC、客户端操作系统主机名、客户端操作系统用户名、客户端端口号、客户端连接工具名、数据库用户名、数据库IP、数据库MAC、数据库实例、表、列、操作类型、SQL内容、SQL结果内容、执行时间（毫秒）、响应状态、影响行数、查询返回行、匹配的策略、风险等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60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F5E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A4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需满配光模块</w:t>
            </w:r>
          </w:p>
        </w:tc>
      </w:tr>
      <w:tr w14:paraId="51CA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nil"/>
            </w:tcBorders>
            <w:shd w:val="clear" w:color="auto" w:fill="auto"/>
            <w:vAlign w:val="center"/>
          </w:tcPr>
          <w:p w14:paraId="1B036EF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（二）设备间改造</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02C7">
            <w:pPr>
              <w:rPr>
                <w:rFonts w:hint="eastAsia" w:ascii="等线" w:hAnsi="等线" w:eastAsia="等线" w:cs="等线"/>
                <w:b/>
                <w:bCs/>
                <w:i w:val="0"/>
                <w:iCs w:val="0"/>
                <w:color w:val="000000"/>
                <w:sz w:val="22"/>
                <w:szCs w:val="22"/>
                <w:u w:val="none"/>
              </w:rPr>
            </w:pPr>
          </w:p>
        </w:tc>
      </w:tr>
      <w:tr w14:paraId="1AD2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1F0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CF4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人脸门禁</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43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操作系统：嵌入式Linux操作系统；</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屏幕参数：≥7英寸LCD触摸显示屏，屏幕比例≥9:16，屏幕分辨率≥600*1024；</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摄像头参数：采用宽动态≥200万双目摄像头；</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认证方式：支持人脸、刷卡（IC卡、手机NFC卡、CPU卡序列号/内容、身份证卡序列号）、密码认证方式；可外接身份证、指纹、二维码功能模块；</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人脸验证：采用深度学习算法，支持照片、视频防假；1:N人脸验证速度≤ 0.2s，人脸验证准确率≥99%；</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存储容量：本地支持≥50000人脸库；≥50000张卡，≥10万条事件记录；</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硬件接口：LAN*1、RS485*1、Wiegand* 1（支持双向）、USB*1、电锁*1、门磁*1、报警输入*2、报警输出*1、开门按钮*1；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通信方式及网络协议：有线网络；</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使用环境：≥IP65，室内外环境（室外使用必须搭配遮阳罩）；</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安装方式：壁挂安装。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D6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CE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3CF1">
            <w:pPr>
              <w:jc w:val="left"/>
              <w:rPr>
                <w:rFonts w:hint="eastAsia" w:ascii="等线" w:hAnsi="等线" w:eastAsia="等线" w:cs="等线"/>
                <w:i w:val="0"/>
                <w:iCs w:val="0"/>
                <w:color w:val="000000"/>
                <w:sz w:val="22"/>
                <w:szCs w:val="22"/>
                <w:u w:val="none"/>
              </w:rPr>
            </w:pPr>
          </w:p>
        </w:tc>
      </w:tr>
      <w:tr w14:paraId="796A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E1D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42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电子锁</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180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最大静态直线拉力：280kg±5%；</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断电开锁，满足消防要求；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具有电锁状态指示灯（红灯为开锁状态，绿灯为上锁状态）；</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支持锁状态侦测信号（门磁）输出：NO/NC/COM接点；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工作电压：12V/500mA或24V/250mA；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锁体尺寸：≥长240*宽48.8*厚27.5（mm）；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吸板尺寸：≥长180*宽38.8*高13（mm）；</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适用门型：木门、玻璃门、金属门、防火门。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0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91E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03BC">
            <w:pPr>
              <w:jc w:val="left"/>
              <w:rPr>
                <w:rFonts w:hint="eastAsia" w:ascii="等线" w:hAnsi="等线" w:eastAsia="等线" w:cs="等线"/>
                <w:i w:val="0"/>
                <w:iCs w:val="0"/>
                <w:color w:val="000000"/>
                <w:sz w:val="22"/>
                <w:szCs w:val="22"/>
                <w:u w:val="none"/>
              </w:rPr>
            </w:pPr>
          </w:p>
        </w:tc>
      </w:tr>
      <w:tr w14:paraId="2528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71B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4FD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门禁备用电源箱</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9D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输入电压：100-240VAC；</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输出电压：12VDC；</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输出电流：4.17A；</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输出功率：50W；</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支持蓄电池（0T7-12）接入（设备本身不含蓄电池）；</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工作温度：-10℃-+50℃；</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工作湿度：＜95%；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C5F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12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2933">
            <w:pPr>
              <w:jc w:val="left"/>
              <w:rPr>
                <w:rFonts w:hint="eastAsia" w:ascii="等线" w:hAnsi="等线" w:eastAsia="等线" w:cs="等线"/>
                <w:i w:val="0"/>
                <w:iCs w:val="0"/>
                <w:color w:val="000000"/>
                <w:sz w:val="22"/>
                <w:szCs w:val="22"/>
                <w:u w:val="none"/>
              </w:rPr>
            </w:pPr>
          </w:p>
        </w:tc>
      </w:tr>
      <w:tr w14:paraId="734F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225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AC7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液压闭门器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84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适装门重：60-85KG；适装门宽≤ 1100mm；闭门力量：EN4；开门角度≤ 180°；尺寸：≥长宽高248x44.5x72mm；使用寿命：≥100万次；适用环境温度范围：-30℃---50℃；双段速度可调；锁门速度：0°--15°范围内可调；闭门速度：15°--180°范围内可调；建议闭门速度在180°至15°时略快，在15°至0°时放慢，以门扇充分关闭为准。防止关门速度过快导致门扇与门框发生撞击。无90度定位停门的功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110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C8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E8C4">
            <w:pPr>
              <w:jc w:val="left"/>
              <w:rPr>
                <w:rFonts w:hint="eastAsia" w:ascii="等线" w:hAnsi="等线" w:eastAsia="等线" w:cs="等线"/>
                <w:i w:val="0"/>
                <w:iCs w:val="0"/>
                <w:color w:val="000000"/>
                <w:sz w:val="22"/>
                <w:szCs w:val="22"/>
                <w:u w:val="none"/>
              </w:rPr>
            </w:pPr>
          </w:p>
        </w:tc>
      </w:tr>
      <w:tr w14:paraId="55AA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95B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EA7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吊顶</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1C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≥600*600mm铝扣板吊顶，表面粉末喷涂工艺，含主龙骨、副龙骨、收边条、螺纹丝杆、大吊、膨胀螺丝、螺母、三角卡片：≥0.8mm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453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A3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00A2">
            <w:pPr>
              <w:jc w:val="left"/>
              <w:rPr>
                <w:rFonts w:hint="eastAsia" w:ascii="等线" w:hAnsi="等线" w:eastAsia="等线" w:cs="等线"/>
                <w:i w:val="0"/>
                <w:iCs w:val="0"/>
                <w:color w:val="000000"/>
                <w:sz w:val="22"/>
                <w:szCs w:val="22"/>
                <w:u w:val="none"/>
              </w:rPr>
            </w:pPr>
          </w:p>
        </w:tc>
      </w:tr>
      <w:tr w14:paraId="1632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FE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36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吊顶LED平板灯</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75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≥600*600LED平板灯；表面处理：喷漆磨砂；最大照射面积：6-9㎡；色温：冷光（5000K以上）；灯身</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材质：铁；光源类型：LED；风格：现代简约；灯罩材质：亚克力；</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6FF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1D9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841D">
            <w:pPr>
              <w:jc w:val="left"/>
              <w:rPr>
                <w:rFonts w:hint="eastAsia" w:ascii="等线" w:hAnsi="等线" w:eastAsia="等线" w:cs="等线"/>
                <w:i w:val="0"/>
                <w:iCs w:val="0"/>
                <w:color w:val="000000"/>
                <w:sz w:val="22"/>
                <w:szCs w:val="22"/>
                <w:u w:val="none"/>
              </w:rPr>
            </w:pPr>
          </w:p>
        </w:tc>
      </w:tr>
      <w:tr w14:paraId="65B0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0E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D3F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墙面粉刷</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02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墙面打磨、刮腻子、粉刷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4E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570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373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BCB2">
            <w:pPr>
              <w:jc w:val="left"/>
              <w:rPr>
                <w:rFonts w:hint="eastAsia" w:ascii="等线" w:hAnsi="等线" w:eastAsia="等线" w:cs="等线"/>
                <w:i w:val="0"/>
                <w:iCs w:val="0"/>
                <w:color w:val="000000"/>
                <w:sz w:val="22"/>
                <w:szCs w:val="22"/>
                <w:u w:val="none"/>
              </w:rPr>
            </w:pPr>
          </w:p>
        </w:tc>
      </w:tr>
      <w:tr w14:paraId="356A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B66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9DE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防静电地板</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92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≥600*600*35mm防静电活动地板，材质：钢板壳结构，水泥填充、三聚氰胺贴面；颜色：白底，暗花纹。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C1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3EC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855C">
            <w:pPr>
              <w:jc w:val="left"/>
              <w:rPr>
                <w:rFonts w:hint="eastAsia" w:ascii="等线" w:hAnsi="等线" w:eastAsia="等线" w:cs="等线"/>
                <w:i w:val="0"/>
                <w:iCs w:val="0"/>
                <w:color w:val="000000"/>
                <w:sz w:val="22"/>
                <w:szCs w:val="22"/>
                <w:u w:val="none"/>
              </w:rPr>
            </w:pPr>
          </w:p>
        </w:tc>
      </w:tr>
      <w:tr w14:paraId="3554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E17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668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原有设备间地面墙面处理</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3E1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≥300mm×300mm釉面砖，厚度：≥8mm，瓷土烧制，灰白色，墙面做隔音处理。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E00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527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5C85">
            <w:pPr>
              <w:jc w:val="left"/>
              <w:rPr>
                <w:rFonts w:hint="eastAsia" w:ascii="等线" w:hAnsi="等线" w:eastAsia="等线" w:cs="等线"/>
                <w:i w:val="0"/>
                <w:iCs w:val="0"/>
                <w:color w:val="000000"/>
                <w:sz w:val="22"/>
                <w:szCs w:val="22"/>
                <w:u w:val="none"/>
              </w:rPr>
            </w:pPr>
          </w:p>
        </w:tc>
      </w:tr>
      <w:tr w14:paraId="12B7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nil"/>
            </w:tcBorders>
            <w:shd w:val="clear" w:color="auto" w:fill="auto"/>
            <w:noWrap/>
            <w:vAlign w:val="center"/>
          </w:tcPr>
          <w:p w14:paraId="09FF2096">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（三）系统集成</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1E69">
            <w:pPr>
              <w:jc w:val="center"/>
              <w:rPr>
                <w:rFonts w:hint="eastAsia" w:ascii="等线" w:hAnsi="等线" w:eastAsia="等线" w:cs="等线"/>
                <w:b/>
                <w:bCs/>
                <w:i w:val="0"/>
                <w:iCs w:val="0"/>
                <w:color w:val="000000"/>
                <w:sz w:val="28"/>
                <w:szCs w:val="28"/>
                <w:u w:val="none"/>
              </w:rPr>
            </w:pPr>
          </w:p>
        </w:tc>
      </w:tr>
      <w:tr w14:paraId="212C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22A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7EF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系统集成</w:t>
            </w:r>
          </w:p>
        </w:tc>
        <w:tc>
          <w:tcPr>
            <w:tcW w:w="7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41A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对所有的软硬件系统进行安装调试。</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785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967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A832F">
            <w:pPr>
              <w:jc w:val="left"/>
              <w:rPr>
                <w:rFonts w:hint="eastAsia" w:ascii="等线" w:hAnsi="等线" w:eastAsia="等线" w:cs="等线"/>
                <w:i w:val="0"/>
                <w:iCs w:val="0"/>
                <w:color w:val="000000"/>
                <w:sz w:val="22"/>
                <w:szCs w:val="22"/>
                <w:u w:val="none"/>
              </w:rPr>
            </w:pPr>
          </w:p>
        </w:tc>
      </w:tr>
      <w:tr w14:paraId="4DF1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34B50">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四、网络传输线路</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DDF8">
            <w:pPr>
              <w:jc w:val="center"/>
              <w:rPr>
                <w:rFonts w:hint="eastAsia" w:ascii="等线" w:hAnsi="等线" w:eastAsia="等线" w:cs="等线"/>
                <w:i w:val="0"/>
                <w:iCs w:val="0"/>
                <w:color w:val="000000"/>
                <w:sz w:val="28"/>
                <w:szCs w:val="28"/>
                <w:u w:val="none"/>
              </w:rPr>
            </w:pPr>
          </w:p>
        </w:tc>
      </w:tr>
      <w:tr w14:paraId="0C3A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3C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957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新建网络传输</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C36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新建的194条新建数据链路，要求：前端点位至湟源县公安局交通指挥平台Ping值应小于3ms，每个点位的业务带宽要达到20M及以上，服务时间：验收合格之日起3年。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6D8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E03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6153">
            <w:pPr>
              <w:jc w:val="center"/>
              <w:rPr>
                <w:rFonts w:hint="eastAsia" w:ascii="等线" w:hAnsi="等线" w:eastAsia="等线" w:cs="等线"/>
                <w:i w:val="0"/>
                <w:iCs w:val="0"/>
                <w:color w:val="000000"/>
                <w:sz w:val="22"/>
                <w:szCs w:val="22"/>
                <w:u w:val="none"/>
              </w:rPr>
            </w:pPr>
          </w:p>
        </w:tc>
      </w:tr>
      <w:tr w14:paraId="0BDE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EA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727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利旧网络传输</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EB9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对已建设的169条光缆资源进行复用，要求：前端点位至湟源县公安局交通指挥平台Ping值应小于3ms，每个点位的业务带宽要达到20M及以上，网络费用截止至2027年12月31日。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2DB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B7E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862C">
            <w:pPr>
              <w:jc w:val="center"/>
              <w:rPr>
                <w:rFonts w:hint="eastAsia" w:ascii="等线" w:hAnsi="等线" w:eastAsia="等线" w:cs="等线"/>
                <w:i w:val="0"/>
                <w:iCs w:val="0"/>
                <w:color w:val="000000"/>
                <w:sz w:val="22"/>
                <w:szCs w:val="22"/>
                <w:u w:val="none"/>
              </w:rPr>
            </w:pPr>
          </w:p>
        </w:tc>
      </w:tr>
      <w:tr w14:paraId="4DD5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EEE268">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五、设备运维</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B04">
            <w:pPr>
              <w:jc w:val="center"/>
              <w:rPr>
                <w:rFonts w:hint="eastAsia" w:ascii="等线" w:hAnsi="等线" w:eastAsia="等线" w:cs="等线"/>
                <w:i w:val="0"/>
                <w:iCs w:val="0"/>
                <w:color w:val="000000"/>
                <w:sz w:val="28"/>
                <w:szCs w:val="28"/>
                <w:u w:val="none"/>
              </w:rPr>
            </w:pPr>
          </w:p>
        </w:tc>
      </w:tr>
      <w:tr w14:paraId="7FBD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22B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424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利旧设备运维费用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0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一、运维服务要求：</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日常情况下提供7×24小时保障支撑。在重要节点时期，要求人员7*24小时现场值守保障。确保备品备件、车辆，抢修相关材料提供，组建应急保障队伍巡查和应急抢修小组。对设备进行7*24小时实时监控，精确掌握系统、网络运行情况，及时发现问题，快速处理异常情况。每月提供一次运维报告，对设备、网络运行情况分析总结。</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要求技术人员1小时内到达现场，12小时内恢复网络，24小时内完成故障处理。如果设备故障在检修12小时后仍无法排除，运维公司在24小时内提供不低于故障设备档次及性能的备用设备供采购方使用，直至故障设备修复。</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3、建立运维档案管理制度，所有单据及报告应妥善保存，保存期限不少于3年。</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提供一套数字化运维管理系统，主要功能：工单管理功能、任务分配机制、工单追踪与监控、流程优化与排班打卡、数据统计与分析、消息通知与提醒、档案管理、资产管理、巡检管理、人员管理、数据可视化（1）.展示运维工单、巡检、资产的详细信息；（2）.提供仪表盘、图表、地图等可视化方式；多端服务：包含小程序端、APP端、应用后台等不同场景；通过此系统全生命周期管理运维，实现数字化运维管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二、维护工作量：清单详见附件一。</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包含：卡口32个、电子警察52个、违章抓拍14个、治安监控16个、测速55个。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三、考核方式：根据每季度实际运维情况由甲方进行考核打分。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12D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CB6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819D">
            <w:pPr>
              <w:jc w:val="center"/>
              <w:rPr>
                <w:rFonts w:hint="eastAsia" w:ascii="等线" w:hAnsi="等线" w:eastAsia="等线" w:cs="等线"/>
                <w:i w:val="0"/>
                <w:iCs w:val="0"/>
                <w:color w:val="000000"/>
                <w:sz w:val="22"/>
                <w:szCs w:val="22"/>
                <w:u w:val="none"/>
              </w:rPr>
            </w:pPr>
          </w:p>
        </w:tc>
      </w:tr>
      <w:tr w14:paraId="7311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2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3BBC1">
            <w:pPr>
              <w:keepNext w:val="0"/>
              <w:keepLines w:val="0"/>
              <w:widowControl/>
              <w:suppressLineNumbers w:val="0"/>
              <w:jc w:val="center"/>
              <w:textAlignment w:val="center"/>
              <w:rPr>
                <w:rFonts w:hint="eastAsia" w:ascii="等线" w:hAnsi="等线" w:eastAsia="等线" w:cs="等线"/>
                <w:b/>
                <w:bCs/>
                <w:i w:val="0"/>
                <w:iCs w:val="0"/>
                <w:color w:val="000000"/>
                <w:sz w:val="28"/>
                <w:szCs w:val="28"/>
                <w:u w:val="none"/>
              </w:rPr>
            </w:pPr>
            <w:r>
              <w:rPr>
                <w:rFonts w:hint="eastAsia" w:ascii="等线" w:hAnsi="等线" w:eastAsia="等线" w:cs="等线"/>
                <w:b/>
                <w:bCs/>
                <w:i w:val="0"/>
                <w:iCs w:val="0"/>
                <w:color w:val="000000"/>
                <w:kern w:val="0"/>
                <w:sz w:val="28"/>
                <w:szCs w:val="28"/>
                <w:u w:val="none"/>
                <w:lang w:val="en-US" w:eastAsia="zh-CN" w:bidi="ar"/>
              </w:rPr>
              <w:t>六、设备电费</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54E">
            <w:pPr>
              <w:jc w:val="center"/>
              <w:rPr>
                <w:rFonts w:hint="eastAsia" w:ascii="等线" w:hAnsi="等线" w:eastAsia="等线" w:cs="等线"/>
                <w:i w:val="0"/>
                <w:iCs w:val="0"/>
                <w:color w:val="000000"/>
                <w:sz w:val="28"/>
                <w:szCs w:val="28"/>
                <w:u w:val="none"/>
              </w:rPr>
            </w:pPr>
          </w:p>
        </w:tc>
      </w:tr>
      <w:tr w14:paraId="0E3A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82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BD5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设备用电费用</w:t>
            </w:r>
          </w:p>
        </w:tc>
        <w:tc>
          <w:tcPr>
            <w:tcW w:w="7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530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前端感知设备，摄像机、传输设备、控制设备、补光灯等设备用电，其中新建点位数量包括信号灯25个、违停抓拍53个、禁止左转抓拍2个、国道视频监控101个、区间测速16个、喊话音柱16个、诱导屏2个；原有设备点位数量包括卡口32个、电子警察52个、违章抓拍14个、治安监控16个、测速55个。</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原有设备电费支付至2027年12月31日，新建设备电费支付从验收合格之日起支付3年。结算时需提供电费缴纳凭证。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F8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F1B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9A2">
            <w:pPr>
              <w:jc w:val="center"/>
              <w:rPr>
                <w:rFonts w:hint="eastAsia" w:ascii="等线" w:hAnsi="等线" w:eastAsia="等线" w:cs="等线"/>
                <w:i w:val="0"/>
                <w:iCs w:val="0"/>
                <w:color w:val="000000"/>
                <w:sz w:val="22"/>
                <w:szCs w:val="22"/>
                <w:u w:val="none"/>
              </w:rPr>
            </w:pPr>
          </w:p>
        </w:tc>
      </w:tr>
    </w:tbl>
    <w:p w14:paraId="32E121F1">
      <w:pPr>
        <w:widowControl/>
        <w:spacing w:line="240" w:lineRule="auto"/>
        <w:jc w:val="left"/>
        <w:sectPr>
          <w:pgSz w:w="16838" w:h="11905" w:orient="landscape"/>
          <w:pgMar w:top="2098" w:right="1474" w:bottom="1984" w:left="1587" w:header="851" w:footer="1587" w:gutter="0"/>
          <w:cols w:space="0" w:num="1"/>
          <w:docGrid w:type="linesAndChars" w:linePitch="579" w:charSpace="293"/>
        </w:sectPr>
      </w:pPr>
    </w:p>
    <w:p w14:paraId="7E0CF9B6">
      <w:pPr>
        <w:widowControl/>
        <w:spacing w:line="240" w:lineRule="auto"/>
        <w:jc w:val="left"/>
      </w:pPr>
    </w:p>
    <w:p w14:paraId="298F31F6">
      <w:pPr>
        <w:spacing w:line="240" w:lineRule="auto"/>
        <w:jc w:val="center"/>
        <w:rPr>
          <w:rFonts w:ascii="方正小标宋简体" w:hAnsi="方正小标宋简体" w:eastAsia="方正小标宋简体" w:cs="方正小标宋简体"/>
          <w:sz w:val="44"/>
          <w:szCs w:val="44"/>
        </w:rPr>
      </w:pPr>
    </w:p>
    <w:p w14:paraId="13CB1A8C">
      <w:pPr>
        <w:spacing w:line="240" w:lineRule="auto"/>
      </w:pPr>
    </w:p>
    <w:p w14:paraId="3C159982">
      <w:pPr>
        <w:spacing w:line="240" w:lineRule="auto"/>
        <w:rPr>
          <w:rFonts w:ascii="宋体" w:cs="宋体"/>
          <w:b/>
          <w:bCs/>
          <w:sz w:val="28"/>
          <w:szCs w:val="28"/>
        </w:rPr>
      </w:pPr>
    </w:p>
    <w:p w14:paraId="1202C01D"/>
    <w:p w14:paraId="709627C7">
      <w:pPr>
        <w:pStyle w:val="3"/>
        <w:spacing w:line="240" w:lineRule="auto"/>
        <w:ind w:firstLine="0" w:firstLineChars="0"/>
      </w:pPr>
    </w:p>
    <w:p w14:paraId="7269CB13">
      <w:pPr>
        <w:widowControl/>
        <w:spacing w:line="240" w:lineRule="auto"/>
        <w:jc w:val="left"/>
      </w:pPr>
    </w:p>
    <w:p w14:paraId="1B6E809A">
      <w:pPr>
        <w:spacing w:line="240" w:lineRule="auto"/>
        <w:jc w:val="center"/>
        <w:rPr>
          <w:rFonts w:ascii="方正小标宋简体" w:hAnsi="方正小标宋简体" w:eastAsia="方正小标宋简体" w:cs="方正小标宋简体"/>
          <w:sz w:val="44"/>
          <w:szCs w:val="44"/>
        </w:rPr>
      </w:pPr>
    </w:p>
    <w:p w14:paraId="6C4AFFF9">
      <w:pPr>
        <w:spacing w:line="240" w:lineRule="auto"/>
      </w:pPr>
    </w:p>
    <w:p w14:paraId="403B42DE">
      <w:pPr>
        <w:spacing w:line="240" w:lineRule="auto"/>
        <w:rPr>
          <w:rFonts w:ascii="宋体" w:cs="宋体"/>
          <w:b/>
          <w:bCs/>
          <w:sz w:val="28"/>
          <w:szCs w:val="28"/>
        </w:rPr>
      </w:pPr>
    </w:p>
    <w:sectPr>
      <w:pgSz w:w="11905" w:h="16838"/>
      <w:pgMar w:top="1474" w:right="1984" w:bottom="1587" w:left="2098" w:header="851" w:footer="1587" w:gutter="0"/>
      <w:cols w:space="0" w:num="1"/>
      <w:docGrid w:type="linesAndChars" w:linePitch="579" w:charSpace="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Times New Roman"/>
    <w:panose1 w:val="00000000000000000000"/>
    <w:charset w:val="00"/>
    <w:family w:val="moder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华文宋体">
    <w:altName w:val="宋体"/>
    <w:panose1 w:val="02010600040101010101"/>
    <w:charset w:val="86"/>
    <w:family w:val="roman"/>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4BAE">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9038DF">
                          <w:pPr>
                            <w:pStyle w:val="20"/>
                          </w:pPr>
                          <w:r>
                            <w:fldChar w:fldCharType="begin"/>
                          </w:r>
                          <w:r>
                            <w:instrText xml:space="preserve"> PAGE  \* MERGEFORMAT </w:instrText>
                          </w:r>
                          <w:r>
                            <w:fldChar w:fldCharType="separate"/>
                          </w:r>
                          <w:r>
                            <w:t>242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79038DF">
                    <w:pPr>
                      <w:pStyle w:val="20"/>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BAEA">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45805"/>
    <w:multiLevelType w:val="singleLevel"/>
    <w:tmpl w:val="E3245805"/>
    <w:lvl w:ilvl="0" w:tentative="0">
      <w:start w:val="2"/>
      <w:numFmt w:val="decimal"/>
      <w:lvlText w:val="%1."/>
      <w:lvlJc w:val="left"/>
      <w:pPr>
        <w:tabs>
          <w:tab w:val="left" w:pos="312"/>
        </w:tabs>
        <w:ind w:left="482" w:leftChars="0" w:firstLine="0" w:firstLineChars="0"/>
      </w:pPr>
    </w:lvl>
  </w:abstractNum>
  <w:abstractNum w:abstractNumId="1">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egacy w:legacy="1" w:legacySpace="0" w:legacyIndent="480"/>
      <w:lvlJc w:val="left"/>
      <w:pPr>
        <w:ind w:left="480" w:hanging="480"/>
      </w:pPr>
      <w:rPr>
        <w:rFonts w:hint="default"/>
        <w:b w:val="0"/>
      </w:rPr>
    </w:lvl>
    <w:lvl w:ilvl="2" w:tentative="0">
      <w:start w:val="1"/>
      <w:numFmt w:val="decimal"/>
      <w:isLgl/>
      <w:lvlText w:val="%1.%2.%3"/>
      <w:legacy w:legacy="1" w:legacySpace="0" w:legacyIndent="720"/>
      <w:lvlJc w:val="left"/>
      <w:pPr>
        <w:ind w:left="720" w:hanging="720"/>
      </w:pPr>
      <w:rPr>
        <w:rFonts w:hint="default"/>
      </w:rPr>
    </w:lvl>
    <w:lvl w:ilvl="3" w:tentative="0">
      <w:start w:val="1"/>
      <w:numFmt w:val="decimal"/>
      <w:isLgl/>
      <w:lvlText w:val="%1.%2.%3.%4"/>
      <w:legacy w:legacy="1" w:legacySpace="0" w:legacyIndent="1080"/>
      <w:lvlJc w:val="left"/>
      <w:pPr>
        <w:ind w:left="1080" w:hanging="1080"/>
      </w:pPr>
      <w:rPr>
        <w:rFonts w:hint="default"/>
      </w:rPr>
    </w:lvl>
    <w:lvl w:ilvl="4" w:tentative="0">
      <w:start w:val="1"/>
      <w:numFmt w:val="decimal"/>
      <w:isLgl/>
      <w:lvlText w:val="%1.%2.%3.%4.%5"/>
      <w:legacy w:legacy="1" w:legacySpace="0" w:legacyIndent="1080"/>
      <w:lvlJc w:val="left"/>
      <w:pPr>
        <w:ind w:left="1080" w:hanging="1080"/>
      </w:pPr>
      <w:rPr>
        <w:rFonts w:hint="default"/>
      </w:rPr>
    </w:lvl>
    <w:lvl w:ilvl="5" w:tentative="0">
      <w:start w:val="1"/>
      <w:numFmt w:val="decimal"/>
      <w:isLgl/>
      <w:lvlText w:val="%1.%2.%3.%4.%5.%6"/>
      <w:legacy w:legacy="1" w:legacySpace="0" w:legacyIndent="1440"/>
      <w:lvlJc w:val="left"/>
      <w:pPr>
        <w:ind w:left="1440" w:hanging="1440"/>
      </w:pPr>
      <w:rPr>
        <w:rFonts w:hint="default"/>
      </w:rPr>
    </w:lvl>
    <w:lvl w:ilvl="6" w:tentative="0">
      <w:start w:val="1"/>
      <w:numFmt w:val="decimal"/>
      <w:isLgl/>
      <w:lvlText w:val="%1.%2.%3.%4.%5.%6.%7"/>
      <w:legacy w:legacy="1" w:legacySpace="0" w:legacyIndent="1800"/>
      <w:lvlJc w:val="left"/>
      <w:pPr>
        <w:ind w:left="1800" w:hanging="1800"/>
      </w:pPr>
      <w:rPr>
        <w:rFonts w:hint="default"/>
      </w:rPr>
    </w:lvl>
    <w:lvl w:ilvl="7" w:tentative="0">
      <w:start w:val="1"/>
      <w:numFmt w:val="decimal"/>
      <w:isLgl/>
      <w:lvlText w:val="%1.%2.%3.%4.%5.%6.%7.%8"/>
      <w:legacy w:legacy="1" w:legacySpace="0" w:legacyIndent="1800"/>
      <w:lvlJc w:val="left"/>
      <w:pPr>
        <w:ind w:left="1800" w:hanging="1800"/>
      </w:pPr>
      <w:rPr>
        <w:rFonts w:hint="default"/>
      </w:rPr>
    </w:lvl>
    <w:lvl w:ilvl="8" w:tentative="0">
      <w:start w:val="1"/>
      <w:numFmt w:val="decimal"/>
      <w:isLgl/>
      <w:lvlText w:val="%1.%2.%3.%4.%5.%6.%7.%8.%9"/>
      <w:legacy w:legacy="1" w:legacySpace="0" w:legacyIndent="2160"/>
      <w:lvlJc w:val="left"/>
      <w:pPr>
        <w:ind w:left="2160" w:hanging="2160"/>
      </w:pPr>
      <w:rPr>
        <w:rFonts w:hint="default"/>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A736D5"/>
    <w:multiLevelType w:val="multilevel"/>
    <w:tmpl w:val="67A736D5"/>
    <w:lvl w:ilvl="0" w:tentative="0">
      <w:start w:val="1"/>
      <w:numFmt w:val="decimal"/>
      <w:lvlText w:val="%1"/>
      <w:lvlJc w:val="left"/>
      <w:pPr>
        <w:ind w:left="425" w:hanging="425"/>
      </w:pPr>
    </w:lvl>
    <w:lvl w:ilvl="1" w:tentative="0">
      <w:start w:val="1"/>
      <w:numFmt w:val="decimal"/>
      <w:lvlText w:val="%1.%2"/>
      <w:lvlJc w:val="left"/>
      <w:pPr>
        <w:ind w:left="992" w:hanging="567"/>
      </w:pPr>
      <w:rPr>
        <w:sz w:val="24"/>
        <w:szCs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mNmMGRiNjkwNmRlZWY5MjU3MWI4ODNhZmZjZTQifQ=="/>
  </w:docVars>
  <w:rsids>
    <w:rsidRoot w:val="00686935"/>
    <w:rsid w:val="00010F33"/>
    <w:rsid w:val="000122D2"/>
    <w:rsid w:val="0001401E"/>
    <w:rsid w:val="00016260"/>
    <w:rsid w:val="000165F4"/>
    <w:rsid w:val="00016E89"/>
    <w:rsid w:val="000204AA"/>
    <w:rsid w:val="0002777A"/>
    <w:rsid w:val="00036B76"/>
    <w:rsid w:val="00037DFA"/>
    <w:rsid w:val="0004787B"/>
    <w:rsid w:val="00053F84"/>
    <w:rsid w:val="0005448A"/>
    <w:rsid w:val="00055FE8"/>
    <w:rsid w:val="00057670"/>
    <w:rsid w:val="0007570E"/>
    <w:rsid w:val="00084370"/>
    <w:rsid w:val="000858AF"/>
    <w:rsid w:val="0008741C"/>
    <w:rsid w:val="000875EB"/>
    <w:rsid w:val="000942B4"/>
    <w:rsid w:val="00097B54"/>
    <w:rsid w:val="000A1350"/>
    <w:rsid w:val="000A225C"/>
    <w:rsid w:val="000A22D8"/>
    <w:rsid w:val="000A3592"/>
    <w:rsid w:val="000A5C80"/>
    <w:rsid w:val="000B574A"/>
    <w:rsid w:val="000B652B"/>
    <w:rsid w:val="000B7F72"/>
    <w:rsid w:val="000C0D8F"/>
    <w:rsid w:val="000C2C06"/>
    <w:rsid w:val="000C38E9"/>
    <w:rsid w:val="000D0165"/>
    <w:rsid w:val="000D2AAD"/>
    <w:rsid w:val="000D4FF8"/>
    <w:rsid w:val="000D5A34"/>
    <w:rsid w:val="000E6915"/>
    <w:rsid w:val="000E7177"/>
    <w:rsid w:val="000F4D73"/>
    <w:rsid w:val="000F51BE"/>
    <w:rsid w:val="00102BAF"/>
    <w:rsid w:val="00105C11"/>
    <w:rsid w:val="00122363"/>
    <w:rsid w:val="0012313B"/>
    <w:rsid w:val="00124E78"/>
    <w:rsid w:val="0013514F"/>
    <w:rsid w:val="00144BC8"/>
    <w:rsid w:val="00150ABF"/>
    <w:rsid w:val="00151A00"/>
    <w:rsid w:val="00152418"/>
    <w:rsid w:val="00152CF9"/>
    <w:rsid w:val="00156F65"/>
    <w:rsid w:val="00167645"/>
    <w:rsid w:val="00187DCA"/>
    <w:rsid w:val="00191F34"/>
    <w:rsid w:val="001922BA"/>
    <w:rsid w:val="0019779A"/>
    <w:rsid w:val="001A2E28"/>
    <w:rsid w:val="001B3699"/>
    <w:rsid w:val="001B603E"/>
    <w:rsid w:val="001C2650"/>
    <w:rsid w:val="001C2819"/>
    <w:rsid w:val="001D5CD5"/>
    <w:rsid w:val="001D6F9C"/>
    <w:rsid w:val="001E610E"/>
    <w:rsid w:val="001F4C09"/>
    <w:rsid w:val="001F5C10"/>
    <w:rsid w:val="001F67C5"/>
    <w:rsid w:val="002009D3"/>
    <w:rsid w:val="002133D4"/>
    <w:rsid w:val="00215ADB"/>
    <w:rsid w:val="00227ED3"/>
    <w:rsid w:val="002338B3"/>
    <w:rsid w:val="00236A1D"/>
    <w:rsid w:val="00236E47"/>
    <w:rsid w:val="00240473"/>
    <w:rsid w:val="00255D41"/>
    <w:rsid w:val="00267527"/>
    <w:rsid w:val="0027034F"/>
    <w:rsid w:val="00271C7E"/>
    <w:rsid w:val="0028034A"/>
    <w:rsid w:val="00283E30"/>
    <w:rsid w:val="00283FF2"/>
    <w:rsid w:val="00286755"/>
    <w:rsid w:val="002A6A11"/>
    <w:rsid w:val="002A6D8D"/>
    <w:rsid w:val="002B020F"/>
    <w:rsid w:val="002B3E4C"/>
    <w:rsid w:val="002C2A29"/>
    <w:rsid w:val="002C5D73"/>
    <w:rsid w:val="002D2150"/>
    <w:rsid w:val="002D4672"/>
    <w:rsid w:val="002E4BCC"/>
    <w:rsid w:val="002F42B3"/>
    <w:rsid w:val="003046DB"/>
    <w:rsid w:val="003051E2"/>
    <w:rsid w:val="00317D3D"/>
    <w:rsid w:val="00335E22"/>
    <w:rsid w:val="00336E20"/>
    <w:rsid w:val="00346EC6"/>
    <w:rsid w:val="003628F7"/>
    <w:rsid w:val="0036431D"/>
    <w:rsid w:val="00365D37"/>
    <w:rsid w:val="00365ECF"/>
    <w:rsid w:val="00375CF6"/>
    <w:rsid w:val="0038064F"/>
    <w:rsid w:val="003850AB"/>
    <w:rsid w:val="00390128"/>
    <w:rsid w:val="00391DA6"/>
    <w:rsid w:val="0039493F"/>
    <w:rsid w:val="003A0ED3"/>
    <w:rsid w:val="003A767C"/>
    <w:rsid w:val="003B5EA1"/>
    <w:rsid w:val="003B7946"/>
    <w:rsid w:val="003C010A"/>
    <w:rsid w:val="003D3BFB"/>
    <w:rsid w:val="003D5753"/>
    <w:rsid w:val="003E56D5"/>
    <w:rsid w:val="003F43B7"/>
    <w:rsid w:val="0041505E"/>
    <w:rsid w:val="00416DD0"/>
    <w:rsid w:val="004173C4"/>
    <w:rsid w:val="00426541"/>
    <w:rsid w:val="00430E85"/>
    <w:rsid w:val="004332CB"/>
    <w:rsid w:val="00444B44"/>
    <w:rsid w:val="00452F80"/>
    <w:rsid w:val="00456BAD"/>
    <w:rsid w:val="00457660"/>
    <w:rsid w:val="0048778F"/>
    <w:rsid w:val="004919C2"/>
    <w:rsid w:val="00494E3C"/>
    <w:rsid w:val="00495C0E"/>
    <w:rsid w:val="00496C50"/>
    <w:rsid w:val="004A0EE1"/>
    <w:rsid w:val="004A1525"/>
    <w:rsid w:val="004A1809"/>
    <w:rsid w:val="004A1CBF"/>
    <w:rsid w:val="004A7BCD"/>
    <w:rsid w:val="004B27B6"/>
    <w:rsid w:val="004B35C8"/>
    <w:rsid w:val="004C7594"/>
    <w:rsid w:val="004D0AE5"/>
    <w:rsid w:val="004D1216"/>
    <w:rsid w:val="004E296C"/>
    <w:rsid w:val="004E71AC"/>
    <w:rsid w:val="004F4B92"/>
    <w:rsid w:val="004F78F2"/>
    <w:rsid w:val="0050041E"/>
    <w:rsid w:val="00500934"/>
    <w:rsid w:val="00502909"/>
    <w:rsid w:val="00503C3F"/>
    <w:rsid w:val="00527D96"/>
    <w:rsid w:val="00530219"/>
    <w:rsid w:val="00536597"/>
    <w:rsid w:val="00545B71"/>
    <w:rsid w:val="00547F8E"/>
    <w:rsid w:val="00550E6A"/>
    <w:rsid w:val="00551DB3"/>
    <w:rsid w:val="0055204B"/>
    <w:rsid w:val="00565A69"/>
    <w:rsid w:val="00571E62"/>
    <w:rsid w:val="0057367F"/>
    <w:rsid w:val="00580E9F"/>
    <w:rsid w:val="00585952"/>
    <w:rsid w:val="0059317B"/>
    <w:rsid w:val="005958AF"/>
    <w:rsid w:val="0059662C"/>
    <w:rsid w:val="005A724E"/>
    <w:rsid w:val="005B0768"/>
    <w:rsid w:val="005B37AB"/>
    <w:rsid w:val="005B5287"/>
    <w:rsid w:val="005B78BB"/>
    <w:rsid w:val="005C2BFE"/>
    <w:rsid w:val="005D28F1"/>
    <w:rsid w:val="005D6C65"/>
    <w:rsid w:val="005E377D"/>
    <w:rsid w:val="00602AC4"/>
    <w:rsid w:val="00615C2A"/>
    <w:rsid w:val="00616BEA"/>
    <w:rsid w:val="00627D6C"/>
    <w:rsid w:val="006301EA"/>
    <w:rsid w:val="0063367B"/>
    <w:rsid w:val="00645E8D"/>
    <w:rsid w:val="00646948"/>
    <w:rsid w:val="00652C51"/>
    <w:rsid w:val="0065456E"/>
    <w:rsid w:val="00654F94"/>
    <w:rsid w:val="006557C8"/>
    <w:rsid w:val="006610D8"/>
    <w:rsid w:val="00663275"/>
    <w:rsid w:val="00673048"/>
    <w:rsid w:val="00675BF5"/>
    <w:rsid w:val="006800B4"/>
    <w:rsid w:val="006825AC"/>
    <w:rsid w:val="00686935"/>
    <w:rsid w:val="00694657"/>
    <w:rsid w:val="006A4CA0"/>
    <w:rsid w:val="006A5595"/>
    <w:rsid w:val="006B27E6"/>
    <w:rsid w:val="006B51DD"/>
    <w:rsid w:val="006C19EC"/>
    <w:rsid w:val="006D2B28"/>
    <w:rsid w:val="006D49E4"/>
    <w:rsid w:val="006D6426"/>
    <w:rsid w:val="006F15FE"/>
    <w:rsid w:val="006F2063"/>
    <w:rsid w:val="006F42AC"/>
    <w:rsid w:val="00710240"/>
    <w:rsid w:val="00711AD8"/>
    <w:rsid w:val="007126B3"/>
    <w:rsid w:val="00721490"/>
    <w:rsid w:val="00723C48"/>
    <w:rsid w:val="007253BD"/>
    <w:rsid w:val="00725A21"/>
    <w:rsid w:val="007262EE"/>
    <w:rsid w:val="00732F5A"/>
    <w:rsid w:val="00746319"/>
    <w:rsid w:val="0075042D"/>
    <w:rsid w:val="0075045E"/>
    <w:rsid w:val="00751985"/>
    <w:rsid w:val="00760A62"/>
    <w:rsid w:val="007661E5"/>
    <w:rsid w:val="00776220"/>
    <w:rsid w:val="00777958"/>
    <w:rsid w:val="00780166"/>
    <w:rsid w:val="007830A1"/>
    <w:rsid w:val="00784826"/>
    <w:rsid w:val="00784939"/>
    <w:rsid w:val="00786DDE"/>
    <w:rsid w:val="007A5D1F"/>
    <w:rsid w:val="007B01B6"/>
    <w:rsid w:val="007B5279"/>
    <w:rsid w:val="007B713F"/>
    <w:rsid w:val="007C2737"/>
    <w:rsid w:val="007C4511"/>
    <w:rsid w:val="007D22C4"/>
    <w:rsid w:val="007D4F9E"/>
    <w:rsid w:val="007D5A27"/>
    <w:rsid w:val="007D66DC"/>
    <w:rsid w:val="007E790F"/>
    <w:rsid w:val="007F221C"/>
    <w:rsid w:val="007F4DF8"/>
    <w:rsid w:val="007F5E2E"/>
    <w:rsid w:val="008004A5"/>
    <w:rsid w:val="008017C4"/>
    <w:rsid w:val="00801B56"/>
    <w:rsid w:val="00816CF4"/>
    <w:rsid w:val="00816D7C"/>
    <w:rsid w:val="0082084B"/>
    <w:rsid w:val="00823282"/>
    <w:rsid w:val="008250AB"/>
    <w:rsid w:val="00826D51"/>
    <w:rsid w:val="00832CEC"/>
    <w:rsid w:val="00834F5B"/>
    <w:rsid w:val="00844230"/>
    <w:rsid w:val="00845CE3"/>
    <w:rsid w:val="00857398"/>
    <w:rsid w:val="00857A8C"/>
    <w:rsid w:val="00860E5E"/>
    <w:rsid w:val="00863600"/>
    <w:rsid w:val="00866FA5"/>
    <w:rsid w:val="00871646"/>
    <w:rsid w:val="00884B83"/>
    <w:rsid w:val="008855BF"/>
    <w:rsid w:val="0088679E"/>
    <w:rsid w:val="00894941"/>
    <w:rsid w:val="00894E70"/>
    <w:rsid w:val="008A504B"/>
    <w:rsid w:val="008A77E6"/>
    <w:rsid w:val="008B5EF2"/>
    <w:rsid w:val="008B76FB"/>
    <w:rsid w:val="008C1C48"/>
    <w:rsid w:val="008C5D40"/>
    <w:rsid w:val="008D128B"/>
    <w:rsid w:val="008D16B3"/>
    <w:rsid w:val="008D6341"/>
    <w:rsid w:val="008F38B1"/>
    <w:rsid w:val="008F6B95"/>
    <w:rsid w:val="0090105F"/>
    <w:rsid w:val="0090603B"/>
    <w:rsid w:val="00911FDB"/>
    <w:rsid w:val="0091492D"/>
    <w:rsid w:val="00915D8E"/>
    <w:rsid w:val="00916611"/>
    <w:rsid w:val="00917794"/>
    <w:rsid w:val="00924F2D"/>
    <w:rsid w:val="009304CE"/>
    <w:rsid w:val="00932206"/>
    <w:rsid w:val="00935C9B"/>
    <w:rsid w:val="00942454"/>
    <w:rsid w:val="00944282"/>
    <w:rsid w:val="009518EC"/>
    <w:rsid w:val="00951BE7"/>
    <w:rsid w:val="00966061"/>
    <w:rsid w:val="009671FC"/>
    <w:rsid w:val="00967836"/>
    <w:rsid w:val="00971E2B"/>
    <w:rsid w:val="0097673F"/>
    <w:rsid w:val="009854B9"/>
    <w:rsid w:val="00986B28"/>
    <w:rsid w:val="0099074C"/>
    <w:rsid w:val="009B1754"/>
    <w:rsid w:val="009B2102"/>
    <w:rsid w:val="009C0BC2"/>
    <w:rsid w:val="009D1075"/>
    <w:rsid w:val="009E13FF"/>
    <w:rsid w:val="009E1AAC"/>
    <w:rsid w:val="009E50F0"/>
    <w:rsid w:val="009E7F01"/>
    <w:rsid w:val="009F412D"/>
    <w:rsid w:val="009F4C02"/>
    <w:rsid w:val="009F4D00"/>
    <w:rsid w:val="009F7D4B"/>
    <w:rsid w:val="00A002FA"/>
    <w:rsid w:val="00A01323"/>
    <w:rsid w:val="00A04B35"/>
    <w:rsid w:val="00A10540"/>
    <w:rsid w:val="00A1091C"/>
    <w:rsid w:val="00A12867"/>
    <w:rsid w:val="00A14E87"/>
    <w:rsid w:val="00A21C22"/>
    <w:rsid w:val="00A24CAE"/>
    <w:rsid w:val="00A2722E"/>
    <w:rsid w:val="00A27B25"/>
    <w:rsid w:val="00A30A2D"/>
    <w:rsid w:val="00A338E3"/>
    <w:rsid w:val="00A35CC8"/>
    <w:rsid w:val="00A37D9E"/>
    <w:rsid w:val="00A41442"/>
    <w:rsid w:val="00A4171E"/>
    <w:rsid w:val="00A45FF3"/>
    <w:rsid w:val="00A51F53"/>
    <w:rsid w:val="00A5238D"/>
    <w:rsid w:val="00A55CA7"/>
    <w:rsid w:val="00A55F71"/>
    <w:rsid w:val="00A60305"/>
    <w:rsid w:val="00A636BF"/>
    <w:rsid w:val="00A722B9"/>
    <w:rsid w:val="00A73F74"/>
    <w:rsid w:val="00A7690F"/>
    <w:rsid w:val="00A80A3F"/>
    <w:rsid w:val="00A83C31"/>
    <w:rsid w:val="00A8787C"/>
    <w:rsid w:val="00A95B30"/>
    <w:rsid w:val="00A97AE5"/>
    <w:rsid w:val="00AA07F7"/>
    <w:rsid w:val="00AA69D2"/>
    <w:rsid w:val="00AB3C60"/>
    <w:rsid w:val="00AB4EE4"/>
    <w:rsid w:val="00AC00FB"/>
    <w:rsid w:val="00AC38AF"/>
    <w:rsid w:val="00AD39F5"/>
    <w:rsid w:val="00AE3B22"/>
    <w:rsid w:val="00B00E05"/>
    <w:rsid w:val="00B04ABF"/>
    <w:rsid w:val="00B055EE"/>
    <w:rsid w:val="00B13061"/>
    <w:rsid w:val="00B15E7E"/>
    <w:rsid w:val="00B201AC"/>
    <w:rsid w:val="00B2388E"/>
    <w:rsid w:val="00B26540"/>
    <w:rsid w:val="00B26D83"/>
    <w:rsid w:val="00B270AA"/>
    <w:rsid w:val="00B27E18"/>
    <w:rsid w:val="00B32B6E"/>
    <w:rsid w:val="00B32D08"/>
    <w:rsid w:val="00B41C7E"/>
    <w:rsid w:val="00B44FEF"/>
    <w:rsid w:val="00B45813"/>
    <w:rsid w:val="00B46F91"/>
    <w:rsid w:val="00B47C65"/>
    <w:rsid w:val="00B602F3"/>
    <w:rsid w:val="00B74150"/>
    <w:rsid w:val="00B810CB"/>
    <w:rsid w:val="00B81C5A"/>
    <w:rsid w:val="00B84075"/>
    <w:rsid w:val="00B9143F"/>
    <w:rsid w:val="00B944E3"/>
    <w:rsid w:val="00BA5606"/>
    <w:rsid w:val="00BA5A1F"/>
    <w:rsid w:val="00BC0429"/>
    <w:rsid w:val="00BD1244"/>
    <w:rsid w:val="00BE1065"/>
    <w:rsid w:val="00BE18A1"/>
    <w:rsid w:val="00BE6400"/>
    <w:rsid w:val="00BF0E15"/>
    <w:rsid w:val="00BF1378"/>
    <w:rsid w:val="00BF3361"/>
    <w:rsid w:val="00BF382D"/>
    <w:rsid w:val="00C00458"/>
    <w:rsid w:val="00C015B2"/>
    <w:rsid w:val="00C02A98"/>
    <w:rsid w:val="00C0498B"/>
    <w:rsid w:val="00C06E5E"/>
    <w:rsid w:val="00C14F92"/>
    <w:rsid w:val="00C16C3C"/>
    <w:rsid w:val="00C236E3"/>
    <w:rsid w:val="00C41BC3"/>
    <w:rsid w:val="00C44013"/>
    <w:rsid w:val="00C569E9"/>
    <w:rsid w:val="00C65A11"/>
    <w:rsid w:val="00C713FA"/>
    <w:rsid w:val="00C76CF3"/>
    <w:rsid w:val="00C81960"/>
    <w:rsid w:val="00C84863"/>
    <w:rsid w:val="00C875B3"/>
    <w:rsid w:val="00C91EC9"/>
    <w:rsid w:val="00C93F6C"/>
    <w:rsid w:val="00CA633D"/>
    <w:rsid w:val="00CC4CD0"/>
    <w:rsid w:val="00CC74BE"/>
    <w:rsid w:val="00CC7BE9"/>
    <w:rsid w:val="00CD0C61"/>
    <w:rsid w:val="00CD2D66"/>
    <w:rsid w:val="00CD5413"/>
    <w:rsid w:val="00CE1056"/>
    <w:rsid w:val="00CE1844"/>
    <w:rsid w:val="00CF14F6"/>
    <w:rsid w:val="00CF55B6"/>
    <w:rsid w:val="00CF5BC4"/>
    <w:rsid w:val="00D10C11"/>
    <w:rsid w:val="00D13F4F"/>
    <w:rsid w:val="00D167A0"/>
    <w:rsid w:val="00D16EBA"/>
    <w:rsid w:val="00D45D77"/>
    <w:rsid w:val="00D55217"/>
    <w:rsid w:val="00D8515F"/>
    <w:rsid w:val="00D8597A"/>
    <w:rsid w:val="00D90676"/>
    <w:rsid w:val="00D9251C"/>
    <w:rsid w:val="00D93B26"/>
    <w:rsid w:val="00DA375E"/>
    <w:rsid w:val="00DA389F"/>
    <w:rsid w:val="00DA7266"/>
    <w:rsid w:val="00DA7B8E"/>
    <w:rsid w:val="00DB57FA"/>
    <w:rsid w:val="00DB5B85"/>
    <w:rsid w:val="00DD07CB"/>
    <w:rsid w:val="00DE02D0"/>
    <w:rsid w:val="00DE181E"/>
    <w:rsid w:val="00DE415F"/>
    <w:rsid w:val="00DE4B74"/>
    <w:rsid w:val="00DF1D19"/>
    <w:rsid w:val="00E145C7"/>
    <w:rsid w:val="00E2268D"/>
    <w:rsid w:val="00E25C10"/>
    <w:rsid w:val="00E31563"/>
    <w:rsid w:val="00E32A0E"/>
    <w:rsid w:val="00E37CA2"/>
    <w:rsid w:val="00E51EF0"/>
    <w:rsid w:val="00E521F7"/>
    <w:rsid w:val="00E609DB"/>
    <w:rsid w:val="00E74028"/>
    <w:rsid w:val="00E76349"/>
    <w:rsid w:val="00E8243F"/>
    <w:rsid w:val="00E87844"/>
    <w:rsid w:val="00EA12B3"/>
    <w:rsid w:val="00EA25BD"/>
    <w:rsid w:val="00EA69EB"/>
    <w:rsid w:val="00EA6CBD"/>
    <w:rsid w:val="00EA78E6"/>
    <w:rsid w:val="00EB4B5C"/>
    <w:rsid w:val="00EC34E3"/>
    <w:rsid w:val="00EC5226"/>
    <w:rsid w:val="00ED4F94"/>
    <w:rsid w:val="00ED7415"/>
    <w:rsid w:val="00EE4B74"/>
    <w:rsid w:val="00EF0C0B"/>
    <w:rsid w:val="00F00623"/>
    <w:rsid w:val="00F021BB"/>
    <w:rsid w:val="00F029DA"/>
    <w:rsid w:val="00F03A51"/>
    <w:rsid w:val="00F055BA"/>
    <w:rsid w:val="00F075B0"/>
    <w:rsid w:val="00F15F88"/>
    <w:rsid w:val="00F16786"/>
    <w:rsid w:val="00F201A2"/>
    <w:rsid w:val="00F2102F"/>
    <w:rsid w:val="00F24474"/>
    <w:rsid w:val="00F3294C"/>
    <w:rsid w:val="00F33751"/>
    <w:rsid w:val="00F3453D"/>
    <w:rsid w:val="00F56705"/>
    <w:rsid w:val="00F7498F"/>
    <w:rsid w:val="00F75A47"/>
    <w:rsid w:val="00F75BA5"/>
    <w:rsid w:val="00F7613F"/>
    <w:rsid w:val="00F852DF"/>
    <w:rsid w:val="00F95F8C"/>
    <w:rsid w:val="00F96125"/>
    <w:rsid w:val="00F96173"/>
    <w:rsid w:val="00FA24B6"/>
    <w:rsid w:val="00FB0B4F"/>
    <w:rsid w:val="00FB102E"/>
    <w:rsid w:val="00FB484C"/>
    <w:rsid w:val="00FB59DB"/>
    <w:rsid w:val="00FD1234"/>
    <w:rsid w:val="00FD12F6"/>
    <w:rsid w:val="00FD4150"/>
    <w:rsid w:val="00FE07EF"/>
    <w:rsid w:val="00FE5E72"/>
    <w:rsid w:val="00FE6885"/>
    <w:rsid w:val="00FF10DA"/>
    <w:rsid w:val="00FF36E8"/>
    <w:rsid w:val="00FF3EB9"/>
    <w:rsid w:val="00FF7AD8"/>
    <w:rsid w:val="018117C1"/>
    <w:rsid w:val="01CF32DE"/>
    <w:rsid w:val="01DF6AA8"/>
    <w:rsid w:val="01E168C6"/>
    <w:rsid w:val="03083283"/>
    <w:rsid w:val="039D426C"/>
    <w:rsid w:val="044B0EB7"/>
    <w:rsid w:val="04AE367F"/>
    <w:rsid w:val="054908B9"/>
    <w:rsid w:val="057831FF"/>
    <w:rsid w:val="0583332C"/>
    <w:rsid w:val="05A92AAA"/>
    <w:rsid w:val="061C77BD"/>
    <w:rsid w:val="064A269F"/>
    <w:rsid w:val="06E66F7E"/>
    <w:rsid w:val="074D4254"/>
    <w:rsid w:val="07EC35CB"/>
    <w:rsid w:val="07F228C3"/>
    <w:rsid w:val="082E6D53"/>
    <w:rsid w:val="08CB50A1"/>
    <w:rsid w:val="091C4297"/>
    <w:rsid w:val="094A7C94"/>
    <w:rsid w:val="09652E55"/>
    <w:rsid w:val="0A257C84"/>
    <w:rsid w:val="0AA52EBD"/>
    <w:rsid w:val="0AEE4D14"/>
    <w:rsid w:val="0B2A67BC"/>
    <w:rsid w:val="0B3E4070"/>
    <w:rsid w:val="0C4161D9"/>
    <w:rsid w:val="0C816DF0"/>
    <w:rsid w:val="0D6436EA"/>
    <w:rsid w:val="0D7C7352"/>
    <w:rsid w:val="0DBC0BBA"/>
    <w:rsid w:val="0E35275F"/>
    <w:rsid w:val="0E357F27"/>
    <w:rsid w:val="0F114A16"/>
    <w:rsid w:val="0F292118"/>
    <w:rsid w:val="0F9D28CF"/>
    <w:rsid w:val="0FD81EB4"/>
    <w:rsid w:val="10516791"/>
    <w:rsid w:val="107E2A9F"/>
    <w:rsid w:val="11B42A82"/>
    <w:rsid w:val="11DB1264"/>
    <w:rsid w:val="12252451"/>
    <w:rsid w:val="127808F8"/>
    <w:rsid w:val="12AD19F7"/>
    <w:rsid w:val="12C045DF"/>
    <w:rsid w:val="13346AFF"/>
    <w:rsid w:val="148E3FCC"/>
    <w:rsid w:val="14A16A2A"/>
    <w:rsid w:val="1519109A"/>
    <w:rsid w:val="153A3C2D"/>
    <w:rsid w:val="15D012CD"/>
    <w:rsid w:val="17040841"/>
    <w:rsid w:val="17F3379C"/>
    <w:rsid w:val="17F45E20"/>
    <w:rsid w:val="185847BB"/>
    <w:rsid w:val="1860401D"/>
    <w:rsid w:val="196713BB"/>
    <w:rsid w:val="198717B0"/>
    <w:rsid w:val="19D06E63"/>
    <w:rsid w:val="1A3557FA"/>
    <w:rsid w:val="1AAA42A8"/>
    <w:rsid w:val="1AB21051"/>
    <w:rsid w:val="1B523C99"/>
    <w:rsid w:val="1B7104CB"/>
    <w:rsid w:val="1BDD0528"/>
    <w:rsid w:val="1D73442E"/>
    <w:rsid w:val="1DDB2360"/>
    <w:rsid w:val="1E62115E"/>
    <w:rsid w:val="1E920021"/>
    <w:rsid w:val="1ECD061A"/>
    <w:rsid w:val="1EE012D1"/>
    <w:rsid w:val="1EF614DB"/>
    <w:rsid w:val="1EFB348C"/>
    <w:rsid w:val="1F7B2C73"/>
    <w:rsid w:val="1FDB46FA"/>
    <w:rsid w:val="1FE57D6E"/>
    <w:rsid w:val="20533133"/>
    <w:rsid w:val="207B76F2"/>
    <w:rsid w:val="20EB3567"/>
    <w:rsid w:val="211508B6"/>
    <w:rsid w:val="21A8141E"/>
    <w:rsid w:val="21D01A69"/>
    <w:rsid w:val="21E26745"/>
    <w:rsid w:val="234E6301"/>
    <w:rsid w:val="238A6E90"/>
    <w:rsid w:val="23B03722"/>
    <w:rsid w:val="23CE2278"/>
    <w:rsid w:val="23F52C20"/>
    <w:rsid w:val="25C27378"/>
    <w:rsid w:val="267758D8"/>
    <w:rsid w:val="27454E18"/>
    <w:rsid w:val="27E022A7"/>
    <w:rsid w:val="280B637E"/>
    <w:rsid w:val="281B5AE1"/>
    <w:rsid w:val="2833269F"/>
    <w:rsid w:val="285F5352"/>
    <w:rsid w:val="28A22FAE"/>
    <w:rsid w:val="29690152"/>
    <w:rsid w:val="29CB3C83"/>
    <w:rsid w:val="29F75F4D"/>
    <w:rsid w:val="2A9164CC"/>
    <w:rsid w:val="2AEB4A25"/>
    <w:rsid w:val="2AF92FF6"/>
    <w:rsid w:val="2B182454"/>
    <w:rsid w:val="2BF02CDF"/>
    <w:rsid w:val="2BFA32C9"/>
    <w:rsid w:val="2C0B3E0D"/>
    <w:rsid w:val="2C931B69"/>
    <w:rsid w:val="2CB63EA9"/>
    <w:rsid w:val="2D2F6528"/>
    <w:rsid w:val="2D336304"/>
    <w:rsid w:val="2E09186B"/>
    <w:rsid w:val="2F3926C8"/>
    <w:rsid w:val="2F9B746D"/>
    <w:rsid w:val="2FB63C36"/>
    <w:rsid w:val="300B0B01"/>
    <w:rsid w:val="305F259A"/>
    <w:rsid w:val="307F345A"/>
    <w:rsid w:val="30914BF5"/>
    <w:rsid w:val="30AB7065"/>
    <w:rsid w:val="311350AC"/>
    <w:rsid w:val="311E7473"/>
    <w:rsid w:val="31C506B1"/>
    <w:rsid w:val="32937F1E"/>
    <w:rsid w:val="32E21EBD"/>
    <w:rsid w:val="32E276AE"/>
    <w:rsid w:val="32FD2735"/>
    <w:rsid w:val="331F5915"/>
    <w:rsid w:val="33814BD7"/>
    <w:rsid w:val="33F17F05"/>
    <w:rsid w:val="33FF13EE"/>
    <w:rsid w:val="3437693D"/>
    <w:rsid w:val="345F0141"/>
    <w:rsid w:val="34802092"/>
    <w:rsid w:val="34EF2A8C"/>
    <w:rsid w:val="35076310"/>
    <w:rsid w:val="35205D78"/>
    <w:rsid w:val="35AB7383"/>
    <w:rsid w:val="36626C16"/>
    <w:rsid w:val="373759DA"/>
    <w:rsid w:val="37A41960"/>
    <w:rsid w:val="37D470DF"/>
    <w:rsid w:val="382E636C"/>
    <w:rsid w:val="38FF673A"/>
    <w:rsid w:val="391927B9"/>
    <w:rsid w:val="39BB7CA8"/>
    <w:rsid w:val="39CC067D"/>
    <w:rsid w:val="3A072C82"/>
    <w:rsid w:val="3A355C68"/>
    <w:rsid w:val="3B6B66C9"/>
    <w:rsid w:val="3C0256F9"/>
    <w:rsid w:val="3C187777"/>
    <w:rsid w:val="3C385593"/>
    <w:rsid w:val="3C493E09"/>
    <w:rsid w:val="3C5D39DA"/>
    <w:rsid w:val="3C6705E3"/>
    <w:rsid w:val="3D606BBA"/>
    <w:rsid w:val="3DC21AB7"/>
    <w:rsid w:val="3E45456A"/>
    <w:rsid w:val="3F8C11CB"/>
    <w:rsid w:val="3F953311"/>
    <w:rsid w:val="3FA0000A"/>
    <w:rsid w:val="3FAC2672"/>
    <w:rsid w:val="3FB838AC"/>
    <w:rsid w:val="3FED50B1"/>
    <w:rsid w:val="40391CF5"/>
    <w:rsid w:val="42102851"/>
    <w:rsid w:val="4230622D"/>
    <w:rsid w:val="42536EAC"/>
    <w:rsid w:val="428E17AB"/>
    <w:rsid w:val="435A1660"/>
    <w:rsid w:val="43C51D55"/>
    <w:rsid w:val="43EC504E"/>
    <w:rsid w:val="44446C38"/>
    <w:rsid w:val="44C150B1"/>
    <w:rsid w:val="44E46D4D"/>
    <w:rsid w:val="45F30299"/>
    <w:rsid w:val="463E26A5"/>
    <w:rsid w:val="46EC778C"/>
    <w:rsid w:val="47095F17"/>
    <w:rsid w:val="4720668A"/>
    <w:rsid w:val="479C4388"/>
    <w:rsid w:val="47B55FD6"/>
    <w:rsid w:val="47D143BA"/>
    <w:rsid w:val="480C5837"/>
    <w:rsid w:val="48931989"/>
    <w:rsid w:val="48972E18"/>
    <w:rsid w:val="48B07A4C"/>
    <w:rsid w:val="497221CD"/>
    <w:rsid w:val="498D5A32"/>
    <w:rsid w:val="49CE3EF9"/>
    <w:rsid w:val="4A4A607D"/>
    <w:rsid w:val="4AE3134C"/>
    <w:rsid w:val="4AFE29C3"/>
    <w:rsid w:val="4B6454EB"/>
    <w:rsid w:val="4BBA5E9E"/>
    <w:rsid w:val="4C03185C"/>
    <w:rsid w:val="4C496836"/>
    <w:rsid w:val="4C6F7536"/>
    <w:rsid w:val="4CDA1D3F"/>
    <w:rsid w:val="4D106547"/>
    <w:rsid w:val="4DDA7A37"/>
    <w:rsid w:val="4F2B6157"/>
    <w:rsid w:val="5042087A"/>
    <w:rsid w:val="50AA1A16"/>
    <w:rsid w:val="50B15CAE"/>
    <w:rsid w:val="50BC5555"/>
    <w:rsid w:val="50D4451E"/>
    <w:rsid w:val="519A2A2F"/>
    <w:rsid w:val="520C2E2D"/>
    <w:rsid w:val="522D2622"/>
    <w:rsid w:val="523A7EB9"/>
    <w:rsid w:val="52766B78"/>
    <w:rsid w:val="53245378"/>
    <w:rsid w:val="533153E8"/>
    <w:rsid w:val="539A7FDF"/>
    <w:rsid w:val="54562C35"/>
    <w:rsid w:val="54585630"/>
    <w:rsid w:val="55265846"/>
    <w:rsid w:val="552C0A96"/>
    <w:rsid w:val="554A28A3"/>
    <w:rsid w:val="56554CD5"/>
    <w:rsid w:val="56783B24"/>
    <w:rsid w:val="567916C7"/>
    <w:rsid w:val="56DD79B2"/>
    <w:rsid w:val="572246B1"/>
    <w:rsid w:val="58126ED5"/>
    <w:rsid w:val="581970B6"/>
    <w:rsid w:val="581E6EFC"/>
    <w:rsid w:val="583F198B"/>
    <w:rsid w:val="590479D0"/>
    <w:rsid w:val="59EC46D8"/>
    <w:rsid w:val="5A4E4650"/>
    <w:rsid w:val="5A975865"/>
    <w:rsid w:val="5AB4629C"/>
    <w:rsid w:val="5AB93F1D"/>
    <w:rsid w:val="5B71145A"/>
    <w:rsid w:val="5B7F570C"/>
    <w:rsid w:val="5BC91427"/>
    <w:rsid w:val="5CBD5382"/>
    <w:rsid w:val="5CC67D8E"/>
    <w:rsid w:val="5CDA2092"/>
    <w:rsid w:val="5D771F1C"/>
    <w:rsid w:val="5D884D88"/>
    <w:rsid w:val="5DCF0867"/>
    <w:rsid w:val="5E64201C"/>
    <w:rsid w:val="5E6554CB"/>
    <w:rsid w:val="5FE433C5"/>
    <w:rsid w:val="5FE6289A"/>
    <w:rsid w:val="602D0592"/>
    <w:rsid w:val="602F0955"/>
    <w:rsid w:val="60E47829"/>
    <w:rsid w:val="61285BD1"/>
    <w:rsid w:val="630E0D08"/>
    <w:rsid w:val="63776E7B"/>
    <w:rsid w:val="63875992"/>
    <w:rsid w:val="63EE3DB4"/>
    <w:rsid w:val="64176DDC"/>
    <w:rsid w:val="6637626A"/>
    <w:rsid w:val="664C529B"/>
    <w:rsid w:val="66927898"/>
    <w:rsid w:val="66A302D7"/>
    <w:rsid w:val="66C22D3A"/>
    <w:rsid w:val="67DD3829"/>
    <w:rsid w:val="680D7A97"/>
    <w:rsid w:val="68503FCB"/>
    <w:rsid w:val="688359EF"/>
    <w:rsid w:val="688961A8"/>
    <w:rsid w:val="68FB164E"/>
    <w:rsid w:val="690A4AA4"/>
    <w:rsid w:val="6912354C"/>
    <w:rsid w:val="693345CB"/>
    <w:rsid w:val="69AA66B0"/>
    <w:rsid w:val="69BB13E4"/>
    <w:rsid w:val="6A266C67"/>
    <w:rsid w:val="6A462CC6"/>
    <w:rsid w:val="6A6E0580"/>
    <w:rsid w:val="6AF01164"/>
    <w:rsid w:val="6B14591C"/>
    <w:rsid w:val="6BBC1336"/>
    <w:rsid w:val="6BC409CA"/>
    <w:rsid w:val="6C7B4FDE"/>
    <w:rsid w:val="6C8369D3"/>
    <w:rsid w:val="6D2508E4"/>
    <w:rsid w:val="6D2F0485"/>
    <w:rsid w:val="6D5C4B1E"/>
    <w:rsid w:val="6D5F3E11"/>
    <w:rsid w:val="6D633A71"/>
    <w:rsid w:val="6D805DF8"/>
    <w:rsid w:val="6D8B6CD1"/>
    <w:rsid w:val="6DBD0123"/>
    <w:rsid w:val="6EC62930"/>
    <w:rsid w:val="6F3445C6"/>
    <w:rsid w:val="6F982FF4"/>
    <w:rsid w:val="70783D6C"/>
    <w:rsid w:val="70ED07F4"/>
    <w:rsid w:val="714117CC"/>
    <w:rsid w:val="7141286C"/>
    <w:rsid w:val="714325E3"/>
    <w:rsid w:val="714571EE"/>
    <w:rsid w:val="71682C26"/>
    <w:rsid w:val="71C4488E"/>
    <w:rsid w:val="721D7FE7"/>
    <w:rsid w:val="722C5F1E"/>
    <w:rsid w:val="72EA41FD"/>
    <w:rsid w:val="73683F57"/>
    <w:rsid w:val="73827608"/>
    <w:rsid w:val="75185E1B"/>
    <w:rsid w:val="7534466A"/>
    <w:rsid w:val="75572054"/>
    <w:rsid w:val="75590EC6"/>
    <w:rsid w:val="75BA31B4"/>
    <w:rsid w:val="75E44E88"/>
    <w:rsid w:val="75EB36D0"/>
    <w:rsid w:val="762E44A2"/>
    <w:rsid w:val="76967FC0"/>
    <w:rsid w:val="769B55BF"/>
    <w:rsid w:val="769E37F0"/>
    <w:rsid w:val="76B35000"/>
    <w:rsid w:val="76B63873"/>
    <w:rsid w:val="76D169C1"/>
    <w:rsid w:val="76D9472A"/>
    <w:rsid w:val="76E624D2"/>
    <w:rsid w:val="76EE465E"/>
    <w:rsid w:val="770671F4"/>
    <w:rsid w:val="77AD08D9"/>
    <w:rsid w:val="78691DD8"/>
    <w:rsid w:val="7878508A"/>
    <w:rsid w:val="78820CC5"/>
    <w:rsid w:val="78887081"/>
    <w:rsid w:val="78FA0610"/>
    <w:rsid w:val="790F4B30"/>
    <w:rsid w:val="794157FA"/>
    <w:rsid w:val="795E2BA2"/>
    <w:rsid w:val="79A17840"/>
    <w:rsid w:val="79A55878"/>
    <w:rsid w:val="7BAD66D9"/>
    <w:rsid w:val="7C396B93"/>
    <w:rsid w:val="7C951056"/>
    <w:rsid w:val="7C9B01BE"/>
    <w:rsid w:val="7DFB4006"/>
    <w:rsid w:val="7E5A723A"/>
    <w:rsid w:val="7E8809BA"/>
    <w:rsid w:val="7EB0162C"/>
    <w:rsid w:val="7FF645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99" w:semiHidden="0" w:name="Subtitle"/>
    <w:lsdException w:unhideWhenUsed="0" w:uiPriority="0" w:semiHidden="0" w:name="Salutation" w:locked="1"/>
    <w:lsdException w:qFormat="1" w:unhideWhenUsed="0" w:uiPriority="99" w:semiHidden="0" w:name="Date"/>
    <w:lsdException w:qFormat="1" w:unhideWhenUsed="0" w:uiPriority="0" w:semiHidden="0" w:name="Body Text First Indent" w:locked="1"/>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3"/>
    <w:link w:val="40"/>
    <w:autoRedefine/>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3"/>
    <w:link w:val="42"/>
    <w:autoRedefine/>
    <w:qFormat/>
    <w:uiPriority w:val="0"/>
    <w:pPr>
      <w:keepNext/>
      <w:keepLines/>
      <w:spacing w:before="260" w:after="260" w:line="416" w:lineRule="auto"/>
      <w:outlineLvl w:val="2"/>
    </w:pPr>
    <w:rPr>
      <w:rFonts w:ascii="Calibri" w:hAnsi="Calibri"/>
      <w:sz w:val="32"/>
      <w:szCs w:val="32"/>
    </w:rPr>
  </w:style>
  <w:style w:type="paragraph" w:styleId="6">
    <w:name w:val="heading 4"/>
    <w:basedOn w:val="1"/>
    <w:next w:val="1"/>
    <w:link w:val="92"/>
    <w:autoRedefine/>
    <w:unhideWhenUsed/>
    <w:qFormat/>
    <w:locked/>
    <w:uiPriority w:val="0"/>
    <w:pPr>
      <w:keepNext/>
      <w:keepLines/>
      <w:spacing w:line="372" w:lineRule="auto"/>
      <w:outlineLvl w:val="3"/>
    </w:pPr>
    <w:rPr>
      <w:rFonts w:ascii="Arial" w:hAnsi="Arial" w:eastAsia="黑体" w:cstheme="minorBidi"/>
      <w:b/>
      <w:sz w:val="28"/>
    </w:rPr>
  </w:style>
  <w:style w:type="paragraph" w:styleId="7">
    <w:name w:val="heading 6"/>
    <w:basedOn w:val="1"/>
    <w:next w:val="1"/>
    <w:autoRedefine/>
    <w:qFormat/>
    <w:locked/>
    <w:uiPriority w:val="0"/>
    <w:pPr>
      <w:keepNext/>
      <w:keepLines/>
      <w:widowControl w:val="0"/>
      <w:spacing w:before="240" w:after="64" w:line="319" w:lineRule="auto"/>
      <w:outlineLvl w:val="5"/>
    </w:pPr>
    <w:rPr>
      <w:rFonts w:ascii="Calibri Light" w:hAnsi="Calibri Light"/>
      <w:b/>
      <w:bCs/>
      <w:kern w:val="0"/>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2"/>
    <w:basedOn w:val="1"/>
    <w:autoRedefine/>
    <w:qFormat/>
    <w:uiPriority w:val="0"/>
    <w:pPr>
      <w:spacing w:line="360" w:lineRule="auto"/>
      <w:ind w:firstLine="420" w:firstLineChars="200"/>
    </w:pPr>
  </w:style>
  <w:style w:type="paragraph" w:styleId="8">
    <w:name w:val="Normal Indent"/>
    <w:basedOn w:val="1"/>
    <w:autoRedefine/>
    <w:qFormat/>
    <w:uiPriority w:val="99"/>
    <w:pPr>
      <w:ind w:firstLine="420"/>
    </w:pPr>
    <w:rPr>
      <w:szCs w:val="20"/>
    </w:rPr>
  </w:style>
  <w:style w:type="paragraph" w:styleId="9">
    <w:name w:val="Document Map"/>
    <w:basedOn w:val="1"/>
    <w:link w:val="44"/>
    <w:autoRedefine/>
    <w:semiHidden/>
    <w:qFormat/>
    <w:uiPriority w:val="99"/>
    <w:pPr>
      <w:shd w:val="clear" w:color="auto" w:fill="000080"/>
    </w:pPr>
  </w:style>
  <w:style w:type="paragraph" w:styleId="10">
    <w:name w:val="annotation text"/>
    <w:basedOn w:val="1"/>
    <w:link w:val="45"/>
    <w:autoRedefine/>
    <w:qFormat/>
    <w:uiPriority w:val="99"/>
    <w:pPr>
      <w:jc w:val="left"/>
    </w:pPr>
  </w:style>
  <w:style w:type="paragraph" w:styleId="11">
    <w:name w:val="Body Text"/>
    <w:basedOn w:val="1"/>
    <w:next w:val="12"/>
    <w:link w:val="43"/>
    <w:autoRedefine/>
    <w:qFormat/>
    <w:uiPriority w:val="0"/>
    <w:pPr>
      <w:spacing w:after="120"/>
    </w:pPr>
    <w:rPr>
      <w:rFonts w:ascii="Calibri" w:hAnsi="Calibri"/>
      <w:kern w:val="0"/>
      <w:szCs w:val="20"/>
    </w:rPr>
  </w:style>
  <w:style w:type="paragraph" w:customStyle="1" w:styleId="12">
    <w:name w:val="一级条标题"/>
    <w:basedOn w:val="13"/>
    <w:next w:val="14"/>
    <w:autoRedefine/>
    <w:qFormat/>
    <w:uiPriority w:val="0"/>
    <w:pPr>
      <w:spacing w:line="240" w:lineRule="auto"/>
      <w:ind w:left="420"/>
      <w:outlineLvl w:val="2"/>
    </w:pPr>
  </w:style>
  <w:style w:type="paragraph" w:customStyle="1" w:styleId="13">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4">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5">
    <w:name w:val="Body Text Indent"/>
    <w:basedOn w:val="1"/>
    <w:link w:val="46"/>
    <w:autoRedefine/>
    <w:qFormat/>
    <w:uiPriority w:val="99"/>
    <w:pPr>
      <w:spacing w:after="120"/>
      <w:ind w:left="420" w:leftChars="200"/>
    </w:pPr>
    <w:rPr>
      <w:sz w:val="21"/>
    </w:rPr>
  </w:style>
  <w:style w:type="paragraph" w:styleId="16">
    <w:name w:val="Plain Text"/>
    <w:basedOn w:val="1"/>
    <w:link w:val="47"/>
    <w:autoRedefine/>
    <w:qFormat/>
    <w:uiPriority w:val="0"/>
    <w:rPr>
      <w:rFonts w:ascii="宋体" w:hAnsi="Courier New"/>
      <w:sz w:val="21"/>
      <w:szCs w:val="21"/>
    </w:rPr>
  </w:style>
  <w:style w:type="paragraph" w:styleId="17">
    <w:name w:val="Date"/>
    <w:basedOn w:val="1"/>
    <w:next w:val="1"/>
    <w:link w:val="48"/>
    <w:autoRedefine/>
    <w:qFormat/>
    <w:uiPriority w:val="99"/>
    <w:pPr>
      <w:ind w:left="100" w:leftChars="2500"/>
    </w:pPr>
    <w:rPr>
      <w:rFonts w:eastAsia="仿宋_GB2312"/>
      <w:sz w:val="32"/>
    </w:rPr>
  </w:style>
  <w:style w:type="paragraph" w:styleId="18">
    <w:name w:val="Body Text Indent 2"/>
    <w:basedOn w:val="1"/>
    <w:autoRedefine/>
    <w:qFormat/>
    <w:uiPriority w:val="0"/>
    <w:pPr>
      <w:spacing w:after="120" w:line="480" w:lineRule="auto"/>
      <w:ind w:left="200" w:leftChars="200"/>
    </w:pPr>
    <w:rPr>
      <w:rFonts w:ascii="等线" w:eastAsia="等线" w:cs="Arial"/>
    </w:rPr>
  </w:style>
  <w:style w:type="paragraph" w:styleId="19">
    <w:name w:val="Balloon Text"/>
    <w:basedOn w:val="1"/>
    <w:link w:val="49"/>
    <w:autoRedefine/>
    <w:qFormat/>
    <w:uiPriority w:val="99"/>
    <w:rPr>
      <w:sz w:val="18"/>
      <w:szCs w:val="18"/>
    </w:rPr>
  </w:style>
  <w:style w:type="paragraph" w:styleId="20">
    <w:name w:val="footer"/>
    <w:basedOn w:val="1"/>
    <w:link w:val="50"/>
    <w:autoRedefine/>
    <w:qFormat/>
    <w:uiPriority w:val="0"/>
    <w:pPr>
      <w:tabs>
        <w:tab w:val="center" w:pos="4153"/>
        <w:tab w:val="right" w:pos="8306"/>
      </w:tabs>
      <w:snapToGrid w:val="0"/>
      <w:jc w:val="left"/>
    </w:pPr>
    <w:rPr>
      <w:sz w:val="18"/>
      <w:szCs w:val="18"/>
    </w:rPr>
  </w:style>
  <w:style w:type="paragraph" w:styleId="21">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99"/>
    <w:pPr>
      <w:spacing w:before="120" w:after="120" w:line="400" w:lineRule="exact"/>
      <w:ind w:firstLine="200" w:firstLineChars="200"/>
      <w:jc w:val="left"/>
    </w:pPr>
    <w:rPr>
      <w:rFonts w:ascii="Calibri" w:hAnsi="Calibri"/>
      <w:b/>
      <w:bCs/>
      <w:caps/>
      <w:szCs w:val="20"/>
    </w:rPr>
  </w:style>
  <w:style w:type="paragraph" w:styleId="23">
    <w:name w:val="Subtitle"/>
    <w:basedOn w:val="1"/>
    <w:next w:val="1"/>
    <w:link w:val="52"/>
    <w:autoRedefine/>
    <w:qFormat/>
    <w:uiPriority w:val="99"/>
    <w:pPr>
      <w:spacing w:before="240" w:after="60" w:line="312" w:lineRule="auto"/>
      <w:jc w:val="center"/>
      <w:outlineLvl w:val="1"/>
    </w:pPr>
    <w:rPr>
      <w:rFonts w:ascii="Cambria" w:hAnsi="Cambria"/>
      <w:b/>
      <w:bCs/>
      <w:kern w:val="28"/>
      <w:sz w:val="32"/>
      <w:szCs w:val="32"/>
    </w:rPr>
  </w:style>
  <w:style w:type="paragraph" w:styleId="24">
    <w:name w:val="Body Text Indent 3"/>
    <w:basedOn w:val="1"/>
    <w:link w:val="53"/>
    <w:autoRedefine/>
    <w:qFormat/>
    <w:uiPriority w:val="99"/>
    <w:pPr>
      <w:spacing w:after="120"/>
      <w:ind w:left="420" w:leftChars="200"/>
    </w:pPr>
    <w:rPr>
      <w:rFonts w:ascii="Calibri" w:hAnsi="Calibri"/>
      <w:sz w:val="16"/>
      <w:szCs w:val="16"/>
    </w:rPr>
  </w:style>
  <w:style w:type="paragraph" w:styleId="25">
    <w:name w:val="Message Header"/>
    <w:basedOn w:val="1"/>
    <w:link w:val="54"/>
    <w:autoRedefine/>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Cs w:val="22"/>
    </w:rPr>
  </w:style>
  <w:style w:type="paragraph" w:styleId="26">
    <w:name w:val="Normal (Web)"/>
    <w:basedOn w:val="1"/>
    <w:autoRedefine/>
    <w:qFormat/>
    <w:uiPriority w:val="99"/>
    <w:pPr>
      <w:spacing w:before="100" w:beforeAutospacing="1" w:after="100" w:afterAutospacing="1"/>
      <w:jc w:val="left"/>
    </w:pPr>
    <w:rPr>
      <w:kern w:val="0"/>
    </w:rPr>
  </w:style>
  <w:style w:type="paragraph" w:styleId="27">
    <w:name w:val="Title"/>
    <w:basedOn w:val="1"/>
    <w:next w:val="1"/>
    <w:link w:val="100"/>
    <w:autoRedefine/>
    <w:qFormat/>
    <w:uiPriority w:val="99"/>
    <w:pPr>
      <w:spacing w:before="240" w:after="60"/>
      <w:jc w:val="center"/>
      <w:outlineLvl w:val="0"/>
    </w:pPr>
    <w:rPr>
      <w:rFonts w:ascii="Cambria" w:hAnsi="Cambria"/>
      <w:b/>
      <w:bCs/>
      <w:sz w:val="36"/>
      <w:szCs w:val="32"/>
    </w:rPr>
  </w:style>
  <w:style w:type="paragraph" w:styleId="28">
    <w:name w:val="annotation subject"/>
    <w:basedOn w:val="10"/>
    <w:next w:val="10"/>
    <w:link w:val="56"/>
    <w:autoRedefine/>
    <w:qFormat/>
    <w:uiPriority w:val="99"/>
    <w:rPr>
      <w:rFonts w:ascii="Calibri" w:hAnsi="Calibri"/>
      <w:b/>
      <w:bCs/>
      <w:sz w:val="21"/>
      <w:szCs w:val="22"/>
    </w:rPr>
  </w:style>
  <w:style w:type="paragraph" w:styleId="29">
    <w:name w:val="Body Text First Indent"/>
    <w:basedOn w:val="11"/>
    <w:next w:val="1"/>
    <w:autoRedefine/>
    <w:qFormat/>
    <w:locked/>
    <w:uiPriority w:val="0"/>
    <w:pPr>
      <w:ind w:firstLine="100" w:firstLineChars="100"/>
    </w:pPr>
  </w:style>
  <w:style w:type="paragraph" w:styleId="30">
    <w:name w:val="Body Text First Indent 2"/>
    <w:basedOn w:val="15"/>
    <w:autoRedefine/>
    <w:unhideWhenUsed/>
    <w:qFormat/>
    <w:uiPriority w:val="0"/>
    <w:pPr>
      <w:tabs>
        <w:tab w:val="left" w:pos="2160"/>
      </w:tabs>
      <w:ind w:firstLine="420"/>
    </w:p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rFonts w:cs="Times New Roman"/>
      <w:b/>
    </w:rPr>
  </w:style>
  <w:style w:type="character" w:styleId="35">
    <w:name w:val="page number"/>
    <w:basedOn w:val="33"/>
    <w:autoRedefine/>
    <w:qFormat/>
    <w:uiPriority w:val="99"/>
    <w:rPr>
      <w:rFonts w:cs="Times New Roman"/>
    </w:rPr>
  </w:style>
  <w:style w:type="character" w:styleId="36">
    <w:name w:val="Emphasis"/>
    <w:basedOn w:val="33"/>
    <w:autoRedefine/>
    <w:qFormat/>
    <w:uiPriority w:val="99"/>
    <w:rPr>
      <w:rFonts w:cs="Times New Roman"/>
    </w:rPr>
  </w:style>
  <w:style w:type="character" w:styleId="37">
    <w:name w:val="Hyperlink"/>
    <w:basedOn w:val="33"/>
    <w:autoRedefine/>
    <w:qFormat/>
    <w:uiPriority w:val="99"/>
    <w:rPr>
      <w:rFonts w:cs="Times New Roman"/>
      <w:color w:val="000000"/>
      <w:u w:val="none"/>
    </w:rPr>
  </w:style>
  <w:style w:type="character" w:styleId="38">
    <w:name w:val="annotation reference"/>
    <w:basedOn w:val="33"/>
    <w:autoRedefine/>
    <w:qFormat/>
    <w:uiPriority w:val="99"/>
    <w:rPr>
      <w:rFonts w:cs="Times New Roman"/>
      <w:sz w:val="21"/>
      <w:szCs w:val="21"/>
    </w:rPr>
  </w:style>
  <w:style w:type="character" w:styleId="39">
    <w:name w:val="HTML Sample"/>
    <w:basedOn w:val="33"/>
    <w:semiHidden/>
    <w:unhideWhenUsed/>
    <w:uiPriority w:val="99"/>
    <w:rPr>
      <w:rFonts w:ascii="Courier New" w:hAnsi="Courier New"/>
    </w:rPr>
  </w:style>
  <w:style w:type="character" w:customStyle="1" w:styleId="40">
    <w:name w:val="标题 1 Char"/>
    <w:basedOn w:val="33"/>
    <w:link w:val="2"/>
    <w:autoRedefine/>
    <w:qFormat/>
    <w:locked/>
    <w:uiPriority w:val="99"/>
    <w:rPr>
      <w:b/>
      <w:kern w:val="44"/>
      <w:sz w:val="44"/>
    </w:rPr>
  </w:style>
  <w:style w:type="character" w:customStyle="1" w:styleId="41">
    <w:name w:val="标题 2 Char"/>
    <w:basedOn w:val="33"/>
    <w:link w:val="4"/>
    <w:autoRedefine/>
    <w:qFormat/>
    <w:locked/>
    <w:uiPriority w:val="99"/>
    <w:rPr>
      <w:rFonts w:ascii="Cambria" w:hAnsi="Cambria"/>
      <w:b/>
      <w:kern w:val="2"/>
      <w:sz w:val="32"/>
    </w:rPr>
  </w:style>
  <w:style w:type="character" w:customStyle="1" w:styleId="42">
    <w:name w:val="标题 3 Char"/>
    <w:basedOn w:val="33"/>
    <w:link w:val="5"/>
    <w:autoRedefine/>
    <w:qFormat/>
    <w:locked/>
    <w:uiPriority w:val="99"/>
    <w:rPr>
      <w:rFonts w:ascii="Calibri" w:hAnsi="Calibri" w:eastAsia="宋体" w:cs="Times New Roman"/>
      <w:b/>
      <w:bCs/>
      <w:kern w:val="2"/>
      <w:sz w:val="32"/>
      <w:szCs w:val="32"/>
    </w:rPr>
  </w:style>
  <w:style w:type="character" w:customStyle="1" w:styleId="43">
    <w:name w:val="正文文本 Char"/>
    <w:basedOn w:val="33"/>
    <w:link w:val="11"/>
    <w:autoRedefine/>
    <w:qFormat/>
    <w:locked/>
    <w:uiPriority w:val="99"/>
    <w:rPr>
      <w:rFonts w:ascii="Calibri" w:hAnsi="Calibri" w:cs="Times New Roman"/>
      <w:sz w:val="24"/>
    </w:rPr>
  </w:style>
  <w:style w:type="character" w:customStyle="1" w:styleId="44">
    <w:name w:val="文档结构图 Char"/>
    <w:basedOn w:val="33"/>
    <w:link w:val="9"/>
    <w:autoRedefine/>
    <w:semiHidden/>
    <w:qFormat/>
    <w:uiPriority w:val="99"/>
    <w:rPr>
      <w:sz w:val="0"/>
      <w:szCs w:val="0"/>
    </w:rPr>
  </w:style>
  <w:style w:type="character" w:customStyle="1" w:styleId="45">
    <w:name w:val="批注文字 Char"/>
    <w:basedOn w:val="33"/>
    <w:link w:val="10"/>
    <w:autoRedefine/>
    <w:qFormat/>
    <w:locked/>
    <w:uiPriority w:val="99"/>
    <w:rPr>
      <w:rFonts w:cs="Times New Roman"/>
      <w:kern w:val="2"/>
      <w:sz w:val="24"/>
      <w:szCs w:val="24"/>
    </w:rPr>
  </w:style>
  <w:style w:type="character" w:customStyle="1" w:styleId="46">
    <w:name w:val="正文文本缩进 Char"/>
    <w:basedOn w:val="33"/>
    <w:link w:val="15"/>
    <w:autoRedefine/>
    <w:qFormat/>
    <w:locked/>
    <w:uiPriority w:val="99"/>
    <w:rPr>
      <w:kern w:val="2"/>
      <w:sz w:val="24"/>
    </w:rPr>
  </w:style>
  <w:style w:type="character" w:customStyle="1" w:styleId="47">
    <w:name w:val="纯文本 Char"/>
    <w:basedOn w:val="33"/>
    <w:link w:val="16"/>
    <w:autoRedefine/>
    <w:qFormat/>
    <w:locked/>
    <w:uiPriority w:val="0"/>
    <w:rPr>
      <w:rFonts w:ascii="宋体" w:hAnsi="Courier New"/>
      <w:kern w:val="2"/>
      <w:sz w:val="21"/>
    </w:rPr>
  </w:style>
  <w:style w:type="character" w:customStyle="1" w:styleId="48">
    <w:name w:val="日期 Char"/>
    <w:basedOn w:val="33"/>
    <w:link w:val="17"/>
    <w:autoRedefine/>
    <w:semiHidden/>
    <w:qFormat/>
    <w:uiPriority w:val="99"/>
    <w:rPr>
      <w:sz w:val="24"/>
      <w:szCs w:val="24"/>
    </w:rPr>
  </w:style>
  <w:style w:type="character" w:customStyle="1" w:styleId="49">
    <w:name w:val="批注框文本 Char2"/>
    <w:basedOn w:val="33"/>
    <w:link w:val="19"/>
    <w:autoRedefine/>
    <w:semiHidden/>
    <w:qFormat/>
    <w:uiPriority w:val="99"/>
    <w:rPr>
      <w:sz w:val="0"/>
      <w:szCs w:val="0"/>
    </w:rPr>
  </w:style>
  <w:style w:type="character" w:customStyle="1" w:styleId="50">
    <w:name w:val="页脚 Char"/>
    <w:basedOn w:val="33"/>
    <w:link w:val="20"/>
    <w:autoRedefine/>
    <w:qFormat/>
    <w:locked/>
    <w:uiPriority w:val="99"/>
    <w:rPr>
      <w:kern w:val="2"/>
      <w:sz w:val="18"/>
    </w:rPr>
  </w:style>
  <w:style w:type="character" w:customStyle="1" w:styleId="51">
    <w:name w:val="页眉 Char"/>
    <w:basedOn w:val="33"/>
    <w:link w:val="21"/>
    <w:autoRedefine/>
    <w:qFormat/>
    <w:locked/>
    <w:uiPriority w:val="0"/>
    <w:rPr>
      <w:kern w:val="2"/>
      <w:sz w:val="18"/>
    </w:rPr>
  </w:style>
  <w:style w:type="character" w:customStyle="1" w:styleId="52">
    <w:name w:val="副标题 Char"/>
    <w:basedOn w:val="33"/>
    <w:link w:val="23"/>
    <w:autoRedefine/>
    <w:qFormat/>
    <w:locked/>
    <w:uiPriority w:val="99"/>
    <w:rPr>
      <w:rFonts w:ascii="Cambria" w:hAnsi="Cambria"/>
      <w:b/>
      <w:kern w:val="28"/>
      <w:sz w:val="32"/>
    </w:rPr>
  </w:style>
  <w:style w:type="character" w:customStyle="1" w:styleId="53">
    <w:name w:val="正文文本缩进 3 Char"/>
    <w:basedOn w:val="33"/>
    <w:link w:val="24"/>
    <w:autoRedefine/>
    <w:qFormat/>
    <w:locked/>
    <w:uiPriority w:val="99"/>
    <w:rPr>
      <w:rFonts w:ascii="Calibri" w:hAnsi="Calibri" w:eastAsia="宋体" w:cs="Times New Roman"/>
      <w:kern w:val="2"/>
      <w:sz w:val="16"/>
      <w:szCs w:val="16"/>
    </w:rPr>
  </w:style>
  <w:style w:type="character" w:customStyle="1" w:styleId="54">
    <w:name w:val="信息标题 Char"/>
    <w:basedOn w:val="33"/>
    <w:link w:val="25"/>
    <w:autoRedefine/>
    <w:qFormat/>
    <w:locked/>
    <w:uiPriority w:val="99"/>
    <w:rPr>
      <w:rFonts w:ascii="Arial" w:hAnsi="Arial" w:eastAsia="宋体" w:cs="Times New Roman"/>
      <w:kern w:val="2"/>
      <w:sz w:val="22"/>
      <w:szCs w:val="22"/>
      <w:shd w:val="pct20" w:color="auto" w:fill="auto"/>
    </w:rPr>
  </w:style>
  <w:style w:type="character" w:customStyle="1" w:styleId="55">
    <w:name w:val="标题 Char"/>
    <w:basedOn w:val="33"/>
    <w:link w:val="27"/>
    <w:autoRedefine/>
    <w:qFormat/>
    <w:locked/>
    <w:uiPriority w:val="99"/>
    <w:rPr>
      <w:rFonts w:ascii="Cambria" w:hAnsi="Cambria"/>
      <w:b/>
      <w:kern w:val="2"/>
      <w:sz w:val="32"/>
    </w:rPr>
  </w:style>
  <w:style w:type="character" w:customStyle="1" w:styleId="56">
    <w:name w:val="批注主题 Char"/>
    <w:basedOn w:val="45"/>
    <w:link w:val="28"/>
    <w:autoRedefine/>
    <w:qFormat/>
    <w:locked/>
    <w:uiPriority w:val="99"/>
    <w:rPr>
      <w:rFonts w:ascii="Calibri" w:hAnsi="Calibri" w:eastAsia="宋体" w:cs="Times New Roman"/>
      <w:b/>
      <w:bCs/>
      <w:kern w:val="2"/>
      <w:sz w:val="22"/>
      <w:szCs w:val="22"/>
    </w:rPr>
  </w:style>
  <w:style w:type="character" w:customStyle="1" w:styleId="57">
    <w:name w:val="访问过的超链接1"/>
    <w:autoRedefine/>
    <w:qFormat/>
    <w:uiPriority w:val="99"/>
    <w:rPr>
      <w:color w:val="000000"/>
      <w:u w:val="none"/>
    </w:rPr>
  </w:style>
  <w:style w:type="character" w:customStyle="1" w:styleId="58">
    <w:name w:val="bg01"/>
    <w:basedOn w:val="33"/>
    <w:autoRedefine/>
    <w:qFormat/>
    <w:uiPriority w:val="99"/>
    <w:rPr>
      <w:rFonts w:cs="Times New Roman"/>
    </w:rPr>
  </w:style>
  <w:style w:type="character" w:customStyle="1" w:styleId="59">
    <w:name w:val="more"/>
    <w:autoRedefine/>
    <w:qFormat/>
    <w:uiPriority w:val="99"/>
    <w:rPr>
      <w:color w:val="666666"/>
      <w:sz w:val="18"/>
    </w:rPr>
  </w:style>
  <w:style w:type="character" w:customStyle="1" w:styleId="60">
    <w:name w:val="副标题 Char1"/>
    <w:autoRedefine/>
    <w:qFormat/>
    <w:uiPriority w:val="99"/>
    <w:rPr>
      <w:rFonts w:ascii="Cambria" w:hAnsi="Cambria"/>
      <w:b/>
      <w:kern w:val="28"/>
      <w:sz w:val="32"/>
    </w:rPr>
  </w:style>
  <w:style w:type="character" w:customStyle="1" w:styleId="61">
    <w:name w:val="tabg"/>
    <w:autoRedefine/>
    <w:qFormat/>
    <w:uiPriority w:val="99"/>
    <w:rPr>
      <w:rFonts w:ascii="微软雅黑" w:hAnsi="微软雅黑" w:eastAsia="微软雅黑"/>
      <w:color w:val="FFFFFF"/>
      <w:sz w:val="27"/>
    </w:rPr>
  </w:style>
  <w:style w:type="character" w:customStyle="1" w:styleId="62">
    <w:name w:val="bg02"/>
    <w:basedOn w:val="33"/>
    <w:autoRedefine/>
    <w:qFormat/>
    <w:uiPriority w:val="99"/>
    <w:rPr>
      <w:rFonts w:cs="Times New Roman"/>
    </w:rPr>
  </w:style>
  <w:style w:type="character" w:customStyle="1" w:styleId="63">
    <w:name w:val="标题 Char1"/>
    <w:autoRedefine/>
    <w:qFormat/>
    <w:uiPriority w:val="99"/>
    <w:rPr>
      <w:rFonts w:ascii="Cambria" w:hAnsi="Cambria"/>
      <w:b/>
      <w:kern w:val="2"/>
      <w:sz w:val="32"/>
    </w:rPr>
  </w:style>
  <w:style w:type="paragraph" w:customStyle="1" w:styleId="64">
    <w:name w:val="_Style 31"/>
    <w:basedOn w:val="9"/>
    <w:autoRedefine/>
    <w:qFormat/>
    <w:uiPriority w:val="99"/>
    <w:rPr>
      <w:szCs w:val="20"/>
      <w:shd w:val="clear" w:color="auto" w:fill="000080"/>
    </w:rPr>
  </w:style>
  <w:style w:type="paragraph" w:customStyle="1" w:styleId="65">
    <w:name w:val="Char"/>
    <w:basedOn w:val="1"/>
    <w:autoRedefine/>
    <w:qFormat/>
    <w:uiPriority w:val="99"/>
    <w:rPr>
      <w:szCs w:val="21"/>
    </w:rPr>
  </w:style>
  <w:style w:type="paragraph" w:customStyle="1" w:styleId="66">
    <w:name w:val="样式2"/>
    <w:basedOn w:val="1"/>
    <w:autoRedefine/>
    <w:qFormat/>
    <w:uiPriority w:val="99"/>
    <w:rPr>
      <w:rFonts w:eastAsia="华文中宋"/>
      <w:sz w:val="44"/>
    </w:rPr>
  </w:style>
  <w:style w:type="paragraph" w:customStyle="1" w:styleId="67">
    <w:name w:val="样式1"/>
    <w:basedOn w:val="1"/>
    <w:autoRedefine/>
    <w:qFormat/>
    <w:uiPriority w:val="99"/>
    <w:rPr>
      <w:rFonts w:eastAsia="仿宋_GB2312"/>
      <w:sz w:val="32"/>
    </w:rPr>
  </w:style>
  <w:style w:type="paragraph" w:customStyle="1" w:styleId="68">
    <w:name w:val="样式3"/>
    <w:basedOn w:val="66"/>
    <w:autoRedefine/>
    <w:qFormat/>
    <w:uiPriority w:val="99"/>
    <w:pPr>
      <w:jc w:val="center"/>
    </w:pPr>
  </w:style>
  <w:style w:type="character" w:customStyle="1" w:styleId="69">
    <w:name w:val="批注框文本 Char"/>
    <w:autoRedefine/>
    <w:qFormat/>
    <w:uiPriority w:val="99"/>
    <w:rPr>
      <w:kern w:val="2"/>
      <w:sz w:val="18"/>
    </w:rPr>
  </w:style>
  <w:style w:type="paragraph" w:customStyle="1" w:styleId="70">
    <w:name w:val="列出段落1"/>
    <w:basedOn w:val="1"/>
    <w:autoRedefine/>
    <w:qFormat/>
    <w:uiPriority w:val="99"/>
    <w:pPr>
      <w:ind w:firstLine="420" w:firstLineChars="200"/>
    </w:pPr>
    <w:rPr>
      <w:rFonts w:ascii="Calibri" w:hAnsi="Calibri"/>
      <w:sz w:val="21"/>
      <w:szCs w:val="22"/>
    </w:rPr>
  </w:style>
  <w:style w:type="paragraph" w:styleId="71">
    <w:name w:val="List Paragraph"/>
    <w:basedOn w:val="1"/>
    <w:link w:val="75"/>
    <w:autoRedefine/>
    <w:qFormat/>
    <w:uiPriority w:val="99"/>
    <w:pPr>
      <w:ind w:firstLine="420" w:firstLineChars="200"/>
    </w:pPr>
    <w:rPr>
      <w:rFonts w:ascii="Calibri" w:hAnsi="Calibri"/>
      <w:sz w:val="21"/>
      <w:szCs w:val="22"/>
    </w:rPr>
  </w:style>
  <w:style w:type="paragraph" w:customStyle="1" w:styleId="72">
    <w:name w:val="Default"/>
    <w:autoRedefine/>
    <w:qFormat/>
    <w:uiPriority w:val="99"/>
    <w:pPr>
      <w:widowControl w:val="0"/>
      <w:autoSpaceDE w:val="0"/>
      <w:autoSpaceDN w:val="0"/>
      <w:adjustRightInd w:val="0"/>
      <w:spacing w:line="360" w:lineRule="auto"/>
    </w:pPr>
    <w:rPr>
      <w:rFonts w:ascii="宋体" w:hAnsi="宋体" w:eastAsia="宋体" w:cs="宋体"/>
      <w:color w:val="000000"/>
      <w:sz w:val="24"/>
      <w:szCs w:val="24"/>
      <w:lang w:val="en-US" w:eastAsia="zh-CN" w:bidi="ar-SA"/>
    </w:rPr>
  </w:style>
  <w:style w:type="table" w:customStyle="1" w:styleId="73">
    <w:name w:val="Table Normal1"/>
    <w:autoRedefine/>
    <w:qFormat/>
    <w:uiPriority w:val="99"/>
    <w:tblPr>
      <w:tblCellMar>
        <w:top w:w="0" w:type="dxa"/>
        <w:left w:w="0" w:type="dxa"/>
        <w:bottom w:w="0" w:type="dxa"/>
        <w:right w:w="0" w:type="dxa"/>
      </w:tblCellMar>
    </w:tblPr>
  </w:style>
  <w:style w:type="paragraph" w:customStyle="1" w:styleId="74">
    <w:name w:val="默认"/>
    <w:autoRedefine/>
    <w:qFormat/>
    <w:uiPriority w:val="99"/>
    <w:rPr>
      <w:rFonts w:ascii="Helvetica Neue" w:hAnsi="Helvetica Neue" w:eastAsia="宋体" w:cs="Arial Unicode MS"/>
      <w:color w:val="000000"/>
      <w:sz w:val="22"/>
      <w:szCs w:val="22"/>
      <w:lang w:val="en-US" w:eastAsia="zh-CN" w:bidi="ar-SA"/>
    </w:rPr>
  </w:style>
  <w:style w:type="character" w:customStyle="1" w:styleId="75">
    <w:name w:val="列出段落 Char"/>
    <w:link w:val="71"/>
    <w:autoRedefine/>
    <w:qFormat/>
    <w:locked/>
    <w:uiPriority w:val="99"/>
    <w:rPr>
      <w:rFonts w:ascii="Calibri" w:hAnsi="Calibri" w:eastAsia="宋体"/>
      <w:kern w:val="2"/>
      <w:sz w:val="22"/>
    </w:rPr>
  </w:style>
  <w:style w:type="character" w:customStyle="1" w:styleId="76">
    <w:name w:val="font61"/>
    <w:basedOn w:val="33"/>
    <w:autoRedefine/>
    <w:qFormat/>
    <w:uiPriority w:val="99"/>
    <w:rPr>
      <w:rFonts w:ascii="宋体" w:hAnsi="宋体" w:eastAsia="宋体" w:cs="宋体"/>
      <w:color w:val="00B0F0"/>
      <w:sz w:val="22"/>
      <w:szCs w:val="22"/>
      <w:u w:val="none"/>
    </w:rPr>
  </w:style>
  <w:style w:type="character" w:customStyle="1" w:styleId="77">
    <w:name w:val="font01"/>
    <w:basedOn w:val="33"/>
    <w:autoRedefine/>
    <w:qFormat/>
    <w:uiPriority w:val="99"/>
    <w:rPr>
      <w:rFonts w:ascii="宋体" w:hAnsi="宋体" w:eastAsia="宋体" w:cs="宋体"/>
      <w:color w:val="FF0000"/>
      <w:sz w:val="22"/>
      <w:szCs w:val="22"/>
      <w:u w:val="none"/>
    </w:rPr>
  </w:style>
  <w:style w:type="character" w:customStyle="1" w:styleId="78">
    <w:name w:val="font81"/>
    <w:basedOn w:val="33"/>
    <w:autoRedefine/>
    <w:qFormat/>
    <w:uiPriority w:val="0"/>
    <w:rPr>
      <w:rFonts w:ascii="宋体" w:hAnsi="宋体" w:eastAsia="宋体" w:cs="宋体"/>
      <w:color w:val="000000"/>
      <w:sz w:val="20"/>
      <w:szCs w:val="20"/>
      <w:u w:val="none"/>
      <w:vertAlign w:val="superscript"/>
    </w:rPr>
  </w:style>
  <w:style w:type="character" w:customStyle="1" w:styleId="79">
    <w:name w:val="font71"/>
    <w:basedOn w:val="33"/>
    <w:autoRedefine/>
    <w:qFormat/>
    <w:uiPriority w:val="99"/>
    <w:rPr>
      <w:rFonts w:ascii="宋体" w:hAnsi="宋体" w:eastAsia="宋体" w:cs="宋体"/>
      <w:color w:val="FF0000"/>
      <w:sz w:val="22"/>
      <w:szCs w:val="22"/>
      <w:u w:val="none"/>
    </w:rPr>
  </w:style>
  <w:style w:type="character" w:customStyle="1" w:styleId="80">
    <w:name w:val="font11"/>
    <w:basedOn w:val="33"/>
    <w:autoRedefine/>
    <w:qFormat/>
    <w:uiPriority w:val="0"/>
    <w:rPr>
      <w:rFonts w:ascii="宋体" w:hAnsi="宋体" w:eastAsia="宋体" w:cs="宋体"/>
      <w:color w:val="000000"/>
      <w:sz w:val="20"/>
      <w:szCs w:val="20"/>
      <w:u w:val="none"/>
    </w:rPr>
  </w:style>
  <w:style w:type="character" w:styleId="81">
    <w:name w:val="Placeholder Text"/>
    <w:basedOn w:val="33"/>
    <w:autoRedefine/>
    <w:qFormat/>
    <w:uiPriority w:val="99"/>
    <w:rPr>
      <w:rFonts w:cs="Times New Roman"/>
      <w:color w:val="808080"/>
    </w:rPr>
  </w:style>
  <w:style w:type="character" w:customStyle="1" w:styleId="82">
    <w:name w:val="font31"/>
    <w:basedOn w:val="33"/>
    <w:autoRedefine/>
    <w:qFormat/>
    <w:uiPriority w:val="99"/>
    <w:rPr>
      <w:rFonts w:ascii="宋体" w:hAnsi="宋体" w:eastAsia="宋体" w:cs="宋体"/>
      <w:color w:val="000000"/>
      <w:sz w:val="22"/>
      <w:szCs w:val="22"/>
      <w:u w:val="none"/>
    </w:rPr>
  </w:style>
  <w:style w:type="character" w:customStyle="1" w:styleId="83">
    <w:name w:val="font21"/>
    <w:basedOn w:val="33"/>
    <w:autoRedefine/>
    <w:qFormat/>
    <w:uiPriority w:val="0"/>
    <w:rPr>
      <w:rFonts w:ascii="宋体" w:hAnsi="宋体" w:eastAsia="宋体" w:cs="宋体"/>
      <w:color w:val="FF0000"/>
      <w:sz w:val="20"/>
      <w:szCs w:val="20"/>
      <w:u w:val="none"/>
    </w:rPr>
  </w:style>
  <w:style w:type="character" w:customStyle="1" w:styleId="84">
    <w:name w:val="批注框文本 Char1"/>
    <w:basedOn w:val="33"/>
    <w:autoRedefine/>
    <w:semiHidden/>
    <w:qFormat/>
    <w:uiPriority w:val="99"/>
    <w:rPr>
      <w:rFonts w:ascii="Calibri" w:hAnsi="Calibri" w:eastAsia="宋体" w:cs="Times New Roman"/>
      <w:sz w:val="18"/>
      <w:szCs w:val="18"/>
    </w:rPr>
  </w:style>
  <w:style w:type="paragraph" w:customStyle="1" w:styleId="85">
    <w:name w:val="列出段落11"/>
    <w:basedOn w:val="1"/>
    <w:autoRedefine/>
    <w:qFormat/>
    <w:uiPriority w:val="99"/>
    <w:pPr>
      <w:spacing w:line="360" w:lineRule="auto"/>
      <w:ind w:firstLine="420" w:firstLineChars="200"/>
    </w:pPr>
    <w:rPr>
      <w:rFonts w:ascii="Calibri" w:hAnsi="Calibri" w:eastAsia="华文宋体"/>
      <w:sz w:val="21"/>
      <w:szCs w:val="21"/>
    </w:rPr>
  </w:style>
  <w:style w:type="paragraph" w:customStyle="1" w:styleId="86">
    <w:name w:val="_Style 2"/>
    <w:basedOn w:val="1"/>
    <w:autoRedefine/>
    <w:qFormat/>
    <w:uiPriority w:val="99"/>
    <w:pPr>
      <w:spacing w:line="360" w:lineRule="auto"/>
      <w:ind w:firstLine="420" w:firstLineChars="200"/>
    </w:pPr>
    <w:rPr>
      <w:rFonts w:ascii="Calibri" w:hAnsi="Calibri" w:eastAsia="华文宋体"/>
      <w:sz w:val="21"/>
      <w:szCs w:val="21"/>
    </w:rPr>
  </w:style>
  <w:style w:type="character" w:customStyle="1" w:styleId="87">
    <w:name w:val="ca-31"/>
    <w:autoRedefine/>
    <w:qFormat/>
    <w:uiPriority w:val="99"/>
    <w:rPr>
      <w:rFonts w:ascii="??" w:hAnsi="??"/>
      <w:sz w:val="24"/>
    </w:rPr>
  </w:style>
  <w:style w:type="character" w:customStyle="1" w:styleId="88">
    <w:name w:val="15"/>
    <w:autoRedefine/>
    <w:qFormat/>
    <w:uiPriority w:val="99"/>
    <w:rPr>
      <w:rFonts w:ascii="Times New Roman" w:hAnsi="Times New Roman"/>
    </w:rPr>
  </w:style>
  <w:style w:type="paragraph" w:customStyle="1" w:styleId="89">
    <w:name w:val="Table Paragraph"/>
    <w:basedOn w:val="1"/>
    <w:autoRedefine/>
    <w:qFormat/>
    <w:uiPriority w:val="99"/>
  </w:style>
  <w:style w:type="paragraph" w:customStyle="1" w:styleId="90">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1">
    <w:name w:val="Short Return Address"/>
    <w:basedOn w:val="1"/>
    <w:autoRedefine/>
    <w:qFormat/>
    <w:uiPriority w:val="0"/>
    <w:pPr>
      <w:widowControl/>
      <w:jc w:val="left"/>
    </w:pPr>
    <w:rPr>
      <w:rFonts w:ascii="Garamond" w:hAnsi="Garamond"/>
      <w:kern w:val="0"/>
      <w:sz w:val="22"/>
      <w:szCs w:val="20"/>
    </w:rPr>
  </w:style>
  <w:style w:type="character" w:customStyle="1" w:styleId="92">
    <w:name w:val="标题 4 Char"/>
    <w:basedOn w:val="33"/>
    <w:link w:val="6"/>
    <w:autoRedefine/>
    <w:qFormat/>
    <w:uiPriority w:val="0"/>
    <w:rPr>
      <w:rFonts w:ascii="Arial" w:hAnsi="Arial" w:eastAsia="黑体" w:cstheme="minorBidi"/>
      <w:b/>
      <w:kern w:val="2"/>
      <w:sz w:val="28"/>
      <w:szCs w:val="24"/>
    </w:rPr>
  </w:style>
  <w:style w:type="paragraph" w:customStyle="1" w:styleId="93">
    <w:name w:val="No Spacing_397d20db-0eb5-45fb-97fd-2e337243d08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4">
    <w:name w:val="font112"/>
    <w:basedOn w:val="33"/>
    <w:autoRedefine/>
    <w:qFormat/>
    <w:uiPriority w:val="0"/>
    <w:rPr>
      <w:rFonts w:hint="eastAsia" w:ascii="宋体" w:hAnsi="宋体" w:eastAsia="宋体" w:cs="宋体"/>
      <w:color w:val="000000"/>
      <w:sz w:val="22"/>
      <w:szCs w:val="22"/>
      <w:u w:val="none"/>
    </w:rPr>
  </w:style>
  <w:style w:type="character" w:customStyle="1" w:styleId="95">
    <w:name w:val="font131"/>
    <w:basedOn w:val="33"/>
    <w:autoRedefine/>
    <w:qFormat/>
    <w:uiPriority w:val="0"/>
    <w:rPr>
      <w:rFonts w:ascii="Tahoma" w:hAnsi="Tahoma" w:eastAsia="Tahoma" w:cs="Tahoma"/>
      <w:color w:val="000000"/>
      <w:sz w:val="22"/>
      <w:szCs w:val="22"/>
      <w:u w:val="none"/>
    </w:rPr>
  </w:style>
  <w:style w:type="character" w:customStyle="1" w:styleId="96">
    <w:name w:val="font51"/>
    <w:basedOn w:val="33"/>
    <w:autoRedefine/>
    <w:qFormat/>
    <w:uiPriority w:val="0"/>
    <w:rPr>
      <w:rFonts w:hint="eastAsia" w:ascii="宋体" w:hAnsi="宋体" w:eastAsia="宋体" w:cs="宋体"/>
      <w:color w:val="000000"/>
      <w:sz w:val="22"/>
      <w:szCs w:val="22"/>
      <w:u w:val="none"/>
    </w:rPr>
  </w:style>
  <w:style w:type="character" w:customStyle="1" w:styleId="97">
    <w:name w:val="font121"/>
    <w:basedOn w:val="33"/>
    <w:autoRedefine/>
    <w:qFormat/>
    <w:uiPriority w:val="0"/>
    <w:rPr>
      <w:rFonts w:ascii="Tahoma" w:hAnsi="Tahoma" w:eastAsia="Tahoma" w:cs="Tahoma"/>
      <w:color w:val="000000"/>
      <w:sz w:val="22"/>
      <w:szCs w:val="22"/>
      <w:u w:val="none"/>
    </w:rPr>
  </w:style>
  <w:style w:type="paragraph" w:customStyle="1" w:styleId="98">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3"/>
    <w:basedOn w:val="1"/>
    <w:autoRedefine/>
    <w:qFormat/>
    <w:uiPriority w:val="0"/>
    <w:pPr>
      <w:ind w:firstLine="200" w:firstLineChars="200"/>
    </w:pPr>
  </w:style>
  <w:style w:type="character" w:customStyle="1" w:styleId="100">
    <w:name w:val="标题 Char2"/>
    <w:link w:val="27"/>
    <w:autoRedefine/>
    <w:qFormat/>
    <w:uiPriority w:val="0"/>
    <w:rPr>
      <w:rFonts w:ascii="Cambria" w:hAnsi="Cambria"/>
      <w:b/>
      <w:bCs/>
      <w:kern w:val="2"/>
      <w:sz w:val="36"/>
      <w:szCs w:val="32"/>
    </w:rPr>
  </w:style>
  <w:style w:type="character" w:customStyle="1" w:styleId="101">
    <w:name w:val="font91"/>
    <w:basedOn w:val="33"/>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E6958-94DE-4DB7-B771-122D69015C15}">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168</Pages>
  <Words>8873</Words>
  <Characters>9413</Characters>
  <Lines>561</Lines>
  <Paragraphs>158</Paragraphs>
  <TotalTime>79</TotalTime>
  <ScaleCrop>false</ScaleCrop>
  <LinksUpToDate>false</LinksUpToDate>
  <CharactersWithSpaces>9660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2021-12-06T09:20:00Z</dcterms:created>
  <dc:creator>太子弹琴</dc:creator>
  <cp:lastModifiedBy>度她余生，y </cp:lastModifiedBy>
  <cp:lastPrinted>2019-10-21T02:56:00Z</cp:lastPrinted>
  <dcterms:modified xsi:type="dcterms:W3CDTF">2025-06-27T12:28:58Z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DB632D3F43894E70B0A3C817D5937200_13</vt:lpwstr>
  </property>
  <property fmtid="{D5CDD505-2E9C-101B-9397-08002B2CF9AE}" pid="4" name="KSOTemplateDocerSaveRecord">
    <vt:lpwstr>eyJoZGlkIjoiOGYyZjAwNDMxOThjNTg3OTJjYmEzNTY4MzExMzEyYzAiLCJ1c2VySWQiOiIyMjM5MjgxOTAifQ==</vt:lpwstr>
  </property>
</Properties>
</file>