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ind w:firstLine="1566" w:firstLineChars="300"/>
        <w:rPr>
          <w:rFonts w:ascii="方正行楷简体" w:hAnsi="新宋体" w:eastAsia="方正行楷简体"/>
          <w:b/>
          <w:sz w:val="52"/>
          <w:szCs w:val="52"/>
        </w:rPr>
      </w:pPr>
      <w:r>
        <w:rPr>
          <w:rFonts w:hint="eastAsia" w:ascii="方正行楷简体" w:hAnsi="新宋体" w:eastAsia="方正行楷简体" w:cs="华文行楷"/>
          <w:b/>
          <w:sz w:val="52"/>
          <w:szCs w:val="52"/>
          <w:lang w:val="zh-CN"/>
        </w:rPr>
        <w:t>大通县政府采购服务中心</w:t>
      </w:r>
    </w:p>
    <w:p>
      <w:pPr>
        <w:autoSpaceDE w:val="0"/>
        <w:autoSpaceDN w:val="0"/>
        <w:adjustRightInd w:val="0"/>
        <w:spacing w:line="360" w:lineRule="auto"/>
        <w:ind w:firstLine="1459" w:firstLineChars="173"/>
        <w:rPr>
          <w:rFonts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pPr>
        <w:autoSpaceDE w:val="0"/>
        <w:autoSpaceDN w:val="0"/>
        <w:adjustRightInd w:val="0"/>
        <w:spacing w:line="360" w:lineRule="auto"/>
        <w:jc w:val="left"/>
        <w:rPr>
          <w:rFonts w:ascii="宋体" w:cs="宋体"/>
          <w:kern w:val="0"/>
          <w:sz w:val="36"/>
          <w:szCs w:val="36"/>
        </w:rPr>
      </w:pPr>
    </w:p>
    <w:p>
      <w:pPr>
        <w:autoSpaceDE w:val="0"/>
        <w:autoSpaceDN w:val="0"/>
        <w:adjustRightInd w:val="0"/>
        <w:spacing w:line="360" w:lineRule="auto"/>
        <w:jc w:val="left"/>
        <w:rPr>
          <w:rFonts w:ascii="宋体" w:cs="宋体"/>
          <w:kern w:val="0"/>
          <w:sz w:val="36"/>
          <w:szCs w:val="36"/>
          <w:u w:val="dotDash"/>
        </w:rPr>
      </w:pPr>
    </w:p>
    <w:p>
      <w:pPr>
        <w:autoSpaceDE w:val="0"/>
        <w:autoSpaceDN w:val="0"/>
        <w:adjustRightInd w:val="0"/>
        <w:spacing w:line="360" w:lineRule="auto"/>
        <w:ind w:firstLine="321" w:firstLineChars="100"/>
        <w:jc w:val="left"/>
        <w:rPr>
          <w:rFonts w:ascii="宋体" w:cs="宋体"/>
          <w:b/>
          <w:bCs/>
          <w:kern w:val="0"/>
          <w:sz w:val="32"/>
          <w:szCs w:val="32"/>
          <w:lang w:val="zh-CN"/>
        </w:rPr>
      </w:pPr>
      <w:r>
        <w:rPr>
          <w:rFonts w:hint="eastAsia" w:ascii="宋体" w:hAnsi="宋体" w:cs="宋体"/>
          <w:b/>
          <w:bCs/>
          <w:kern w:val="0"/>
          <w:sz w:val="32"/>
          <w:szCs w:val="32"/>
          <w:lang w:val="zh-CN"/>
        </w:rPr>
        <w:t>采购项目编号：大政采竞磋（货物）2025-14号</w:t>
      </w:r>
    </w:p>
    <w:p>
      <w:pPr>
        <w:autoSpaceDE w:val="0"/>
        <w:autoSpaceDN w:val="0"/>
        <w:adjustRightInd w:val="0"/>
        <w:spacing w:line="360" w:lineRule="auto"/>
        <w:ind w:firstLine="321" w:firstLineChars="100"/>
        <w:jc w:val="left"/>
        <w:rPr>
          <w:rFonts w:ascii="宋体" w:cs="宋体"/>
          <w:b/>
          <w:bCs/>
          <w:kern w:val="0"/>
          <w:sz w:val="32"/>
          <w:szCs w:val="32"/>
          <w:lang w:val="zh-CN"/>
        </w:rPr>
      </w:pPr>
    </w:p>
    <w:p>
      <w:pPr>
        <w:autoSpaceDE w:val="0"/>
        <w:autoSpaceDN w:val="0"/>
        <w:adjustRightInd w:val="0"/>
        <w:spacing w:line="360" w:lineRule="auto"/>
        <w:ind w:left="2489" w:leftChars="100" w:hanging="2249" w:hangingChars="700"/>
        <w:jc w:val="left"/>
        <w:rPr>
          <w:rFonts w:ascii="宋体" w:cs="宋体"/>
          <w:b/>
          <w:bCs/>
          <w:spacing w:val="-14"/>
          <w:kern w:val="0"/>
          <w:sz w:val="32"/>
          <w:szCs w:val="32"/>
          <w:lang w:val="zh-CN"/>
        </w:rPr>
      </w:pPr>
      <w:r>
        <w:rPr>
          <w:rFonts w:hint="eastAsia" w:ascii="宋体" w:hAnsi="宋体" w:cs="宋体"/>
          <w:b/>
          <w:bCs/>
          <w:kern w:val="0"/>
          <w:sz w:val="32"/>
          <w:szCs w:val="32"/>
          <w:lang w:val="zh-CN"/>
        </w:rPr>
        <w:t>采购项目名称：</w:t>
      </w:r>
      <w:r>
        <w:rPr>
          <w:rFonts w:hint="eastAsia" w:ascii="宋体" w:hAnsi="宋体" w:cs="宋体"/>
          <w:b/>
          <w:bCs/>
          <w:spacing w:val="-14"/>
          <w:kern w:val="0"/>
          <w:sz w:val="32"/>
          <w:szCs w:val="32"/>
          <w:lang w:val="zh-CN"/>
        </w:rPr>
        <w:t>大通县2025年第二批（因素法）义务教育学校信息化设备采购项目</w:t>
      </w:r>
    </w:p>
    <w:p>
      <w:pPr>
        <w:autoSpaceDE w:val="0"/>
        <w:autoSpaceDN w:val="0"/>
        <w:adjustRightInd w:val="0"/>
        <w:spacing w:line="360" w:lineRule="auto"/>
        <w:ind w:firstLine="321" w:firstLineChars="100"/>
        <w:jc w:val="left"/>
        <w:rPr>
          <w:rFonts w:ascii="宋体" w:cs="宋体"/>
          <w:b/>
          <w:bCs/>
          <w:kern w:val="0"/>
          <w:sz w:val="32"/>
          <w:szCs w:val="32"/>
          <w:lang w:val="zh-CN"/>
        </w:rPr>
      </w:pPr>
    </w:p>
    <w:p>
      <w:pPr>
        <w:autoSpaceDE w:val="0"/>
        <w:autoSpaceDN w:val="0"/>
        <w:adjustRightInd w:val="0"/>
        <w:spacing w:line="360" w:lineRule="auto"/>
        <w:ind w:firstLine="321" w:firstLineChars="100"/>
        <w:jc w:val="left"/>
        <w:rPr>
          <w:rFonts w:ascii="宋体" w:cs="宋体"/>
          <w:b/>
          <w:bCs/>
          <w:kern w:val="0"/>
          <w:sz w:val="32"/>
          <w:szCs w:val="32"/>
          <w:lang w:val="zh-CN"/>
        </w:rPr>
      </w:pPr>
      <w:r>
        <w:rPr>
          <w:rFonts w:hint="eastAsia" w:ascii="宋体" w:hAnsi="宋体" w:cs="宋体"/>
          <w:b/>
          <w:bCs/>
          <w:kern w:val="0"/>
          <w:sz w:val="32"/>
          <w:szCs w:val="32"/>
          <w:lang w:val="zh-CN"/>
        </w:rPr>
        <w:t>采购人：大通回族土族自治县教育局</w:t>
      </w: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集中采购机构：大通县政府采购服务中心</w:t>
      </w: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2025年7月</w:t>
      </w:r>
    </w:p>
    <w:p>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hint="eastAsia" w:ascii="宋体" w:hAnsi="宋体" w:cs="宋体"/>
          <w:b/>
          <w:sz w:val="40"/>
          <w:szCs w:val="30"/>
        </w:rPr>
        <w:t>目录</w:t>
      </w:r>
    </w:p>
    <w:p>
      <w:pPr>
        <w:pStyle w:val="16"/>
        <w:tabs>
          <w:tab w:val="right" w:leader="dot" w:pos="8233"/>
        </w:tabs>
        <w:ind w:firstLine="420"/>
        <w:rPr>
          <w:b w:val="0"/>
          <w:bCs w:val="0"/>
          <w:caps w:val="0"/>
          <w:sz w:val="21"/>
          <w:szCs w:val="22"/>
        </w:rPr>
      </w:pPr>
      <w:r>
        <w:rPr>
          <w:rStyle w:val="28"/>
          <w:rFonts w:ascii="宋体" w:hAnsi="宋体" w:cs="宋体"/>
          <w:b w:val="0"/>
          <w:bCs w:val="0"/>
          <w:color w:val="auto"/>
          <w:kern w:val="0"/>
          <w:sz w:val="21"/>
          <w:szCs w:val="21"/>
        </w:rPr>
        <w:fldChar w:fldCharType="begin"/>
      </w:r>
      <w:r>
        <w:rPr>
          <w:rStyle w:val="28"/>
          <w:rFonts w:ascii="宋体" w:hAnsi="宋体" w:cs="宋体"/>
          <w:b w:val="0"/>
          <w:bCs w:val="0"/>
          <w:color w:val="auto"/>
          <w:kern w:val="0"/>
          <w:sz w:val="21"/>
          <w:szCs w:val="21"/>
        </w:rPr>
        <w:instrText xml:space="preserve"> TOC \o "3-3" \h \z \t "</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 1,2,</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 2,3,</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,1"</w:instrText>
      </w:r>
      <w:r>
        <w:rPr>
          <w:rStyle w:val="28"/>
          <w:rFonts w:ascii="宋体" w:hAnsi="宋体" w:cs="宋体"/>
          <w:b w:val="0"/>
          <w:bCs w:val="0"/>
          <w:color w:val="auto"/>
          <w:kern w:val="0"/>
          <w:sz w:val="21"/>
          <w:szCs w:val="21"/>
        </w:rPr>
        <w:fldChar w:fldCharType="separate"/>
      </w:r>
      <w:r>
        <w:fldChar w:fldCharType="begin"/>
      </w:r>
      <w:r>
        <w:instrText xml:space="preserve"> HYPERLINK \l "_Toc37663994" </w:instrText>
      </w:r>
      <w:r>
        <w:fldChar w:fldCharType="separate"/>
      </w:r>
      <w:r>
        <w:rPr>
          <w:rStyle w:val="28"/>
          <w:rFonts w:hint="eastAsia" w:ascii="宋体" w:hAnsi="宋体" w:cs="宋体"/>
          <w:lang w:val="zh-CN"/>
        </w:rPr>
        <w:t>第一部分</w:t>
      </w:r>
      <w:r>
        <w:rPr>
          <w:rStyle w:val="28"/>
          <w:rFonts w:hint="eastAsia"/>
        </w:rPr>
        <w:t>投标人须知前附表</w:t>
      </w:r>
      <w:r>
        <w:tab/>
      </w:r>
      <w:r>
        <w:fldChar w:fldCharType="begin"/>
      </w:r>
      <w:r>
        <w:instrText xml:space="preserve"> PAGEREF _Toc37663994 \h </w:instrText>
      </w:r>
      <w:r>
        <w:fldChar w:fldCharType="separate"/>
      </w:r>
      <w:r>
        <w:t>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"_Toc37663995" </w:instrText>
      </w:r>
      <w:r>
        <w:fldChar w:fldCharType="separate"/>
      </w:r>
      <w:r>
        <w:rPr>
          <w:rStyle w:val="28"/>
          <w:rFonts w:hint="eastAsia" w:ascii="宋体" w:hAnsi="宋体" w:cs="宋体"/>
          <w:lang w:val="zh-CN"/>
        </w:rPr>
        <w:t>第二部分投标人须知</w:t>
      </w:r>
      <w:r>
        <w:tab/>
      </w:r>
      <w:r>
        <w:fldChar w:fldCharType="begin"/>
      </w:r>
      <w:r>
        <w:instrText xml:space="preserve"> PAGEREF _Toc37663995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"_Toc37663996" </w:instrText>
      </w:r>
      <w:r>
        <w:fldChar w:fldCharType="separate"/>
      </w:r>
      <w:r>
        <w:rPr>
          <w:rStyle w:val="28"/>
          <w:rFonts w:hint="eastAsia" w:ascii="宋体" w:hAnsi="宋体" w:cs="宋体"/>
          <w:lang w:val="zh-CN"/>
        </w:rPr>
        <w:t>一、说明</w:t>
      </w:r>
      <w:r>
        <w:tab/>
      </w:r>
      <w:r>
        <w:fldChar w:fldCharType="begin"/>
      </w:r>
      <w:r>
        <w:instrText xml:space="preserve"> PAGEREF _Toc37663996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"_Toc37663997" </w:instrText>
      </w:r>
      <w:r>
        <w:fldChar w:fldCharType="separate"/>
      </w:r>
      <w:r>
        <w:rPr>
          <w:rStyle w:val="28"/>
          <w:rFonts w:ascii="宋体" w:hAnsi="宋体" w:cs="宋体"/>
          <w:lang w:val="zh-CN"/>
        </w:rPr>
        <w:t>1.</w:t>
      </w:r>
      <w:r>
        <w:rPr>
          <w:rStyle w:val="28"/>
          <w:rFonts w:hint="eastAsia" w:ascii="宋体" w:hAnsi="宋体" w:cs="宋体"/>
          <w:lang w:val="zh-CN"/>
        </w:rPr>
        <w:t>适用范围</w:t>
      </w:r>
      <w:r>
        <w:tab/>
      </w:r>
      <w:r>
        <w:fldChar w:fldCharType="begin"/>
      </w:r>
      <w:r>
        <w:instrText xml:space="preserve"> PAGEREF _Toc37663997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"_Toc37663998" </w:instrText>
      </w:r>
      <w:r>
        <w:fldChar w:fldCharType="separate"/>
      </w:r>
      <w:r>
        <w:rPr>
          <w:rStyle w:val="28"/>
          <w:rFonts w:ascii="宋体" w:hAnsi="宋体" w:cs="宋体"/>
          <w:lang w:val="zh-CN"/>
        </w:rPr>
        <w:t>2.</w:t>
      </w:r>
      <w:r>
        <w:rPr>
          <w:rStyle w:val="28"/>
          <w:rFonts w:hint="eastAsia" w:ascii="宋体" w:hAnsi="宋体" w:cs="宋体"/>
          <w:lang w:val="zh-CN"/>
        </w:rPr>
        <w:t>采购方式、合格的投标人</w:t>
      </w:r>
      <w:r>
        <w:tab/>
      </w:r>
      <w:r>
        <w:fldChar w:fldCharType="begin"/>
      </w:r>
      <w:r>
        <w:instrText xml:space="preserve"> PAGEREF _Toc37663998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"_Toc37663999" </w:instrText>
      </w:r>
      <w:r>
        <w:fldChar w:fldCharType="separate"/>
      </w:r>
      <w:r>
        <w:rPr>
          <w:rStyle w:val="28"/>
          <w:rFonts w:ascii="宋体" w:hAnsi="宋体" w:cs="宋体"/>
          <w:lang w:val="zh-CN"/>
        </w:rPr>
        <w:t>3.</w:t>
      </w:r>
      <w:r>
        <w:rPr>
          <w:rStyle w:val="28"/>
          <w:rFonts w:hint="eastAsia" w:ascii="宋体" w:hAnsi="宋体" w:cs="宋体"/>
          <w:lang w:val="zh-CN"/>
        </w:rPr>
        <w:t>磋商费用</w:t>
      </w:r>
      <w:r>
        <w:tab/>
      </w:r>
      <w:r>
        <w:fldChar w:fldCharType="begin"/>
      </w:r>
      <w:r>
        <w:instrText xml:space="preserve"> PAGEREF _Toc37663999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"_Toc37664000" </w:instrText>
      </w:r>
      <w:r>
        <w:fldChar w:fldCharType="separate"/>
      </w:r>
      <w:r>
        <w:rPr>
          <w:rStyle w:val="28"/>
          <w:rFonts w:hint="eastAsia" w:ascii="宋体" w:hAnsi="宋体" w:cs="宋体"/>
          <w:lang w:val="zh-CN"/>
        </w:rPr>
        <w:t>二、磋商文件说明</w:t>
      </w:r>
      <w:r>
        <w:tab/>
      </w:r>
      <w:r>
        <w:fldChar w:fldCharType="begin"/>
      </w:r>
      <w:r>
        <w:instrText xml:space="preserve"> PAGEREF _Toc37664000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"_Toc37664001" </w:instrText>
      </w:r>
      <w:r>
        <w:fldChar w:fldCharType="separate"/>
      </w:r>
      <w:r>
        <w:rPr>
          <w:rStyle w:val="28"/>
          <w:rFonts w:ascii="宋体" w:hAnsi="宋体" w:cs="宋体"/>
        </w:rPr>
        <w:t>4.</w:t>
      </w:r>
      <w:r>
        <w:rPr>
          <w:rStyle w:val="28"/>
          <w:rFonts w:hint="eastAsia" w:ascii="宋体" w:hAnsi="宋体" w:cs="宋体"/>
          <w:lang w:val="zh-CN"/>
        </w:rPr>
        <w:t>磋商文件的构成</w:t>
      </w:r>
      <w:r>
        <w:tab/>
      </w:r>
      <w:r>
        <w:fldChar w:fldCharType="begin"/>
      </w:r>
      <w:r>
        <w:instrText xml:space="preserve"> PAGEREF _Toc37664001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"_Toc37664002" </w:instrText>
      </w:r>
      <w:r>
        <w:fldChar w:fldCharType="separate"/>
      </w:r>
      <w:r>
        <w:rPr>
          <w:rStyle w:val="28"/>
          <w:rFonts w:ascii="宋体" w:hAnsi="宋体" w:cs="宋体"/>
          <w:lang w:val="zh-CN"/>
        </w:rPr>
        <w:t>5.</w:t>
      </w:r>
      <w:r>
        <w:rPr>
          <w:rStyle w:val="28"/>
          <w:rFonts w:hint="eastAsia" w:ascii="宋体" w:hAnsi="宋体" w:cs="宋体"/>
          <w:lang w:val="zh-CN"/>
        </w:rPr>
        <w:t>磋商文件的质疑</w:t>
      </w:r>
      <w:r>
        <w:tab/>
      </w:r>
      <w:r>
        <w:fldChar w:fldCharType="begin"/>
      </w:r>
      <w:r>
        <w:instrText xml:space="preserve"> PAGEREF _Toc37664002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"_Toc37664003" </w:instrText>
      </w:r>
      <w:r>
        <w:fldChar w:fldCharType="separate"/>
      </w:r>
      <w:r>
        <w:rPr>
          <w:rStyle w:val="28"/>
          <w:rFonts w:ascii="宋体" w:hAnsi="宋体" w:cs="宋体"/>
          <w:lang w:val="zh-CN"/>
        </w:rPr>
        <w:t>6.</w:t>
      </w:r>
      <w:r>
        <w:rPr>
          <w:rStyle w:val="28"/>
          <w:rFonts w:hint="eastAsia" w:ascii="宋体" w:hAnsi="宋体" w:cs="宋体"/>
          <w:lang w:val="zh-CN"/>
        </w:rPr>
        <w:t>磋商文件的澄清或修改</w:t>
      </w:r>
      <w:r>
        <w:tab/>
      </w:r>
      <w:r>
        <w:fldChar w:fldCharType="begin"/>
      </w:r>
      <w:r>
        <w:instrText xml:space="preserve"> PAGEREF _Toc37664003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"_Toc37664004" </w:instrText>
      </w:r>
      <w:r>
        <w:fldChar w:fldCharType="separate"/>
      </w:r>
      <w:r>
        <w:rPr>
          <w:rStyle w:val="28"/>
          <w:rFonts w:hint="eastAsia" w:ascii="宋体" w:hAnsi="宋体" w:cs="宋体"/>
          <w:lang w:val="zh-CN"/>
        </w:rPr>
        <w:t>三、磋商响应文件的编制</w:t>
      </w:r>
      <w:r>
        <w:tab/>
      </w:r>
      <w:r>
        <w:fldChar w:fldCharType="begin"/>
      </w:r>
      <w:r>
        <w:instrText xml:space="preserve"> PAGEREF _Toc37664004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"_Toc37664005" </w:instrText>
      </w:r>
      <w:r>
        <w:fldChar w:fldCharType="separate"/>
      </w:r>
      <w:r>
        <w:rPr>
          <w:rStyle w:val="28"/>
          <w:rFonts w:ascii="宋体" w:hAnsi="宋体" w:cs="宋体"/>
          <w:lang w:val="zh-CN"/>
        </w:rPr>
        <w:t>7.</w:t>
      </w:r>
      <w:r>
        <w:rPr>
          <w:rStyle w:val="28"/>
          <w:rFonts w:hint="eastAsia" w:ascii="宋体" w:hAnsi="宋体" w:cs="宋体"/>
          <w:lang w:val="zh-CN"/>
        </w:rPr>
        <w:t>磋商响应文件的语言及度量衡单位</w:t>
      </w:r>
      <w:r>
        <w:tab/>
      </w:r>
      <w:r>
        <w:fldChar w:fldCharType="begin"/>
      </w:r>
      <w:r>
        <w:instrText xml:space="preserve"> PAGEREF _Toc37664005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"_Toc37664006" </w:instrText>
      </w:r>
      <w:r>
        <w:fldChar w:fldCharType="separate"/>
      </w:r>
      <w:r>
        <w:rPr>
          <w:rStyle w:val="28"/>
          <w:rFonts w:ascii="宋体" w:hAnsi="宋体" w:cs="宋体"/>
          <w:lang w:val="zh-CN"/>
        </w:rPr>
        <w:t>8.</w:t>
      </w:r>
      <w:r>
        <w:rPr>
          <w:rStyle w:val="28"/>
          <w:rFonts w:hint="eastAsia" w:ascii="宋体" w:hAnsi="宋体" w:cs="宋体"/>
          <w:lang w:val="zh-CN"/>
        </w:rPr>
        <w:t>磋商报价及币种</w:t>
      </w:r>
      <w:r>
        <w:tab/>
      </w:r>
      <w:r>
        <w:fldChar w:fldCharType="begin"/>
      </w:r>
      <w:r>
        <w:instrText xml:space="preserve"> PAGEREF _Toc37664006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"_Toc37664007" </w:instrText>
      </w:r>
      <w:r>
        <w:fldChar w:fldCharType="separate"/>
      </w:r>
      <w:r>
        <w:rPr>
          <w:rStyle w:val="28"/>
          <w:rFonts w:ascii="宋体" w:hAnsi="宋体" w:cs="宋体"/>
          <w:lang w:val="zh-CN"/>
        </w:rPr>
        <w:t>9.</w:t>
      </w:r>
      <w:r>
        <w:rPr>
          <w:rStyle w:val="28"/>
          <w:rFonts w:hint="eastAsia" w:ascii="宋体" w:hAnsi="宋体" w:cs="宋体"/>
          <w:lang w:val="zh-CN"/>
        </w:rPr>
        <w:t>磋商保证金</w:t>
      </w:r>
      <w:r>
        <w:tab/>
      </w:r>
      <w:r>
        <w:fldChar w:fldCharType="begin"/>
      </w:r>
      <w:r>
        <w:instrText xml:space="preserve"> PAGEREF _Toc37664007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"_Toc37664008" </w:instrText>
      </w:r>
      <w:r>
        <w:fldChar w:fldCharType="separate"/>
      </w:r>
      <w:r>
        <w:rPr>
          <w:rStyle w:val="28"/>
          <w:rFonts w:ascii="宋体" w:hAnsi="宋体" w:cs="宋体"/>
          <w:lang w:val="zh-CN"/>
        </w:rPr>
        <w:t>10.</w:t>
      </w:r>
      <w:r>
        <w:rPr>
          <w:rStyle w:val="28"/>
          <w:rFonts w:hint="eastAsia" w:ascii="宋体" w:hAnsi="宋体" w:cs="宋体"/>
          <w:lang w:val="zh-CN"/>
        </w:rPr>
        <w:t>磋商有效期</w:t>
      </w:r>
      <w:r>
        <w:tab/>
      </w:r>
      <w:r>
        <w:fldChar w:fldCharType="begin"/>
      </w:r>
      <w:r>
        <w:instrText xml:space="preserve"> PAGEREF _Toc37664008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"_Toc37664009" </w:instrText>
      </w:r>
      <w:r>
        <w:fldChar w:fldCharType="separate"/>
      </w:r>
      <w:r>
        <w:rPr>
          <w:rStyle w:val="28"/>
          <w:rFonts w:ascii="宋体" w:hAnsi="宋体" w:cs="宋体"/>
          <w:lang w:val="zh-CN"/>
        </w:rPr>
        <w:t>11.</w:t>
      </w:r>
      <w:r>
        <w:rPr>
          <w:rStyle w:val="28"/>
          <w:rFonts w:hint="eastAsia" w:ascii="宋体" w:hAnsi="宋体" w:cs="宋体"/>
          <w:lang w:val="zh-CN"/>
        </w:rPr>
        <w:t>磋商响应文件构成</w:t>
      </w:r>
      <w:r>
        <w:tab/>
      </w:r>
      <w:r>
        <w:fldChar w:fldCharType="begin"/>
      </w:r>
      <w:r>
        <w:instrText xml:space="preserve"> PAGEREF _Toc37664009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"_Toc37664010" </w:instrText>
      </w:r>
      <w:r>
        <w:fldChar w:fldCharType="separate"/>
      </w:r>
      <w:r>
        <w:rPr>
          <w:rStyle w:val="28"/>
          <w:rFonts w:ascii="宋体" w:hAnsi="宋体" w:cs="宋体"/>
          <w:lang w:val="zh-CN"/>
        </w:rPr>
        <w:t>12.</w:t>
      </w:r>
      <w:r>
        <w:rPr>
          <w:rStyle w:val="28"/>
          <w:rFonts w:hint="eastAsia" w:ascii="宋体" w:hAnsi="宋体" w:cs="宋体"/>
          <w:lang w:val="zh-CN"/>
        </w:rPr>
        <w:t>磋商文件格式及编制要求</w:t>
      </w:r>
      <w:r>
        <w:tab/>
      </w:r>
      <w:r>
        <w:fldChar w:fldCharType="begin"/>
      </w:r>
      <w:r>
        <w:instrText xml:space="preserve"> PAGEREF _Toc37664010 \h </w:instrText>
      </w:r>
      <w:r>
        <w:fldChar w:fldCharType="separate"/>
      </w:r>
      <w:r>
        <w:t>11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"_Toc37664011" </w:instrText>
      </w:r>
      <w:r>
        <w:fldChar w:fldCharType="separate"/>
      </w:r>
      <w:r>
        <w:rPr>
          <w:rStyle w:val="28"/>
          <w:rFonts w:hint="eastAsia" w:ascii="宋体" w:hAnsi="宋体" w:cs="宋体"/>
          <w:lang w:val="zh-CN"/>
        </w:rPr>
        <w:t>四、磋商响应文件的递交</w:t>
      </w:r>
      <w:r>
        <w:tab/>
      </w:r>
      <w:r>
        <w:fldChar w:fldCharType="begin"/>
      </w:r>
      <w:r>
        <w:instrText xml:space="preserve"> PAGEREF _Toc37664011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"_Toc37664012" </w:instrText>
      </w:r>
      <w:r>
        <w:fldChar w:fldCharType="separate"/>
      </w:r>
      <w:r>
        <w:rPr>
          <w:rStyle w:val="28"/>
          <w:rFonts w:ascii="宋体" w:hAnsi="宋体" w:cs="宋体"/>
          <w:lang w:val="zh-CN"/>
        </w:rPr>
        <w:t>13.</w:t>
      </w:r>
      <w:r>
        <w:rPr>
          <w:rStyle w:val="28"/>
          <w:rFonts w:hint="eastAsia" w:ascii="宋体" w:hAnsi="宋体" w:cs="宋体"/>
          <w:lang w:val="zh-CN"/>
        </w:rPr>
        <w:t>磋商响应文件的密封和标记</w:t>
      </w:r>
      <w:r>
        <w:tab/>
      </w:r>
      <w:r>
        <w:fldChar w:fldCharType="begin"/>
      </w:r>
      <w:r>
        <w:instrText xml:space="preserve"> PAGEREF _Toc37664012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"_Toc37664013" </w:instrText>
      </w:r>
      <w:r>
        <w:fldChar w:fldCharType="separate"/>
      </w:r>
      <w:r>
        <w:rPr>
          <w:rStyle w:val="28"/>
          <w:rFonts w:ascii="宋体" w:hAnsi="宋体" w:cs="宋体"/>
          <w:lang w:val="zh-CN"/>
        </w:rPr>
        <w:t xml:space="preserve">14. </w:t>
      </w:r>
      <w:r>
        <w:rPr>
          <w:rStyle w:val="28"/>
          <w:rFonts w:hint="eastAsia" w:ascii="宋体" w:hAnsi="宋体" w:cs="宋体"/>
          <w:lang w:val="zh-CN"/>
        </w:rPr>
        <w:t>递交磋商响应文件程序</w:t>
      </w:r>
      <w:r>
        <w:tab/>
      </w:r>
      <w:r>
        <w:fldChar w:fldCharType="begin"/>
      </w:r>
      <w:r>
        <w:instrText xml:space="preserve"> PAGEREF _Toc37664013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"_Toc37664014" </w:instrText>
      </w:r>
      <w:r>
        <w:fldChar w:fldCharType="separate"/>
      </w:r>
      <w:r>
        <w:rPr>
          <w:rStyle w:val="28"/>
          <w:rFonts w:hint="eastAsia" w:ascii="宋体" w:hAnsi="宋体" w:cs="宋体"/>
          <w:lang w:val="zh-CN"/>
        </w:rPr>
        <w:t>五、开标</w:t>
      </w:r>
      <w:r>
        <w:tab/>
      </w:r>
      <w:r>
        <w:fldChar w:fldCharType="begin"/>
      </w:r>
      <w:r>
        <w:instrText xml:space="preserve"> PAGEREF _Toc37664014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"_Toc37664015" </w:instrText>
      </w:r>
      <w:r>
        <w:fldChar w:fldCharType="separate"/>
      </w:r>
      <w:r>
        <w:rPr>
          <w:rStyle w:val="28"/>
          <w:rFonts w:ascii="宋体" w:hAnsi="宋体" w:cs="宋体"/>
          <w:lang w:val="zh-CN"/>
        </w:rPr>
        <w:t>15.</w:t>
      </w:r>
      <w:r>
        <w:rPr>
          <w:rStyle w:val="28"/>
          <w:rFonts w:hint="eastAsia" w:ascii="宋体" w:hAnsi="宋体" w:cs="宋体"/>
          <w:lang w:val="zh-CN"/>
        </w:rPr>
        <w:t>开标</w:t>
      </w:r>
      <w:r>
        <w:tab/>
      </w:r>
      <w:r>
        <w:fldChar w:fldCharType="begin"/>
      </w:r>
      <w:r>
        <w:instrText xml:space="preserve"> PAGEREF _Toc37664015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"_Toc37664016" </w:instrText>
      </w:r>
      <w:r>
        <w:fldChar w:fldCharType="separate"/>
      </w:r>
      <w:r>
        <w:rPr>
          <w:rStyle w:val="28"/>
          <w:rFonts w:hint="eastAsia" w:ascii="宋体" w:hAnsi="宋体" w:cs="宋体"/>
          <w:lang w:val="zh-CN"/>
        </w:rPr>
        <w:t>六、资格审查程序</w:t>
      </w:r>
      <w:r>
        <w:tab/>
      </w:r>
      <w:r>
        <w:fldChar w:fldCharType="begin"/>
      </w:r>
      <w:r>
        <w:instrText xml:space="preserve"> PAGEREF _Toc37664016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"_Toc37664017" </w:instrText>
      </w:r>
      <w:r>
        <w:fldChar w:fldCharType="separate"/>
      </w:r>
      <w:r>
        <w:rPr>
          <w:rStyle w:val="28"/>
          <w:rFonts w:ascii="宋体" w:hAnsi="宋体" w:cs="宋体"/>
          <w:lang w:val="zh-CN"/>
        </w:rPr>
        <w:t>16.</w:t>
      </w:r>
      <w:r>
        <w:rPr>
          <w:rStyle w:val="28"/>
          <w:rFonts w:hint="eastAsia" w:ascii="宋体" w:hAnsi="宋体" w:cs="宋体"/>
          <w:lang w:val="zh-CN"/>
        </w:rPr>
        <w:t>资格审查程序</w:t>
      </w:r>
      <w:r>
        <w:tab/>
      </w:r>
      <w:r>
        <w:fldChar w:fldCharType="begin"/>
      </w:r>
      <w:r>
        <w:instrText xml:space="preserve"> PAGEREF _Toc37664017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"_Toc37664018" </w:instrText>
      </w:r>
      <w:r>
        <w:fldChar w:fldCharType="separate"/>
      </w:r>
      <w:r>
        <w:rPr>
          <w:rStyle w:val="28"/>
          <w:rFonts w:hint="eastAsia" w:ascii="宋体" w:hAnsi="宋体" w:cs="宋体"/>
          <w:kern w:val="0"/>
        </w:rPr>
        <w:t>七、磋商程序及方法</w:t>
      </w:r>
      <w:r>
        <w:tab/>
      </w:r>
      <w:r>
        <w:fldChar w:fldCharType="begin"/>
      </w:r>
      <w:r>
        <w:instrText xml:space="preserve"> PAGEREF _Toc37664018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"_Toc37664019" </w:instrText>
      </w:r>
      <w:r>
        <w:fldChar w:fldCharType="separate"/>
      </w:r>
      <w:r>
        <w:rPr>
          <w:rStyle w:val="28"/>
          <w:rFonts w:ascii="宋体" w:hAnsi="宋体" w:cs="宋体"/>
        </w:rPr>
        <w:t>17.</w:t>
      </w:r>
      <w:r>
        <w:rPr>
          <w:rStyle w:val="28"/>
          <w:rFonts w:hint="eastAsia" w:ascii="宋体" w:hAnsi="宋体" w:cs="宋体"/>
        </w:rPr>
        <w:t>磋商小组</w:t>
      </w:r>
      <w:r>
        <w:tab/>
      </w:r>
      <w:r>
        <w:fldChar w:fldCharType="begin"/>
      </w:r>
      <w:r>
        <w:instrText xml:space="preserve"> PAGEREF _Toc37664019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"_Toc37664020" </w:instrText>
      </w:r>
      <w:r>
        <w:fldChar w:fldCharType="separate"/>
      </w:r>
      <w:r>
        <w:rPr>
          <w:rStyle w:val="28"/>
          <w:rFonts w:ascii="宋体" w:hAnsi="宋体" w:cs="宋体"/>
          <w:lang w:val="zh-CN"/>
        </w:rPr>
        <w:t>1</w:t>
      </w:r>
      <w:r>
        <w:rPr>
          <w:rStyle w:val="28"/>
          <w:rFonts w:ascii="宋体" w:hAnsi="宋体" w:cs="宋体"/>
        </w:rPr>
        <w:t>8</w:t>
      </w:r>
      <w:r>
        <w:rPr>
          <w:rStyle w:val="28"/>
          <w:rFonts w:ascii="宋体" w:cs="宋体"/>
          <w:lang w:val="zh-CN"/>
        </w:rPr>
        <w:t>.</w:t>
      </w:r>
      <w:r>
        <w:rPr>
          <w:rStyle w:val="28"/>
          <w:rFonts w:hint="eastAsia" w:ascii="宋体" w:hAnsi="宋体" w:cs="宋体"/>
          <w:lang w:val="zh-CN"/>
        </w:rPr>
        <w:t>磋商工作程序</w:t>
      </w:r>
      <w:r>
        <w:tab/>
      </w:r>
      <w:r>
        <w:fldChar w:fldCharType="begin"/>
      </w:r>
      <w:r>
        <w:instrText xml:space="preserve"> PAGEREF _Toc37664020 \h </w:instrText>
      </w:r>
      <w:r>
        <w:fldChar w:fldCharType="separate"/>
      </w:r>
      <w:r>
        <w:t>14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"_Toc37664021" </w:instrText>
      </w:r>
      <w:r>
        <w:fldChar w:fldCharType="separate"/>
      </w:r>
      <w:r>
        <w:rPr>
          <w:rStyle w:val="28"/>
          <w:rFonts w:ascii="宋体" w:hAnsi="宋体" w:cs="宋体"/>
        </w:rPr>
        <w:t xml:space="preserve">19. </w:t>
      </w:r>
      <w:r>
        <w:rPr>
          <w:rStyle w:val="28"/>
          <w:rFonts w:hint="eastAsia" w:ascii="宋体" w:hAnsi="宋体" w:cs="宋体"/>
        </w:rPr>
        <w:t>答疑的方式和情形</w:t>
      </w:r>
      <w:r>
        <w:tab/>
      </w:r>
      <w:r>
        <w:fldChar w:fldCharType="begin"/>
      </w:r>
      <w:r>
        <w:instrText xml:space="preserve"> PAGEREF _Toc37664021 \h </w:instrText>
      </w:r>
      <w:r>
        <w:fldChar w:fldCharType="separate"/>
      </w:r>
      <w:r>
        <w:t>15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"_Toc37664022" </w:instrText>
      </w:r>
      <w:r>
        <w:fldChar w:fldCharType="separate"/>
      </w:r>
      <w:r>
        <w:rPr>
          <w:rStyle w:val="28"/>
          <w:rFonts w:ascii="宋体" w:hAnsi="宋体" w:cs="宋体"/>
        </w:rPr>
        <w:t>20.</w:t>
      </w:r>
      <w:r>
        <w:rPr>
          <w:rStyle w:val="28"/>
          <w:rFonts w:hint="eastAsia" w:ascii="宋体" w:hAnsi="宋体" w:cs="宋体"/>
        </w:rPr>
        <w:t>评审办法</w:t>
      </w:r>
      <w:r>
        <w:tab/>
      </w:r>
      <w:r>
        <w:fldChar w:fldCharType="begin"/>
      </w:r>
      <w:r>
        <w:instrText xml:space="preserve"> PAGEREF _Toc37664022 \h </w:instrText>
      </w:r>
      <w:r>
        <w:fldChar w:fldCharType="separate"/>
      </w:r>
      <w:r>
        <w:t>16</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"_Toc37664023" </w:instrText>
      </w:r>
      <w:r>
        <w:fldChar w:fldCharType="separate"/>
      </w:r>
      <w:r>
        <w:rPr>
          <w:rStyle w:val="28"/>
          <w:rFonts w:hint="eastAsia" w:ascii="宋体" w:hAnsi="宋体" w:cs="宋体"/>
          <w:lang w:val="zh-CN"/>
        </w:rPr>
        <w:t>八、成交办法</w:t>
      </w:r>
      <w:r>
        <w:tab/>
      </w:r>
      <w:r>
        <w:fldChar w:fldCharType="begin"/>
      </w:r>
      <w:r>
        <w:instrText xml:space="preserve"> PAGEREF _Toc37664023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"_Toc37664024" </w:instrText>
      </w:r>
      <w:r>
        <w:fldChar w:fldCharType="separate"/>
      </w:r>
      <w:r>
        <w:rPr>
          <w:rStyle w:val="28"/>
          <w:rFonts w:ascii="宋体" w:hAnsi="宋体" w:cs="宋体"/>
          <w:lang w:val="zh-CN"/>
        </w:rPr>
        <w:t>2</w:t>
      </w:r>
      <w:r>
        <w:rPr>
          <w:rStyle w:val="28"/>
          <w:rFonts w:ascii="宋体" w:hAnsi="宋体" w:cs="宋体"/>
        </w:rPr>
        <w:t>1</w:t>
      </w:r>
      <w:r>
        <w:rPr>
          <w:rStyle w:val="28"/>
          <w:rFonts w:ascii="宋体" w:cs="宋体"/>
          <w:lang w:val="zh-CN"/>
        </w:rPr>
        <w:t>.</w:t>
      </w:r>
      <w:r>
        <w:rPr>
          <w:rStyle w:val="28"/>
          <w:rFonts w:hint="eastAsia" w:ascii="宋体" w:hAnsi="宋体" w:cs="宋体"/>
          <w:lang w:val="zh-CN"/>
        </w:rPr>
        <w:t>推荐并确定成交投标人</w:t>
      </w:r>
      <w:r>
        <w:tab/>
      </w:r>
      <w:r>
        <w:fldChar w:fldCharType="begin"/>
      </w:r>
      <w:r>
        <w:instrText xml:space="preserve"> PAGEREF _Toc37664024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"_Toc37664025" </w:instrText>
      </w:r>
      <w:r>
        <w:fldChar w:fldCharType="separate"/>
      </w:r>
      <w:r>
        <w:rPr>
          <w:rStyle w:val="28"/>
          <w:rFonts w:ascii="宋体" w:hAnsi="宋体" w:cs="宋体"/>
          <w:lang w:val="zh-CN"/>
        </w:rPr>
        <w:t>2</w:t>
      </w:r>
      <w:r>
        <w:rPr>
          <w:rStyle w:val="28"/>
          <w:rFonts w:ascii="宋体" w:hAnsi="宋体" w:cs="宋体"/>
        </w:rPr>
        <w:t>2</w:t>
      </w:r>
      <w:r>
        <w:rPr>
          <w:rStyle w:val="28"/>
          <w:rFonts w:ascii="宋体" w:cs="宋体"/>
          <w:lang w:val="zh-CN"/>
        </w:rPr>
        <w:t>.</w:t>
      </w:r>
      <w:r>
        <w:rPr>
          <w:rStyle w:val="28"/>
          <w:rFonts w:hint="eastAsia" w:ascii="宋体" w:hAnsi="宋体" w:cs="宋体"/>
          <w:lang w:val="zh-CN"/>
        </w:rPr>
        <w:t>成交通知</w:t>
      </w:r>
      <w:r>
        <w:tab/>
      </w:r>
      <w:r>
        <w:fldChar w:fldCharType="begin"/>
      </w:r>
      <w:r>
        <w:instrText xml:space="preserve"> PAGEREF _Toc37664025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"_Toc37664026" </w:instrText>
      </w:r>
      <w:r>
        <w:fldChar w:fldCharType="separate"/>
      </w:r>
      <w:r>
        <w:rPr>
          <w:rStyle w:val="28"/>
          <w:rFonts w:hint="eastAsia" w:ascii="宋体" w:hAnsi="宋体" w:cs="宋体"/>
          <w:lang w:val="zh-CN"/>
        </w:rPr>
        <w:t>九、授予合同</w:t>
      </w:r>
      <w:r>
        <w:tab/>
      </w:r>
      <w:r>
        <w:fldChar w:fldCharType="begin"/>
      </w:r>
      <w:r>
        <w:instrText xml:space="preserve"> PAGEREF _Toc37664026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"_Toc37664027" </w:instrText>
      </w:r>
      <w:r>
        <w:fldChar w:fldCharType="separate"/>
      </w:r>
      <w:r>
        <w:rPr>
          <w:rStyle w:val="28"/>
          <w:rFonts w:ascii="宋体" w:hAnsi="宋体" w:cs="宋体"/>
          <w:lang w:val="zh-CN"/>
        </w:rPr>
        <w:t>2</w:t>
      </w:r>
      <w:r>
        <w:rPr>
          <w:rStyle w:val="28"/>
          <w:rFonts w:ascii="宋体" w:hAnsi="宋体" w:cs="宋体"/>
        </w:rPr>
        <w:t>3</w:t>
      </w:r>
      <w:r>
        <w:rPr>
          <w:rStyle w:val="28"/>
          <w:rFonts w:ascii="宋体" w:cs="宋体"/>
          <w:lang w:val="zh-CN"/>
        </w:rPr>
        <w:t>.</w:t>
      </w:r>
      <w:r>
        <w:rPr>
          <w:rStyle w:val="28"/>
          <w:rFonts w:hint="eastAsia" w:ascii="宋体" w:hAnsi="宋体" w:cs="宋体"/>
          <w:lang w:val="zh-CN"/>
        </w:rPr>
        <w:t>签订合同</w:t>
      </w:r>
      <w:r>
        <w:tab/>
      </w:r>
      <w:r>
        <w:fldChar w:fldCharType="begin"/>
      </w:r>
      <w:r>
        <w:instrText xml:space="preserve"> PAGEREF _Toc37664027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"_Toc37664028" </w:instrText>
      </w:r>
      <w:r>
        <w:fldChar w:fldCharType="separate"/>
      </w:r>
      <w:r>
        <w:rPr>
          <w:rStyle w:val="28"/>
          <w:rFonts w:hint="eastAsia" w:ascii="宋体" w:hAnsi="宋体" w:cs="宋体"/>
          <w:lang w:val="zh-CN"/>
        </w:rPr>
        <w:t>十、串通投标的认定及处理办法</w:t>
      </w:r>
      <w:r>
        <w:tab/>
      </w:r>
      <w:r>
        <w:fldChar w:fldCharType="begin"/>
      </w:r>
      <w:r>
        <w:instrText xml:space="preserve"> PAGEREF _Toc37664028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"_Toc37664029" </w:instrText>
      </w:r>
      <w:r>
        <w:fldChar w:fldCharType="separate"/>
      </w:r>
      <w:r>
        <w:rPr>
          <w:rStyle w:val="28"/>
          <w:rFonts w:ascii="宋体" w:hAnsi="宋体" w:cs="宋体"/>
          <w:lang w:val="zh-CN"/>
        </w:rPr>
        <w:t>24.</w:t>
      </w:r>
      <w:r>
        <w:rPr>
          <w:rStyle w:val="28"/>
          <w:rFonts w:hint="eastAsia" w:ascii="宋体" w:hAnsi="宋体" w:cs="宋体"/>
          <w:lang w:val="zh-CN"/>
        </w:rPr>
        <w:t>串通投标的情形</w:t>
      </w:r>
      <w:r>
        <w:tab/>
      </w:r>
      <w:r>
        <w:fldChar w:fldCharType="begin"/>
      </w:r>
      <w:r>
        <w:instrText xml:space="preserve"> PAGEREF _Toc37664029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"_Toc37664030" </w:instrText>
      </w:r>
      <w:r>
        <w:fldChar w:fldCharType="separate"/>
      </w:r>
      <w:r>
        <w:rPr>
          <w:rStyle w:val="28"/>
          <w:rFonts w:hint="eastAsia" w:ascii="宋体" w:hAnsi="宋体" w:cs="宋体"/>
          <w:lang w:val="zh-CN"/>
        </w:rPr>
        <w:t>十一、磋商活动终止</w:t>
      </w:r>
      <w:r>
        <w:tab/>
      </w:r>
      <w:r>
        <w:fldChar w:fldCharType="begin"/>
      </w:r>
      <w:r>
        <w:instrText xml:space="preserve"> PAGEREF _Toc37664030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"_Toc37664031" </w:instrText>
      </w:r>
      <w:r>
        <w:fldChar w:fldCharType="separate"/>
      </w:r>
      <w:r>
        <w:rPr>
          <w:rStyle w:val="28"/>
          <w:rFonts w:ascii="宋体" w:hAnsi="宋体" w:cs="宋体"/>
          <w:lang w:val="zh-CN"/>
        </w:rPr>
        <w:t xml:space="preserve">25. </w:t>
      </w:r>
      <w:r>
        <w:rPr>
          <w:rStyle w:val="28"/>
          <w:rFonts w:hint="eastAsia" w:ascii="宋体" w:hAnsi="宋体" w:cs="宋体"/>
          <w:lang w:val="zh-CN"/>
        </w:rPr>
        <w:t>终止情形</w:t>
      </w:r>
      <w:r>
        <w:tab/>
      </w:r>
      <w:r>
        <w:fldChar w:fldCharType="begin"/>
      </w:r>
      <w:r>
        <w:instrText xml:space="preserve"> PAGEREF _Toc37664031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"_Toc37664032" </w:instrText>
      </w:r>
      <w:r>
        <w:fldChar w:fldCharType="separate"/>
      </w:r>
      <w:r>
        <w:rPr>
          <w:rStyle w:val="28"/>
          <w:rFonts w:hint="eastAsia" w:ascii="宋体" w:hAnsi="宋体" w:cs="宋体"/>
          <w:lang w:val="zh-CN"/>
        </w:rPr>
        <w:t>十二、处罚</w:t>
      </w:r>
      <w:r>
        <w:tab/>
      </w:r>
      <w:r>
        <w:fldChar w:fldCharType="begin"/>
      </w:r>
      <w:r>
        <w:instrText xml:space="preserve"> PAGEREF _Toc37664032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"_Toc37664033" </w:instrText>
      </w:r>
      <w:r>
        <w:fldChar w:fldCharType="separate"/>
      </w:r>
      <w:r>
        <w:rPr>
          <w:rStyle w:val="28"/>
          <w:rFonts w:ascii="宋体" w:hAnsi="宋体" w:cs="宋体"/>
          <w:lang w:val="zh-CN"/>
        </w:rPr>
        <w:t>26</w:t>
      </w:r>
      <w:r>
        <w:rPr>
          <w:rStyle w:val="28"/>
          <w:rFonts w:ascii="宋体" w:cs="宋体"/>
          <w:lang w:val="zh-CN"/>
        </w:rPr>
        <w:t>.</w:t>
      </w:r>
      <w:r>
        <w:rPr>
          <w:rStyle w:val="28"/>
          <w:rFonts w:hint="eastAsia" w:ascii="宋体" w:hAnsi="宋体" w:cs="宋体"/>
          <w:lang w:val="zh-CN"/>
        </w:rPr>
        <w:t>处罚情形</w:t>
      </w:r>
      <w:r>
        <w:tab/>
      </w:r>
      <w:r>
        <w:fldChar w:fldCharType="begin"/>
      </w:r>
      <w:r>
        <w:instrText xml:space="preserve"> PAGEREF _Toc37664033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"_Toc37664034" </w:instrText>
      </w:r>
      <w:r>
        <w:fldChar w:fldCharType="separate"/>
      </w:r>
      <w:r>
        <w:rPr>
          <w:rStyle w:val="28"/>
          <w:rFonts w:hint="eastAsia" w:ascii="宋体" w:hAnsi="宋体" w:cs="宋体"/>
          <w:lang w:val="zh-CN"/>
        </w:rPr>
        <w:t>十三、其他</w:t>
      </w:r>
      <w:r>
        <w:tab/>
      </w:r>
      <w:r>
        <w:fldChar w:fldCharType="begin"/>
      </w:r>
      <w:r>
        <w:instrText xml:space="preserve"> PAGEREF _Toc37664034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"_Toc37664035" </w:instrText>
      </w:r>
      <w:r>
        <w:fldChar w:fldCharType="separate"/>
      </w:r>
      <w:r>
        <w:rPr>
          <w:rStyle w:val="28"/>
          <w:rFonts w:hint="eastAsia" w:ascii="宋体" w:hAnsi="宋体" w:cs="宋体"/>
          <w:lang w:val="zh-CN"/>
        </w:rPr>
        <w:t>第三部分大通县政府采购项目合同书范本</w:t>
      </w:r>
      <w:r>
        <w:tab/>
      </w:r>
      <w:r>
        <w:fldChar w:fldCharType="begin"/>
      </w:r>
      <w:r>
        <w:instrText xml:space="preserve"> PAGEREF _Toc37664035 \h </w:instrText>
      </w:r>
      <w:r>
        <w:fldChar w:fldCharType="separate"/>
      </w:r>
      <w:r>
        <w:t>21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"_Toc37664036" </w:instrText>
      </w:r>
      <w:r>
        <w:fldChar w:fldCharType="separate"/>
      </w:r>
      <w:r>
        <w:rPr>
          <w:rStyle w:val="28"/>
          <w:rFonts w:hint="eastAsia" w:ascii="宋体" w:hAnsi="宋体" w:cs="宋体"/>
          <w:lang w:val="zh-CN"/>
        </w:rPr>
        <w:t>第四部分磋商响应文件格式</w:t>
      </w:r>
      <w:r>
        <w:tab/>
      </w:r>
      <w:r>
        <w:fldChar w:fldCharType="begin"/>
      </w:r>
      <w:r>
        <w:instrText xml:space="preserve"> PAGEREF _Toc37664036 \h </w:instrText>
      </w:r>
      <w:r>
        <w:fldChar w:fldCharType="separate"/>
      </w:r>
      <w:r>
        <w:t>35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"_Toc37664037" </w:instrText>
      </w:r>
      <w:r>
        <w:fldChar w:fldCharType="separate"/>
      </w:r>
      <w:r>
        <w:rPr>
          <w:rStyle w:val="28"/>
          <w:rFonts w:hint="eastAsia" w:ascii="宋体" w:hAnsi="宋体" w:cs="宋体"/>
          <w:lang w:val="zh-CN"/>
        </w:rPr>
        <w:t>附件</w:t>
      </w:r>
      <w:r>
        <w:rPr>
          <w:rStyle w:val="28"/>
          <w:rFonts w:ascii="宋体" w:hAnsi="宋体" w:cs="宋体"/>
        </w:rPr>
        <w:t>1</w:t>
      </w:r>
      <w:r>
        <w:rPr>
          <w:rStyle w:val="28"/>
          <w:rFonts w:hint="eastAsia" w:ascii="宋体" w:hAnsi="宋体" w:cs="宋体"/>
        </w:rPr>
        <w:t>：</w:t>
      </w:r>
      <w:r>
        <w:rPr>
          <w:rStyle w:val="28"/>
          <w:rFonts w:hint="eastAsia" w:ascii="宋体" w:hAnsi="宋体" w:cs="宋体"/>
          <w:lang w:val="zh-CN"/>
        </w:rPr>
        <w:t>磋商函</w:t>
      </w:r>
      <w:r>
        <w:tab/>
      </w:r>
      <w:r>
        <w:fldChar w:fldCharType="begin"/>
      </w:r>
      <w:r>
        <w:instrText xml:space="preserve"> PAGEREF _Toc37664037 \h </w:instrText>
      </w:r>
      <w:r>
        <w:fldChar w:fldCharType="separate"/>
      </w:r>
      <w:r>
        <w:t>36</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"_Toc37664038" </w:instrText>
      </w:r>
      <w:r>
        <w:fldChar w:fldCharType="separate"/>
      </w:r>
      <w:r>
        <w:rPr>
          <w:rStyle w:val="28"/>
          <w:rFonts w:hint="eastAsia" w:ascii="宋体" w:hAnsi="宋体" w:cs="宋体"/>
          <w:lang w:val="zh-CN"/>
        </w:rPr>
        <w:t>附件</w:t>
      </w:r>
      <w:r>
        <w:rPr>
          <w:rStyle w:val="28"/>
          <w:rFonts w:ascii="宋体" w:hAnsi="宋体" w:cs="宋体"/>
          <w:lang w:val="zh-CN"/>
        </w:rPr>
        <w:t>2</w:t>
      </w:r>
      <w:r>
        <w:rPr>
          <w:rStyle w:val="28"/>
          <w:rFonts w:hint="eastAsia" w:ascii="宋体" w:hAnsi="宋体" w:cs="宋体"/>
          <w:lang w:val="zh-CN"/>
        </w:rPr>
        <w:t>：法定代表人证明书</w:t>
      </w:r>
      <w:r>
        <w:tab/>
      </w:r>
      <w:r>
        <w:fldChar w:fldCharType="begin"/>
      </w:r>
      <w:r>
        <w:instrText xml:space="preserve"> PAGEREF _Toc37664038 \h </w:instrText>
      </w:r>
      <w:r>
        <w:fldChar w:fldCharType="separate"/>
      </w:r>
      <w:r>
        <w:t>3</w:t>
      </w:r>
      <w:r>
        <w:rPr>
          <w:rFonts w:hint="eastAsia"/>
          <w:lang w:val="en-US" w:eastAsia="zh-CN"/>
        </w:rPr>
        <w:t>7</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"_Toc37664039" </w:instrText>
      </w:r>
      <w:r>
        <w:fldChar w:fldCharType="separate"/>
      </w:r>
      <w:r>
        <w:rPr>
          <w:rStyle w:val="28"/>
          <w:rFonts w:hint="eastAsia" w:ascii="宋体" w:hAnsi="宋体" w:cs="宋体"/>
          <w:lang w:val="zh-CN"/>
        </w:rPr>
        <w:t>附件</w:t>
      </w:r>
      <w:r>
        <w:rPr>
          <w:rStyle w:val="28"/>
          <w:rFonts w:ascii="宋体" w:hAnsi="宋体" w:cs="宋体"/>
          <w:lang w:val="zh-CN"/>
        </w:rPr>
        <w:t>3</w:t>
      </w:r>
      <w:r>
        <w:rPr>
          <w:rStyle w:val="28"/>
          <w:rFonts w:hint="eastAsia" w:ascii="宋体" w:hAnsi="宋体" w:cs="宋体"/>
          <w:lang w:val="zh-CN"/>
        </w:rPr>
        <w:t>：法定代表人授权书</w:t>
      </w:r>
      <w:r>
        <w:tab/>
      </w:r>
      <w:r>
        <w:fldChar w:fldCharType="begin"/>
      </w:r>
      <w:r>
        <w:instrText xml:space="preserve"> PAGEREF _Toc37664039 \h </w:instrText>
      </w:r>
      <w:r>
        <w:fldChar w:fldCharType="separate"/>
      </w:r>
      <w:r>
        <w:t>3</w:t>
      </w:r>
      <w:r>
        <w:rPr>
          <w:rFonts w:hint="eastAsia"/>
          <w:lang w:val="en-US" w:eastAsia="zh-CN"/>
        </w:rPr>
        <w:t>8</w:t>
      </w:r>
      <w:r>
        <w:fldChar w:fldCharType="end"/>
      </w:r>
      <w:r>
        <w:fldChar w:fldCharType="end"/>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"_Toc37664040" </w:instrText>
      </w:r>
      <w:r>
        <w:fldChar w:fldCharType="separate"/>
      </w:r>
      <w:r>
        <w:rPr>
          <w:rStyle w:val="28"/>
          <w:rFonts w:hint="eastAsia" w:ascii="宋体" w:hAnsi="宋体" w:cs="宋体"/>
          <w:lang w:val="zh-CN"/>
        </w:rPr>
        <w:t>附件</w:t>
      </w:r>
      <w:r>
        <w:rPr>
          <w:rStyle w:val="28"/>
          <w:rFonts w:ascii="宋体" w:hAnsi="宋体" w:cs="宋体"/>
          <w:lang w:val="zh-CN"/>
        </w:rPr>
        <w:t>4</w:t>
      </w:r>
      <w:r>
        <w:rPr>
          <w:rStyle w:val="28"/>
          <w:rFonts w:hint="eastAsia" w:ascii="宋体" w:hAnsi="宋体" w:cs="宋体"/>
          <w:lang w:val="zh-CN"/>
        </w:rPr>
        <w:t>：投标人承诺函</w:t>
      </w:r>
      <w:r>
        <w:tab/>
      </w:r>
      <w:r>
        <w:rPr>
          <w:rFonts w:hint="eastAsia"/>
          <w:lang w:val="en-US" w:eastAsia="zh-CN"/>
        </w:rPr>
        <w:t>3</w:t>
      </w:r>
      <w:r>
        <w:fldChar w:fldCharType="end"/>
      </w:r>
      <w:r>
        <w:rPr>
          <w:rFonts w:hint="eastAsia"/>
          <w:lang w:val="en-US" w:eastAsia="zh-CN"/>
        </w:rPr>
        <w:t>9</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"_Toc37664041" </w:instrText>
      </w:r>
      <w:r>
        <w:fldChar w:fldCharType="separate"/>
      </w:r>
      <w:r>
        <w:rPr>
          <w:rStyle w:val="28"/>
          <w:rFonts w:hint="eastAsia" w:ascii="宋体" w:hAnsi="宋体" w:cs="宋体"/>
          <w:lang w:val="zh-CN"/>
        </w:rPr>
        <w:t>附件</w:t>
      </w:r>
      <w:r>
        <w:rPr>
          <w:rStyle w:val="28"/>
          <w:rFonts w:ascii="宋体" w:hAnsi="宋体" w:cs="宋体"/>
          <w:lang w:val="zh-CN"/>
        </w:rPr>
        <w:t>5</w:t>
      </w:r>
      <w:r>
        <w:rPr>
          <w:rStyle w:val="28"/>
          <w:rFonts w:hint="eastAsia" w:ascii="宋体" w:hAnsi="宋体" w:cs="宋体"/>
          <w:lang w:val="zh-CN"/>
        </w:rPr>
        <w:t>：投标人诚信承诺书</w:t>
      </w:r>
      <w:r>
        <w:tab/>
      </w:r>
      <w:r>
        <w:rPr>
          <w:rFonts w:hint="eastAsia"/>
          <w:lang w:val="en-US" w:eastAsia="zh-CN"/>
        </w:rPr>
        <w:t>4</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"_Toc37664042" </w:instrText>
      </w:r>
      <w:r>
        <w:fldChar w:fldCharType="separate"/>
      </w:r>
      <w:r>
        <w:rPr>
          <w:rStyle w:val="28"/>
          <w:rFonts w:hint="eastAsia" w:ascii="宋体" w:hAnsi="宋体" w:cs="宋体"/>
          <w:lang w:val="zh-CN"/>
        </w:rPr>
        <w:t>附件</w:t>
      </w:r>
      <w:r>
        <w:rPr>
          <w:rStyle w:val="28"/>
          <w:rFonts w:ascii="宋体" w:hAnsi="宋体" w:cs="宋体"/>
          <w:lang w:val="zh-CN"/>
        </w:rPr>
        <w:t>6</w:t>
      </w:r>
      <w:r>
        <w:rPr>
          <w:rStyle w:val="28"/>
          <w:rFonts w:hint="eastAsia" w:ascii="宋体" w:hAnsi="宋体" w:cs="宋体"/>
          <w:lang w:val="zh-CN"/>
        </w:rPr>
        <w:t>：投标人资格证明文件</w:t>
      </w:r>
      <w:r>
        <w:tab/>
      </w:r>
      <w:r>
        <w:rPr>
          <w:rFonts w:hint="eastAsia"/>
          <w:lang w:val="en-US" w:eastAsia="zh-CN"/>
        </w:rPr>
        <w:t>4</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"_Toc37664043" </w:instrText>
      </w:r>
      <w:r>
        <w:fldChar w:fldCharType="separate"/>
      </w:r>
      <w:r>
        <w:rPr>
          <w:rStyle w:val="28"/>
          <w:rFonts w:hint="eastAsia" w:ascii="宋体" w:hAnsi="宋体" w:cs="宋体"/>
          <w:lang w:val="zh-CN"/>
        </w:rPr>
        <w:t>附件</w:t>
      </w:r>
      <w:r>
        <w:rPr>
          <w:rStyle w:val="28"/>
          <w:rFonts w:ascii="宋体" w:hAnsi="宋体" w:cs="宋体"/>
          <w:lang w:val="zh-CN"/>
        </w:rPr>
        <w:t>7</w:t>
      </w:r>
      <w:r>
        <w:rPr>
          <w:rStyle w:val="28"/>
          <w:rFonts w:hint="eastAsia" w:ascii="宋体" w:hAnsi="宋体" w:cs="宋体"/>
          <w:lang w:val="zh-CN"/>
        </w:rPr>
        <w:t>：财务状况、缴纳税收和社会保障资金证明</w:t>
      </w:r>
      <w:r>
        <w:tab/>
      </w:r>
      <w:r>
        <w:rPr>
          <w:rFonts w:hint="eastAsia"/>
          <w:lang w:val="en-US" w:eastAsia="zh-CN"/>
        </w:rPr>
        <w:t>4</w:t>
      </w:r>
      <w:r>
        <w:fldChar w:fldCharType="end"/>
      </w:r>
      <w:r>
        <w:rPr>
          <w:rFonts w:hint="eastAsia"/>
          <w:lang w:val="en-US" w:eastAsia="zh-CN"/>
        </w:rPr>
        <w:t>2</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"_Toc37664044" </w:instrText>
      </w:r>
      <w:r>
        <w:fldChar w:fldCharType="separate"/>
      </w:r>
      <w:r>
        <w:rPr>
          <w:rStyle w:val="28"/>
          <w:rFonts w:hint="eastAsia" w:ascii="宋体" w:hAnsi="宋体" w:cs="宋体"/>
          <w:lang w:val="zh-CN"/>
        </w:rPr>
        <w:t>附件</w:t>
      </w:r>
      <w:r>
        <w:rPr>
          <w:rStyle w:val="28"/>
          <w:rFonts w:ascii="宋体" w:hAnsi="宋体" w:cs="宋体"/>
          <w:lang w:val="zh-CN"/>
        </w:rPr>
        <w:t>8</w:t>
      </w:r>
      <w:r>
        <w:rPr>
          <w:rStyle w:val="28"/>
          <w:rFonts w:hint="eastAsia" w:ascii="宋体" w:hAnsi="宋体" w:cs="宋体"/>
          <w:lang w:val="zh-CN"/>
        </w:rPr>
        <w:t>：无重大违法记录声明</w:t>
      </w:r>
      <w:r>
        <w:tab/>
      </w:r>
      <w:r>
        <w:rPr>
          <w:rFonts w:hint="eastAsia"/>
          <w:lang w:val="en-US" w:eastAsia="zh-CN"/>
        </w:rPr>
        <w:t>4</w:t>
      </w:r>
      <w:r>
        <w:fldChar w:fldCharType="end"/>
      </w:r>
      <w:r>
        <w:rPr>
          <w:rFonts w:hint="eastAsia"/>
          <w:lang w:val="en-US" w:eastAsia="zh-CN"/>
        </w:rPr>
        <w:t>3</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"_Toc37664046" </w:instrText>
      </w:r>
      <w:r>
        <w:fldChar w:fldCharType="separate"/>
      </w:r>
      <w:r>
        <w:rPr>
          <w:rStyle w:val="28"/>
          <w:rFonts w:hint="eastAsia" w:ascii="宋体" w:hAnsi="宋体" w:cs="宋体"/>
          <w:lang w:val="zh-CN"/>
        </w:rPr>
        <w:t>附件</w:t>
      </w:r>
      <w:r>
        <w:rPr>
          <w:rStyle w:val="28"/>
          <w:rFonts w:hint="eastAsia" w:ascii="宋体" w:hAnsi="宋体" w:cs="宋体"/>
          <w:lang w:val="en-US" w:eastAsia="zh-CN"/>
        </w:rPr>
        <w:t>9</w:t>
      </w:r>
      <w:r>
        <w:rPr>
          <w:rStyle w:val="28"/>
          <w:rFonts w:hint="eastAsia" w:ascii="宋体" w:hAnsi="宋体" w:cs="宋体"/>
          <w:lang w:val="zh-CN"/>
        </w:rPr>
        <w:t>：竞争性磋商首次报价表</w:t>
      </w:r>
      <w:r>
        <w:tab/>
      </w:r>
      <w:r>
        <w:rPr>
          <w:rFonts w:hint="eastAsia"/>
          <w:lang w:val="en-US" w:eastAsia="zh-CN"/>
        </w:rPr>
        <w:t>4</w:t>
      </w:r>
      <w:r>
        <w:fldChar w:fldCharType="end"/>
      </w:r>
      <w:r>
        <w:rPr>
          <w:rFonts w:hint="eastAsia"/>
          <w:lang w:val="en-US" w:eastAsia="zh-CN"/>
        </w:rPr>
        <w:t>5</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"_Toc37664047" </w:instrText>
      </w:r>
      <w:r>
        <w:fldChar w:fldCharType="separate"/>
      </w:r>
      <w:r>
        <w:rPr>
          <w:rStyle w:val="28"/>
          <w:rFonts w:hint="eastAsia" w:ascii="宋体" w:hAnsi="宋体" w:cs="宋体"/>
          <w:lang w:val="zh-CN"/>
        </w:rPr>
        <w:t>附件</w:t>
      </w:r>
      <w:r>
        <w:rPr>
          <w:rStyle w:val="28"/>
          <w:rFonts w:hint="eastAsia" w:ascii="宋体" w:hAnsi="宋体" w:cs="宋体"/>
          <w:lang w:val="en-US" w:eastAsia="zh-CN"/>
        </w:rPr>
        <w:t>10</w:t>
      </w:r>
      <w:r>
        <w:rPr>
          <w:rStyle w:val="28"/>
          <w:rFonts w:hint="eastAsia" w:ascii="宋体" w:hAnsi="宋体" w:cs="宋体"/>
          <w:lang w:val="zh-CN"/>
        </w:rPr>
        <w:t>：分项报价表</w:t>
      </w:r>
      <w:r>
        <w:tab/>
      </w:r>
      <w:r>
        <w:rPr>
          <w:rFonts w:hint="eastAsia"/>
          <w:lang w:val="en-US" w:eastAsia="zh-CN"/>
        </w:rPr>
        <w:t>4</w:t>
      </w:r>
      <w:r>
        <w:fldChar w:fldCharType="end"/>
      </w:r>
      <w:r>
        <w:rPr>
          <w:rFonts w:hint="eastAsia"/>
          <w:lang w:val="en-US" w:eastAsia="zh-CN"/>
        </w:rPr>
        <w:t>6</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"_Toc37664048" </w:instrText>
      </w:r>
      <w:r>
        <w:fldChar w:fldCharType="separate"/>
      </w:r>
      <w:r>
        <w:rPr>
          <w:rStyle w:val="28"/>
          <w:rFonts w:hint="eastAsia" w:ascii="宋体" w:hAnsi="宋体" w:cs="宋体"/>
          <w:lang w:val="zh-CN"/>
        </w:rPr>
        <w:t>附件</w:t>
      </w:r>
      <w:r>
        <w:rPr>
          <w:rStyle w:val="28"/>
          <w:rFonts w:hint="eastAsia" w:ascii="宋体" w:hAnsi="宋体" w:cs="宋体"/>
          <w:lang w:val="en-US" w:eastAsia="zh-CN"/>
        </w:rPr>
        <w:t>11</w:t>
      </w:r>
      <w:r>
        <w:rPr>
          <w:rStyle w:val="28"/>
          <w:rFonts w:hint="eastAsia" w:ascii="宋体" w:hAnsi="宋体" w:cs="宋体"/>
          <w:lang w:val="zh-CN"/>
        </w:rPr>
        <w:t>：技术规格响应表</w:t>
      </w:r>
      <w:r>
        <w:tab/>
      </w:r>
      <w:r>
        <w:rPr>
          <w:rFonts w:hint="eastAsia"/>
          <w:lang w:val="en-US" w:eastAsia="zh-CN"/>
        </w:rPr>
        <w:t>4</w:t>
      </w:r>
      <w:r>
        <w:fldChar w:fldCharType="end"/>
      </w:r>
      <w:r>
        <w:rPr>
          <w:rFonts w:hint="eastAsia"/>
          <w:lang w:val="en-US" w:eastAsia="zh-CN"/>
        </w:rPr>
        <w:t>7</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"_Toc37664049" </w:instrText>
      </w:r>
      <w:r>
        <w:fldChar w:fldCharType="separate"/>
      </w:r>
      <w:r>
        <w:rPr>
          <w:rStyle w:val="28"/>
          <w:rFonts w:hint="eastAsia" w:ascii="宋体" w:hAnsi="宋体" w:cs="宋体"/>
          <w:lang w:val="zh-CN"/>
        </w:rPr>
        <w:t>附件</w:t>
      </w:r>
      <w:r>
        <w:rPr>
          <w:rStyle w:val="28"/>
          <w:rFonts w:hint="eastAsia" w:ascii="宋体" w:hAnsi="宋体" w:cs="宋体"/>
          <w:lang w:val="en-US" w:eastAsia="zh-CN"/>
        </w:rPr>
        <w:t>12</w:t>
      </w:r>
      <w:r>
        <w:rPr>
          <w:rStyle w:val="28"/>
          <w:rFonts w:hint="eastAsia" w:ascii="宋体" w:hAnsi="宋体" w:cs="宋体"/>
          <w:lang w:val="zh-CN"/>
        </w:rPr>
        <w:t>：其他资格证明材料</w:t>
      </w:r>
      <w:r>
        <w:tab/>
      </w:r>
      <w:r>
        <w:rPr>
          <w:rFonts w:hint="eastAsia"/>
          <w:lang w:val="en-US" w:eastAsia="zh-CN"/>
        </w:rPr>
        <w:t>4</w:t>
      </w:r>
      <w:r>
        <w:fldChar w:fldCharType="end"/>
      </w:r>
      <w:r>
        <w:rPr>
          <w:rFonts w:hint="eastAsia"/>
          <w:lang w:val="en-US" w:eastAsia="zh-CN"/>
        </w:rPr>
        <w:t>8</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"_Toc37664050" </w:instrText>
      </w:r>
      <w:r>
        <w:fldChar w:fldCharType="separate"/>
      </w:r>
      <w:r>
        <w:rPr>
          <w:rStyle w:val="28"/>
          <w:rFonts w:hint="eastAsia" w:ascii="宋体" w:hAnsi="宋体" w:cs="宋体"/>
          <w:lang w:val="zh-CN"/>
        </w:rPr>
        <w:t>附件</w:t>
      </w:r>
      <w:r>
        <w:rPr>
          <w:rStyle w:val="28"/>
          <w:rFonts w:hint="eastAsia" w:ascii="宋体" w:hAnsi="宋体" w:cs="宋体"/>
          <w:lang w:val="en-US" w:eastAsia="zh-CN"/>
        </w:rPr>
        <w:t>13</w:t>
      </w:r>
      <w:r>
        <w:rPr>
          <w:rStyle w:val="28"/>
          <w:rFonts w:hint="eastAsia" w:ascii="宋体" w:hAnsi="宋体" w:cs="宋体"/>
          <w:lang w:val="zh-CN"/>
        </w:rPr>
        <w:t>：投标产品相关资料</w:t>
      </w:r>
      <w:r>
        <w:tab/>
      </w:r>
      <w:r>
        <w:rPr>
          <w:rFonts w:hint="eastAsia"/>
          <w:lang w:val="en-US" w:eastAsia="zh-CN"/>
        </w:rPr>
        <w:t>4</w:t>
      </w:r>
      <w:r>
        <w:fldChar w:fldCharType="end"/>
      </w:r>
      <w:r>
        <w:rPr>
          <w:rFonts w:hint="eastAsia"/>
          <w:lang w:val="en-US" w:eastAsia="zh-CN"/>
        </w:rPr>
        <w:t>9</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"_Toc37664051" </w:instrText>
      </w:r>
      <w:r>
        <w:fldChar w:fldCharType="separate"/>
      </w:r>
      <w:r>
        <w:rPr>
          <w:rStyle w:val="28"/>
          <w:rFonts w:hint="eastAsia" w:ascii="宋体" w:hAnsi="宋体" w:cs="宋体"/>
          <w:lang w:val="zh-CN"/>
        </w:rPr>
        <w:t>附件</w:t>
      </w:r>
      <w:r>
        <w:rPr>
          <w:rStyle w:val="28"/>
          <w:rFonts w:hint="eastAsia" w:ascii="宋体" w:hAnsi="宋体" w:cs="宋体"/>
          <w:lang w:val="en-US" w:eastAsia="zh-CN"/>
        </w:rPr>
        <w:t>14</w:t>
      </w:r>
      <w:r>
        <w:rPr>
          <w:rStyle w:val="28"/>
          <w:rFonts w:hint="eastAsia" w:ascii="宋体" w:hAnsi="宋体" w:cs="宋体"/>
          <w:lang w:val="zh-CN"/>
        </w:rPr>
        <w:t>：投标人的类似业绩证明材料</w:t>
      </w:r>
      <w:r>
        <w:tab/>
      </w:r>
      <w:r>
        <w:rPr>
          <w:rFonts w:hint="eastAsia"/>
          <w:lang w:val="en-US" w:eastAsia="zh-CN"/>
        </w:rPr>
        <w:t>5</w:t>
      </w:r>
      <w:r>
        <w:fldChar w:fldCharType="end"/>
      </w:r>
      <w:r>
        <w:rPr>
          <w:rFonts w:hint="eastAsia"/>
          <w:lang w:val="en-US" w:eastAsia="zh-CN"/>
        </w:rPr>
        <w:t>0</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"_Toc37664052" </w:instrText>
      </w:r>
      <w:r>
        <w:fldChar w:fldCharType="separate"/>
      </w:r>
      <w:r>
        <w:rPr>
          <w:rStyle w:val="28"/>
          <w:rFonts w:hint="eastAsia" w:ascii="宋体" w:hAnsi="宋体" w:cs="宋体"/>
          <w:lang w:val="zh-CN"/>
        </w:rPr>
        <w:t>附件</w:t>
      </w:r>
      <w:r>
        <w:rPr>
          <w:rStyle w:val="28"/>
          <w:rFonts w:hint="eastAsia" w:ascii="宋体" w:hAnsi="宋体" w:cs="宋体"/>
          <w:lang w:val="en-US" w:eastAsia="zh-CN"/>
        </w:rPr>
        <w:t>15</w:t>
      </w:r>
      <w:r>
        <w:rPr>
          <w:rStyle w:val="28"/>
          <w:rFonts w:hint="eastAsia" w:ascii="宋体" w:hAnsi="宋体" w:cs="宋体"/>
          <w:lang w:val="zh-CN"/>
        </w:rPr>
        <w:t>：制造（生产）企业小型、微型企业声明函</w:t>
      </w:r>
      <w:r>
        <w:tab/>
      </w:r>
      <w:r>
        <w:rPr>
          <w:rFonts w:hint="eastAsia"/>
          <w:lang w:val="en-US" w:eastAsia="zh-CN"/>
        </w:rPr>
        <w:t>5</w:t>
      </w:r>
      <w:r>
        <w:fldChar w:fldCharType="end"/>
      </w:r>
      <w:r>
        <w:rPr>
          <w:rFonts w:hint="eastAsia"/>
          <w:lang w:val="en-US" w:eastAsia="zh-CN"/>
        </w:rPr>
        <w:t>1</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"_Toc37664053" </w:instrText>
      </w:r>
      <w:r>
        <w:fldChar w:fldCharType="separate"/>
      </w:r>
      <w:r>
        <w:rPr>
          <w:rStyle w:val="28"/>
          <w:rFonts w:hint="eastAsia" w:ascii="宋体" w:hAnsi="宋体" w:cs="宋体"/>
          <w:lang w:val="zh-CN"/>
        </w:rPr>
        <w:t>附件</w:t>
      </w:r>
      <w:r>
        <w:rPr>
          <w:rStyle w:val="28"/>
          <w:rFonts w:hint="eastAsia" w:ascii="宋体" w:hAnsi="宋体" w:cs="宋体"/>
          <w:lang w:val="en-US" w:eastAsia="zh-CN"/>
        </w:rPr>
        <w:t>16</w:t>
      </w:r>
      <w:r>
        <w:rPr>
          <w:rStyle w:val="28"/>
          <w:rFonts w:hint="eastAsia" w:ascii="宋体" w:hAnsi="宋体" w:cs="宋体"/>
          <w:lang w:val="zh-CN"/>
        </w:rPr>
        <w:t>：残疾人福利性单位声明函</w:t>
      </w:r>
      <w:r>
        <w:tab/>
      </w:r>
      <w:r>
        <w:rPr>
          <w:rFonts w:hint="eastAsia"/>
          <w:lang w:val="en-US" w:eastAsia="zh-CN"/>
        </w:rPr>
        <w:t>5</w:t>
      </w:r>
      <w:r>
        <w:fldChar w:fldCharType="end"/>
      </w:r>
      <w:r>
        <w:rPr>
          <w:rFonts w:hint="eastAsia"/>
          <w:lang w:val="en-US" w:eastAsia="zh-CN"/>
        </w:rPr>
        <w:t>2</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"_Toc37664054" </w:instrText>
      </w:r>
      <w:r>
        <w:fldChar w:fldCharType="separate"/>
      </w:r>
      <w:r>
        <w:rPr>
          <w:rStyle w:val="28"/>
          <w:rFonts w:hint="eastAsia" w:ascii="宋体" w:hAnsi="宋体" w:cs="宋体"/>
          <w:lang w:val="zh-CN"/>
        </w:rPr>
        <w:t>附件</w:t>
      </w:r>
      <w:r>
        <w:rPr>
          <w:rStyle w:val="28"/>
          <w:rFonts w:hint="eastAsia" w:ascii="宋体" w:hAnsi="宋体" w:cs="宋体"/>
          <w:lang w:val="en-US" w:eastAsia="zh-CN"/>
        </w:rPr>
        <w:t>17</w:t>
      </w:r>
      <w:r>
        <w:rPr>
          <w:rStyle w:val="28"/>
          <w:rFonts w:hint="eastAsia" w:ascii="宋体" w:hAnsi="宋体" w:cs="宋体"/>
          <w:lang w:val="zh-CN"/>
        </w:rPr>
        <w:t>：销售及服务相关内容</w:t>
      </w:r>
      <w:r>
        <w:tab/>
      </w:r>
      <w:r>
        <w:rPr>
          <w:rFonts w:hint="eastAsia"/>
          <w:lang w:val="en-US" w:eastAsia="zh-CN"/>
        </w:rPr>
        <w:t>5</w:t>
      </w:r>
      <w:r>
        <w:fldChar w:fldCharType="end"/>
      </w:r>
      <w:r>
        <w:rPr>
          <w:rFonts w:hint="eastAsia"/>
          <w:lang w:val="en-US" w:eastAsia="zh-CN"/>
        </w:rPr>
        <w:t>3</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"_Toc37664055" </w:instrText>
      </w:r>
      <w:r>
        <w:fldChar w:fldCharType="separate"/>
      </w:r>
      <w:r>
        <w:rPr>
          <w:rStyle w:val="28"/>
          <w:rFonts w:hint="eastAsia" w:ascii="宋体" w:hAnsi="宋体" w:cs="宋体"/>
          <w:lang w:val="zh-CN"/>
        </w:rPr>
        <w:t>附件</w:t>
      </w:r>
      <w:r>
        <w:rPr>
          <w:rStyle w:val="28"/>
          <w:rFonts w:hint="eastAsia" w:ascii="宋体" w:hAnsi="宋体" w:cs="宋体"/>
          <w:lang w:val="en-US" w:eastAsia="zh-CN"/>
        </w:rPr>
        <w:t>18</w:t>
      </w:r>
      <w:r>
        <w:rPr>
          <w:rStyle w:val="28"/>
          <w:rFonts w:hint="eastAsia" w:ascii="宋体" w:hAnsi="宋体" w:cs="宋体"/>
          <w:lang w:val="zh-CN"/>
        </w:rPr>
        <w:t>：投标人认为在其他方面有必要说明的事项</w:t>
      </w:r>
      <w:r>
        <w:tab/>
      </w:r>
      <w:r>
        <w:rPr>
          <w:rFonts w:hint="eastAsia"/>
          <w:lang w:val="en-US" w:eastAsia="zh-CN"/>
        </w:rPr>
        <w:t>5</w:t>
      </w:r>
      <w:r>
        <w:fldChar w:fldCharType="end"/>
      </w:r>
      <w:r>
        <w:rPr>
          <w:rFonts w:hint="eastAsia"/>
          <w:lang w:val="en-US" w:eastAsia="zh-CN"/>
        </w:rPr>
        <w:t>4</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"_Toc37664056" </w:instrText>
      </w:r>
      <w:r>
        <w:fldChar w:fldCharType="separate"/>
      </w:r>
      <w:r>
        <w:rPr>
          <w:rStyle w:val="28"/>
          <w:rFonts w:hint="eastAsia" w:ascii="宋体" w:hAnsi="宋体" w:cs="宋体"/>
          <w:lang w:val="zh-CN"/>
        </w:rPr>
        <w:t>第五部分磋商及采购项目服务要求</w:t>
      </w:r>
      <w:r>
        <w:tab/>
      </w:r>
      <w:r>
        <w:rPr>
          <w:rFonts w:hint="eastAsia"/>
          <w:lang w:val="en-US" w:eastAsia="zh-CN"/>
        </w:rPr>
        <w:t>5</w:t>
      </w:r>
      <w:r>
        <w:fldChar w:fldCharType="end"/>
      </w:r>
      <w:r>
        <w:rPr>
          <w:rFonts w:hint="eastAsia"/>
          <w:lang w:val="en-US" w:eastAsia="zh-CN"/>
        </w:rPr>
        <w:t>5</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"_Toc37664057" </w:instrText>
      </w:r>
      <w:r>
        <w:fldChar w:fldCharType="separate"/>
      </w:r>
      <w:r>
        <w:rPr>
          <w:rStyle w:val="28"/>
          <w:rFonts w:hint="eastAsia" w:ascii="宋体" w:hAnsi="宋体" w:cs="宋体"/>
          <w:lang w:val="zh-CN"/>
        </w:rPr>
        <w:t>一、磋商要求</w:t>
      </w:r>
      <w:r>
        <w:tab/>
      </w:r>
      <w:r>
        <w:rPr>
          <w:rFonts w:hint="eastAsia"/>
          <w:lang w:val="en-US" w:eastAsia="zh-CN"/>
        </w:rPr>
        <w:t>5</w:t>
      </w:r>
      <w:r>
        <w:fldChar w:fldCharType="end"/>
      </w:r>
      <w:r>
        <w:rPr>
          <w:rFonts w:hint="eastAsia"/>
          <w:lang w:val="en-US" w:eastAsia="zh-CN"/>
        </w:rPr>
        <w:t>5</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"_Toc37664058" </w:instrText>
      </w:r>
      <w:r>
        <w:fldChar w:fldCharType="separate"/>
      </w:r>
      <w:r>
        <w:rPr>
          <w:rStyle w:val="28"/>
          <w:rFonts w:ascii="宋体" w:hAnsi="宋体" w:cs="宋体"/>
          <w:lang w:val="zh-CN"/>
        </w:rPr>
        <w:t>1.</w:t>
      </w:r>
      <w:r>
        <w:rPr>
          <w:rStyle w:val="28"/>
          <w:rFonts w:hint="eastAsia" w:ascii="宋体" w:hAnsi="宋体" w:cs="宋体"/>
          <w:lang w:val="zh-CN"/>
        </w:rPr>
        <w:t>磋商说明</w:t>
      </w:r>
      <w:r>
        <w:tab/>
      </w:r>
      <w:r>
        <w:rPr>
          <w:rFonts w:hint="eastAsia"/>
          <w:lang w:val="en-US" w:eastAsia="zh-CN"/>
        </w:rPr>
        <w:t>5</w:t>
      </w:r>
      <w:r>
        <w:fldChar w:fldCharType="end"/>
      </w:r>
      <w:r>
        <w:rPr>
          <w:rFonts w:hint="eastAsia"/>
          <w:lang w:val="en-US" w:eastAsia="zh-CN"/>
        </w:rPr>
        <w:t>5</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"_Toc37664059" </w:instrText>
      </w:r>
      <w:r>
        <w:fldChar w:fldCharType="separate"/>
      </w:r>
      <w:r>
        <w:rPr>
          <w:rStyle w:val="28"/>
          <w:rFonts w:ascii="宋体" w:hAnsi="宋体" w:cs="宋体"/>
          <w:lang w:val="zh-CN"/>
        </w:rPr>
        <w:t>2</w:t>
      </w:r>
      <w:r>
        <w:rPr>
          <w:rStyle w:val="28"/>
          <w:rFonts w:hint="eastAsia" w:ascii="宋体" w:hAnsi="宋体" w:cs="宋体"/>
          <w:lang w:val="zh-CN"/>
        </w:rPr>
        <w:t>．报价说明</w:t>
      </w:r>
      <w:r>
        <w:tab/>
      </w:r>
      <w:r>
        <w:rPr>
          <w:rFonts w:hint="eastAsia"/>
          <w:lang w:val="en-US" w:eastAsia="zh-CN"/>
        </w:rPr>
        <w:t>5</w:t>
      </w:r>
      <w:r>
        <w:fldChar w:fldCharType="end"/>
      </w:r>
      <w:r>
        <w:rPr>
          <w:rFonts w:hint="eastAsia"/>
          <w:lang w:val="en-US" w:eastAsia="zh-CN"/>
        </w:rPr>
        <w:t>5</w:t>
      </w:r>
    </w:p>
    <w:p>
      <w:pPr>
        <w:pStyle w:val="16"/>
        <w:tabs>
          <w:tab w:val="right" w:leader="dot" w:pos="8233"/>
        </w:tabs>
        <w:ind w:firstLine="482"/>
        <w:rPr>
          <w:rFonts w:hint="eastAsia" w:eastAsia="宋体"/>
          <w:b w:val="0"/>
          <w:bCs w:val="0"/>
          <w:caps w:val="0"/>
          <w:sz w:val="21"/>
          <w:szCs w:val="22"/>
          <w:lang w:val="en-US" w:eastAsia="zh-CN"/>
        </w:rPr>
      </w:pPr>
      <w:r>
        <w:fldChar w:fldCharType="begin"/>
      </w:r>
      <w:r>
        <w:instrText xml:space="preserve"> HYPERLINK \l "_Toc37664060" </w:instrText>
      </w:r>
      <w:r>
        <w:fldChar w:fldCharType="separate"/>
      </w:r>
      <w:r>
        <w:rPr>
          <w:rStyle w:val="28"/>
          <w:rFonts w:ascii="宋体" w:hAnsi="宋体" w:cs="宋体"/>
          <w:kern w:val="0"/>
          <w:lang w:val="zh-CN"/>
        </w:rPr>
        <w:t>3</w:t>
      </w:r>
      <w:r>
        <w:rPr>
          <w:rStyle w:val="28"/>
          <w:rFonts w:hint="eastAsia" w:ascii="宋体" w:hAnsi="宋体" w:cs="宋体"/>
          <w:kern w:val="0"/>
          <w:lang w:val="zh-CN"/>
        </w:rPr>
        <w:t>．重要指标</w:t>
      </w:r>
      <w:r>
        <w:tab/>
      </w:r>
      <w:r>
        <w:rPr>
          <w:rFonts w:hint="eastAsia"/>
          <w:lang w:val="en-US" w:eastAsia="zh-CN"/>
        </w:rPr>
        <w:t>5</w:t>
      </w:r>
      <w:r>
        <w:fldChar w:fldCharType="end"/>
      </w:r>
      <w:r>
        <w:rPr>
          <w:rFonts w:hint="eastAsia"/>
          <w:lang w:val="en-US" w:eastAsia="zh-CN"/>
        </w:rPr>
        <w:t>5</w:t>
      </w:r>
    </w:p>
    <w:p>
      <w:pPr>
        <w:spacing w:line="360" w:lineRule="auto"/>
        <w:rPr>
          <w:rFonts w:ascii="宋体" w:cs="宋体"/>
        </w:rPr>
      </w:pPr>
      <w:r>
        <w:rPr>
          <w:rStyle w:val="28"/>
          <w:rFonts w:ascii="宋体" w:hAnsi="宋体" w:cs="宋体"/>
          <w:b/>
          <w:bCs/>
          <w:color w:val="auto"/>
          <w:kern w:val="0"/>
          <w:sz w:val="21"/>
          <w:szCs w:val="21"/>
        </w:rPr>
        <w:fldChar w:fldCharType="end"/>
      </w:r>
    </w:p>
    <w:p>
      <w:pPr>
        <w:pStyle w:val="20"/>
        <w:spacing w:before="0" w:after="0" w:line="360" w:lineRule="auto"/>
        <w:rPr>
          <w:rFonts w:ascii="宋体" w:cs="宋体"/>
          <w:szCs w:val="36"/>
          <w:lang w:val="zh-CN"/>
        </w:rPr>
      </w:pPr>
      <w:r>
        <w:rPr>
          <w:rFonts w:ascii="宋体" w:cs="宋体"/>
        </w:rPr>
        <w:br w:type="page"/>
      </w:r>
      <w:bookmarkStart w:id="0" w:name="_Toc37663994"/>
      <w:r>
        <w:rPr>
          <w:rFonts w:hint="eastAsia" w:ascii="宋体" w:hAnsi="宋体" w:cs="宋体"/>
          <w:szCs w:val="36"/>
          <w:lang w:val="zh-CN"/>
        </w:rPr>
        <w:t>第一部分</w:t>
      </w:r>
      <w:r>
        <w:rPr>
          <w:rFonts w:hint="eastAsia"/>
        </w:rPr>
        <w:t>投标人须知前附表</w:t>
      </w:r>
      <w:bookmarkEnd w:id="0"/>
    </w:p>
    <w:p>
      <w:pPr>
        <w:autoSpaceDE w:val="0"/>
        <w:autoSpaceDN w:val="0"/>
        <w:adjustRightInd w:val="0"/>
        <w:spacing w:line="360" w:lineRule="auto"/>
        <w:ind w:firstLine="600" w:firstLineChars="250"/>
        <w:jc w:val="left"/>
        <w:rPr>
          <w:lang w:val="zh-CN"/>
        </w:rPr>
      </w:pPr>
      <w:r>
        <w:rPr>
          <w:rFonts w:hint="eastAsia" w:ascii="宋体" w:hAnsi="宋体" w:cs="宋体"/>
          <w:kern w:val="0"/>
          <w:lang w:val="zh-CN"/>
        </w:rPr>
        <w:t>大通县政府采购服务中心（以下均简称“采购代理机构”）受大通回族土族自治县教育局（以下均简称“采购人”）的</w:t>
      </w:r>
      <w:r>
        <w:rPr>
          <w:rFonts w:hint="eastAsia"/>
          <w:lang w:val="zh-CN"/>
        </w:rPr>
        <w:t>委托，拟</w:t>
      </w:r>
      <w:r>
        <w:rPr>
          <w:rFonts w:hint="eastAsia" w:ascii="宋体" w:hAnsi="宋体" w:cs="宋体"/>
          <w:kern w:val="0"/>
          <w:lang w:val="zh-CN"/>
        </w:rPr>
        <w:t>对“大通县2025年第二批（因素法）义务教育学校信息化设备采购项目，采购项目编号：大政采竞磋（货物）2025-14号”进行国内竞争性磋商采购，现予以公告</w:t>
      </w:r>
      <w:r>
        <w:rPr>
          <w:rFonts w:ascii="宋体" w:cs="宋体"/>
          <w:kern w:val="0"/>
        </w:rPr>
        <w:t>,</w:t>
      </w:r>
      <w:r>
        <w:rPr>
          <w:rFonts w:hint="eastAsia" w:ascii="宋体" w:hAnsi="宋体" w:cs="宋体"/>
          <w:kern w:val="0"/>
          <w:lang w:val="zh-CN"/>
        </w:rPr>
        <w:t>欢迎符合条件的竞争性磋商响应人前来参加投标。</w:t>
      </w:r>
    </w:p>
    <w:tbl>
      <w:tblPr>
        <w:tblStyle w:val="21"/>
        <w:tblW w:w="9128" w:type="dxa"/>
        <w:tblInd w:w="0" w:type="dxa"/>
        <w:tblLayout w:type="fixed"/>
        <w:tblCellMar>
          <w:top w:w="0" w:type="dxa"/>
          <w:left w:w="108" w:type="dxa"/>
          <w:bottom w:w="0" w:type="dxa"/>
          <w:right w:w="108" w:type="dxa"/>
        </w:tblCellMar>
      </w:tblPr>
      <w:tblGrid>
        <w:gridCol w:w="2376"/>
        <w:gridCol w:w="6752"/>
      </w:tblGrid>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采购项目名称</w:t>
            </w:r>
          </w:p>
        </w:tc>
        <w:tc>
          <w:tcPr>
            <w:tcW w:w="6752" w:type="dxa"/>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360" w:lineRule="auto"/>
              <w:jc w:val="left"/>
              <w:rPr>
                <w:rFonts w:ascii="宋体" w:cs="宋体"/>
                <w:kern w:val="0"/>
                <w:lang w:val="zh-CN"/>
              </w:rPr>
            </w:pPr>
            <w:r>
              <w:rPr>
                <w:rFonts w:hint="eastAsia" w:ascii="宋体" w:hAnsi="宋体" w:cs="宋体"/>
                <w:kern w:val="0"/>
                <w:lang w:val="zh-CN"/>
              </w:rPr>
              <w:t>大通县2025年第二批（因素法）义务教育学校信息化设备采购项目</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采购项目编号</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ascii="宋体" w:cs="宋体"/>
                <w:kern w:val="0"/>
                <w:lang w:val="zh-CN"/>
              </w:rPr>
            </w:pPr>
            <w:r>
              <w:rPr>
                <w:rFonts w:hint="eastAsia" w:ascii="宋体" w:hAnsi="宋体" w:cs="宋体"/>
                <w:kern w:val="0"/>
                <w:lang w:val="zh-CN"/>
              </w:rPr>
              <w:t>大政采竞磋（货物）2025-14号</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采购方式</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rPr>
              <w:t>竞争性磋商</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采购预算额度</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en-US" w:eastAsia="zh-CN"/>
              </w:rPr>
              <w:t>270.00</w:t>
            </w:r>
            <w:r>
              <w:rPr>
                <w:rFonts w:hint="eastAsia" w:ascii="宋体" w:hAnsi="宋体" w:cs="宋体"/>
                <w:kern w:val="0"/>
                <w:lang w:val="zh-CN"/>
              </w:rPr>
              <w:t>万元</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rPr>
              <w:t>项目分包个数</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default" w:eastAsia="宋体"/>
                <w:lang w:val="en-US" w:eastAsia="zh-CN"/>
              </w:rPr>
            </w:pPr>
            <w:r>
              <w:rPr>
                <w:rFonts w:hint="eastAsia"/>
                <w:lang w:val="en-US" w:eastAsia="zh-CN"/>
              </w:rPr>
              <w:t>1</w:t>
            </w:r>
            <w:r>
              <w:rPr>
                <w:rFonts w:hint="eastAsia"/>
              </w:rPr>
              <w:t>个包采购预算控制额度：</w:t>
            </w:r>
            <w:r>
              <w:rPr>
                <w:rFonts w:hint="eastAsia"/>
                <w:lang w:val="en-US" w:eastAsia="zh-CN"/>
              </w:rPr>
              <w:t>270.00万元。</w:t>
            </w:r>
          </w:p>
        </w:tc>
      </w:tr>
      <w:tr>
        <w:tblPrEx>
          <w:tblCellMar>
            <w:top w:w="0" w:type="dxa"/>
            <w:left w:w="108" w:type="dxa"/>
            <w:bottom w:w="0" w:type="dxa"/>
            <w:right w:w="108" w:type="dxa"/>
          </w:tblCellMar>
        </w:tblPrEx>
        <w:trPr>
          <w:trHeight w:val="9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采购要求</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rPr>
                <w:rFonts w:hint="eastAsia"/>
              </w:rPr>
              <w:t>具体要求详见《竞争性磋商文件》内容。</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投标人资格条件</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t>1</w:t>
            </w:r>
            <w:r>
              <w:rPr>
                <w:rFonts w:hint="eastAsia"/>
              </w:rPr>
              <w:t>、应具备《政府采购法》第</w:t>
            </w:r>
            <w:r>
              <w:t>22</w:t>
            </w:r>
            <w:r>
              <w:rPr>
                <w:rFonts w:hint="eastAsia"/>
              </w:rPr>
              <w:t>条所规定的条件：</w:t>
            </w:r>
          </w:p>
          <w:p>
            <w:pPr>
              <w:autoSpaceDE w:val="0"/>
              <w:autoSpaceDN w:val="0"/>
              <w:spacing w:line="360" w:lineRule="auto"/>
            </w:pPr>
            <w:r>
              <w:rPr>
                <w:rFonts w:hint="eastAsia"/>
              </w:rPr>
              <w:t>（</w:t>
            </w:r>
            <w:r>
              <w:t>1</w:t>
            </w:r>
            <w:r>
              <w:rPr>
                <w:rFonts w:hint="eastAsia"/>
              </w:rPr>
              <w:t>）投标人的营业执照等证明文件，自然人的身份证明；</w:t>
            </w:r>
          </w:p>
          <w:p>
            <w:pPr>
              <w:autoSpaceDE w:val="0"/>
              <w:autoSpaceDN w:val="0"/>
              <w:spacing w:line="360" w:lineRule="auto"/>
            </w:pPr>
            <w:r>
              <w:rPr>
                <w:rFonts w:hint="eastAsia"/>
              </w:rPr>
              <w:t>（</w:t>
            </w:r>
            <w:r>
              <w:t>2</w:t>
            </w:r>
            <w:r>
              <w:rPr>
                <w:rFonts w:hint="eastAsia"/>
              </w:rPr>
              <w:t>）财务状况报告和依法缴纳税收和社会保障资金的相关材料；</w:t>
            </w:r>
          </w:p>
          <w:p>
            <w:pPr>
              <w:autoSpaceDE w:val="0"/>
              <w:autoSpaceDN w:val="0"/>
              <w:spacing w:line="360" w:lineRule="auto"/>
            </w:pPr>
            <w:r>
              <w:rPr>
                <w:rFonts w:hint="eastAsia"/>
              </w:rPr>
              <w:t>（</w:t>
            </w:r>
            <w:r>
              <w:t>3</w:t>
            </w:r>
            <w:r>
              <w:rPr>
                <w:rFonts w:hint="eastAsia"/>
              </w:rPr>
              <w:t>）具备履行合同所必须的设备和专业技术能力的证明材料；</w:t>
            </w:r>
          </w:p>
          <w:p>
            <w:pPr>
              <w:autoSpaceDE w:val="0"/>
              <w:autoSpaceDN w:val="0"/>
              <w:spacing w:line="360" w:lineRule="auto"/>
            </w:pPr>
            <w:r>
              <w:rPr>
                <w:rFonts w:hint="eastAsia"/>
              </w:rPr>
              <w:t>（</w:t>
            </w:r>
            <w:r>
              <w:t>4</w:t>
            </w:r>
            <w:r>
              <w:rPr>
                <w:rFonts w:hint="eastAsia"/>
              </w:rPr>
              <w:t>）参加政府采购活动前</w:t>
            </w:r>
            <w:r>
              <w:t>3</w:t>
            </w:r>
            <w:r>
              <w:rPr>
                <w:rFonts w:hint="eastAsia"/>
              </w:rPr>
              <w:t>年内在经营活动中没有重大违法记录的书面声明；</w:t>
            </w:r>
          </w:p>
          <w:p>
            <w:pPr>
              <w:autoSpaceDE w:val="0"/>
              <w:autoSpaceDN w:val="0"/>
              <w:spacing w:line="360" w:lineRule="auto"/>
            </w:pPr>
            <w:r>
              <w:rPr>
                <w:rFonts w:hint="eastAsia"/>
              </w:rPr>
              <w:t>（</w:t>
            </w:r>
            <w:r>
              <w:t>5</w:t>
            </w:r>
            <w:r>
              <w:rPr>
                <w:rFonts w:hint="eastAsia"/>
              </w:rPr>
              <w:t>）具备法律、行政法规规定的其他条件的证明材料。</w:t>
            </w:r>
          </w:p>
          <w:p>
            <w:pPr>
              <w:autoSpaceDE w:val="0"/>
              <w:autoSpaceDN w:val="0"/>
              <w:spacing w:line="360" w:lineRule="auto"/>
            </w:pPr>
            <w:r>
              <w:t>2</w:t>
            </w:r>
            <w:r>
              <w:rPr>
                <w:rFonts w:hint="eastAsia"/>
              </w:rPr>
              <w:t>、单位负责人为同一人或者存在直接控股、管理关系的不同投标人，不得参加同一合同项下的政府采购活动。否则，皆取消投标资格。</w:t>
            </w:r>
          </w:p>
          <w:p>
            <w:pPr>
              <w:autoSpaceDE w:val="0"/>
              <w:autoSpaceDN w:val="0"/>
              <w:spacing w:line="360" w:lineRule="auto"/>
            </w:pPr>
            <w:r>
              <w:t>3</w:t>
            </w:r>
            <w:r>
              <w:rPr>
                <w:rFonts w:hint="eastAsia"/>
              </w:rPr>
              <w:t>、为本采购项目提供整体设计、规范编制或者项目管理、监理、检测等服务的投标人，不得再参加该采购项目的其他采购活动。</w:t>
            </w:r>
          </w:p>
          <w:p>
            <w:pPr>
              <w:autoSpaceDE w:val="0"/>
              <w:autoSpaceDN w:val="0"/>
              <w:spacing w:line="360" w:lineRule="auto"/>
            </w:pPr>
            <w:r>
              <w:t>4</w:t>
            </w:r>
            <w:r>
              <w:rPr>
                <w:rFonts w:hint="eastAsia"/>
              </w:rPr>
              <w:t>、本项目不接受投标人以联合体方式进行投标。</w:t>
            </w:r>
          </w:p>
          <w:p>
            <w:pPr>
              <w:autoSpaceDE w:val="0"/>
              <w:autoSpaceDN w:val="0"/>
              <w:spacing w:line="360" w:lineRule="auto"/>
            </w:pPr>
            <w:r>
              <w:t>5</w:t>
            </w:r>
            <w:r>
              <w:rPr>
                <w:rFonts w:hint="eastAsia"/>
              </w:rPr>
              <w:t>、经信用中国（</w:t>
            </w:r>
            <w:r>
              <w:t>www.creditchina.gov.cn</w:t>
            </w:r>
            <w:r>
              <w:rPr>
                <w:rFonts w:hint="eastAsia"/>
              </w:rPr>
              <w:t>）、中国政府采购网（</w:t>
            </w:r>
            <w:r>
              <w:t>www.ccgp.gov.cn</w:t>
            </w:r>
            <w:r>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t>20</w:t>
            </w:r>
            <w:r>
              <w:rPr>
                <w:rFonts w:hint="eastAsia"/>
              </w:rPr>
              <w:t>天内）</w:t>
            </w:r>
          </w:p>
        </w:tc>
      </w:tr>
      <w:tr>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公告发布时间</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auto"/>
                <w:kern w:val="0"/>
                <w:lang w:val="zh-CN"/>
              </w:rPr>
            </w:pPr>
            <w:r>
              <w:rPr>
                <w:rFonts w:hint="eastAsia" w:ascii="宋体" w:hAnsi="宋体" w:cs="宋体"/>
                <w:color w:val="auto"/>
                <w:kern w:val="0"/>
                <w:lang w:val="zh-CN"/>
              </w:rPr>
              <w:t>2025年7月</w:t>
            </w:r>
            <w:r>
              <w:rPr>
                <w:rFonts w:hint="eastAsia" w:ascii="宋体" w:hAnsi="宋体" w:cs="宋体"/>
                <w:color w:val="auto"/>
                <w:kern w:val="0"/>
                <w:lang w:val="en-US" w:eastAsia="zh-CN"/>
              </w:rPr>
              <w:t>9</w:t>
            </w:r>
            <w:r>
              <w:rPr>
                <w:rFonts w:hint="eastAsia" w:ascii="宋体" w:hAnsi="宋体" w:cs="宋体"/>
                <w:color w:val="auto"/>
                <w:kern w:val="0"/>
                <w:lang w:val="zh-CN"/>
              </w:rPr>
              <w:t>日</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获取磋商文件的时间期限</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auto"/>
                <w:kern w:val="0"/>
                <w:lang w:val="zh-CN"/>
              </w:rPr>
            </w:pPr>
            <w:r>
              <w:rPr>
                <w:rFonts w:hint="eastAsia" w:ascii="宋体" w:hAnsi="宋体" w:cs="宋体"/>
                <w:color w:val="auto"/>
                <w:kern w:val="0"/>
                <w:lang w:val="zh-CN"/>
              </w:rPr>
              <w:t>2025年7月</w:t>
            </w:r>
            <w:r>
              <w:rPr>
                <w:rFonts w:hint="eastAsia" w:ascii="宋体" w:hAnsi="宋体" w:cs="宋体"/>
                <w:color w:val="auto"/>
                <w:kern w:val="0"/>
                <w:lang w:val="en-US" w:eastAsia="zh-CN"/>
              </w:rPr>
              <w:t>9</w:t>
            </w:r>
            <w:r>
              <w:rPr>
                <w:rFonts w:hint="eastAsia" w:ascii="宋体" w:hAnsi="宋体" w:cs="宋体"/>
                <w:color w:val="auto"/>
                <w:kern w:val="0"/>
                <w:lang w:val="zh-CN"/>
              </w:rPr>
              <w:t>日至</w:t>
            </w:r>
            <w:r>
              <w:rPr>
                <w:rFonts w:hint="eastAsia" w:ascii="宋体" w:hAnsi="宋体" w:cs="宋体"/>
                <w:color w:val="auto"/>
                <w:kern w:val="0"/>
                <w:lang w:val="en-US" w:eastAsia="zh-CN"/>
              </w:rPr>
              <w:t>7</w:t>
            </w:r>
            <w:r>
              <w:rPr>
                <w:rFonts w:hint="eastAsia" w:ascii="宋体" w:hAnsi="宋体" w:cs="宋体"/>
                <w:color w:val="auto"/>
                <w:kern w:val="0"/>
                <w:lang w:val="zh-CN"/>
              </w:rPr>
              <w:t>月</w:t>
            </w:r>
            <w:r>
              <w:rPr>
                <w:rFonts w:hint="eastAsia" w:ascii="宋体" w:hAnsi="宋体" w:cs="宋体"/>
                <w:color w:val="auto"/>
                <w:kern w:val="0"/>
                <w:lang w:val="en-US" w:eastAsia="zh-CN"/>
              </w:rPr>
              <w:t>16</w:t>
            </w:r>
            <w:r>
              <w:rPr>
                <w:rFonts w:hint="eastAsia" w:ascii="宋体" w:hAnsi="宋体" w:cs="宋体"/>
                <w:color w:val="auto"/>
                <w:kern w:val="0"/>
                <w:lang w:val="zh-CN"/>
              </w:rPr>
              <w:t>日，每天上午</w:t>
            </w:r>
            <w:r>
              <w:rPr>
                <w:rFonts w:hint="eastAsia" w:ascii="宋体" w:hAnsi="宋体" w:cs="宋体"/>
                <w:color w:val="auto"/>
                <w:kern w:val="0"/>
                <w:lang w:val="en-US" w:eastAsia="zh-CN"/>
              </w:rPr>
              <w:t>0</w:t>
            </w:r>
            <w:r>
              <w:rPr>
                <w:rFonts w:ascii="宋体" w:hAnsi="宋体" w:cs="宋体"/>
                <w:color w:val="auto"/>
                <w:kern w:val="0"/>
                <w:lang w:val="zh-CN"/>
              </w:rPr>
              <w:t>:00-12:00,</w:t>
            </w:r>
            <w:r>
              <w:rPr>
                <w:rFonts w:hint="eastAsia" w:ascii="宋体" w:hAnsi="宋体" w:cs="宋体"/>
                <w:color w:val="auto"/>
                <w:kern w:val="0"/>
                <w:lang w:val="zh-CN"/>
              </w:rPr>
              <w:t>下午</w:t>
            </w:r>
            <w:r>
              <w:rPr>
                <w:rFonts w:hint="eastAsia" w:ascii="宋体" w:hAnsi="宋体" w:cs="宋体"/>
                <w:color w:val="auto"/>
                <w:kern w:val="0"/>
                <w:lang w:val="en-US" w:eastAsia="zh-CN"/>
              </w:rPr>
              <w:t>12</w:t>
            </w:r>
            <w:r>
              <w:rPr>
                <w:rFonts w:ascii="宋体" w:hAnsi="宋体" w:cs="宋体"/>
                <w:color w:val="auto"/>
                <w:kern w:val="0"/>
                <w:lang w:val="zh-CN"/>
              </w:rPr>
              <w:t>:</w:t>
            </w:r>
            <w:r>
              <w:rPr>
                <w:rFonts w:hint="eastAsia" w:ascii="宋体" w:hAnsi="宋体" w:cs="宋体"/>
                <w:color w:val="auto"/>
                <w:kern w:val="0"/>
                <w:lang w:val="en-US" w:eastAsia="zh-CN"/>
              </w:rPr>
              <w:t>0</w:t>
            </w:r>
            <w:r>
              <w:rPr>
                <w:rFonts w:ascii="宋体" w:hAnsi="宋体" w:cs="宋体"/>
                <w:color w:val="auto"/>
                <w:kern w:val="0"/>
                <w:lang w:val="zh-CN"/>
              </w:rPr>
              <w:t>0-</w:t>
            </w:r>
            <w:r>
              <w:rPr>
                <w:rFonts w:hint="eastAsia" w:ascii="宋体" w:hAnsi="宋体" w:cs="宋体"/>
                <w:color w:val="auto"/>
                <w:kern w:val="0"/>
                <w:lang w:val="en-US" w:eastAsia="zh-CN"/>
              </w:rPr>
              <w:t>23</w:t>
            </w:r>
            <w:r>
              <w:rPr>
                <w:rFonts w:ascii="宋体" w:hAnsi="宋体" w:cs="宋体"/>
                <w:color w:val="auto"/>
                <w:kern w:val="0"/>
                <w:lang w:val="zh-CN"/>
              </w:rPr>
              <w:t>:</w:t>
            </w:r>
            <w:r>
              <w:rPr>
                <w:rFonts w:hint="eastAsia" w:ascii="宋体" w:hAnsi="宋体" w:cs="宋体"/>
                <w:color w:val="auto"/>
                <w:kern w:val="0"/>
                <w:lang w:val="en-US" w:eastAsia="zh-CN"/>
              </w:rPr>
              <w:t>59</w:t>
            </w:r>
            <w:r>
              <w:rPr>
                <w:rFonts w:hint="eastAsia" w:ascii="宋体" w:hAnsi="宋体" w:cs="宋体"/>
                <w:color w:val="auto"/>
                <w:kern w:val="0"/>
                <w:lang w:val="zh-CN"/>
              </w:rPr>
              <w:t>（午休、节假日除外）</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报名地点</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hint="default" w:ascii="宋体" w:eastAsia="宋体" w:cs="宋体"/>
                <w:lang w:val="en-US" w:eastAsia="zh-CN"/>
              </w:rPr>
            </w:pPr>
            <w:r>
              <w:rPr>
                <w:rFonts w:hint="eastAsia" w:ascii="宋体" w:hAnsi="宋体" w:cs="宋体"/>
                <w:color w:val="auto"/>
                <w:lang w:val="en-US" w:eastAsia="zh-CN"/>
              </w:rPr>
              <w:t>政采云平台线上获取</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递交磋商响应文件截止时间</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auto"/>
                <w:kern w:val="0"/>
                <w:lang w:val="zh-CN"/>
              </w:rPr>
            </w:pPr>
            <w:r>
              <w:rPr>
                <w:rFonts w:hint="eastAsia" w:ascii="宋体" w:hAnsi="宋体" w:cs="宋体"/>
                <w:color w:val="auto"/>
                <w:kern w:val="0"/>
                <w:lang w:val="zh-CN"/>
              </w:rPr>
              <w:t>2025年7月</w:t>
            </w:r>
            <w:r>
              <w:rPr>
                <w:rFonts w:hint="eastAsia" w:ascii="宋体" w:hAnsi="宋体" w:cs="宋体"/>
                <w:color w:val="auto"/>
                <w:kern w:val="0"/>
                <w:lang w:val="en-US" w:eastAsia="zh-CN"/>
              </w:rPr>
              <w:t>22</w:t>
            </w:r>
            <w:r>
              <w:rPr>
                <w:rFonts w:hint="eastAsia" w:ascii="宋体" w:hAnsi="宋体" w:cs="宋体"/>
                <w:color w:val="auto"/>
                <w:kern w:val="0"/>
                <w:lang w:val="zh-CN"/>
              </w:rPr>
              <w:t>日上午</w:t>
            </w:r>
            <w:r>
              <w:rPr>
                <w:rFonts w:ascii="宋体" w:hAnsi="宋体" w:cs="宋体"/>
                <w:color w:val="auto"/>
                <w:kern w:val="0"/>
                <w:lang w:val="zh-CN"/>
              </w:rPr>
              <w:t>9:00</w:t>
            </w:r>
            <w:r>
              <w:rPr>
                <w:rFonts w:hint="eastAsia" w:ascii="宋体" w:hAnsi="宋体" w:cs="宋体"/>
                <w:color w:val="auto"/>
                <w:kern w:val="0"/>
                <w:lang w:val="zh-CN"/>
              </w:rPr>
              <w:t>分（北京时间）</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cs="宋体"/>
                <w:kern w:val="0"/>
                <w:lang w:val="zh-CN"/>
              </w:rPr>
            </w:pPr>
            <w:r>
              <w:rPr>
                <w:rFonts w:hint="eastAsia" w:ascii="宋体" w:hAnsi="宋体" w:cs="宋体"/>
                <w:kern w:val="0"/>
              </w:rPr>
              <w:t>磋商时间</w:t>
            </w:r>
          </w:p>
        </w:tc>
        <w:tc>
          <w:tcPr>
            <w:tcW w:w="675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cs="宋体"/>
                <w:color w:val="auto"/>
                <w:kern w:val="0"/>
                <w:lang w:val="zh-CN"/>
              </w:rPr>
            </w:pPr>
            <w:r>
              <w:rPr>
                <w:rFonts w:hint="eastAsia" w:ascii="宋体" w:hAnsi="宋体" w:cs="宋体"/>
                <w:color w:val="auto"/>
                <w:kern w:val="0"/>
                <w:lang w:val="zh-CN"/>
              </w:rPr>
              <w:t>2025年7月</w:t>
            </w:r>
            <w:r>
              <w:rPr>
                <w:rFonts w:hint="eastAsia" w:ascii="宋体" w:hAnsi="宋体" w:cs="宋体"/>
                <w:color w:val="auto"/>
                <w:kern w:val="0"/>
                <w:lang w:val="en-US" w:eastAsia="zh-CN"/>
              </w:rPr>
              <w:t>22</w:t>
            </w:r>
            <w:r>
              <w:rPr>
                <w:rFonts w:hint="eastAsia" w:ascii="宋体" w:hAnsi="宋体" w:cs="宋体"/>
                <w:color w:val="auto"/>
                <w:kern w:val="0"/>
                <w:lang w:val="zh-CN"/>
              </w:rPr>
              <w:t>日上午</w:t>
            </w:r>
            <w:r>
              <w:rPr>
                <w:rFonts w:ascii="宋体" w:hAnsi="宋体" w:cs="宋体"/>
                <w:color w:val="auto"/>
                <w:kern w:val="0"/>
                <w:lang w:val="zh-CN"/>
              </w:rPr>
              <w:t>9:00</w:t>
            </w:r>
            <w:r>
              <w:rPr>
                <w:rFonts w:hint="eastAsia" w:ascii="宋体" w:hAnsi="宋体" w:cs="宋体"/>
                <w:color w:val="auto"/>
                <w:kern w:val="0"/>
                <w:lang w:val="zh-CN"/>
              </w:rPr>
              <w:t>分（北京时间）</w:t>
            </w:r>
          </w:p>
        </w:tc>
      </w:tr>
      <w:tr>
        <w:tblPrEx>
          <w:tblCellMar>
            <w:top w:w="0" w:type="dxa"/>
            <w:left w:w="108" w:type="dxa"/>
            <w:bottom w:w="0" w:type="dxa"/>
            <w:right w:w="108" w:type="dxa"/>
          </w:tblCellMar>
        </w:tblPrEx>
        <w:trPr>
          <w:trHeight w:val="75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磋商地点</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color w:val="auto"/>
                <w:lang w:val="zh-CN"/>
              </w:rPr>
              <w:t>大通县政府采购服务中心（大通县</w:t>
            </w:r>
            <w:r>
              <w:rPr>
                <w:rFonts w:hint="eastAsia" w:ascii="宋体" w:hAnsi="宋体" w:cs="宋体"/>
                <w:color w:val="auto"/>
                <w:lang w:val="en-US" w:eastAsia="zh-CN"/>
              </w:rPr>
              <w:t>煤苑路18号307室</w:t>
            </w:r>
            <w:r>
              <w:rPr>
                <w:rFonts w:hint="eastAsia" w:ascii="宋体" w:hAnsi="宋体" w:cs="宋体"/>
                <w:color w:val="auto"/>
                <w:lang w:val="zh-CN"/>
              </w:rPr>
              <w:t>）</w:t>
            </w:r>
          </w:p>
        </w:tc>
      </w:tr>
      <w:tr>
        <w:tblPrEx>
          <w:tblCellMar>
            <w:top w:w="0" w:type="dxa"/>
            <w:left w:w="108" w:type="dxa"/>
            <w:bottom w:w="0" w:type="dxa"/>
            <w:right w:w="108" w:type="dxa"/>
          </w:tblCellMar>
        </w:tblPrEx>
        <w:trPr>
          <w:trHeight w:val="9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szCs w:val="20"/>
              </w:rPr>
            </w:pPr>
            <w:r>
              <w:rPr>
                <w:rFonts w:hint="eastAsia" w:ascii="宋体" w:hAnsi="宋体"/>
              </w:rPr>
              <w:t>磋商响应文件格式及编制要求</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宋体" w:cs="宋体"/>
                <w:lang w:val="zh-CN"/>
              </w:rPr>
            </w:pPr>
            <w:r>
              <w:rPr>
                <w:rFonts w:ascii="宋体" w:hAnsi="宋体" w:cs="宋体"/>
                <w:lang w:val="zh-CN"/>
              </w:rPr>
              <w:t>1</w:t>
            </w:r>
            <w:r>
              <w:rPr>
                <w:rFonts w:hint="eastAsia" w:ascii="宋体" w:hAnsi="宋体" w:cs="宋体"/>
                <w:lang w:val="zh-CN"/>
              </w:rPr>
              <w:t>、按照“投标人须知”第</w:t>
            </w:r>
            <w:r>
              <w:rPr>
                <w:rFonts w:ascii="宋体" w:hAnsi="宋体" w:cs="宋体"/>
                <w:lang w:val="zh-CN"/>
              </w:rPr>
              <w:t>11</w:t>
            </w:r>
            <w:r>
              <w:rPr>
                <w:rFonts w:hint="eastAsia" w:ascii="宋体" w:hAnsi="宋体" w:cs="宋体"/>
                <w:lang w:val="zh-CN"/>
              </w:rPr>
              <w:t>项“磋商响应文件构成”的要求，磋商响应文件须按以下要求分册编制。分别为：</w:t>
            </w:r>
          </w:p>
          <w:p>
            <w:pPr>
              <w:pStyle w:val="7"/>
              <w:spacing w:line="360" w:lineRule="auto"/>
              <w:jc w:val="both"/>
              <w:rPr>
                <w:rFonts w:ascii="宋体" w:cs="宋体"/>
                <w:lang w:val="zh-CN"/>
              </w:rPr>
            </w:pPr>
            <w:r>
              <w:rPr>
                <w:rFonts w:hint="eastAsia" w:ascii="宋体" w:hAnsi="宋体" w:cs="宋体"/>
                <w:lang w:val="zh-CN"/>
              </w:rPr>
              <w:t>资格性审查文件，包括</w:t>
            </w:r>
            <w:r>
              <w:rPr>
                <w:rFonts w:ascii="宋体" w:hAnsi="宋体" w:cs="宋体"/>
                <w:lang w:val="zh-CN"/>
              </w:rPr>
              <w:t>11.1.1</w:t>
            </w:r>
            <w:r>
              <w:rPr>
                <w:rFonts w:hint="eastAsia" w:ascii="宋体" w:hAnsi="宋体" w:cs="宋体"/>
                <w:lang w:val="zh-CN"/>
              </w:rPr>
              <w:t>（</w:t>
            </w:r>
            <w:r>
              <w:rPr>
                <w:rFonts w:ascii="宋体" w:hAnsi="宋体" w:cs="宋体"/>
                <w:lang w:val="zh-CN"/>
              </w:rPr>
              <w:t>1</w:t>
            </w:r>
            <w:r>
              <w:rPr>
                <w:rFonts w:hint="eastAsia" w:ascii="宋体" w:hAnsi="宋体" w:cs="宋体"/>
                <w:lang w:val="zh-CN"/>
              </w:rPr>
              <w:t>）至（</w:t>
            </w:r>
            <w:r>
              <w:rPr>
                <w:rFonts w:ascii="宋体" w:hAnsi="宋体" w:cs="宋体"/>
                <w:lang w:val="zh-CN"/>
              </w:rPr>
              <w:t>9</w:t>
            </w:r>
            <w:r>
              <w:rPr>
                <w:rFonts w:hint="eastAsia" w:ascii="宋体" w:hAnsi="宋体" w:cs="宋体"/>
                <w:lang w:val="zh-CN"/>
              </w:rPr>
              <w:t>）的内容；</w:t>
            </w:r>
          </w:p>
          <w:p>
            <w:pPr>
              <w:pStyle w:val="7"/>
              <w:spacing w:line="360" w:lineRule="auto"/>
              <w:jc w:val="both"/>
              <w:rPr>
                <w:rFonts w:ascii="宋体" w:cs="宋体"/>
                <w:lang w:val="zh-CN"/>
              </w:rPr>
            </w:pPr>
            <w:r>
              <w:rPr>
                <w:rFonts w:hint="eastAsia" w:ascii="宋体" w:hAnsi="宋体" w:cs="宋体"/>
                <w:lang w:val="zh-CN"/>
              </w:rPr>
              <w:t>符合性审查文件，包括</w:t>
            </w:r>
            <w:r>
              <w:rPr>
                <w:rFonts w:ascii="宋体" w:hAnsi="宋体" w:cs="宋体"/>
                <w:lang w:val="zh-CN"/>
              </w:rPr>
              <w:t>11.1.2</w:t>
            </w:r>
            <w:r>
              <w:rPr>
                <w:rFonts w:hint="eastAsia" w:ascii="宋体" w:hAnsi="宋体" w:cs="宋体"/>
                <w:lang w:val="zh-CN"/>
              </w:rPr>
              <w:t>（</w:t>
            </w:r>
            <w:r>
              <w:rPr>
                <w:rFonts w:ascii="宋体" w:hAnsi="宋体" w:cs="宋体"/>
                <w:lang w:val="zh-CN"/>
              </w:rPr>
              <w:t>10</w:t>
            </w:r>
            <w:r>
              <w:rPr>
                <w:rFonts w:hint="eastAsia" w:ascii="宋体" w:hAnsi="宋体" w:cs="宋体"/>
                <w:lang w:val="zh-CN"/>
              </w:rPr>
              <w:t>）至（</w:t>
            </w:r>
            <w:r>
              <w:rPr>
                <w:rFonts w:ascii="宋体" w:hAnsi="宋体" w:cs="宋体"/>
                <w:lang w:val="zh-CN"/>
              </w:rPr>
              <w:t>19</w:t>
            </w:r>
            <w:r>
              <w:rPr>
                <w:rFonts w:hint="eastAsia" w:ascii="宋体" w:hAnsi="宋体" w:cs="宋体"/>
                <w:lang w:val="zh-CN"/>
              </w:rPr>
              <w:t>）的内容。</w:t>
            </w:r>
          </w:p>
          <w:p>
            <w:pPr>
              <w:pStyle w:val="7"/>
              <w:spacing w:line="360" w:lineRule="auto"/>
              <w:jc w:val="both"/>
              <w:rPr>
                <w:rFonts w:ascii="宋体" w:cs="宋体"/>
                <w:lang w:val="zh-CN"/>
              </w:rPr>
            </w:pPr>
            <w:r>
              <w:rPr>
                <w:rFonts w:hint="eastAsia" w:ascii="宋体" w:hAnsi="宋体" w:cs="宋体"/>
                <w:lang w:val="en-US" w:eastAsia="zh-CN"/>
              </w:rPr>
              <w:t>2</w:t>
            </w:r>
            <w:r>
              <w:rPr>
                <w:rFonts w:hint="eastAsia" w:ascii="宋体" w:hAnsi="宋体" w:cs="宋体"/>
                <w:lang w:val="zh-CN"/>
              </w:rPr>
              <w:t>、磋商响应文件须编制目录、页码，文件中不得行间插字、涂改或增删，如有修改错漏处，须由供应商法定代表人或其委托代理人签字和盖章。</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rPr>
            </w:pPr>
            <w:r>
              <w:rPr>
                <w:rFonts w:hint="eastAsia" w:ascii="宋体" w:hAnsi="宋体"/>
                <w:lang w:val="en-US" w:eastAsia="zh-CN"/>
              </w:rPr>
              <w:t>递交</w:t>
            </w:r>
            <w:r>
              <w:rPr>
                <w:rFonts w:hint="eastAsia" w:ascii="宋体" w:hAnsi="宋体"/>
              </w:rPr>
              <w:t>磋商响应文件程序</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宋体"/>
                <w:kern w:val="2"/>
              </w:rPr>
            </w:pPr>
            <w:r>
              <w:rPr>
                <w:rFonts w:ascii="宋体" w:hAnsi="宋体"/>
                <w:kern w:val="2"/>
              </w:rPr>
              <w:t>1</w:t>
            </w:r>
            <w:r>
              <w:rPr>
                <w:rFonts w:hint="eastAsia" w:ascii="宋体" w:hAnsi="宋体"/>
                <w:kern w:val="2"/>
              </w:rPr>
              <w:t>、供应商应当在磋商文件要求的截止时间前，将</w:t>
            </w:r>
            <w:r>
              <w:rPr>
                <w:rFonts w:hint="eastAsia" w:ascii="宋体" w:hAnsi="宋体"/>
                <w:kern w:val="2"/>
                <w:lang w:val="en-US" w:eastAsia="zh-CN"/>
              </w:rPr>
              <w:t>加密电子投标文件一份务必在开标截止前上传至电子开评标系统，在截止时间后上传的</w:t>
            </w:r>
            <w:r>
              <w:rPr>
                <w:rFonts w:hint="eastAsia" w:ascii="宋体" w:hAnsi="宋体"/>
                <w:kern w:val="2"/>
              </w:rPr>
              <w:t>，</w:t>
            </w:r>
            <w:r>
              <w:rPr>
                <w:rFonts w:hint="eastAsia" w:ascii="宋体" w:hAnsi="宋体"/>
                <w:kern w:val="2"/>
                <w:lang w:val="en-US" w:eastAsia="zh-CN"/>
              </w:rPr>
              <w:t>采购人、采购机构或者评标委员会应当拒收。</w:t>
            </w:r>
          </w:p>
          <w:p>
            <w:pPr>
              <w:pStyle w:val="7"/>
              <w:spacing w:line="360" w:lineRule="auto"/>
              <w:jc w:val="both"/>
              <w:rPr>
                <w:rFonts w:hint="eastAsia" w:ascii="宋体" w:hAnsi="宋体"/>
                <w:kern w:val="2"/>
                <w:lang w:val="en-US" w:eastAsia="zh-CN"/>
              </w:rPr>
            </w:pPr>
            <w:r>
              <w:rPr>
                <w:rFonts w:ascii="宋体" w:hAnsi="宋体"/>
                <w:kern w:val="2"/>
              </w:rPr>
              <w:t>2</w:t>
            </w:r>
            <w:r>
              <w:rPr>
                <w:rFonts w:hint="eastAsia" w:ascii="宋体" w:hAnsi="宋体"/>
                <w:kern w:val="2"/>
              </w:rPr>
              <w:t>、</w:t>
            </w:r>
            <w:r>
              <w:rPr>
                <w:rFonts w:hint="eastAsia" w:ascii="宋体" w:hAnsi="宋体"/>
                <w:kern w:val="2"/>
                <w:lang w:val="en-US" w:eastAsia="zh-CN"/>
              </w:rPr>
              <w:t>本项目为全流程线上磋商。</w:t>
            </w:r>
          </w:p>
          <w:p>
            <w:pPr>
              <w:pStyle w:val="7"/>
              <w:spacing w:line="360" w:lineRule="auto"/>
              <w:jc w:val="both"/>
              <w:rPr>
                <w:rFonts w:hint="default" w:ascii="宋体" w:hAnsi="宋体" w:eastAsia="宋体"/>
                <w:kern w:val="2"/>
                <w:lang w:val="en-US" w:eastAsia="zh-CN"/>
              </w:rPr>
            </w:pPr>
            <w:r>
              <w:rPr>
                <w:rFonts w:hint="eastAsia" w:ascii="宋体" w:hAnsi="宋体"/>
                <w:kern w:val="2"/>
                <w:lang w:val="en-US" w:eastAsia="zh-CN"/>
              </w:rPr>
              <w:t>3、递交地点：由采购人（采购代理机构）在</w:t>
            </w:r>
            <w:r>
              <w:rPr>
                <w:rFonts w:hint="eastAsia" w:ascii="宋体" w:hAnsi="宋体" w:cs="宋体"/>
                <w:lang w:val="zh-CN"/>
              </w:rPr>
              <w:t>大通回族土族自治县政府采购</w:t>
            </w:r>
            <w:r>
              <w:rPr>
                <w:rFonts w:hint="eastAsia" w:ascii="宋体" w:hAnsi="宋体" w:cs="宋体"/>
              </w:rPr>
              <w:t>服务</w:t>
            </w:r>
            <w:r>
              <w:rPr>
                <w:rFonts w:hint="eastAsia" w:ascii="宋体" w:hAnsi="宋体" w:cs="宋体"/>
                <w:lang w:val="zh-CN"/>
              </w:rPr>
              <w:t>中心</w:t>
            </w:r>
            <w:r>
              <w:rPr>
                <w:rFonts w:hint="eastAsia" w:ascii="宋体" w:hAnsi="宋体" w:cs="宋体"/>
                <w:lang w:val="en-US" w:eastAsia="zh-CN"/>
              </w:rPr>
              <w:t>开标室组织远程解密、远程不见面线上解密，供应商须在截止时间前将加密的响应文件上传到政府采购云平台（</w:t>
            </w:r>
            <w:r>
              <w:rPr>
                <w:rFonts w:hint="eastAsia" w:ascii="宋体" w:cs="宋体"/>
                <w:lang w:val="en-US" w:eastAsia="zh-CN"/>
              </w:rPr>
              <w:t>https://www.zcygov.cn/</w:t>
            </w:r>
            <w:r>
              <w:rPr>
                <w:rFonts w:hint="eastAsia" w:ascii="宋体" w:hAnsi="宋体" w:cs="宋体"/>
                <w:lang w:val="en-US" w:eastAsia="zh-CN"/>
              </w:rPr>
              <w:t>）。</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购买磋商文件时应提供材料</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宋体" w:cs="宋体"/>
                <w:lang w:val="zh-CN"/>
              </w:rPr>
            </w:pPr>
            <w:r>
              <w:rPr>
                <w:rFonts w:hint="eastAsia" w:ascii="宋体" w:hAnsi="宋体" w:cs="宋体"/>
                <w:lang w:val="zh-CN"/>
              </w:rPr>
              <w:t>营业执照副本复印件（加盖单位公章）、法定代表人授权书（参考磋商文件格式（</w:t>
            </w:r>
            <w:r>
              <w:rPr>
                <w:rFonts w:ascii="宋体" w:hAnsi="宋体" w:cs="宋体"/>
                <w:lang w:val="zh-CN"/>
              </w:rPr>
              <w:t>3</w:t>
            </w:r>
            <w:r>
              <w:rPr>
                <w:rFonts w:hint="eastAsia" w:ascii="宋体" w:hAnsi="宋体" w:cs="宋体"/>
                <w:lang w:val="zh-CN"/>
              </w:rPr>
              <w:t>））、法人身份证及开户许可证复印件（加盖单位公章）。以上资料除原件外均需加盖公章。</w:t>
            </w:r>
          </w:p>
        </w:tc>
      </w:tr>
      <w:tr>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获取磋商文件方式</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hint="default" w:ascii="宋体" w:eastAsia="宋体" w:cs="宋体"/>
                <w:lang w:val="en-US" w:eastAsia="zh-CN"/>
              </w:rPr>
            </w:pPr>
            <w:r>
              <w:rPr>
                <w:rFonts w:hint="eastAsia" w:ascii="宋体" w:cs="宋体"/>
                <w:lang w:val="en-US" w:eastAsia="zh-CN"/>
              </w:rPr>
              <w:t>供应商登录政采云平台https://www.zcygov.cn/在线申请获取采购文件（进入“项目采购”应用，在获取采购文件菜单中选择项目，申请获取采购文件）</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磋商文件售价</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宋体" w:cs="宋体"/>
                <w:lang w:val="zh-CN"/>
              </w:rPr>
            </w:pPr>
            <w:r>
              <w:rPr>
                <w:rFonts w:ascii="宋体" w:cs="宋体"/>
                <w:lang w:val="zh-CN"/>
              </w:rPr>
              <w:t>0</w:t>
            </w:r>
            <w:r>
              <w:rPr>
                <w:rFonts w:hint="eastAsia" w:ascii="宋体" w:hAnsi="宋体" w:cs="宋体"/>
                <w:lang w:val="zh-CN"/>
              </w:rPr>
              <w:t>元</w:t>
            </w:r>
            <w:r>
              <w:rPr>
                <w:rFonts w:ascii="宋体" w:hAnsi="宋体" w:cs="宋体"/>
                <w:lang w:val="zh-CN"/>
              </w:rPr>
              <w:t>/</w:t>
            </w:r>
            <w:r>
              <w:rPr>
                <w:rFonts w:hint="eastAsia" w:ascii="宋体" w:hAnsi="宋体" w:cs="宋体"/>
                <w:lang w:val="zh-CN"/>
              </w:rPr>
              <w:t>包（磋商文件售后不退</w:t>
            </w:r>
            <w:r>
              <w:rPr>
                <w:rFonts w:ascii="宋体" w:cs="宋体"/>
                <w:lang w:val="zh-CN"/>
              </w:rPr>
              <w:t>,</w:t>
            </w:r>
            <w:r>
              <w:rPr>
                <w:rFonts w:hint="eastAsia" w:ascii="宋体" w:hAnsi="宋体" w:cs="宋体"/>
                <w:lang w:val="zh-CN"/>
              </w:rPr>
              <w:t>投标资格不能转让。）</w:t>
            </w:r>
          </w:p>
        </w:tc>
      </w:tr>
      <w:tr>
        <w:tblPrEx>
          <w:tblCellMar>
            <w:top w:w="0" w:type="dxa"/>
            <w:left w:w="108" w:type="dxa"/>
            <w:bottom w:w="0" w:type="dxa"/>
            <w:right w:w="108" w:type="dxa"/>
          </w:tblCellMar>
        </w:tblPrEx>
        <w:trPr>
          <w:trHeight w:val="131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采购人联系人</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eastAsia="宋体" w:cs="宋体"/>
                <w:kern w:val="0"/>
                <w:lang w:val="en-US" w:eastAsia="zh-CN"/>
              </w:rPr>
            </w:pPr>
            <w:r>
              <w:rPr>
                <w:rFonts w:hint="eastAsia" w:ascii="宋体" w:hAnsi="宋体" w:cs="宋体"/>
                <w:kern w:val="0"/>
                <w:lang w:val="zh-CN"/>
              </w:rPr>
              <w:t>联系人：</w:t>
            </w:r>
            <w:r>
              <w:rPr>
                <w:rFonts w:hint="eastAsia" w:ascii="宋体" w:hAnsi="宋体" w:cs="宋体"/>
                <w:kern w:val="0"/>
                <w:lang w:val="en-US" w:eastAsia="zh-CN"/>
              </w:rPr>
              <w:t>卢老师</w:t>
            </w:r>
          </w:p>
          <w:p>
            <w:pPr>
              <w:autoSpaceDE w:val="0"/>
              <w:autoSpaceDN w:val="0"/>
              <w:adjustRightInd w:val="0"/>
              <w:spacing w:line="360" w:lineRule="auto"/>
              <w:rPr>
                <w:rFonts w:hint="default" w:ascii="宋体" w:eastAsia="宋体" w:cs="宋体"/>
                <w:kern w:val="0"/>
                <w:lang w:val="en-US" w:eastAsia="zh-CN"/>
              </w:rPr>
            </w:pPr>
            <w:r>
              <w:rPr>
                <w:rFonts w:hint="eastAsia" w:ascii="宋体" w:hAnsi="宋体" w:cs="宋体"/>
                <w:kern w:val="0"/>
                <w:lang w:val="zh-CN"/>
              </w:rPr>
              <w:t>联系电话：</w:t>
            </w:r>
            <w:r>
              <w:rPr>
                <w:rFonts w:hint="eastAsia" w:ascii="宋体" w:hAnsi="宋体" w:cs="宋体"/>
                <w:kern w:val="0"/>
                <w:lang w:val="en-US" w:eastAsia="zh-CN"/>
              </w:rPr>
              <w:t>0971-2722388</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联系地址：大通回族土族自治县教育局</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集中采购机构及联系人</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eastAsia="宋体" w:cs="宋体"/>
                <w:kern w:val="0"/>
                <w:lang w:val="zh-CN" w:eastAsia="zh-CN"/>
              </w:rPr>
            </w:pPr>
            <w:r>
              <w:rPr>
                <w:rFonts w:hint="eastAsia" w:ascii="宋体" w:hAnsi="宋体" w:cs="宋体"/>
                <w:kern w:val="0"/>
                <w:lang w:val="zh-CN"/>
              </w:rPr>
              <w:t>集中采购机构：陈</w:t>
            </w:r>
            <w:r>
              <w:rPr>
                <w:rFonts w:hint="eastAsia" w:ascii="宋体" w:hAnsi="宋体" w:cs="宋体"/>
                <w:kern w:val="0"/>
                <w:lang w:val="en-US" w:eastAsia="zh-CN"/>
              </w:rPr>
              <w:t>老师</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联系电话：</w:t>
            </w:r>
            <w:r>
              <w:rPr>
                <w:rFonts w:ascii="宋体" w:hAnsi="宋体" w:cs="宋体"/>
                <w:kern w:val="0"/>
                <w:lang w:val="zh-CN"/>
              </w:rPr>
              <w:t>0971-2730517</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联系地址：大通县政府采购服务中心</w:t>
            </w:r>
          </w:p>
        </w:tc>
      </w:tr>
      <w:tr>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kern w:val="0"/>
                <w:sz w:val="24"/>
                <w:szCs w:val="24"/>
                <w:lang w:val="zh-CN" w:eastAsia="zh-CN" w:bidi="ar-SA"/>
              </w:rPr>
            </w:pPr>
            <w:r>
              <w:rPr>
                <w:rFonts w:hint="eastAsia" w:ascii="宋体" w:hAnsi="宋体" w:cs="宋体"/>
                <w:kern w:val="0"/>
                <w:lang w:val="en-US" w:eastAsia="zh-CN"/>
              </w:rPr>
              <w:t>其他事项</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kern w:val="0"/>
                <w:sz w:val="24"/>
                <w:szCs w:val="24"/>
                <w:lang w:val="zh-CN" w:eastAsia="zh-CN" w:bidi="ar-SA"/>
              </w:rPr>
            </w:pPr>
            <w:r>
              <w:rPr>
                <w:rFonts w:hint="eastAsia"/>
                <w:color w:val="auto"/>
                <w:sz w:val="24"/>
                <w:lang w:val="zh-CN"/>
              </w:rPr>
              <w:t>本项目采购标的物所属行业为：</w:t>
            </w:r>
            <w:r>
              <w:rPr>
                <w:rFonts w:hint="eastAsia"/>
                <w:color w:val="auto"/>
                <w:sz w:val="24"/>
                <w:lang w:val="en-US" w:eastAsia="zh-CN"/>
              </w:rPr>
              <w:t>货物制造业。</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财政监督部门及电话</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监督单位：大通回族土族自治县财政局</w:t>
            </w:r>
            <w:r>
              <w:rPr>
                <w:rFonts w:ascii="宋体" w:hAnsi="宋体" w:cs="宋体"/>
                <w:kern w:val="0"/>
                <w:lang w:val="zh-CN"/>
              </w:rPr>
              <w:t xml:space="preserve">        0971-2722784</w:t>
            </w:r>
          </w:p>
        </w:tc>
      </w:tr>
    </w:tbl>
    <w:p>
      <w:pPr>
        <w:pStyle w:val="20"/>
        <w:spacing w:before="0" w:after="0" w:line="360" w:lineRule="auto"/>
        <w:rPr>
          <w:rFonts w:ascii="宋体" w:cs="宋体"/>
          <w:szCs w:val="36"/>
        </w:rPr>
      </w:pPr>
      <w:bookmarkStart w:id="1" w:name="_Toc428180535"/>
      <w:r>
        <w:rPr>
          <w:rFonts w:ascii="宋体" w:cs="宋体"/>
          <w:lang w:val="zh-CN"/>
        </w:rPr>
        <w:br w:type="page"/>
      </w:r>
      <w:bookmarkEnd w:id="1"/>
      <w:bookmarkStart w:id="2" w:name="_Toc37663995"/>
      <w:r>
        <w:rPr>
          <w:rFonts w:hint="eastAsia" w:ascii="宋体" w:hAnsi="宋体" w:cs="宋体"/>
          <w:szCs w:val="36"/>
          <w:lang w:val="zh-CN"/>
        </w:rPr>
        <w:t>第二部分投标人须知</w:t>
      </w:r>
      <w:bookmarkEnd w:id="2"/>
    </w:p>
    <w:p>
      <w:pPr>
        <w:pStyle w:val="20"/>
        <w:spacing w:before="0" w:after="0" w:line="360" w:lineRule="auto"/>
        <w:rPr>
          <w:rFonts w:ascii="宋体" w:cs="宋体"/>
        </w:rPr>
      </w:pPr>
      <w:bookmarkStart w:id="3" w:name="_Toc37663996"/>
      <w:r>
        <w:rPr>
          <w:rFonts w:hint="eastAsia" w:ascii="宋体" w:hAnsi="宋体" w:cs="宋体"/>
          <w:lang w:val="zh-CN"/>
        </w:rPr>
        <w:t>一、说明</w:t>
      </w:r>
      <w:bookmarkEnd w:id="3"/>
    </w:p>
    <w:p>
      <w:pPr>
        <w:pStyle w:val="20"/>
        <w:spacing w:before="0" w:after="0" w:line="360" w:lineRule="auto"/>
        <w:jc w:val="left"/>
        <w:rPr>
          <w:rFonts w:ascii="宋体" w:cs="宋体"/>
          <w:lang w:val="zh-CN"/>
        </w:rPr>
      </w:pPr>
      <w:bookmarkStart w:id="4" w:name="_Toc37663997"/>
      <w:r>
        <w:rPr>
          <w:rFonts w:ascii="宋体" w:hAnsi="宋体" w:cs="宋体"/>
          <w:sz w:val="28"/>
          <w:szCs w:val="28"/>
          <w:lang w:val="zh-CN"/>
        </w:rPr>
        <w:t>1.</w:t>
      </w:r>
      <w:r>
        <w:rPr>
          <w:rFonts w:hint="eastAsia" w:ascii="宋体" w:hAnsi="宋体" w:cs="宋体"/>
          <w:sz w:val="28"/>
          <w:szCs w:val="28"/>
          <w:lang w:val="zh-CN"/>
        </w:rPr>
        <w:t>适用范围</w:t>
      </w:r>
      <w:bookmarkEnd w:id="4"/>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本次采购受大通回族土族自治县教育局的委托，仅适用于本竞争性磋商文件（以下简称“磋商文件”）中所叙述的项目。</w:t>
      </w:r>
    </w:p>
    <w:p>
      <w:pPr>
        <w:pStyle w:val="20"/>
        <w:spacing w:before="0" w:after="0" w:line="360" w:lineRule="auto"/>
        <w:jc w:val="left"/>
        <w:rPr>
          <w:rFonts w:ascii="宋体" w:cs="宋体"/>
          <w:lang w:val="zh-CN"/>
        </w:rPr>
      </w:pPr>
      <w:bookmarkStart w:id="5" w:name="_Toc37663998"/>
      <w:r>
        <w:rPr>
          <w:rFonts w:ascii="宋体" w:hAnsi="宋体" w:cs="宋体"/>
          <w:sz w:val="28"/>
          <w:szCs w:val="28"/>
          <w:lang w:val="zh-CN"/>
        </w:rPr>
        <w:t>2.</w:t>
      </w:r>
      <w:r>
        <w:rPr>
          <w:rFonts w:hint="eastAsia" w:ascii="宋体" w:hAnsi="宋体" w:cs="宋体"/>
          <w:sz w:val="28"/>
          <w:szCs w:val="28"/>
          <w:lang w:val="zh-CN"/>
        </w:rPr>
        <w:t>采购方式、合格的投标人</w:t>
      </w:r>
      <w:bookmarkEnd w:id="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2.1</w:t>
      </w:r>
      <w:r>
        <w:rPr>
          <w:rFonts w:hint="eastAsia" w:ascii="宋体" w:hAnsi="宋体" w:cs="宋体"/>
          <w:kern w:val="0"/>
          <w:lang w:val="zh-CN"/>
        </w:rPr>
        <w:t>本次招标采取竞争性磋商方式。</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2.2 </w:t>
      </w:r>
      <w:r>
        <w:rPr>
          <w:rFonts w:hint="eastAsia" w:ascii="宋体" w:hAnsi="宋体" w:cs="宋体"/>
          <w:kern w:val="0"/>
          <w:lang w:val="zh-CN"/>
        </w:rPr>
        <w:t>合格的投标人：详见第一部分投标人须知前附表“投标人资格条件”。</w:t>
      </w:r>
    </w:p>
    <w:p>
      <w:pPr>
        <w:pStyle w:val="20"/>
        <w:spacing w:before="0" w:after="0" w:line="360" w:lineRule="auto"/>
        <w:jc w:val="left"/>
        <w:rPr>
          <w:rFonts w:ascii="宋体" w:cs="宋体"/>
          <w:lang w:val="zh-CN"/>
        </w:rPr>
      </w:pPr>
      <w:bookmarkStart w:id="6" w:name="_Toc37663999"/>
      <w:r>
        <w:rPr>
          <w:rFonts w:ascii="宋体" w:hAnsi="宋体" w:cs="宋体"/>
          <w:sz w:val="28"/>
          <w:szCs w:val="28"/>
          <w:lang w:val="zh-CN"/>
        </w:rPr>
        <w:t>3.</w:t>
      </w:r>
      <w:r>
        <w:rPr>
          <w:rFonts w:hint="eastAsia" w:ascii="宋体" w:hAnsi="宋体" w:cs="宋体"/>
          <w:sz w:val="28"/>
          <w:szCs w:val="28"/>
          <w:lang w:val="zh-CN"/>
        </w:rPr>
        <w:t>磋商费用</w:t>
      </w:r>
      <w:bookmarkEnd w:id="6"/>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投标人应自愿承担与参加本次投标有关的费用。集中采购机构对投标人发生的费用不承担任何责任。</w:t>
      </w:r>
    </w:p>
    <w:p>
      <w:pPr>
        <w:pStyle w:val="20"/>
        <w:spacing w:before="0" w:after="0" w:line="360" w:lineRule="auto"/>
        <w:rPr>
          <w:rFonts w:ascii="宋体" w:cs="宋体"/>
        </w:rPr>
      </w:pPr>
      <w:bookmarkStart w:id="7" w:name="_Toc37664000"/>
      <w:r>
        <w:rPr>
          <w:rFonts w:hint="eastAsia" w:ascii="宋体" w:hAnsi="宋体" w:cs="宋体"/>
          <w:lang w:val="zh-CN"/>
        </w:rPr>
        <w:t>二、磋商文件说明</w:t>
      </w:r>
      <w:bookmarkEnd w:id="7"/>
    </w:p>
    <w:p>
      <w:pPr>
        <w:pStyle w:val="20"/>
        <w:spacing w:before="0" w:after="0" w:line="360" w:lineRule="auto"/>
        <w:jc w:val="left"/>
        <w:rPr>
          <w:rFonts w:ascii="宋体" w:cs="宋体"/>
        </w:rPr>
      </w:pPr>
      <w:bookmarkStart w:id="8" w:name="_Toc37664001"/>
      <w:r>
        <w:rPr>
          <w:rFonts w:ascii="宋体" w:hAnsi="宋体" w:cs="宋体"/>
          <w:sz w:val="28"/>
          <w:szCs w:val="28"/>
        </w:rPr>
        <w:t>4.</w:t>
      </w:r>
      <w:r>
        <w:rPr>
          <w:rFonts w:hint="eastAsia" w:ascii="宋体" w:hAnsi="宋体" w:cs="宋体"/>
          <w:sz w:val="28"/>
          <w:szCs w:val="28"/>
          <w:lang w:val="zh-CN"/>
        </w:rPr>
        <w:t>磋商文件的构成</w:t>
      </w:r>
      <w:bookmarkEnd w:id="8"/>
    </w:p>
    <w:p>
      <w:pPr>
        <w:autoSpaceDE w:val="0"/>
        <w:autoSpaceDN w:val="0"/>
        <w:spacing w:line="360" w:lineRule="auto"/>
        <w:ind w:firstLine="360" w:firstLineChars="150"/>
        <w:rPr>
          <w:rFonts w:ascii="宋体" w:cs="宋体"/>
          <w:kern w:val="0"/>
        </w:rPr>
      </w:pPr>
      <w:r>
        <w:rPr>
          <w:rFonts w:ascii="宋体" w:hAnsi="宋体" w:cs="宋体"/>
          <w:kern w:val="0"/>
        </w:rPr>
        <w:t xml:space="preserve">4.1 </w:t>
      </w:r>
      <w:r>
        <w:rPr>
          <w:rFonts w:hint="eastAsia" w:ascii="宋体" w:hAnsi="宋体" w:cs="宋体"/>
          <w:kern w:val="0"/>
          <w:lang w:val="zh-CN"/>
        </w:rPr>
        <w:t>磋商文件包括</w:t>
      </w:r>
      <w:r>
        <w:rPr>
          <w:rFonts w:hint="eastAsia" w:ascii="宋体" w:hAnsi="宋体" w:cs="宋体"/>
          <w:kern w:val="0"/>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）投标人须知前附表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）大通县政府采购项目合同书范本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w:t>
      </w:r>
      <w:r>
        <w:rPr>
          <w:rFonts w:hint="eastAsia"/>
        </w:rPr>
        <w:t>磋商响应文件格式（相关附件）</w:t>
      </w:r>
    </w:p>
    <w:p>
      <w:pPr>
        <w:autoSpaceDE w:val="0"/>
        <w:autoSpaceDN w:val="0"/>
        <w:spacing w:line="360" w:lineRule="auto"/>
        <w:ind w:firstLine="480" w:firstLineChars="200"/>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w:t>
      </w:r>
      <w:r>
        <w:rPr>
          <w:rFonts w:hint="eastAsia"/>
        </w:rPr>
        <w:t>磋商项目要求及技术参数</w:t>
      </w:r>
    </w:p>
    <w:p>
      <w:pPr>
        <w:autoSpaceDE w:val="0"/>
        <w:autoSpaceDN w:val="0"/>
        <w:spacing w:line="360" w:lineRule="auto"/>
        <w:ind w:firstLine="480" w:firstLineChars="200"/>
      </w:pPr>
      <w:r>
        <w:rPr>
          <w:rFonts w:hint="eastAsia"/>
        </w:rPr>
        <w:t>（</w:t>
      </w:r>
      <w:r>
        <w:t>6</w:t>
      </w:r>
      <w:r>
        <w:rPr>
          <w:rFonts w:hint="eastAsia"/>
        </w:rPr>
        <w:t>）磋商过程中发生的澄清、变更和补充文件</w:t>
      </w:r>
    </w:p>
    <w:p>
      <w:pPr>
        <w:autoSpaceDE w:val="0"/>
        <w:autoSpaceDN w:val="0"/>
        <w:spacing w:line="360" w:lineRule="auto"/>
        <w:ind w:firstLine="480" w:firstLineChars="200"/>
      </w:pPr>
      <w:r>
        <w:t xml:space="preserve">4.2 </w:t>
      </w:r>
      <w:r>
        <w:rPr>
          <w:rFonts w:hint="eastAsia"/>
        </w:rPr>
        <w:t>投标人应当按照磋商文件的要求编制磋商响应文件。磋商响应文件应当对磋商文件提出的要求和条件作出明确响应。</w:t>
      </w:r>
    </w:p>
    <w:p>
      <w:pPr>
        <w:pStyle w:val="20"/>
        <w:spacing w:before="0" w:after="0" w:line="360" w:lineRule="auto"/>
        <w:jc w:val="left"/>
        <w:rPr>
          <w:rFonts w:ascii="宋体" w:cs="宋体"/>
          <w:sz w:val="28"/>
          <w:szCs w:val="28"/>
          <w:lang w:val="zh-CN"/>
        </w:rPr>
      </w:pPr>
      <w:bookmarkStart w:id="9" w:name="_Toc37664002"/>
      <w:r>
        <w:rPr>
          <w:rFonts w:ascii="宋体" w:hAnsi="宋体" w:cs="宋体"/>
          <w:sz w:val="28"/>
          <w:szCs w:val="28"/>
          <w:lang w:val="zh-CN"/>
        </w:rPr>
        <w:t>5.</w:t>
      </w:r>
      <w:r>
        <w:rPr>
          <w:rFonts w:hint="eastAsia" w:ascii="宋体" w:hAnsi="宋体" w:cs="宋体"/>
          <w:sz w:val="28"/>
          <w:szCs w:val="28"/>
          <w:lang w:val="zh-CN"/>
        </w:rPr>
        <w:t>磋商文件的质疑</w:t>
      </w:r>
      <w:bookmarkEnd w:id="9"/>
    </w:p>
    <w:p>
      <w:pPr>
        <w:autoSpaceDE w:val="0"/>
        <w:autoSpaceDN w:val="0"/>
        <w:spacing w:line="360" w:lineRule="auto"/>
        <w:ind w:firstLine="480" w:firstLineChars="200"/>
      </w:pPr>
      <w:r>
        <w:t xml:space="preserve">5.1 </w:t>
      </w:r>
      <w:r>
        <w:rPr>
          <w:rFonts w:hint="eastAsia"/>
        </w:rPr>
        <w:t>参加磋商的磋商投标人认为磋商文件、磋商活动和成交、成交结果使自己的权益受到损害的，可以在知道或者应知其权益受到损害之日起</w:t>
      </w:r>
      <w:r>
        <w:t>7</w:t>
      </w:r>
      <w:r>
        <w:rPr>
          <w:rFonts w:hint="eastAsia"/>
        </w:rPr>
        <w:t>个工作日内以书面形式（如信件、传真等）向采购人或者集中采购机构提出质疑，不接受匿名质疑。投标人须在法定质疑期内一次性提出针对同一采购程序环节的质疑。采购人或集中采购机构在收到磋商投标人的书面质疑后</w:t>
      </w:r>
      <w:r>
        <w:t>7</w:t>
      </w:r>
      <w:r>
        <w:rPr>
          <w:rFonts w:hint="eastAsia"/>
        </w:rPr>
        <w:t>个工作日内予以答复，</w:t>
      </w:r>
      <w:r>
        <w:rPr>
          <w:rFonts w:hint="eastAsia" w:ascii="宋体" w:hAnsi="宋体" w:cs="宋体"/>
          <w:kern w:val="0"/>
          <w:lang w:val="zh-CN"/>
        </w:rPr>
        <w:t>如有变更事宜，应当在发布本次竞争性磋商公告的网站上发布变更公告，告知本项目的所有潜在投标人。</w:t>
      </w:r>
    </w:p>
    <w:p>
      <w:pPr>
        <w:autoSpaceDE w:val="0"/>
        <w:autoSpaceDN w:val="0"/>
        <w:spacing w:line="360" w:lineRule="auto"/>
        <w:ind w:firstLine="480" w:firstLineChars="200"/>
      </w:pPr>
      <w:r>
        <w:t xml:space="preserve">5.2 </w:t>
      </w:r>
      <w:r>
        <w:rPr>
          <w:rFonts w:hint="eastAsia"/>
        </w:rPr>
        <w:t>参与采购活动的磋商人对评审过程或者结果提出质疑的，采购人或集中采购机构可以组织原磋商小组协助处理质疑事项，并依据评审委员会出具的意见进行答复。质疑事项处理完成后，采购人或集中采购机构应按照规定填写《大通县政府采购磋商人质疑处理情况表》，并在</w:t>
      </w:r>
      <w:r>
        <w:t>15</w:t>
      </w:r>
      <w:r>
        <w:rPr>
          <w:rFonts w:hint="eastAsia"/>
        </w:rPr>
        <w:t>日内报大通县政府采购监督管理办公室备案。</w:t>
      </w:r>
    </w:p>
    <w:p>
      <w:pPr>
        <w:autoSpaceDE w:val="0"/>
        <w:autoSpaceDN w:val="0"/>
        <w:spacing w:line="360" w:lineRule="auto"/>
        <w:ind w:firstLine="480" w:firstLineChars="200"/>
      </w:pPr>
      <w:r>
        <w:t xml:space="preserve">5.3 </w:t>
      </w:r>
      <w:r>
        <w:rPr>
          <w:rFonts w:hint="eastAsia"/>
        </w:rPr>
        <w:t>质疑时效期间的计算</w:t>
      </w:r>
    </w:p>
    <w:p>
      <w:pPr>
        <w:autoSpaceDE w:val="0"/>
        <w:autoSpaceDN w:val="0"/>
        <w:spacing w:line="360" w:lineRule="auto"/>
        <w:ind w:firstLine="480" w:firstLineChars="200"/>
      </w:pPr>
      <w:r>
        <w:rPr>
          <w:rFonts w:hint="eastAsia"/>
        </w:rPr>
        <w:t>（</w:t>
      </w:r>
      <w:r>
        <w:t>1</w:t>
      </w:r>
      <w:r>
        <w:rPr>
          <w:rFonts w:hint="eastAsia"/>
        </w:rPr>
        <w:t>）对可以质疑的磋商文件提出质疑的，为收到磋商文件之日或磋商文件公告期限届满之日；</w:t>
      </w:r>
    </w:p>
    <w:p>
      <w:pPr>
        <w:autoSpaceDE w:val="0"/>
        <w:autoSpaceDN w:val="0"/>
        <w:spacing w:line="360" w:lineRule="auto"/>
        <w:ind w:firstLine="480" w:firstLineChars="200"/>
      </w:pPr>
      <w:r>
        <w:rPr>
          <w:rFonts w:hint="eastAsia"/>
        </w:rPr>
        <w:t>（</w:t>
      </w:r>
      <w:r>
        <w:t>2</w:t>
      </w:r>
      <w:r>
        <w:rPr>
          <w:rFonts w:hint="eastAsia"/>
        </w:rPr>
        <w:t>）对磋商过程提出质疑的，为磋商程序各环节结束之日；</w:t>
      </w:r>
    </w:p>
    <w:p>
      <w:pPr>
        <w:autoSpaceDE w:val="0"/>
        <w:autoSpaceDN w:val="0"/>
        <w:spacing w:line="360" w:lineRule="auto"/>
        <w:ind w:firstLine="480" w:firstLineChars="200"/>
      </w:pPr>
      <w:r>
        <w:rPr>
          <w:rFonts w:hint="eastAsia"/>
        </w:rPr>
        <w:t>（</w:t>
      </w:r>
      <w:r>
        <w:t>3</w:t>
      </w:r>
      <w:r>
        <w:rPr>
          <w:rFonts w:hint="eastAsia"/>
        </w:rPr>
        <w:t>）对成交结果提出质疑的，为成交公告期限届满之日。</w:t>
      </w:r>
    </w:p>
    <w:p>
      <w:pPr>
        <w:pStyle w:val="20"/>
        <w:spacing w:before="0" w:after="0" w:line="360" w:lineRule="auto"/>
        <w:jc w:val="left"/>
        <w:rPr>
          <w:rFonts w:ascii="宋体" w:cs="宋体"/>
          <w:lang w:val="zh-CN"/>
        </w:rPr>
      </w:pPr>
      <w:bookmarkStart w:id="10" w:name="_Toc37664003"/>
      <w:r>
        <w:rPr>
          <w:rFonts w:ascii="宋体" w:hAnsi="宋体" w:cs="宋体"/>
          <w:sz w:val="28"/>
          <w:szCs w:val="28"/>
          <w:lang w:val="zh-CN"/>
        </w:rPr>
        <w:t>6.</w:t>
      </w:r>
      <w:r>
        <w:rPr>
          <w:rFonts w:hint="eastAsia" w:ascii="宋体" w:hAnsi="宋体" w:cs="宋体"/>
          <w:sz w:val="28"/>
          <w:szCs w:val="28"/>
          <w:lang w:val="zh-CN"/>
        </w:rPr>
        <w:t>磋商文件的澄清或修改</w:t>
      </w:r>
      <w:bookmarkEnd w:id="10"/>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6.1 </w:t>
      </w:r>
      <w:r>
        <w:rPr>
          <w:rFonts w:hint="eastAsia" w:ascii="宋体" w:hAnsi="宋体" w:cs="宋体"/>
          <w:kern w:val="0"/>
          <w:lang w:val="zh-CN"/>
        </w:rPr>
        <w:t>采购人或者集中采购机构可以对已发出的磋商文件进行必要的澄清或者修改的，但不得改变采购标的和资格条件。澄清或者修改应当在原公告发布媒体上发布澄清公告。澄清或者修改的内容为磋商文件的组成部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澄清或者修改的内容可能影响磋商响应文件编制的，采购人或者集中采购机构在磋商文件要求提交首次磋商响应文件截止时间至少</w:t>
      </w:r>
      <w:r>
        <w:rPr>
          <w:rFonts w:ascii="宋体" w:hAnsi="宋体" w:cs="宋体"/>
          <w:kern w:val="0"/>
          <w:lang w:val="zh-CN"/>
        </w:rPr>
        <w:t>5</w:t>
      </w:r>
      <w:r>
        <w:rPr>
          <w:rFonts w:hint="eastAsia" w:ascii="宋体" w:hAnsi="宋体" w:cs="宋体"/>
          <w:kern w:val="0"/>
          <w:lang w:val="zh-CN"/>
        </w:rPr>
        <w:t>日前，在青海政府采购信息网上发布公告；不足</w:t>
      </w:r>
      <w:r>
        <w:rPr>
          <w:rFonts w:ascii="宋体" w:hAnsi="宋体" w:cs="宋体"/>
          <w:kern w:val="0"/>
          <w:lang w:val="zh-CN"/>
        </w:rPr>
        <w:t>5</w:t>
      </w:r>
      <w:r>
        <w:rPr>
          <w:rFonts w:hint="eastAsia" w:ascii="宋体" w:hAnsi="宋体" w:cs="宋体"/>
          <w:kern w:val="0"/>
          <w:lang w:val="zh-CN"/>
        </w:rPr>
        <w:t>日的，顺延提交首次磋商响应文件的截止时间。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6.2 </w:t>
      </w:r>
      <w:r>
        <w:rPr>
          <w:rFonts w:hint="eastAsia" w:ascii="宋体" w:hAnsi="宋体" w:cs="宋体"/>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pPr>
        <w:pStyle w:val="20"/>
        <w:spacing w:before="0" w:after="0" w:line="360" w:lineRule="auto"/>
        <w:rPr>
          <w:rFonts w:ascii="宋体" w:cs="宋体"/>
        </w:rPr>
      </w:pPr>
      <w:bookmarkStart w:id="11" w:name="_Toc37664004"/>
      <w:r>
        <w:rPr>
          <w:rFonts w:hint="eastAsia" w:ascii="宋体" w:hAnsi="宋体" w:cs="宋体"/>
          <w:lang w:val="zh-CN"/>
        </w:rPr>
        <w:t>三、磋商响应文件的编制</w:t>
      </w:r>
      <w:bookmarkEnd w:id="11"/>
    </w:p>
    <w:p>
      <w:pPr>
        <w:pStyle w:val="20"/>
        <w:spacing w:before="0" w:after="0" w:line="360" w:lineRule="auto"/>
        <w:jc w:val="left"/>
        <w:rPr>
          <w:rFonts w:ascii="宋体" w:cs="宋体"/>
          <w:lang w:val="zh-CN"/>
        </w:rPr>
      </w:pPr>
      <w:bookmarkStart w:id="12" w:name="_Toc37664005"/>
      <w:r>
        <w:rPr>
          <w:rFonts w:ascii="宋体" w:hAnsi="宋体" w:cs="宋体"/>
          <w:sz w:val="28"/>
          <w:szCs w:val="28"/>
          <w:lang w:val="zh-CN"/>
        </w:rPr>
        <w:t>7.</w:t>
      </w:r>
      <w:r>
        <w:rPr>
          <w:rFonts w:hint="eastAsia" w:ascii="宋体" w:hAnsi="宋体" w:cs="宋体"/>
          <w:sz w:val="28"/>
          <w:szCs w:val="28"/>
          <w:lang w:val="zh-CN"/>
        </w:rPr>
        <w:t>磋商响应文件的语言及度量衡单位</w:t>
      </w:r>
      <w:bookmarkEnd w:id="12"/>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7.1 </w:t>
      </w:r>
      <w:r>
        <w:rPr>
          <w:rFonts w:hint="eastAsia" w:ascii="宋体" w:hAnsi="宋体" w:cs="宋体"/>
          <w:kern w:val="0"/>
          <w:lang w:val="zh-CN"/>
        </w:rPr>
        <w:t>投标人提交的磋商响应文件以及投标人与集中采购机构就此磋商发生的所有来往函电均应使用简体中文。</w:t>
      </w:r>
      <w:r>
        <w:rPr>
          <w:rFonts w:hint="eastAsia" w:ascii="宋体" w:hAnsi="宋体" w:cs="宋体"/>
        </w:rPr>
        <w:t>除签名、盖章、专用名称等特殊情形外，以中文汉语以外的文字表述的磋商响应文件视同未提供。</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7.2 </w:t>
      </w:r>
      <w:r>
        <w:rPr>
          <w:rFonts w:hint="eastAsia" w:ascii="宋体" w:hAnsi="宋体" w:cs="宋体"/>
          <w:kern w:val="0"/>
          <w:lang w:val="zh-CN"/>
        </w:rPr>
        <w:t>除磋商文件中另有规定外，磋商响应文件所使用的度量衡单位，均须采用国家法定计量单位。</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7.3 </w:t>
      </w:r>
      <w:r>
        <w:rPr>
          <w:rFonts w:hint="eastAsia" w:ascii="宋体" w:hAnsi="宋体" w:cs="宋体"/>
          <w:kern w:val="0"/>
          <w:lang w:val="zh-CN"/>
        </w:rPr>
        <w:t>附有外文资料的，须翻译成中文并加盖投标人公章，如果翻译的中文资料与外文资料存在差异和矛盾时，以中文资料为准。其准确性由投标人负责。</w:t>
      </w:r>
    </w:p>
    <w:p>
      <w:pPr>
        <w:pStyle w:val="20"/>
        <w:spacing w:before="0" w:after="0" w:line="360" w:lineRule="auto"/>
        <w:jc w:val="left"/>
        <w:rPr>
          <w:rFonts w:ascii="宋体" w:cs="宋体"/>
          <w:lang w:val="zh-CN"/>
        </w:rPr>
      </w:pPr>
      <w:bookmarkStart w:id="13" w:name="_Toc37664006"/>
      <w:r>
        <w:rPr>
          <w:rFonts w:ascii="宋体" w:hAnsi="宋体" w:cs="宋体"/>
          <w:sz w:val="28"/>
          <w:szCs w:val="28"/>
          <w:lang w:val="zh-CN"/>
        </w:rPr>
        <w:t>8.</w:t>
      </w:r>
      <w:r>
        <w:rPr>
          <w:rFonts w:hint="eastAsia" w:ascii="宋体" w:hAnsi="宋体" w:cs="宋体"/>
          <w:sz w:val="28"/>
          <w:szCs w:val="28"/>
          <w:lang w:val="zh-CN"/>
        </w:rPr>
        <w:t>磋商报价及币种</w:t>
      </w:r>
      <w:bookmarkEnd w:id="1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8.l </w:t>
      </w:r>
      <w:r>
        <w:rPr>
          <w:rFonts w:hint="eastAsia" w:ascii="宋体" w:hAnsi="宋体" w:cs="宋体"/>
          <w:kern w:val="0"/>
          <w:lang w:val="zh-CN"/>
        </w:rPr>
        <w:t>磋商报价为总报价。必须包括：产品费、验收费、手续费、包装费、运输费、保险费、安装费、调试费、培训费、售前、售中、售后服务费、招标代理费、税金及不可预见费等全部费用。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8.2 </w:t>
      </w:r>
      <w:r>
        <w:rPr>
          <w:rFonts w:hint="eastAsia" w:ascii="宋体" w:hAnsi="宋体" w:cs="宋体"/>
          <w:kern w:val="0"/>
          <w:lang w:val="zh-CN"/>
        </w:rPr>
        <w:t>磋商报价有效期与磋商有效期一致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8.3 </w:t>
      </w:r>
      <w:r>
        <w:rPr>
          <w:rFonts w:hint="eastAsia" w:ascii="宋体" w:hAnsi="宋体" w:cs="宋体"/>
          <w:kern w:val="0"/>
          <w:lang w:val="zh-CN"/>
        </w:rPr>
        <w:t>最后磋商报价为闭口价，即成交后在合同有效期内价格不变。</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8.4 </w:t>
      </w:r>
      <w:r>
        <w:rPr>
          <w:rFonts w:hint="eastAsia" w:ascii="宋体" w:hAnsi="宋体" w:cs="宋体"/>
          <w:kern w:val="0"/>
          <w:lang w:val="zh-CN"/>
        </w:rPr>
        <w:t>磋商币种为人民币。</w:t>
      </w:r>
    </w:p>
    <w:p>
      <w:pPr>
        <w:pStyle w:val="20"/>
        <w:spacing w:before="0" w:after="0" w:line="360" w:lineRule="auto"/>
        <w:jc w:val="left"/>
        <w:rPr>
          <w:rFonts w:ascii="宋体" w:cs="宋体"/>
          <w:lang w:val="zh-CN"/>
        </w:rPr>
      </w:pPr>
      <w:bookmarkStart w:id="14" w:name="_Toc37664007"/>
      <w:r>
        <w:rPr>
          <w:rFonts w:ascii="宋体" w:hAnsi="宋体" w:cs="宋体"/>
          <w:sz w:val="28"/>
          <w:szCs w:val="28"/>
          <w:lang w:val="zh-CN"/>
        </w:rPr>
        <w:t>9.</w:t>
      </w:r>
      <w:r>
        <w:rPr>
          <w:rFonts w:hint="eastAsia" w:ascii="宋体" w:hAnsi="宋体" w:cs="宋体"/>
          <w:sz w:val="28"/>
          <w:szCs w:val="28"/>
          <w:lang w:val="zh-CN"/>
        </w:rPr>
        <w:t>磋商保证金</w:t>
      </w:r>
      <w:bookmarkEnd w:id="14"/>
    </w:p>
    <w:p>
      <w:pPr>
        <w:autoSpaceDE w:val="0"/>
        <w:autoSpaceDN w:val="0"/>
        <w:spacing w:line="360" w:lineRule="auto"/>
        <w:ind w:firstLine="360" w:firstLineChars="150"/>
        <w:rPr>
          <w:rFonts w:ascii="宋体" w:cs="宋体"/>
          <w:lang w:val="zh-CN"/>
        </w:rPr>
      </w:pPr>
      <w:r>
        <w:rPr>
          <w:rFonts w:ascii="宋体" w:hAnsi="宋体" w:cs="宋体"/>
          <w:kern w:val="0"/>
          <w:lang w:val="zh-CN"/>
        </w:rPr>
        <w:t xml:space="preserve">9.1 </w:t>
      </w:r>
      <w:r>
        <w:rPr>
          <w:rFonts w:hint="eastAsia" w:ascii="宋体" w:hAnsi="宋体" w:cs="宋体"/>
          <w:lang w:val="en-US" w:eastAsia="zh-CN"/>
        </w:rPr>
        <w:t>本项目不需要缴纳磋商保证金</w:t>
      </w:r>
      <w:r>
        <w:rPr>
          <w:rFonts w:hint="eastAsia" w:ascii="宋体" w:hAnsi="宋体" w:cs="宋体"/>
          <w:lang w:val="zh-CN"/>
        </w:rPr>
        <w:t>。</w:t>
      </w:r>
    </w:p>
    <w:p>
      <w:pPr>
        <w:pStyle w:val="20"/>
        <w:spacing w:before="0" w:after="0" w:line="360" w:lineRule="auto"/>
        <w:jc w:val="left"/>
        <w:rPr>
          <w:rFonts w:ascii="宋体" w:cs="宋体"/>
          <w:lang w:val="zh-CN"/>
        </w:rPr>
      </w:pPr>
      <w:bookmarkStart w:id="15" w:name="_Toc37664008"/>
      <w:r>
        <w:rPr>
          <w:rFonts w:ascii="宋体" w:hAnsi="宋体" w:cs="宋体"/>
          <w:sz w:val="28"/>
          <w:szCs w:val="28"/>
          <w:lang w:val="zh-CN"/>
        </w:rPr>
        <w:t>10.</w:t>
      </w:r>
      <w:r>
        <w:rPr>
          <w:rFonts w:hint="eastAsia" w:ascii="宋体" w:hAnsi="宋体" w:cs="宋体"/>
          <w:sz w:val="28"/>
          <w:szCs w:val="28"/>
          <w:lang w:val="zh-CN"/>
        </w:rPr>
        <w:t>磋商有效期</w:t>
      </w:r>
      <w:bookmarkEnd w:id="15"/>
    </w:p>
    <w:p>
      <w:pPr>
        <w:autoSpaceDE w:val="0"/>
        <w:autoSpaceDN w:val="0"/>
        <w:spacing w:line="360" w:lineRule="auto"/>
        <w:ind w:firstLine="480" w:firstLineChars="200"/>
        <w:rPr>
          <w:rFonts w:ascii="宋体" w:cs="宋体"/>
          <w:kern w:val="0"/>
          <w:lang w:val="zh-CN"/>
        </w:rPr>
      </w:pPr>
      <w:r>
        <w:rPr>
          <w:rFonts w:hint="eastAsia" w:ascii="宋体" w:hAnsi="宋体" w:cs="宋体"/>
          <w:shd w:val="clear" w:color="auto" w:fill="FFFFFF"/>
        </w:rPr>
        <w:t>从提交磋商响应文件的截止之日起</w:t>
      </w:r>
      <w:r>
        <w:rPr>
          <w:rFonts w:ascii="宋体" w:hAnsi="宋体" w:cs="宋体"/>
          <w:kern w:val="0"/>
        </w:rPr>
        <w:t>60</w:t>
      </w:r>
      <w:r>
        <w:rPr>
          <w:rFonts w:hint="eastAsia" w:ascii="宋体" w:hAnsi="宋体" w:cs="宋体"/>
          <w:kern w:val="0"/>
        </w:rPr>
        <w:t>天</w:t>
      </w:r>
      <w:r>
        <w:rPr>
          <w:rFonts w:hint="eastAsia" w:ascii="宋体" w:hAnsi="宋体" w:cs="宋体"/>
          <w:kern w:val="0"/>
          <w:lang w:val="zh-CN"/>
        </w:rPr>
        <w:t>。磋商响应文件中承诺的磋商有效期应当不少于磋商文件中载明的磋商有效期。磋商有效期内投标人撤销磋商响应文件的，集中采购机构可以不退还磋商保证金。</w:t>
      </w:r>
    </w:p>
    <w:p>
      <w:pPr>
        <w:pStyle w:val="20"/>
        <w:spacing w:before="0" w:after="0" w:line="360" w:lineRule="auto"/>
        <w:jc w:val="left"/>
        <w:rPr>
          <w:rFonts w:ascii="宋体" w:cs="宋体"/>
          <w:lang w:val="zh-CN"/>
        </w:rPr>
      </w:pPr>
      <w:bookmarkStart w:id="16" w:name="_Toc37664009"/>
      <w:r>
        <w:rPr>
          <w:rFonts w:ascii="宋体" w:hAnsi="宋体" w:cs="宋体"/>
          <w:sz w:val="28"/>
          <w:szCs w:val="28"/>
          <w:lang w:val="zh-CN"/>
        </w:rPr>
        <w:t>11.</w:t>
      </w:r>
      <w:r>
        <w:rPr>
          <w:rFonts w:hint="eastAsia" w:ascii="宋体" w:hAnsi="宋体" w:cs="宋体"/>
          <w:sz w:val="28"/>
          <w:szCs w:val="28"/>
          <w:lang w:val="zh-CN"/>
        </w:rPr>
        <w:t>磋商响应文件构成</w:t>
      </w:r>
      <w:bookmarkEnd w:id="1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 </w:t>
      </w:r>
      <w:r>
        <w:rPr>
          <w:rFonts w:hint="eastAsia" w:ascii="宋体" w:hAnsi="宋体" w:cs="宋体"/>
          <w:kern w:val="0"/>
          <w:lang w:val="zh-CN"/>
        </w:rPr>
        <w:t>投标人应提交相关证明材料，作为其参加投标和成交后有能力履行合同的证明。编写的磋商响应文件须包括以下内容（格式详见磋商文件第四部分内容）：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11.1.1 </w:t>
      </w:r>
      <w:r>
        <w:rPr>
          <w:rFonts w:hint="eastAsia" w:ascii="宋体" w:hAnsi="宋体" w:cs="宋体"/>
          <w:kern w:val="0"/>
          <w:lang w:val="zh-CN"/>
        </w:rPr>
        <w:t>磋商响应文件（上册）资格审查文件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）磋商函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）法定代表人证明书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）法定代表人授权书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）投标人承诺函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）投标人诚信承诺书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）投标人资格证明文件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）财务状况、缴纳税收和社会保障资金证明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）无重大违法记录声明</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11.1.2 </w:t>
      </w:r>
      <w:r>
        <w:rPr>
          <w:rFonts w:hint="eastAsia" w:ascii="宋体" w:hAnsi="宋体" w:cs="宋体"/>
          <w:kern w:val="0"/>
          <w:lang w:val="zh-CN"/>
        </w:rPr>
        <w:t>磋商响应文件（下册）符合性审查文件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hint="eastAsia" w:ascii="宋体" w:hAnsi="宋体" w:cs="宋体"/>
          <w:kern w:val="0"/>
          <w:lang w:val="en-US" w:eastAsia="zh-CN"/>
        </w:rPr>
        <w:t>9</w:t>
      </w:r>
      <w:r>
        <w:rPr>
          <w:rFonts w:hint="eastAsia" w:ascii="宋体" w:hAnsi="宋体" w:cs="宋体"/>
          <w:kern w:val="0"/>
          <w:lang w:val="zh-CN"/>
        </w:rPr>
        <w:t>）竞争性磋商首次报价表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hint="eastAsia" w:ascii="宋体" w:hAnsi="宋体" w:cs="宋体"/>
          <w:kern w:val="0"/>
          <w:lang w:val="en-US" w:eastAsia="zh-CN"/>
        </w:rPr>
        <w:t>10</w:t>
      </w:r>
      <w:r>
        <w:rPr>
          <w:rFonts w:hint="eastAsia" w:ascii="宋体" w:hAnsi="宋体" w:cs="宋体"/>
          <w:kern w:val="0"/>
          <w:lang w:val="zh-CN"/>
        </w:rPr>
        <w:t>）分项报价表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hint="eastAsia" w:ascii="宋体" w:hAnsi="宋体" w:cs="宋体"/>
          <w:kern w:val="0"/>
          <w:lang w:val="en-US" w:eastAsia="zh-CN"/>
        </w:rPr>
        <w:t>11</w:t>
      </w:r>
      <w:r>
        <w:rPr>
          <w:rFonts w:hint="eastAsia" w:ascii="宋体" w:hAnsi="宋体" w:cs="宋体"/>
          <w:kern w:val="0"/>
          <w:lang w:val="zh-CN"/>
        </w:rPr>
        <w:t>）技术规格响应表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hint="eastAsia" w:ascii="宋体" w:hAnsi="宋体" w:cs="宋体"/>
          <w:kern w:val="0"/>
          <w:lang w:val="en-US" w:eastAsia="zh-CN"/>
        </w:rPr>
        <w:t>12</w:t>
      </w:r>
      <w:r>
        <w:rPr>
          <w:rFonts w:hint="eastAsia" w:ascii="宋体" w:hAnsi="宋体" w:cs="宋体"/>
          <w:kern w:val="0"/>
          <w:lang w:val="zh-CN"/>
        </w:rPr>
        <w:t>）其他资格证明材料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hint="eastAsia" w:ascii="宋体" w:hAnsi="宋体" w:cs="宋体"/>
          <w:kern w:val="0"/>
          <w:lang w:val="en-US" w:eastAsia="zh-CN"/>
        </w:rPr>
        <w:t>13</w:t>
      </w:r>
      <w:r>
        <w:rPr>
          <w:rFonts w:hint="eastAsia" w:ascii="宋体" w:hAnsi="宋体" w:cs="宋体"/>
          <w:kern w:val="0"/>
          <w:lang w:val="zh-CN"/>
        </w:rPr>
        <w:t>）投标产品相关资料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hint="eastAsia" w:ascii="宋体" w:hAnsi="宋体" w:cs="宋体"/>
          <w:kern w:val="0"/>
          <w:lang w:val="en-US" w:eastAsia="zh-CN"/>
        </w:rPr>
        <w:t>14</w:t>
      </w:r>
      <w:r>
        <w:rPr>
          <w:rFonts w:hint="eastAsia" w:ascii="宋体" w:hAnsi="宋体" w:cs="宋体"/>
          <w:kern w:val="0"/>
          <w:lang w:val="zh-CN"/>
        </w:rPr>
        <w:t>）投标人类似业绩证明材料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hint="eastAsia" w:ascii="宋体" w:hAnsi="宋体" w:cs="宋体"/>
          <w:kern w:val="0"/>
          <w:lang w:val="en-US" w:eastAsia="zh-CN"/>
        </w:rPr>
        <w:t>15</w:t>
      </w:r>
      <w:r>
        <w:rPr>
          <w:rFonts w:hint="eastAsia" w:ascii="宋体" w:hAnsi="宋体" w:cs="宋体"/>
          <w:kern w:val="0"/>
          <w:lang w:val="zh-CN"/>
        </w:rPr>
        <w:t>）制造（生产）企业小型、微型企业声明函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hint="eastAsia" w:ascii="宋体" w:hAnsi="宋体" w:cs="宋体"/>
          <w:kern w:val="0"/>
          <w:lang w:val="en-US" w:eastAsia="zh-CN"/>
        </w:rPr>
        <w:t>16</w:t>
      </w:r>
      <w:r>
        <w:rPr>
          <w:rFonts w:hint="eastAsia" w:ascii="宋体" w:hAnsi="宋体" w:cs="宋体"/>
          <w:kern w:val="0"/>
          <w:lang w:val="zh-CN"/>
        </w:rPr>
        <w:t>）残疾人福利性单位声明函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hint="eastAsia" w:ascii="宋体" w:hAnsi="宋体" w:cs="宋体"/>
          <w:kern w:val="0"/>
          <w:lang w:val="en-US" w:eastAsia="zh-CN"/>
        </w:rPr>
        <w:t>17</w:t>
      </w:r>
      <w:r>
        <w:rPr>
          <w:rFonts w:hint="eastAsia" w:ascii="宋体" w:hAnsi="宋体" w:cs="宋体"/>
          <w:kern w:val="0"/>
          <w:lang w:val="zh-CN"/>
        </w:rPr>
        <w:t>）销售及服务相关内容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hint="eastAsia" w:ascii="宋体" w:hAnsi="宋体" w:cs="宋体"/>
          <w:kern w:val="0"/>
          <w:lang w:val="en-US" w:eastAsia="zh-CN"/>
        </w:rPr>
        <w:t>18</w:t>
      </w:r>
      <w:r>
        <w:rPr>
          <w:rFonts w:hint="eastAsia" w:ascii="宋体" w:hAnsi="宋体" w:cs="宋体"/>
          <w:kern w:val="0"/>
          <w:lang w:val="zh-CN"/>
        </w:rPr>
        <w:t>）投标人在其他方面有必要说明的事项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注：投标人须按上述内容、顺序和第</w:t>
      </w:r>
      <w:r>
        <w:rPr>
          <w:rFonts w:ascii="宋体" w:hAnsi="宋体" w:cs="宋体"/>
          <w:kern w:val="0"/>
          <w:lang w:val="zh-CN"/>
        </w:rPr>
        <w:t>12</w:t>
      </w:r>
      <w:r>
        <w:rPr>
          <w:rFonts w:hint="eastAsia" w:ascii="宋体" w:hAnsi="宋体" w:cs="宋体"/>
          <w:kern w:val="0"/>
          <w:lang w:val="zh-CN"/>
        </w:rPr>
        <w:t>项“磋商响应文件格式及编制要求”格式编制磋商响应文件。</w:t>
      </w:r>
    </w:p>
    <w:p>
      <w:pPr>
        <w:pStyle w:val="20"/>
        <w:spacing w:before="0" w:after="0" w:line="360" w:lineRule="auto"/>
        <w:jc w:val="left"/>
        <w:rPr>
          <w:rFonts w:ascii="宋体" w:cs="宋体"/>
          <w:sz w:val="28"/>
          <w:szCs w:val="28"/>
          <w:lang w:val="zh-CN"/>
        </w:rPr>
      </w:pPr>
      <w:bookmarkStart w:id="17" w:name="_Toc37664010"/>
      <w:r>
        <w:rPr>
          <w:rFonts w:ascii="宋体" w:hAnsi="宋体" w:cs="宋体"/>
          <w:sz w:val="28"/>
          <w:szCs w:val="28"/>
          <w:lang w:val="zh-CN"/>
        </w:rPr>
        <w:t>12.</w:t>
      </w:r>
      <w:r>
        <w:rPr>
          <w:rFonts w:hint="eastAsia" w:ascii="宋体" w:hAnsi="宋体" w:cs="宋体"/>
          <w:sz w:val="28"/>
          <w:szCs w:val="28"/>
          <w:lang w:val="zh-CN"/>
        </w:rPr>
        <w:t>磋商文件格式及编制要求</w:t>
      </w:r>
      <w:bookmarkEnd w:id="17"/>
    </w:p>
    <w:p>
      <w:pPr>
        <w:autoSpaceDE w:val="0"/>
        <w:autoSpaceDN w:val="0"/>
        <w:spacing w:line="360" w:lineRule="auto"/>
        <w:ind w:firstLine="360" w:firstLineChars="150"/>
        <w:rPr>
          <w:rFonts w:hAnsi="宋体"/>
        </w:rPr>
      </w:pPr>
      <w:r>
        <w:rPr>
          <w:rFonts w:ascii="宋体" w:hAnsi="宋体" w:cs="宋体"/>
          <w:kern w:val="0"/>
          <w:lang w:val="zh-CN"/>
        </w:rPr>
        <w:t xml:space="preserve">12.1 </w:t>
      </w:r>
      <w:r>
        <w:rPr>
          <w:rFonts w:hint="eastAsia" w:hAnsi="宋体"/>
        </w:rPr>
        <w:t>磋商响应文件格式及编制要求：详见第一部分投标人须知前附表“磋商响应文件格式及编制要求”。</w:t>
      </w:r>
    </w:p>
    <w:p>
      <w:pPr>
        <w:autoSpaceDE w:val="0"/>
        <w:autoSpaceDN w:val="0"/>
        <w:spacing w:line="360" w:lineRule="auto"/>
        <w:ind w:firstLine="360" w:firstLineChars="150"/>
        <w:rPr>
          <w:rFonts w:hAnsi="宋体"/>
        </w:rPr>
      </w:pPr>
      <w:r>
        <w:rPr>
          <w:rFonts w:hAnsi="宋体"/>
        </w:rPr>
        <w:t xml:space="preserve">12.2 </w:t>
      </w:r>
      <w:r>
        <w:rPr>
          <w:rFonts w:hint="eastAsia" w:hAnsi="宋体"/>
        </w:rPr>
        <w:t>投标人须在“法定代表人授权书”中提供被授权人（委托代理人）准确的联系方式。</w:t>
      </w:r>
    </w:p>
    <w:p>
      <w:pPr>
        <w:pStyle w:val="20"/>
        <w:spacing w:before="0" w:after="0" w:line="360" w:lineRule="auto"/>
        <w:rPr>
          <w:rFonts w:ascii="宋体" w:cs="宋体"/>
          <w:lang w:val="zh-CN"/>
        </w:rPr>
      </w:pPr>
      <w:bookmarkStart w:id="18" w:name="_Toc37664011"/>
      <w:r>
        <w:rPr>
          <w:rFonts w:hint="eastAsia" w:ascii="宋体" w:hAnsi="宋体" w:cs="宋体"/>
          <w:lang w:val="zh-CN"/>
        </w:rPr>
        <w:t>四、磋商响应文件的递交</w:t>
      </w:r>
      <w:bookmarkEnd w:id="18"/>
    </w:p>
    <w:p>
      <w:pPr>
        <w:pStyle w:val="20"/>
        <w:spacing w:before="0" w:after="0" w:line="360" w:lineRule="auto"/>
        <w:jc w:val="left"/>
        <w:rPr>
          <w:rFonts w:ascii="宋体" w:cs="宋体"/>
          <w:lang w:val="zh-CN"/>
        </w:rPr>
      </w:pPr>
      <w:bookmarkStart w:id="19" w:name="_Toc37664012"/>
      <w:r>
        <w:rPr>
          <w:rFonts w:ascii="宋体" w:hAnsi="宋体" w:cs="宋体"/>
          <w:sz w:val="28"/>
          <w:szCs w:val="28"/>
          <w:lang w:val="zh-CN"/>
        </w:rPr>
        <w:t>13.</w:t>
      </w:r>
      <w:r>
        <w:rPr>
          <w:rFonts w:hint="eastAsia" w:ascii="宋体" w:hAnsi="宋体" w:cs="宋体"/>
          <w:sz w:val="28"/>
          <w:szCs w:val="28"/>
          <w:lang w:val="zh-CN"/>
        </w:rPr>
        <w:t>磋商响应文件的密封和标记</w:t>
      </w:r>
      <w:bookmarkEnd w:id="19"/>
    </w:p>
    <w:p>
      <w:pPr>
        <w:pStyle w:val="7"/>
        <w:spacing w:line="360" w:lineRule="auto"/>
        <w:ind w:firstLine="480" w:firstLineChars="200"/>
        <w:jc w:val="both"/>
        <w:rPr>
          <w:rFonts w:ascii="宋体"/>
          <w:kern w:val="2"/>
        </w:rPr>
      </w:pPr>
      <w:r>
        <w:rPr>
          <w:rFonts w:ascii="宋体" w:hAnsi="宋体" w:cs="宋体"/>
          <w:kern w:val="0"/>
          <w:lang w:val="zh-CN"/>
        </w:rPr>
        <w:t xml:space="preserve">13.1 </w:t>
      </w:r>
      <w:r>
        <w:rPr>
          <w:rFonts w:hint="eastAsia" w:ascii="宋体" w:hAnsi="宋体"/>
          <w:kern w:val="2"/>
        </w:rPr>
        <w:t>供应商应当在磋商文件要求的截止时间前，将</w:t>
      </w:r>
      <w:r>
        <w:rPr>
          <w:rFonts w:hint="eastAsia" w:ascii="宋体" w:hAnsi="宋体"/>
          <w:kern w:val="2"/>
          <w:lang w:val="en-US" w:eastAsia="zh-CN"/>
        </w:rPr>
        <w:t>加密电子投标文件一份务必在开标截止前上传至电子开评标系统，在截止时间后上传的</w:t>
      </w:r>
      <w:r>
        <w:rPr>
          <w:rFonts w:hint="eastAsia" w:ascii="宋体" w:hAnsi="宋体"/>
          <w:kern w:val="2"/>
        </w:rPr>
        <w:t>，</w:t>
      </w:r>
      <w:r>
        <w:rPr>
          <w:rFonts w:hint="eastAsia" w:ascii="宋体" w:hAnsi="宋体"/>
          <w:kern w:val="2"/>
          <w:lang w:val="en-US" w:eastAsia="zh-CN"/>
        </w:rPr>
        <w:t>采购人、采购机构或者评标委员会应当拒收。</w:t>
      </w:r>
    </w:p>
    <w:p>
      <w:pPr>
        <w:pStyle w:val="7"/>
        <w:spacing w:line="360" w:lineRule="auto"/>
        <w:ind w:firstLine="480" w:firstLineChars="200"/>
        <w:jc w:val="both"/>
        <w:rPr>
          <w:rFonts w:hint="eastAsia" w:ascii="宋体" w:hAnsi="宋体"/>
          <w:kern w:val="2"/>
          <w:lang w:val="en-US" w:eastAsia="zh-CN"/>
        </w:rPr>
      </w:pPr>
      <w:r>
        <w:rPr>
          <w:rFonts w:hint="eastAsia" w:ascii="宋体" w:hAnsi="宋体"/>
          <w:kern w:val="2"/>
          <w:lang w:val="en-US" w:eastAsia="zh-CN"/>
        </w:rPr>
        <w:t>13.2本项目为全流程线上磋商。</w:t>
      </w:r>
    </w:p>
    <w:p>
      <w:pPr>
        <w:autoSpaceDE w:val="0"/>
        <w:autoSpaceDN w:val="0"/>
        <w:spacing w:line="360" w:lineRule="auto"/>
        <w:ind w:firstLine="480" w:firstLineChars="200"/>
        <w:rPr>
          <w:rFonts w:ascii="宋体" w:cs="宋体"/>
          <w:kern w:val="0"/>
          <w:lang w:val="zh-CN"/>
        </w:rPr>
      </w:pPr>
      <w:r>
        <w:rPr>
          <w:rFonts w:hint="eastAsia" w:ascii="宋体" w:hAnsi="宋体"/>
          <w:kern w:val="2"/>
          <w:lang w:val="en-US" w:eastAsia="zh-CN"/>
        </w:rPr>
        <w:t>13.3递交地点：由采购人（采购代理机构）在</w:t>
      </w:r>
      <w:r>
        <w:rPr>
          <w:rFonts w:hint="eastAsia" w:ascii="宋体" w:hAnsi="宋体" w:cs="宋体"/>
          <w:lang w:val="zh-CN"/>
        </w:rPr>
        <w:t>大通回族土族自治县政府采购</w:t>
      </w:r>
      <w:r>
        <w:rPr>
          <w:rFonts w:hint="eastAsia" w:ascii="宋体" w:hAnsi="宋体" w:cs="宋体"/>
        </w:rPr>
        <w:t>服务</w:t>
      </w:r>
      <w:r>
        <w:rPr>
          <w:rFonts w:hint="eastAsia" w:ascii="宋体" w:hAnsi="宋体" w:cs="宋体"/>
          <w:lang w:val="zh-CN"/>
        </w:rPr>
        <w:t>中心</w:t>
      </w:r>
      <w:r>
        <w:rPr>
          <w:rFonts w:hint="eastAsia" w:ascii="宋体" w:hAnsi="宋体" w:cs="宋体"/>
          <w:lang w:val="en-US" w:eastAsia="zh-CN"/>
        </w:rPr>
        <w:t>开标室组织远程解密、远程不见面线上解密，供应商须在截止时间前将加密的响应文件上传到政府采购云平台（</w:t>
      </w:r>
      <w:r>
        <w:rPr>
          <w:rFonts w:hint="eastAsia" w:ascii="宋体" w:cs="宋体"/>
          <w:lang w:val="en-US" w:eastAsia="zh-CN"/>
        </w:rPr>
        <w:t>https://www.zcygov.cn/</w:t>
      </w:r>
      <w:r>
        <w:rPr>
          <w:rFonts w:hint="eastAsia" w:ascii="宋体" w:hAnsi="宋体" w:cs="宋体"/>
          <w:lang w:val="en-US" w:eastAsia="zh-CN"/>
        </w:rPr>
        <w:t>）。</w:t>
      </w:r>
    </w:p>
    <w:p>
      <w:pPr>
        <w:pStyle w:val="20"/>
        <w:spacing w:before="0" w:after="0" w:line="360" w:lineRule="auto"/>
        <w:jc w:val="left"/>
        <w:rPr>
          <w:rFonts w:ascii="宋体" w:cs="宋体"/>
          <w:sz w:val="28"/>
          <w:szCs w:val="28"/>
          <w:lang w:val="zh-CN"/>
        </w:rPr>
      </w:pPr>
      <w:bookmarkStart w:id="20" w:name="_Toc37664013"/>
      <w:r>
        <w:rPr>
          <w:rFonts w:ascii="宋体" w:hAnsi="宋体" w:cs="宋体"/>
          <w:sz w:val="28"/>
          <w:szCs w:val="28"/>
          <w:lang w:val="zh-CN"/>
        </w:rPr>
        <w:t xml:space="preserve">14. </w:t>
      </w:r>
      <w:r>
        <w:rPr>
          <w:rFonts w:hint="eastAsia" w:ascii="宋体" w:hAnsi="宋体" w:cs="宋体"/>
          <w:sz w:val="28"/>
          <w:szCs w:val="28"/>
          <w:lang w:val="zh-CN"/>
        </w:rPr>
        <w:t>递交磋商响应文件程序</w:t>
      </w:r>
      <w:bookmarkEnd w:id="20"/>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14.1 </w:t>
      </w:r>
      <w:r>
        <w:rPr>
          <w:rFonts w:hint="eastAsia" w:ascii="宋体" w:hAnsi="宋体" w:cs="宋体"/>
          <w:kern w:val="0"/>
          <w:lang w:val="zh-CN"/>
        </w:rPr>
        <w:t>递交磋商响应文件程序：详见第一部分投标人须知前附表“递交磋商响应文件程序”。</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14.2 </w:t>
      </w:r>
      <w:r>
        <w:rPr>
          <w:rFonts w:hint="eastAsia" w:ascii="宋体" w:hAnsi="宋体" w:cs="宋体"/>
          <w:kern w:val="0"/>
          <w:lang w:val="zh-CN"/>
        </w:rPr>
        <w:t>投标人在提交磋商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14.3 </w:t>
      </w:r>
      <w:r>
        <w:rPr>
          <w:rFonts w:hint="eastAsia" w:ascii="宋体" w:hAnsi="宋体" w:cs="宋体"/>
          <w:kern w:val="0"/>
          <w:lang w:val="zh-CN"/>
        </w:rPr>
        <w:t>供应商以电报、电话、传真形式递交磋商响应文件的，集中采购机构概不接受。</w:t>
      </w:r>
    </w:p>
    <w:p>
      <w:pPr>
        <w:pStyle w:val="20"/>
        <w:spacing w:before="0" w:after="0" w:line="360" w:lineRule="auto"/>
        <w:rPr>
          <w:rFonts w:ascii="宋体" w:cs="宋体"/>
          <w:lang w:val="zh-CN"/>
        </w:rPr>
      </w:pPr>
      <w:bookmarkStart w:id="21" w:name="_Toc37664014"/>
      <w:r>
        <w:rPr>
          <w:rFonts w:hint="eastAsia" w:ascii="宋体" w:hAnsi="宋体" w:cs="宋体"/>
          <w:lang w:val="zh-CN"/>
        </w:rPr>
        <w:t>五、开标</w:t>
      </w:r>
      <w:bookmarkEnd w:id="21"/>
    </w:p>
    <w:p>
      <w:pPr>
        <w:pStyle w:val="20"/>
        <w:spacing w:before="0" w:after="0" w:line="360" w:lineRule="auto"/>
        <w:jc w:val="left"/>
        <w:rPr>
          <w:rFonts w:ascii="宋体" w:cs="宋体"/>
          <w:sz w:val="28"/>
          <w:szCs w:val="28"/>
          <w:lang w:val="zh-CN"/>
        </w:rPr>
      </w:pPr>
      <w:bookmarkStart w:id="22" w:name="_Toc37664015"/>
      <w:r>
        <w:rPr>
          <w:rFonts w:ascii="宋体" w:hAnsi="宋体" w:cs="宋体"/>
          <w:sz w:val="28"/>
          <w:szCs w:val="28"/>
          <w:lang w:val="zh-CN"/>
        </w:rPr>
        <w:t>15.</w:t>
      </w:r>
      <w:r>
        <w:rPr>
          <w:rFonts w:hint="eastAsia" w:ascii="宋体" w:hAnsi="宋体" w:cs="宋体"/>
          <w:sz w:val="28"/>
          <w:szCs w:val="28"/>
          <w:lang w:val="zh-CN"/>
        </w:rPr>
        <w:t>开标</w:t>
      </w:r>
      <w:bookmarkEnd w:id="22"/>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15.1</w:t>
      </w:r>
      <w:r>
        <w:rPr>
          <w:rFonts w:hint="eastAsia" w:ascii="宋体" w:hAnsi="宋体" w:cs="宋体"/>
          <w:kern w:val="0"/>
          <w:lang w:val="zh-CN"/>
        </w:rPr>
        <w:t>开标应当在磋商文件确定的提交磋商响应文件截止时间的同一时间进行。集中采购机构应当按本文件中确定的时间和地点组织开标活动。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15.2 </w:t>
      </w:r>
      <w:r>
        <w:rPr>
          <w:rFonts w:hint="eastAsia" w:ascii="宋体" w:hAnsi="宋体" w:cs="宋体"/>
          <w:kern w:val="0"/>
          <w:lang w:val="zh-CN"/>
        </w:rPr>
        <w:t>开标由集中采购机构主持，邀请投标人参加。评标委员会成员（包括采购人代表）不得参加开标活动。</w:t>
      </w:r>
    </w:p>
    <w:p>
      <w:pPr>
        <w:autoSpaceDE w:val="0"/>
        <w:autoSpaceDN w:val="0"/>
        <w:spacing w:line="360" w:lineRule="auto"/>
        <w:ind w:firstLine="480" w:firstLineChars="200"/>
        <w:rPr>
          <w:rFonts w:ascii="宋体" w:cs="宋体"/>
          <w:shd w:val="clear" w:color="auto" w:fill="FFFFFF"/>
        </w:rPr>
      </w:pPr>
      <w:r>
        <w:rPr>
          <w:rFonts w:ascii="宋体" w:hAnsi="宋体" w:cs="宋体"/>
          <w:kern w:val="0"/>
          <w:lang w:val="zh-CN"/>
        </w:rPr>
        <w:t xml:space="preserve">15.3 </w:t>
      </w:r>
      <w:r>
        <w:rPr>
          <w:rFonts w:hint="eastAsia" w:ascii="宋体" w:hAnsi="宋体" w:cs="宋体"/>
          <w:shd w:val="clear" w:color="auto" w:fill="FFFFFF"/>
        </w:rPr>
        <w:t>开标时，应当由投标人或者其推选的代表检查磋商响应文件的密封情况；经确认无误后，由集中采购机构工作人员当众拆封，宣布投标人名称、投标价格和其他主要内容。</w:t>
      </w:r>
    </w:p>
    <w:p>
      <w:pPr>
        <w:autoSpaceDE w:val="0"/>
        <w:autoSpaceDN w:val="0"/>
        <w:spacing w:line="360" w:lineRule="auto"/>
        <w:ind w:firstLine="480" w:firstLineChars="200"/>
        <w:rPr>
          <w:rFonts w:ascii="宋体" w:cs="宋体"/>
          <w:shd w:val="clear" w:color="auto" w:fill="FFFFFF"/>
          <w:lang w:val="zh-CN"/>
        </w:rPr>
      </w:pPr>
      <w:r>
        <w:rPr>
          <w:rFonts w:hint="eastAsia" w:ascii="宋体" w:hAnsi="宋体" w:cs="宋体"/>
          <w:shd w:val="clear" w:color="auto" w:fill="FFFFFF"/>
          <w:lang w:val="zh-CN"/>
        </w:rPr>
        <w:t>投标人不足</w:t>
      </w:r>
      <w:r>
        <w:rPr>
          <w:rFonts w:ascii="宋体" w:hAnsi="宋体" w:cs="宋体"/>
          <w:shd w:val="clear" w:color="auto" w:fill="FFFFFF"/>
          <w:lang w:val="zh-CN"/>
        </w:rPr>
        <w:t>3</w:t>
      </w:r>
      <w:r>
        <w:rPr>
          <w:rFonts w:hint="eastAsia" w:ascii="宋体" w:hAnsi="宋体" w:cs="宋体"/>
          <w:shd w:val="clear" w:color="auto" w:fill="FFFFFF"/>
          <w:lang w:val="zh-CN"/>
        </w:rPr>
        <w:t>家的，不得开标。</w:t>
      </w:r>
    </w:p>
    <w:p>
      <w:pPr>
        <w:autoSpaceDE w:val="0"/>
        <w:autoSpaceDN w:val="0"/>
        <w:spacing w:line="360" w:lineRule="auto"/>
        <w:ind w:firstLine="480" w:firstLineChars="200"/>
        <w:rPr>
          <w:rFonts w:ascii="宋体" w:cs="宋体"/>
          <w:kern w:val="0"/>
        </w:rPr>
      </w:pPr>
      <w:r>
        <w:rPr>
          <w:rFonts w:ascii="宋体" w:hAnsi="宋体" w:cs="宋体"/>
          <w:kern w:val="0"/>
        </w:rPr>
        <w:t xml:space="preserve">15.4 </w:t>
      </w:r>
      <w:r>
        <w:rPr>
          <w:rFonts w:hint="eastAsia" w:ascii="宋体" w:hAnsi="宋体" w:cs="宋体"/>
          <w:kern w:val="0"/>
        </w:rPr>
        <w:t>开标过程应当由集中采购机构负责记录，由参加开标的各投标人代表和相关工作人员签字确认。</w:t>
      </w:r>
    </w:p>
    <w:p>
      <w:pPr>
        <w:autoSpaceDE w:val="0"/>
        <w:autoSpaceDN w:val="0"/>
        <w:spacing w:line="360" w:lineRule="auto"/>
        <w:ind w:firstLine="480" w:firstLineChars="200"/>
        <w:rPr>
          <w:lang w:val="zh-CN"/>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pPr>
        <w:pStyle w:val="20"/>
        <w:spacing w:before="0" w:after="0" w:line="360" w:lineRule="auto"/>
        <w:rPr>
          <w:rFonts w:ascii="宋体" w:cs="宋体"/>
          <w:lang w:val="zh-CN"/>
        </w:rPr>
      </w:pPr>
      <w:bookmarkStart w:id="23" w:name="_Toc14913"/>
      <w:bookmarkStart w:id="24" w:name="_Toc37664016"/>
      <w:r>
        <w:rPr>
          <w:rFonts w:hint="eastAsia" w:ascii="宋体" w:hAnsi="宋体" w:cs="宋体"/>
          <w:lang w:val="zh-CN"/>
        </w:rPr>
        <w:t>六、资格审查程序</w:t>
      </w:r>
      <w:bookmarkEnd w:id="23"/>
      <w:bookmarkEnd w:id="24"/>
    </w:p>
    <w:p>
      <w:pPr>
        <w:pStyle w:val="20"/>
        <w:spacing w:before="0" w:after="0" w:line="360" w:lineRule="auto"/>
        <w:jc w:val="left"/>
        <w:rPr>
          <w:rFonts w:ascii="宋体" w:cs="宋体"/>
          <w:lang w:val="zh-CN"/>
        </w:rPr>
      </w:pPr>
      <w:bookmarkStart w:id="25" w:name="_Toc37664017"/>
      <w:r>
        <w:rPr>
          <w:rFonts w:ascii="宋体" w:hAnsi="宋体" w:cs="宋体"/>
          <w:sz w:val="28"/>
          <w:szCs w:val="28"/>
          <w:lang w:val="zh-CN"/>
        </w:rPr>
        <w:t>16.</w:t>
      </w:r>
      <w:r>
        <w:rPr>
          <w:rFonts w:hint="eastAsia" w:ascii="宋体" w:hAnsi="宋体" w:cs="宋体"/>
          <w:sz w:val="28"/>
          <w:szCs w:val="28"/>
          <w:lang w:val="zh-CN"/>
        </w:rPr>
        <w:t>资格审查程序</w:t>
      </w:r>
      <w:bookmarkEnd w:id="25"/>
    </w:p>
    <w:p>
      <w:pPr>
        <w:autoSpaceDE w:val="0"/>
        <w:autoSpaceDN w:val="0"/>
        <w:spacing w:line="360" w:lineRule="auto"/>
        <w:ind w:firstLine="480" w:firstLineChars="200"/>
        <w:rPr>
          <w:rFonts w:ascii="宋体" w:cs="宋体"/>
          <w:kern w:val="0"/>
        </w:rPr>
      </w:pPr>
      <w:bookmarkStart w:id="26" w:name="_Toc496004006"/>
      <w:r>
        <w:rPr>
          <w:rFonts w:ascii="宋体" w:hAnsi="宋体" w:cs="宋体"/>
          <w:kern w:val="0"/>
        </w:rPr>
        <w:t xml:space="preserve">16.1 </w:t>
      </w:r>
      <w:r>
        <w:rPr>
          <w:rFonts w:hint="eastAsia" w:ascii="宋体" w:hAnsi="宋体" w:cs="宋体"/>
          <w:kern w:val="0"/>
        </w:rPr>
        <w:t>开标结束后，</w:t>
      </w:r>
      <w:r>
        <w:rPr>
          <w:rFonts w:hint="eastAsia" w:ascii="宋体" w:hAnsi="宋体" w:cs="宋体"/>
          <w:kern w:val="0"/>
          <w:lang w:val="en-US" w:eastAsia="zh-CN"/>
        </w:rPr>
        <w:t>磋商小组</w:t>
      </w:r>
      <w:r>
        <w:rPr>
          <w:rFonts w:hint="eastAsia" w:ascii="宋体" w:hAnsi="宋体" w:cs="宋体"/>
          <w:kern w:val="0"/>
        </w:rPr>
        <w:t>应当依法对投标人的资格性审查文件（上册）进行审查。</w:t>
      </w:r>
    </w:p>
    <w:p>
      <w:pPr>
        <w:autoSpaceDE w:val="0"/>
        <w:autoSpaceDN w:val="0"/>
        <w:spacing w:line="360" w:lineRule="auto"/>
        <w:ind w:firstLine="480" w:firstLineChars="200"/>
        <w:rPr>
          <w:rFonts w:ascii="宋体" w:cs="宋体"/>
          <w:kern w:val="0"/>
        </w:rPr>
      </w:pPr>
      <w:r>
        <w:rPr>
          <w:rFonts w:ascii="宋体" w:hAnsi="宋体" w:cs="宋体"/>
          <w:kern w:val="0"/>
        </w:rPr>
        <w:t xml:space="preserve">16.2 </w:t>
      </w:r>
      <w:r>
        <w:rPr>
          <w:rFonts w:hint="eastAsia" w:ascii="宋体" w:hAnsi="宋体" w:cs="宋体"/>
          <w:kern w:val="0"/>
        </w:rPr>
        <w:t>合格投标人不足</w:t>
      </w:r>
      <w:r>
        <w:rPr>
          <w:rFonts w:ascii="宋体" w:hAnsi="宋体" w:cs="宋体"/>
          <w:kern w:val="0"/>
        </w:rPr>
        <w:t>3</w:t>
      </w:r>
      <w:r>
        <w:rPr>
          <w:rFonts w:hint="eastAsia" w:ascii="宋体" w:hAnsi="宋体" w:cs="宋体"/>
          <w:kern w:val="0"/>
        </w:rPr>
        <w:t>家的，不得评标。</w:t>
      </w:r>
    </w:p>
    <w:p>
      <w:pPr>
        <w:autoSpaceDE w:val="0"/>
        <w:autoSpaceDN w:val="0"/>
        <w:spacing w:line="360" w:lineRule="auto"/>
        <w:ind w:firstLine="480" w:firstLineChars="200"/>
        <w:rPr>
          <w:rFonts w:ascii="宋体" w:cs="宋体"/>
          <w:sz w:val="28"/>
          <w:szCs w:val="28"/>
        </w:rPr>
      </w:pPr>
      <w:bookmarkStart w:id="27" w:name="_Toc497503516"/>
      <w:bookmarkStart w:id="28" w:name="_Toc497503449"/>
      <w:bookmarkStart w:id="29" w:name="_Toc30809"/>
      <w:bookmarkStart w:id="30" w:name="_Toc497503249"/>
      <w:bookmarkStart w:id="31" w:name="_Toc497503315"/>
      <w:r>
        <w:rPr>
          <w:rFonts w:ascii="宋体" w:hAnsi="宋体" w:cs="宋体"/>
          <w:kern w:val="0"/>
        </w:rPr>
        <w:t xml:space="preserve">16.3 </w:t>
      </w:r>
      <w:r>
        <w:rPr>
          <w:rFonts w:hint="eastAsia" w:ascii="宋体" w:hAnsi="宋体" w:cs="宋体"/>
          <w:kern w:val="0"/>
        </w:rPr>
        <w:t>资格审查时，投标人存在下列情况之一的，按无效投标处理：</w:t>
      </w:r>
      <w:bookmarkEnd w:id="27"/>
      <w:bookmarkEnd w:id="28"/>
      <w:bookmarkEnd w:id="29"/>
      <w:bookmarkEnd w:id="30"/>
      <w:bookmarkEnd w:id="31"/>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shd w:val="clear" w:color="auto" w:fill="FFFFFF"/>
        </w:rPr>
        <w:t>不具备</w:t>
      </w:r>
      <w:r>
        <w:rPr>
          <w:rFonts w:hint="eastAsia" w:ascii="宋体" w:hAnsi="宋体" w:cs="宋体"/>
          <w:kern w:val="0"/>
          <w:lang w:val="zh-CN"/>
        </w:rPr>
        <w:t>第</w:t>
      </w:r>
      <w:r>
        <w:rPr>
          <w:rFonts w:ascii="宋体" w:hAnsi="宋体" w:cs="宋体"/>
          <w:kern w:val="0"/>
          <w:lang w:val="zh-CN"/>
        </w:rPr>
        <w:t>2.2</w:t>
      </w:r>
      <w:r>
        <w:rPr>
          <w:rFonts w:hint="eastAsia" w:ascii="宋体" w:hAnsi="宋体" w:cs="宋体"/>
          <w:kern w:val="0"/>
          <w:lang w:val="zh-CN"/>
        </w:rPr>
        <w:t>款“合格的投标人”</w:t>
      </w:r>
      <w:r>
        <w:rPr>
          <w:rFonts w:hint="eastAsia" w:ascii="宋体" w:hAnsi="宋体" w:cs="宋体"/>
          <w:shd w:val="clear" w:color="auto" w:fill="FFFFFF"/>
        </w:rPr>
        <w:t>规定的资格要求的；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未按磋商响应文件要求交纳或未足额交纳磋商保证金的；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未按第</w:t>
      </w:r>
      <w:r>
        <w:rPr>
          <w:rFonts w:ascii="宋体" w:hAnsi="宋体" w:cs="宋体"/>
          <w:kern w:val="0"/>
        </w:rPr>
        <w:t>11.1</w:t>
      </w:r>
      <w:r>
        <w:rPr>
          <w:rFonts w:hint="eastAsia" w:ascii="宋体" w:hAnsi="宋体" w:cs="宋体"/>
          <w:kern w:val="0"/>
        </w:rPr>
        <w:t>要求提供相关资料的；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rPr>
        <w:t>资格性审查文件未按磋商文件规定和要求签字、盖章的；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报价超过磋商文件中规定的预算金额或者最高限价的；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lang w:val="zh-CN"/>
        </w:rPr>
        <w:t>磋商有效期不能满足磋商响应文件要求的；</w:t>
      </w:r>
    </w:p>
    <w:p>
      <w:pPr>
        <w:pStyle w:val="20"/>
        <w:spacing w:before="0" w:after="0" w:line="360" w:lineRule="auto"/>
        <w:rPr>
          <w:rFonts w:ascii="宋体" w:cs="宋体"/>
          <w:kern w:val="0"/>
        </w:rPr>
      </w:pPr>
      <w:bookmarkStart w:id="32" w:name="_Toc37664018"/>
      <w:r>
        <w:rPr>
          <w:rFonts w:hint="eastAsia" w:ascii="宋体" w:hAnsi="宋体" w:cs="宋体"/>
          <w:kern w:val="0"/>
          <w:szCs w:val="36"/>
        </w:rPr>
        <w:t>七、</w:t>
      </w:r>
      <w:bookmarkEnd w:id="26"/>
      <w:r>
        <w:rPr>
          <w:rFonts w:hint="eastAsia" w:ascii="宋体" w:hAnsi="宋体" w:cs="宋体"/>
          <w:kern w:val="0"/>
          <w:szCs w:val="36"/>
        </w:rPr>
        <w:t>磋商程序及方法</w:t>
      </w:r>
      <w:bookmarkEnd w:id="32"/>
    </w:p>
    <w:p>
      <w:pPr>
        <w:pStyle w:val="20"/>
        <w:spacing w:before="0" w:after="0" w:line="360" w:lineRule="auto"/>
        <w:jc w:val="left"/>
        <w:rPr>
          <w:rFonts w:ascii="宋体" w:cs="宋体"/>
          <w:sz w:val="28"/>
          <w:szCs w:val="28"/>
        </w:rPr>
      </w:pPr>
      <w:bookmarkStart w:id="33" w:name="_Toc37664019"/>
      <w:r>
        <w:rPr>
          <w:rFonts w:ascii="宋体" w:hAnsi="宋体" w:cs="宋体"/>
          <w:sz w:val="28"/>
          <w:szCs w:val="28"/>
        </w:rPr>
        <w:t>17.</w:t>
      </w:r>
      <w:r>
        <w:rPr>
          <w:rFonts w:hint="eastAsia" w:ascii="宋体" w:hAnsi="宋体" w:cs="宋体"/>
          <w:sz w:val="28"/>
          <w:szCs w:val="28"/>
        </w:rPr>
        <w:t>磋商小组</w:t>
      </w:r>
      <w:bookmarkEnd w:id="33"/>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17.1 </w:t>
      </w:r>
      <w:r>
        <w:rPr>
          <w:rFonts w:hint="eastAsia" w:ascii="宋体" w:hAnsi="宋体" w:cs="宋体"/>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17.2 </w:t>
      </w:r>
      <w:r>
        <w:rPr>
          <w:rFonts w:hint="eastAsia" w:ascii="宋体" w:hAnsi="宋体" w:cs="宋体"/>
          <w:kern w:val="0"/>
          <w:lang w:val="zh-CN"/>
        </w:rPr>
        <w:t>磋商由集中采购机构负责组织，具体磋商事务由依法组建的磋商小组负责，并独立履行下列职责：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）审查通过资格条件投标人的磋商响应文件，并作出评价；</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）要求投标人对解释或澄清其磋商响应文件；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）推荐预成交候选投标人；</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）对非法干预评标工作的人员和机构进行举报或投诉。</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17.3 </w:t>
      </w:r>
      <w:r>
        <w:rPr>
          <w:rFonts w:hint="eastAsia" w:ascii="宋体" w:hAnsi="宋体" w:cs="宋体"/>
          <w:kern w:val="0"/>
          <w:lang w:val="zh-CN"/>
        </w:rPr>
        <w:t>磋商小组应遵守并履行下列义务：</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）遵纪守法，客观、公正、廉洁地履行职责；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）按照磋商文件规定的评审方法和评审标准进行评审，对评审意见承担磋商小组成员责任；</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）对磋商响应文件、磋商情况和磋商中获悉的商业秘密保密；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）参与磋商报告的起草；</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）解答投标人及有关方面的质疑；</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）配合监管部门工作进行投诉处理工作。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17.4 </w:t>
      </w:r>
      <w:r>
        <w:rPr>
          <w:rFonts w:hint="eastAsia" w:ascii="宋体" w:hAnsi="宋体" w:cs="宋体"/>
          <w:kern w:val="0"/>
          <w:lang w:val="zh-CN"/>
        </w:rPr>
        <w:t>磋商工作由集中采购机构组织，采购人、采购监管、纪检监察等有关方面代表可根据采购项目的具体情况列席。</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17.5 </w:t>
      </w:r>
      <w:r>
        <w:rPr>
          <w:rFonts w:hint="eastAsia" w:ascii="宋体" w:hAnsi="宋体" w:cs="宋体"/>
          <w:kern w:val="0"/>
          <w:lang w:val="zh-CN"/>
        </w:rPr>
        <w:t>磋商工作在有关部门的监督和严格保密的情况下依法进行，任何单位和个人不得非法干预、影响磋商工作和磋商结果。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17.6 </w:t>
      </w:r>
      <w:r>
        <w:rPr>
          <w:rFonts w:hint="eastAsia" w:ascii="宋体" w:hAnsi="宋体" w:cs="宋体"/>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0"/>
        <w:spacing w:before="0" w:after="0" w:line="360" w:lineRule="auto"/>
        <w:jc w:val="left"/>
        <w:rPr>
          <w:rFonts w:ascii="宋体" w:cs="宋体"/>
          <w:lang w:val="zh-CN"/>
        </w:rPr>
      </w:pPr>
      <w:bookmarkStart w:id="34" w:name="_Toc37664020"/>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hint="eastAsia" w:ascii="宋体" w:hAnsi="宋体" w:cs="宋体"/>
          <w:sz w:val="28"/>
          <w:szCs w:val="28"/>
          <w:lang w:val="zh-CN"/>
        </w:rPr>
        <w:t>磋商工作程序</w:t>
      </w:r>
      <w:bookmarkEnd w:id="34"/>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18.1 </w:t>
      </w:r>
      <w:r>
        <w:rPr>
          <w:rFonts w:hint="eastAsia" w:ascii="宋体" w:hAnsi="宋体" w:cs="宋体"/>
          <w:kern w:val="0"/>
          <w:lang w:val="zh-CN"/>
        </w:rPr>
        <w:t>进入磋商阶段后，由磋商小组独立开展评审工作，磋商小组所有成员应当集中与单一投标人分别进行磋商，给予所有参加磋商的投标人平等的磋商机会，并负责审议所有通过资格条件投标人的磋商响应文件。</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18.2 </w:t>
      </w:r>
      <w:r>
        <w:rPr>
          <w:rFonts w:hint="eastAsia" w:ascii="宋体" w:hAnsi="宋体" w:cs="宋体"/>
          <w:kern w:val="0"/>
          <w:lang w:val="zh-CN"/>
        </w:rPr>
        <w:t>符合性审查时，存在下列情况之一的，按无效处理：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）未按第</w:t>
      </w:r>
      <w:r>
        <w:rPr>
          <w:rFonts w:ascii="宋体" w:hAnsi="宋体" w:cs="宋体"/>
          <w:kern w:val="0"/>
          <w:lang w:val="zh-CN"/>
        </w:rPr>
        <w:t>11.1.2</w:t>
      </w:r>
      <w:r>
        <w:rPr>
          <w:rFonts w:hint="eastAsia" w:ascii="宋体" w:hAnsi="宋体" w:cs="宋体"/>
          <w:kern w:val="0"/>
          <w:lang w:val="zh-CN"/>
        </w:rPr>
        <w:t>款（</w:t>
      </w:r>
      <w:r>
        <w:rPr>
          <w:rFonts w:hint="eastAsia" w:ascii="宋体" w:hAnsi="宋体" w:cs="宋体"/>
          <w:kern w:val="0"/>
          <w:lang w:val="en-US" w:eastAsia="zh-CN"/>
        </w:rPr>
        <w:t>9</w:t>
      </w:r>
      <w:r>
        <w:rPr>
          <w:rFonts w:hint="eastAsia" w:ascii="宋体" w:hAnsi="宋体" w:cs="宋体"/>
          <w:kern w:val="0"/>
          <w:lang w:val="zh-CN"/>
        </w:rPr>
        <w:t>）</w:t>
      </w:r>
      <w:r>
        <w:rPr>
          <w:rFonts w:ascii="宋体" w:cs="宋体"/>
          <w:kern w:val="0"/>
          <w:lang w:val="zh-CN"/>
        </w:rPr>
        <w:t>-</w:t>
      </w:r>
      <w:r>
        <w:rPr>
          <w:rFonts w:hint="eastAsia" w:ascii="宋体" w:hAnsi="宋体" w:cs="宋体"/>
          <w:kern w:val="0"/>
          <w:lang w:val="zh-CN"/>
        </w:rPr>
        <w:t>（</w:t>
      </w:r>
      <w:r>
        <w:rPr>
          <w:rFonts w:hint="eastAsia" w:ascii="宋体" w:hAnsi="宋体" w:cs="宋体"/>
          <w:kern w:val="0"/>
          <w:lang w:val="en-US" w:eastAsia="zh-CN"/>
        </w:rPr>
        <w:t>13</w:t>
      </w:r>
      <w:r>
        <w:rPr>
          <w:rFonts w:hint="eastAsia" w:ascii="宋体" w:hAnsi="宋体" w:cs="宋体"/>
          <w:kern w:val="0"/>
          <w:lang w:val="zh-CN"/>
        </w:rPr>
        <w:t>）要求提供相关资料的；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）符合性审查文件没有按磋商文件规定和要求签字、盖章的；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）投标人最后磋商报价出现两个或两个以上报价方案的；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）产品交货期、投标有效期不能满足磋商文件要求的；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）投标报价超过磋商文件规定的采购预算额度；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）投标产品的技术规格、技术标准明显不符合采购项目要求的；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）投标产品未完全满足磋商文件确定的重要技术指标、参数的；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）磋商响应文件含有采购人不能接受的附加条件的；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）磋商小组认为应按无效投标处理的其他情况；</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10</w:t>
      </w:r>
      <w:r>
        <w:rPr>
          <w:rFonts w:hint="eastAsia" w:ascii="宋体" w:hAnsi="宋体" w:cs="宋体"/>
          <w:kern w:val="0"/>
          <w:lang w:val="zh-CN"/>
        </w:rPr>
        <w:t>）法律、法规规定的其他情形。</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18.3 </w:t>
      </w:r>
      <w:r>
        <w:rPr>
          <w:rFonts w:hint="eastAsia" w:ascii="宋体" w:hAnsi="宋体" w:cs="宋体"/>
          <w:kern w:val="0"/>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18.4 </w:t>
      </w:r>
      <w:r>
        <w:rPr>
          <w:rFonts w:hint="eastAsia" w:ascii="宋体" w:hAnsi="宋体" w:cs="宋体"/>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pPr>
        <w:pStyle w:val="20"/>
        <w:spacing w:before="0" w:after="0" w:line="360" w:lineRule="auto"/>
        <w:jc w:val="left"/>
        <w:rPr>
          <w:rFonts w:ascii="宋体" w:cs="宋体"/>
          <w:sz w:val="28"/>
          <w:szCs w:val="28"/>
        </w:rPr>
      </w:pPr>
      <w:bookmarkStart w:id="35" w:name="_Toc37664021"/>
      <w:r>
        <w:rPr>
          <w:rFonts w:ascii="宋体" w:hAnsi="宋体" w:cs="宋体"/>
          <w:sz w:val="28"/>
          <w:szCs w:val="28"/>
        </w:rPr>
        <w:t xml:space="preserve">19. </w:t>
      </w:r>
      <w:r>
        <w:rPr>
          <w:rFonts w:hint="eastAsia" w:ascii="宋体" w:hAnsi="宋体" w:cs="宋体"/>
          <w:sz w:val="28"/>
          <w:szCs w:val="28"/>
        </w:rPr>
        <w:t>答疑的方式和情形</w:t>
      </w:r>
      <w:bookmarkEnd w:id="3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19.1 </w:t>
      </w:r>
      <w:r>
        <w:rPr>
          <w:rFonts w:hint="eastAsia" w:ascii="宋体" w:hAnsi="宋体" w:cs="宋体"/>
          <w:kern w:val="0"/>
          <w:lang w:val="zh-CN"/>
        </w:rPr>
        <w:t>磋商小组在对磋商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19.2 </w:t>
      </w:r>
      <w:r>
        <w:rPr>
          <w:rFonts w:hint="eastAsia" w:ascii="宋体" w:hAnsi="宋体" w:cs="宋体"/>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19.3 </w:t>
      </w:r>
      <w:r>
        <w:rPr>
          <w:rFonts w:hint="eastAsia" w:ascii="宋体" w:hAnsi="宋体" w:cs="宋体"/>
          <w:kern w:val="0"/>
          <w:lang w:val="zh-CN"/>
        </w:rPr>
        <w:t>答疑期间，投标人存在以下情况的，澄清、说明或者更正的内容将不予接受，磋商小组将按照磋商文件的要求对现有的资料做出评审意见：</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）拒绝或在规定的时间内未做出澄清、说明或者更正；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）投标人的澄清、说明或者更正超出磋商响应文件的范围或者改变磋商响应文件的实质性内容；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）澄清、说明或者更正的内容仍不能说明问题的；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）投标人主动提出的澄清、说明或者更正的内容；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）磋商小组认为应不予接受的其他情况</w:t>
      </w:r>
    </w:p>
    <w:p>
      <w:pPr>
        <w:pStyle w:val="20"/>
        <w:spacing w:before="0" w:after="0" w:line="360" w:lineRule="auto"/>
        <w:jc w:val="left"/>
        <w:rPr>
          <w:rFonts w:ascii="宋体" w:cs="宋体"/>
          <w:sz w:val="28"/>
          <w:szCs w:val="28"/>
        </w:rPr>
      </w:pPr>
      <w:bookmarkStart w:id="36" w:name="_Toc37664022"/>
      <w:r>
        <w:rPr>
          <w:rFonts w:ascii="宋体" w:hAnsi="宋体" w:cs="宋体"/>
          <w:sz w:val="28"/>
          <w:szCs w:val="28"/>
        </w:rPr>
        <w:t>20.</w:t>
      </w:r>
      <w:r>
        <w:rPr>
          <w:rFonts w:hint="eastAsia" w:ascii="宋体" w:hAnsi="宋体" w:cs="宋体"/>
          <w:sz w:val="28"/>
          <w:szCs w:val="28"/>
        </w:rPr>
        <w:t>评审办法</w:t>
      </w:r>
      <w:bookmarkEnd w:id="3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20.1 </w:t>
      </w:r>
      <w:r>
        <w:rPr>
          <w:rFonts w:hint="eastAsia" w:ascii="宋体" w:hAnsi="宋体" w:cs="宋体"/>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根据《政府采购促进中小企业发展暂行办法》，属小型、微型企业制造的货物（产品），投标人须提供该制造（生产）企业出具的《小型、微型企业声明函》（详见附件</w:t>
      </w:r>
      <w:r>
        <w:rPr>
          <w:rFonts w:ascii="宋体" w:hAnsi="宋体" w:cs="宋体"/>
          <w:kern w:val="0"/>
          <w:lang w:val="zh-CN"/>
        </w:rPr>
        <w:t>16</w:t>
      </w:r>
      <w:r>
        <w:rPr>
          <w:rFonts w:hint="eastAsia" w:ascii="宋体" w:hAnsi="宋体" w:cs="宋体"/>
          <w:kern w:val="0"/>
          <w:lang w:val="zh-CN"/>
        </w:rPr>
        <w:t>），并由投标人加盖公章，其划型标准严格按照国家工信部、国家统计局、国家发改委、财政部出台的《中小企业划型标准规定》（工信部联企业</w:t>
      </w:r>
      <w:r>
        <w:rPr>
          <w:rFonts w:ascii="宋体" w:hAnsi="宋体" w:cs="宋体"/>
          <w:kern w:val="0"/>
          <w:lang w:val="zh-CN"/>
        </w:rPr>
        <w:t>[2011]300</w:t>
      </w:r>
      <w:r>
        <w:rPr>
          <w:rFonts w:hint="eastAsia" w:ascii="宋体" w:hAnsi="宋体" w:cs="宋体"/>
          <w:kern w:val="0"/>
          <w:lang w:val="zh-CN"/>
        </w:rPr>
        <w:t>号）执行。</w:t>
      </w:r>
      <w:r>
        <w:rPr>
          <w:rFonts w:hint="eastAsia" w:ascii="宋体" w:hAnsi="宋体" w:cs="宋体"/>
          <w:b/>
          <w:kern w:val="0"/>
          <w:lang w:val="zh-CN"/>
        </w:rPr>
        <w:t>投标人提供的《小型、微型企业声明函》资料必须真实，否则，按照有关规定予以处理。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根据财政部、民政部、中国残疾人联合会出台的《关于促进残疾人就业政府采购政策的通知》（财库</w:t>
      </w:r>
      <w:r>
        <w:rPr>
          <w:rFonts w:ascii="宋体" w:hAnsi="宋体" w:cs="宋体"/>
          <w:kern w:val="0"/>
          <w:lang w:val="zh-CN"/>
        </w:rPr>
        <w:t>[2017]141</w:t>
      </w:r>
      <w:r>
        <w:rPr>
          <w:rFonts w:hint="eastAsia" w:ascii="宋体" w:hAnsi="宋体" w:cs="宋体"/>
          <w:kern w:val="0"/>
          <w:lang w:val="zh-CN"/>
        </w:rPr>
        <w:t>号），属残疾人福利性单位的，投标人须提供《残疾人福利性单位声明函》（详见附件</w:t>
      </w:r>
      <w:r>
        <w:rPr>
          <w:rFonts w:ascii="宋体" w:hAnsi="宋体" w:cs="宋体"/>
          <w:kern w:val="0"/>
          <w:lang w:val="zh-CN"/>
        </w:rPr>
        <w:t>17</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kern w:val="0"/>
          <w:lang w:val="zh-CN"/>
        </w:rPr>
        <w:t>投标人提供的《残疾人福利性单位声明函》资料必须真实，否则，按照有关规定予以处理。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20.2 </w:t>
      </w:r>
      <w:r>
        <w:rPr>
          <w:rFonts w:hint="eastAsia" w:ascii="宋体" w:hAnsi="宋体" w:cs="宋体"/>
          <w:kern w:val="0"/>
          <w:lang w:val="zh-CN"/>
        </w:rPr>
        <w:t>比较与评价：经磋商小组确定最终采购需求和提交最后磋商报价的投标人名单后，由确定的投标人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autoSpaceDE w:val="0"/>
        <w:autoSpaceDN w:val="0"/>
        <w:spacing w:line="360" w:lineRule="auto"/>
        <w:ind w:firstLine="360" w:firstLineChars="150"/>
        <w:rPr>
          <w:rFonts w:hint="eastAsia" w:ascii="宋体" w:hAnsi="宋体" w:cs="宋体"/>
          <w:kern w:val="0"/>
          <w:lang w:val="zh-CN"/>
        </w:rPr>
      </w:pPr>
      <w:r>
        <w:rPr>
          <w:rFonts w:hint="eastAsia" w:ascii="宋体" w:hAnsi="宋体" w:cs="宋体"/>
          <w:kern w:val="0"/>
          <w:lang w:val="zh-CN"/>
        </w:rPr>
        <w:t>评审标准和分值分配：</w:t>
      </w:r>
    </w:p>
    <w:tbl>
      <w:tblPr>
        <w:tblStyle w:val="21"/>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970"/>
        <w:gridCol w:w="723"/>
        <w:gridCol w:w="6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5" w:type="dxa"/>
            <w:gridSpan w:val="2"/>
            <w:shd w:val="clear" w:color="000000" w:fill="FFFFFF"/>
            <w:vAlign w:val="center"/>
          </w:tcPr>
          <w:p>
            <w:pPr>
              <w:autoSpaceDE w:val="0"/>
              <w:autoSpaceDN w:val="0"/>
              <w:snapToGrid w:val="0"/>
              <w:spacing w:line="360" w:lineRule="auto"/>
              <w:jc w:val="center"/>
              <w:rPr>
                <w:rFonts w:ascii="宋体" w:cs="宋体"/>
                <w:sz w:val="21"/>
                <w:szCs w:val="21"/>
                <w:lang w:val="zh-CN"/>
              </w:rPr>
            </w:pPr>
            <w:r>
              <w:rPr>
                <w:rFonts w:hint="eastAsia" w:ascii="宋体" w:cs="宋体"/>
                <w:sz w:val="21"/>
                <w:szCs w:val="21"/>
              </w:rPr>
              <w:t>评审因素</w:t>
            </w:r>
          </w:p>
        </w:tc>
        <w:tc>
          <w:tcPr>
            <w:tcW w:w="723" w:type="dxa"/>
            <w:shd w:val="clear" w:color="000000" w:fill="FFFFFF"/>
            <w:vAlign w:val="center"/>
          </w:tcPr>
          <w:p>
            <w:pPr>
              <w:autoSpaceDE w:val="0"/>
              <w:autoSpaceDN w:val="0"/>
              <w:snapToGrid w:val="0"/>
              <w:spacing w:line="360" w:lineRule="auto"/>
              <w:jc w:val="center"/>
              <w:rPr>
                <w:rFonts w:ascii="宋体" w:cs="宋体"/>
                <w:sz w:val="21"/>
                <w:szCs w:val="21"/>
              </w:rPr>
            </w:pPr>
            <w:r>
              <w:rPr>
                <w:rFonts w:hint="eastAsia" w:ascii="宋体" w:cs="宋体"/>
                <w:sz w:val="21"/>
                <w:szCs w:val="21"/>
              </w:rPr>
              <w:t>评审</w:t>
            </w:r>
          </w:p>
          <w:p>
            <w:pPr>
              <w:autoSpaceDE w:val="0"/>
              <w:autoSpaceDN w:val="0"/>
              <w:snapToGrid w:val="0"/>
              <w:spacing w:line="360" w:lineRule="auto"/>
              <w:jc w:val="center"/>
              <w:rPr>
                <w:rFonts w:ascii="宋体" w:cs="宋体"/>
                <w:sz w:val="21"/>
                <w:szCs w:val="21"/>
              </w:rPr>
            </w:pPr>
            <w:r>
              <w:rPr>
                <w:rFonts w:hint="eastAsia" w:ascii="宋体" w:cs="宋体"/>
                <w:sz w:val="21"/>
                <w:szCs w:val="21"/>
              </w:rPr>
              <w:t>分数</w:t>
            </w:r>
          </w:p>
        </w:tc>
        <w:tc>
          <w:tcPr>
            <w:tcW w:w="6565" w:type="dxa"/>
            <w:shd w:val="clear" w:color="000000" w:fill="FFFFFF"/>
            <w:vAlign w:val="center"/>
          </w:tcPr>
          <w:p>
            <w:pPr>
              <w:autoSpaceDE w:val="0"/>
              <w:autoSpaceDN w:val="0"/>
              <w:snapToGrid w:val="0"/>
              <w:spacing w:line="360" w:lineRule="auto"/>
              <w:jc w:val="center"/>
              <w:rPr>
                <w:rFonts w:ascii="宋体" w:cs="宋体"/>
                <w:sz w:val="21"/>
                <w:szCs w:val="21"/>
              </w:rPr>
            </w:pPr>
            <w:r>
              <w:rPr>
                <w:rFonts w:hint="eastAsia" w:ascii="宋体" w:cs="宋体"/>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45" w:type="dxa"/>
            <w:shd w:val="clear" w:color="000000" w:fill="FFFFFF"/>
            <w:vAlign w:val="center"/>
          </w:tcPr>
          <w:p>
            <w:pPr>
              <w:autoSpaceDE w:val="0"/>
              <w:autoSpaceDN w:val="0"/>
              <w:snapToGrid w:val="0"/>
              <w:spacing w:line="360" w:lineRule="auto"/>
              <w:rPr>
                <w:rFonts w:ascii="宋体" w:cs="宋体"/>
                <w:sz w:val="21"/>
                <w:szCs w:val="21"/>
              </w:rPr>
            </w:pPr>
            <w:r>
              <w:rPr>
                <w:rFonts w:hint="eastAsia" w:ascii="宋体" w:cs="宋体"/>
                <w:sz w:val="21"/>
                <w:szCs w:val="21"/>
              </w:rPr>
              <w:t xml:space="preserve">      投标报价</w:t>
            </w:r>
          </w:p>
          <w:p>
            <w:pPr>
              <w:autoSpaceDE w:val="0"/>
              <w:autoSpaceDN w:val="0"/>
              <w:snapToGrid w:val="0"/>
              <w:spacing w:line="360" w:lineRule="auto"/>
              <w:rPr>
                <w:rFonts w:ascii="宋体" w:cs="宋体"/>
                <w:sz w:val="21"/>
                <w:szCs w:val="21"/>
              </w:rPr>
            </w:pPr>
            <w:r>
              <w:rPr>
                <w:rFonts w:hint="eastAsia" w:ascii="宋体" w:cs="宋体"/>
                <w:sz w:val="21"/>
                <w:szCs w:val="21"/>
              </w:rPr>
              <w:t xml:space="preserve">      30分</w:t>
            </w:r>
          </w:p>
        </w:tc>
        <w:tc>
          <w:tcPr>
            <w:tcW w:w="970" w:type="dxa"/>
            <w:shd w:val="clear" w:color="000000" w:fill="FFFFFF"/>
            <w:vAlign w:val="center"/>
          </w:tcPr>
          <w:p>
            <w:pPr>
              <w:autoSpaceDE w:val="0"/>
              <w:autoSpaceDN w:val="0"/>
              <w:snapToGrid w:val="0"/>
              <w:spacing w:line="360" w:lineRule="auto"/>
              <w:rPr>
                <w:rFonts w:ascii="宋体" w:cs="宋体"/>
                <w:sz w:val="21"/>
                <w:szCs w:val="21"/>
                <w:lang w:val="zh-CN"/>
              </w:rPr>
            </w:pPr>
            <w:r>
              <w:rPr>
                <w:rFonts w:hint="eastAsia" w:ascii="宋体" w:cs="宋体"/>
                <w:sz w:val="21"/>
                <w:szCs w:val="21"/>
                <w:lang w:val="zh-CN"/>
              </w:rPr>
              <w:t>报价分</w:t>
            </w:r>
          </w:p>
        </w:tc>
        <w:tc>
          <w:tcPr>
            <w:tcW w:w="723" w:type="dxa"/>
            <w:shd w:val="clear" w:color="000000" w:fill="FFFFFF"/>
            <w:vAlign w:val="center"/>
          </w:tcPr>
          <w:p>
            <w:pPr>
              <w:autoSpaceDE w:val="0"/>
              <w:autoSpaceDN w:val="0"/>
              <w:snapToGrid w:val="0"/>
              <w:spacing w:line="360" w:lineRule="auto"/>
              <w:rPr>
                <w:rFonts w:ascii="宋体" w:cs="宋体"/>
                <w:sz w:val="21"/>
                <w:szCs w:val="21"/>
              </w:rPr>
            </w:pPr>
            <w:r>
              <w:rPr>
                <w:rFonts w:hint="eastAsia" w:ascii="宋体" w:cs="宋体"/>
                <w:sz w:val="21"/>
                <w:szCs w:val="21"/>
              </w:rPr>
              <w:t>30</w:t>
            </w:r>
          </w:p>
        </w:tc>
        <w:tc>
          <w:tcPr>
            <w:tcW w:w="6565" w:type="dxa"/>
            <w:shd w:val="clear" w:color="000000" w:fill="FFFFFF"/>
            <w:vAlign w:val="center"/>
          </w:tcPr>
          <w:p>
            <w:pPr>
              <w:autoSpaceDE w:val="0"/>
              <w:autoSpaceDN w:val="0"/>
              <w:snapToGrid w:val="0"/>
              <w:spacing w:line="360" w:lineRule="auto"/>
              <w:rPr>
                <w:rFonts w:ascii="宋体" w:cs="宋体"/>
                <w:sz w:val="21"/>
                <w:szCs w:val="21"/>
              </w:rPr>
            </w:pPr>
            <w:r>
              <w:rPr>
                <w:rFonts w:hint="eastAsia" w:ascii="宋体" w:cs="宋体"/>
                <w:sz w:val="21"/>
                <w:szCs w:val="21"/>
              </w:rPr>
              <w:t>在所有的有效投标报价中，以最低投标报价为基准价，其价格分为满分。其他投标供应商的报价分统一按下列公式计算：投标报价得分=(评标基准价／投标报价)×价格权值（30%）×100（四舍五入后保留小数点后两位）。</w:t>
            </w:r>
          </w:p>
          <w:p>
            <w:pPr>
              <w:autoSpaceDE w:val="0"/>
              <w:autoSpaceDN w:val="0"/>
              <w:snapToGrid w:val="0"/>
              <w:spacing w:line="360" w:lineRule="auto"/>
              <w:rPr>
                <w:rFonts w:ascii="宋体" w:cs="宋体"/>
                <w:sz w:val="21"/>
                <w:szCs w:val="21"/>
              </w:rPr>
            </w:pPr>
            <w:r>
              <w:rPr>
                <w:rFonts w:hint="eastAsia" w:ascii="宋体" w:cs="宋体"/>
                <w:sz w:val="21"/>
                <w:szCs w:val="21"/>
              </w:rPr>
              <w:t>注：1、根据《政府采购促进中小企业发展管理办法》（财库〔2020〕46 号）的规定，对于经主管预算单位统筹后未预留份额专门面向中小企业采购的采购项目，以及预留份额项目中的非预留部分采购包，采购人、采购代理机构应当对符合本办法规定的小微企业报价给予10%的扣除，用扣除后的价格参加评审。</w:t>
            </w:r>
          </w:p>
          <w:p>
            <w:pPr>
              <w:pStyle w:val="14"/>
              <w:spacing w:line="360" w:lineRule="auto"/>
              <w:rPr>
                <w:sz w:val="21"/>
                <w:szCs w:val="21"/>
              </w:rPr>
            </w:pPr>
            <w:r>
              <w:rPr>
                <w:rFonts w:hint="eastAsia" w:ascii="宋体" w:cs="宋体"/>
                <w:sz w:val="21"/>
                <w:szCs w:val="21"/>
              </w:rPr>
              <w:t>2、监狱企业、残疾人福利性单位属于小型、微型企业的，不重复享受政策。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45" w:type="dxa"/>
            <w:vMerge w:val="restart"/>
            <w:shd w:val="clear" w:color="000000" w:fill="FFFFFF"/>
            <w:vAlign w:val="center"/>
          </w:tcPr>
          <w:p>
            <w:pPr>
              <w:autoSpaceDE w:val="0"/>
              <w:autoSpaceDN w:val="0"/>
              <w:snapToGrid w:val="0"/>
              <w:spacing w:line="336" w:lineRule="auto"/>
              <w:jc w:val="center"/>
              <w:rPr>
                <w:rFonts w:ascii="宋体" w:cs="宋体"/>
                <w:sz w:val="21"/>
                <w:szCs w:val="21"/>
                <w:lang w:val="zh-CN"/>
              </w:rPr>
            </w:pPr>
            <w:r>
              <w:rPr>
                <w:rFonts w:hint="eastAsia" w:ascii="宋体" w:cs="宋体"/>
                <w:sz w:val="21"/>
                <w:szCs w:val="21"/>
              </w:rPr>
              <w:t xml:space="preserve">       </w:t>
            </w:r>
            <w:r>
              <w:rPr>
                <w:rFonts w:hint="eastAsia" w:ascii="宋体" w:cs="宋体"/>
                <w:sz w:val="21"/>
                <w:szCs w:val="21"/>
                <w:lang w:val="zh-CN"/>
              </w:rPr>
              <w:t>技术水平</w:t>
            </w:r>
          </w:p>
          <w:p>
            <w:pPr>
              <w:autoSpaceDE w:val="0"/>
              <w:autoSpaceDN w:val="0"/>
              <w:snapToGrid w:val="0"/>
              <w:spacing w:line="336" w:lineRule="auto"/>
              <w:jc w:val="center"/>
              <w:rPr>
                <w:rFonts w:ascii="宋体" w:cs="宋体"/>
                <w:sz w:val="21"/>
                <w:szCs w:val="21"/>
                <w:lang w:val="zh-CN"/>
              </w:rPr>
            </w:pPr>
            <w:r>
              <w:rPr>
                <w:rFonts w:hint="eastAsia" w:ascii="宋体" w:cs="宋体"/>
                <w:sz w:val="21"/>
                <w:szCs w:val="21"/>
              </w:rPr>
              <w:t xml:space="preserve">       53</w:t>
            </w:r>
            <w:r>
              <w:rPr>
                <w:rFonts w:hint="eastAsia" w:ascii="宋体" w:cs="宋体"/>
                <w:sz w:val="21"/>
                <w:szCs w:val="21"/>
                <w:lang w:val="zh-CN"/>
              </w:rPr>
              <w:t>分</w:t>
            </w:r>
          </w:p>
        </w:tc>
        <w:tc>
          <w:tcPr>
            <w:tcW w:w="970" w:type="dxa"/>
            <w:shd w:val="clear" w:color="000000" w:fill="FFFFFF"/>
            <w:vAlign w:val="center"/>
          </w:tcPr>
          <w:p>
            <w:pPr>
              <w:autoSpaceDE w:val="0"/>
              <w:autoSpaceDN w:val="0"/>
              <w:snapToGrid w:val="0"/>
              <w:spacing w:line="360" w:lineRule="auto"/>
              <w:jc w:val="center"/>
              <w:rPr>
                <w:rFonts w:ascii="宋体" w:cs="宋体"/>
                <w:color w:val="000000"/>
                <w:sz w:val="21"/>
                <w:szCs w:val="21"/>
              </w:rPr>
            </w:pPr>
            <w:r>
              <w:rPr>
                <w:rFonts w:hint="eastAsia" w:ascii="宋体" w:cs="宋体"/>
                <w:sz w:val="21"/>
                <w:szCs w:val="21"/>
                <w:lang w:val="zh-CN"/>
              </w:rPr>
              <w:t>技术参数</w:t>
            </w:r>
          </w:p>
        </w:tc>
        <w:tc>
          <w:tcPr>
            <w:tcW w:w="723" w:type="dxa"/>
            <w:shd w:val="clear" w:color="000000" w:fill="FFFFFF"/>
            <w:vAlign w:val="center"/>
          </w:tcPr>
          <w:p>
            <w:pPr>
              <w:autoSpaceDE w:val="0"/>
              <w:autoSpaceDN w:val="0"/>
              <w:snapToGrid w:val="0"/>
              <w:spacing w:line="360" w:lineRule="auto"/>
              <w:jc w:val="center"/>
              <w:rPr>
                <w:rFonts w:ascii="宋体" w:cs="宋体"/>
                <w:color w:val="000000"/>
                <w:sz w:val="21"/>
                <w:szCs w:val="21"/>
              </w:rPr>
            </w:pPr>
            <w:r>
              <w:rPr>
                <w:rFonts w:hint="eastAsia" w:ascii="宋体" w:cs="宋体"/>
                <w:sz w:val="21"/>
                <w:szCs w:val="21"/>
              </w:rPr>
              <w:t>30</w:t>
            </w:r>
          </w:p>
        </w:tc>
        <w:tc>
          <w:tcPr>
            <w:tcW w:w="6565" w:type="dxa"/>
            <w:shd w:val="clear" w:color="000000" w:fill="FFFFFF"/>
            <w:vAlign w:val="center"/>
          </w:tcPr>
          <w:p>
            <w:pPr>
              <w:autoSpaceDE w:val="0"/>
              <w:autoSpaceDN w:val="0"/>
              <w:snapToGrid w:val="0"/>
              <w:spacing w:line="360" w:lineRule="auto"/>
              <w:rPr>
                <w:rFonts w:ascii="宋体" w:cs="宋体"/>
                <w:color w:val="000000"/>
                <w:sz w:val="21"/>
                <w:szCs w:val="21"/>
              </w:rPr>
            </w:pPr>
            <w:r>
              <w:rPr>
                <w:rFonts w:hint="eastAsia" w:ascii="宋体" w:cs="宋体"/>
                <w:sz w:val="21"/>
                <w:szCs w:val="21"/>
              </w:rPr>
              <w:t>投标产品技术参数和配置完全满足或高于</w:t>
            </w:r>
            <w:r>
              <w:rPr>
                <w:rFonts w:hint="eastAsia" w:hAnsi="宋体" w:cs="宋体"/>
                <w:sz w:val="21"/>
                <w:szCs w:val="21"/>
                <w:highlight w:val="none"/>
                <w:lang w:val="en-US" w:eastAsia="zh-CN"/>
              </w:rPr>
              <w:t>招标文</w:t>
            </w:r>
            <w:r>
              <w:rPr>
                <w:rFonts w:hint="eastAsia" w:ascii="宋体" w:cs="宋体"/>
                <w:sz w:val="21"/>
                <w:szCs w:val="21"/>
                <w:highlight w:val="none"/>
              </w:rPr>
              <w:t>件</w:t>
            </w:r>
            <w:r>
              <w:rPr>
                <w:rFonts w:hint="eastAsia" w:ascii="宋体" w:cs="宋体"/>
                <w:sz w:val="21"/>
                <w:szCs w:val="21"/>
              </w:rPr>
              <w:t>要求的，得30分；每有一项负偏离扣3分；扣完为止。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45" w:type="dxa"/>
            <w:vMerge w:val="continue"/>
            <w:shd w:val="clear" w:color="000000" w:fill="FFFFFF"/>
            <w:vAlign w:val="center"/>
          </w:tcPr>
          <w:p>
            <w:pPr>
              <w:autoSpaceDE w:val="0"/>
              <w:autoSpaceDN w:val="0"/>
              <w:snapToGrid w:val="0"/>
              <w:spacing w:line="336" w:lineRule="auto"/>
              <w:jc w:val="center"/>
              <w:rPr>
                <w:rFonts w:ascii="宋体" w:cs="宋体"/>
                <w:sz w:val="21"/>
                <w:szCs w:val="21"/>
                <w:lang w:val="zh-CN"/>
              </w:rPr>
            </w:pPr>
          </w:p>
        </w:tc>
        <w:tc>
          <w:tcPr>
            <w:tcW w:w="970" w:type="dxa"/>
            <w:shd w:val="clear" w:color="000000" w:fill="FFFFFF"/>
            <w:vAlign w:val="center"/>
          </w:tcPr>
          <w:p>
            <w:pPr>
              <w:autoSpaceDE w:val="0"/>
              <w:autoSpaceDN w:val="0"/>
              <w:snapToGrid w:val="0"/>
              <w:spacing w:line="360" w:lineRule="auto"/>
              <w:jc w:val="center"/>
              <w:rPr>
                <w:rFonts w:ascii="宋体" w:cs="宋体"/>
                <w:color w:val="000000"/>
                <w:sz w:val="21"/>
                <w:szCs w:val="21"/>
              </w:rPr>
            </w:pPr>
            <w:r>
              <w:rPr>
                <w:rFonts w:ascii="宋体" w:cs="宋体"/>
                <w:sz w:val="21"/>
                <w:szCs w:val="21"/>
              </w:rPr>
              <w:t>环保和节能</w:t>
            </w:r>
          </w:p>
        </w:tc>
        <w:tc>
          <w:tcPr>
            <w:tcW w:w="723" w:type="dxa"/>
            <w:shd w:val="clear" w:color="000000" w:fill="FFFFFF"/>
            <w:vAlign w:val="center"/>
          </w:tcPr>
          <w:p>
            <w:pPr>
              <w:autoSpaceDE w:val="0"/>
              <w:autoSpaceDN w:val="0"/>
              <w:snapToGrid w:val="0"/>
              <w:spacing w:line="360" w:lineRule="auto"/>
              <w:jc w:val="center"/>
              <w:rPr>
                <w:rFonts w:ascii="宋体" w:cs="宋体"/>
                <w:color w:val="000000"/>
                <w:sz w:val="21"/>
                <w:szCs w:val="21"/>
              </w:rPr>
            </w:pPr>
            <w:r>
              <w:rPr>
                <w:rFonts w:ascii="宋体" w:cs="宋体"/>
                <w:sz w:val="21"/>
                <w:szCs w:val="21"/>
              </w:rPr>
              <w:t>1</w:t>
            </w:r>
          </w:p>
        </w:tc>
        <w:tc>
          <w:tcPr>
            <w:tcW w:w="6565" w:type="dxa"/>
            <w:shd w:val="clear" w:color="000000" w:fill="FFFFFF"/>
            <w:vAlign w:val="center"/>
          </w:tcPr>
          <w:p>
            <w:pPr>
              <w:autoSpaceDE w:val="0"/>
              <w:autoSpaceDN w:val="0"/>
              <w:snapToGrid w:val="0"/>
              <w:spacing w:line="360" w:lineRule="auto"/>
              <w:rPr>
                <w:rFonts w:ascii="宋体" w:cs="宋体"/>
                <w:sz w:val="21"/>
                <w:szCs w:val="21"/>
              </w:rPr>
            </w:pPr>
            <w:r>
              <w:rPr>
                <w:rFonts w:hint="eastAsia" w:ascii="宋体" w:cs="宋体"/>
                <w:sz w:val="21"/>
                <w:szCs w:val="21"/>
              </w:rPr>
              <w:t>所投产品为节能产品，提供得</w:t>
            </w:r>
            <w:r>
              <w:rPr>
                <w:rFonts w:ascii="宋体" w:cs="宋体"/>
                <w:sz w:val="21"/>
                <w:szCs w:val="21"/>
              </w:rPr>
              <w:t>0.5</w:t>
            </w:r>
            <w:r>
              <w:rPr>
                <w:rFonts w:hint="eastAsia" w:ascii="宋体" w:cs="宋体"/>
                <w:sz w:val="21"/>
                <w:szCs w:val="21"/>
              </w:rPr>
              <w:t>分，满分</w:t>
            </w:r>
            <w:r>
              <w:rPr>
                <w:rFonts w:ascii="宋体" w:cs="宋体"/>
                <w:sz w:val="21"/>
                <w:szCs w:val="21"/>
              </w:rPr>
              <w:t>0.5</w:t>
            </w:r>
            <w:r>
              <w:rPr>
                <w:rFonts w:hint="eastAsia" w:ascii="宋体" w:cs="宋体"/>
                <w:sz w:val="21"/>
                <w:szCs w:val="21"/>
              </w:rPr>
              <w:t>分；</w:t>
            </w:r>
          </w:p>
          <w:p>
            <w:pPr>
              <w:autoSpaceDE w:val="0"/>
              <w:autoSpaceDN w:val="0"/>
              <w:snapToGrid w:val="0"/>
              <w:spacing w:line="360" w:lineRule="auto"/>
              <w:rPr>
                <w:rFonts w:ascii="宋体" w:cs="宋体"/>
                <w:sz w:val="21"/>
                <w:szCs w:val="21"/>
              </w:rPr>
            </w:pPr>
            <w:r>
              <w:rPr>
                <w:rFonts w:hint="eastAsia" w:ascii="宋体" w:cs="宋体"/>
                <w:sz w:val="21"/>
                <w:szCs w:val="21"/>
              </w:rPr>
              <w:t>所投产品为环保产品，提供得</w:t>
            </w:r>
            <w:r>
              <w:rPr>
                <w:rFonts w:ascii="宋体" w:cs="宋体"/>
                <w:sz w:val="21"/>
                <w:szCs w:val="21"/>
              </w:rPr>
              <w:t>0.5</w:t>
            </w:r>
            <w:r>
              <w:rPr>
                <w:rFonts w:hint="eastAsia" w:ascii="宋体" w:cs="宋体"/>
                <w:sz w:val="21"/>
                <w:szCs w:val="21"/>
              </w:rPr>
              <w:t>分，满分</w:t>
            </w:r>
            <w:r>
              <w:rPr>
                <w:rFonts w:ascii="宋体" w:cs="宋体"/>
                <w:sz w:val="21"/>
                <w:szCs w:val="21"/>
              </w:rPr>
              <w:t>0.5</w:t>
            </w:r>
            <w:r>
              <w:rPr>
                <w:rFonts w:hint="eastAsia" w:ascii="宋体" w:cs="宋体"/>
                <w:sz w:val="21"/>
                <w:szCs w:val="21"/>
              </w:rPr>
              <w:t>分；</w:t>
            </w:r>
          </w:p>
          <w:p>
            <w:pPr>
              <w:autoSpaceDE w:val="0"/>
              <w:autoSpaceDN w:val="0"/>
              <w:snapToGrid w:val="0"/>
              <w:spacing w:line="360" w:lineRule="auto"/>
              <w:rPr>
                <w:color w:val="000000"/>
                <w:sz w:val="21"/>
                <w:szCs w:val="21"/>
              </w:rPr>
            </w:pPr>
            <w:r>
              <w:rPr>
                <w:rFonts w:hint="eastAsia" w:ascii="宋体" w:cs="宋体"/>
                <w:sz w:val="21"/>
                <w:szCs w:val="21"/>
              </w:rPr>
              <w:t>未提供不得分。该项得分的认定以《国家节能产品认证证书》、《中国环境标志产品认证证书》为准。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2" w:hRule="atLeast"/>
          <w:jc w:val="center"/>
        </w:trPr>
        <w:tc>
          <w:tcPr>
            <w:tcW w:w="845" w:type="dxa"/>
            <w:vMerge w:val="continue"/>
            <w:shd w:val="clear" w:color="000000" w:fill="FFFFFF"/>
            <w:vAlign w:val="center"/>
          </w:tcPr>
          <w:p>
            <w:pPr>
              <w:autoSpaceDE w:val="0"/>
              <w:autoSpaceDN w:val="0"/>
              <w:snapToGrid w:val="0"/>
              <w:spacing w:line="336" w:lineRule="auto"/>
              <w:jc w:val="center"/>
              <w:rPr>
                <w:rFonts w:ascii="宋体" w:cs="宋体"/>
                <w:sz w:val="21"/>
                <w:szCs w:val="21"/>
                <w:lang w:val="zh-CN"/>
              </w:rPr>
            </w:pPr>
          </w:p>
        </w:tc>
        <w:tc>
          <w:tcPr>
            <w:tcW w:w="970" w:type="dxa"/>
            <w:shd w:val="clear" w:color="000000" w:fill="FFFFFF"/>
            <w:vAlign w:val="center"/>
          </w:tcPr>
          <w:p>
            <w:pPr>
              <w:autoSpaceDE w:val="0"/>
              <w:autoSpaceDN w:val="0"/>
              <w:snapToGrid w:val="0"/>
              <w:spacing w:line="360" w:lineRule="auto"/>
              <w:jc w:val="center"/>
              <w:rPr>
                <w:rFonts w:ascii="宋体" w:cs="宋体"/>
                <w:color w:val="000000"/>
                <w:sz w:val="21"/>
                <w:szCs w:val="21"/>
              </w:rPr>
            </w:pPr>
            <w:r>
              <w:rPr>
                <w:rFonts w:hint="eastAsia" w:ascii="宋体" w:cs="宋体"/>
                <w:sz w:val="21"/>
                <w:szCs w:val="21"/>
                <w:lang w:val="zh-CN"/>
              </w:rPr>
              <w:t>项目管理及实施方案</w:t>
            </w:r>
          </w:p>
        </w:tc>
        <w:tc>
          <w:tcPr>
            <w:tcW w:w="723" w:type="dxa"/>
            <w:shd w:val="clear" w:color="000000" w:fill="FFFFFF"/>
            <w:vAlign w:val="center"/>
          </w:tcPr>
          <w:p>
            <w:pPr>
              <w:autoSpaceDE w:val="0"/>
              <w:autoSpaceDN w:val="0"/>
              <w:snapToGrid w:val="0"/>
              <w:spacing w:line="360" w:lineRule="auto"/>
              <w:jc w:val="center"/>
              <w:rPr>
                <w:rFonts w:ascii="宋体" w:cs="宋体"/>
                <w:color w:val="000000"/>
                <w:sz w:val="21"/>
                <w:szCs w:val="21"/>
              </w:rPr>
            </w:pPr>
            <w:r>
              <w:rPr>
                <w:rFonts w:ascii="宋体" w:cs="宋体"/>
                <w:sz w:val="21"/>
                <w:szCs w:val="21"/>
              </w:rPr>
              <w:t>2</w:t>
            </w:r>
            <w:r>
              <w:rPr>
                <w:rFonts w:hint="eastAsia" w:ascii="宋体" w:cs="宋体"/>
                <w:sz w:val="21"/>
                <w:szCs w:val="21"/>
              </w:rPr>
              <w:t>2</w:t>
            </w:r>
          </w:p>
        </w:tc>
        <w:tc>
          <w:tcPr>
            <w:tcW w:w="6565" w:type="dxa"/>
            <w:shd w:val="clear" w:color="000000" w:fill="FFFFFF"/>
            <w:vAlign w:val="center"/>
          </w:tcPr>
          <w:p>
            <w:pPr>
              <w:autoSpaceDE w:val="0"/>
              <w:autoSpaceDN w:val="0"/>
              <w:snapToGrid w:val="0"/>
              <w:spacing w:line="360" w:lineRule="auto"/>
              <w:rPr>
                <w:rFonts w:ascii="宋体" w:cs="宋体"/>
                <w:sz w:val="21"/>
                <w:szCs w:val="21"/>
                <w:lang w:val="zh-CN"/>
              </w:rPr>
            </w:pPr>
            <w:r>
              <w:rPr>
                <w:rFonts w:hint="eastAsia" w:ascii="宋体" w:cs="宋体"/>
                <w:sz w:val="21"/>
                <w:szCs w:val="21"/>
                <w:lang w:val="zh-CN"/>
              </w:rPr>
              <w:t>1、设置了项目管理机构，并且有科学、具体的项目管理措施，能够结合项目特点制定实施方案的得</w:t>
            </w:r>
            <w:r>
              <w:rPr>
                <w:rFonts w:ascii="宋体" w:cs="宋体"/>
                <w:sz w:val="21"/>
                <w:szCs w:val="21"/>
              </w:rPr>
              <w:t>10</w:t>
            </w:r>
            <w:r>
              <w:rPr>
                <w:rFonts w:hint="eastAsia" w:ascii="宋体" w:cs="宋体"/>
                <w:sz w:val="21"/>
                <w:szCs w:val="21"/>
                <w:lang w:val="zh-CN"/>
              </w:rPr>
              <w:t>分；设置了项目管理机构，有科学、具体的项目管理措施，但未针对本项目特点制定实施方案的得</w:t>
            </w:r>
            <w:r>
              <w:rPr>
                <w:rFonts w:ascii="宋体" w:cs="宋体"/>
                <w:sz w:val="21"/>
                <w:szCs w:val="21"/>
              </w:rPr>
              <w:t>7</w:t>
            </w:r>
            <w:r>
              <w:rPr>
                <w:rFonts w:hint="eastAsia" w:ascii="宋体" w:cs="宋体"/>
                <w:sz w:val="21"/>
                <w:szCs w:val="21"/>
                <w:lang w:val="zh-CN"/>
              </w:rPr>
              <w:t>分；设置了项目管理机构，提供了可行的项目管理措施，制定了可行的实施方案的得</w:t>
            </w:r>
            <w:r>
              <w:rPr>
                <w:rFonts w:ascii="宋体" w:cs="宋体"/>
                <w:sz w:val="21"/>
                <w:szCs w:val="21"/>
              </w:rPr>
              <w:t>4</w:t>
            </w:r>
            <w:r>
              <w:rPr>
                <w:rFonts w:hint="eastAsia" w:ascii="宋体" w:cs="宋体"/>
                <w:sz w:val="21"/>
                <w:szCs w:val="21"/>
                <w:lang w:val="zh-CN"/>
              </w:rPr>
              <w:t>分；仅提供了简单的项目管理机构、管理措施及实施方案的得</w:t>
            </w:r>
            <w:r>
              <w:rPr>
                <w:rFonts w:ascii="宋体" w:cs="宋体"/>
                <w:sz w:val="21"/>
                <w:szCs w:val="21"/>
                <w:lang w:val="zh-CN"/>
              </w:rPr>
              <w:t>1</w:t>
            </w:r>
            <w:r>
              <w:rPr>
                <w:rFonts w:hint="eastAsia" w:ascii="宋体" w:cs="宋体"/>
                <w:sz w:val="21"/>
                <w:szCs w:val="21"/>
                <w:lang w:val="zh-CN"/>
              </w:rPr>
              <w:t>分；未提供的不得分。</w:t>
            </w:r>
          </w:p>
          <w:p>
            <w:pPr>
              <w:autoSpaceDE w:val="0"/>
              <w:autoSpaceDN w:val="0"/>
              <w:snapToGrid w:val="0"/>
              <w:spacing w:line="360" w:lineRule="auto"/>
              <w:rPr>
                <w:rFonts w:ascii="宋体" w:cs="宋体"/>
                <w:sz w:val="21"/>
                <w:szCs w:val="21"/>
                <w:lang w:val="zh-CN"/>
              </w:rPr>
            </w:pPr>
            <w:r>
              <w:rPr>
                <w:rFonts w:hint="eastAsia" w:ascii="宋体" w:cs="宋体"/>
                <w:sz w:val="21"/>
                <w:szCs w:val="21"/>
                <w:lang w:val="zh-CN"/>
              </w:rPr>
              <w:t>2、交货期进度计划及保证措施：交货期进度计划及保证措施编制全面、合理得</w:t>
            </w:r>
            <w:r>
              <w:rPr>
                <w:rFonts w:hint="eastAsia" w:ascii="宋体" w:cs="宋体"/>
                <w:sz w:val="21"/>
                <w:szCs w:val="21"/>
              </w:rPr>
              <w:t>6</w:t>
            </w:r>
            <w:r>
              <w:rPr>
                <w:rFonts w:hint="eastAsia" w:ascii="宋体" w:cs="宋体"/>
                <w:sz w:val="21"/>
                <w:szCs w:val="21"/>
                <w:lang w:val="zh-CN"/>
              </w:rPr>
              <w:t>分；交货期进度计划及保证措施可行得</w:t>
            </w:r>
            <w:r>
              <w:rPr>
                <w:rFonts w:hint="eastAsia" w:ascii="宋体" w:cs="宋体"/>
                <w:sz w:val="21"/>
                <w:szCs w:val="21"/>
              </w:rPr>
              <w:t>3</w:t>
            </w:r>
            <w:r>
              <w:rPr>
                <w:rFonts w:hint="eastAsia" w:ascii="宋体" w:cs="宋体"/>
                <w:sz w:val="21"/>
                <w:szCs w:val="21"/>
                <w:lang w:val="zh-CN"/>
              </w:rPr>
              <w:t>分；仅提供了简单的交货期进度计划及保证措施得1分；未提供的不得分。</w:t>
            </w:r>
          </w:p>
          <w:p>
            <w:pPr>
              <w:autoSpaceDE w:val="0"/>
              <w:autoSpaceDN w:val="0"/>
              <w:snapToGrid w:val="0"/>
              <w:spacing w:line="360" w:lineRule="auto"/>
              <w:rPr>
                <w:rFonts w:ascii="宋体" w:cs="宋体"/>
                <w:color w:val="000000"/>
                <w:sz w:val="21"/>
                <w:szCs w:val="21"/>
              </w:rPr>
            </w:pPr>
            <w:r>
              <w:rPr>
                <w:rFonts w:hint="eastAsia" w:ascii="宋体" w:cs="宋体"/>
                <w:sz w:val="21"/>
                <w:szCs w:val="21"/>
                <w:lang w:val="zh-CN"/>
              </w:rPr>
              <w:t>3、质量控制及保证措施：质量控制及保证措施明确、周密、合理得</w:t>
            </w:r>
            <w:r>
              <w:rPr>
                <w:rFonts w:hint="eastAsia" w:ascii="宋体" w:cs="宋体"/>
                <w:sz w:val="21"/>
                <w:szCs w:val="21"/>
              </w:rPr>
              <w:t>6</w:t>
            </w:r>
            <w:r>
              <w:rPr>
                <w:rFonts w:hint="eastAsia" w:ascii="宋体" w:cs="宋体"/>
                <w:sz w:val="21"/>
                <w:szCs w:val="21"/>
                <w:lang w:val="zh-CN"/>
              </w:rPr>
              <w:t>分；质量控制及保证措施可行得</w:t>
            </w:r>
            <w:r>
              <w:rPr>
                <w:rFonts w:hint="eastAsia" w:ascii="宋体" w:cs="宋体"/>
                <w:sz w:val="21"/>
                <w:szCs w:val="21"/>
              </w:rPr>
              <w:t>3</w:t>
            </w:r>
            <w:r>
              <w:rPr>
                <w:rFonts w:hint="eastAsia" w:ascii="宋体" w:cs="宋体"/>
                <w:sz w:val="21"/>
                <w:szCs w:val="21"/>
                <w:lang w:val="zh-CN"/>
              </w:rPr>
              <w:t>分；仅提供了简单的质量控制及保证措施得</w:t>
            </w:r>
            <w:r>
              <w:rPr>
                <w:rFonts w:hint="eastAsia" w:ascii="宋体" w:cs="宋体"/>
                <w:sz w:val="21"/>
                <w:szCs w:val="21"/>
              </w:rPr>
              <w:t>1</w:t>
            </w:r>
            <w:r>
              <w:rPr>
                <w:rFonts w:hint="eastAsia" w:ascii="宋体" w:cs="宋体"/>
                <w:sz w:val="21"/>
                <w:szCs w:val="21"/>
                <w:lang w:val="zh-CN"/>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845" w:type="dxa"/>
            <w:vMerge w:val="restart"/>
            <w:shd w:val="clear" w:color="000000" w:fill="FFFFFF"/>
            <w:vAlign w:val="center"/>
          </w:tcPr>
          <w:p>
            <w:pPr>
              <w:autoSpaceDE w:val="0"/>
              <w:autoSpaceDN w:val="0"/>
              <w:snapToGrid w:val="0"/>
              <w:spacing w:line="360" w:lineRule="auto"/>
              <w:rPr>
                <w:rFonts w:ascii="宋体" w:cs="宋体"/>
                <w:sz w:val="21"/>
                <w:szCs w:val="21"/>
              </w:rPr>
            </w:pPr>
            <w:r>
              <w:rPr>
                <w:rFonts w:hint="eastAsia" w:ascii="宋体" w:cs="宋体"/>
                <w:sz w:val="21"/>
                <w:szCs w:val="21"/>
              </w:rPr>
              <w:t xml:space="preserve">        </w:t>
            </w:r>
            <w:r>
              <w:rPr>
                <w:rFonts w:hint="eastAsia" w:ascii="宋体" w:cs="宋体"/>
                <w:sz w:val="21"/>
                <w:szCs w:val="21"/>
                <w:lang w:val="zh-CN"/>
              </w:rPr>
              <w:t>履约能力</w:t>
            </w:r>
            <w:r>
              <w:rPr>
                <w:rFonts w:hint="eastAsia" w:ascii="宋体" w:cs="宋体"/>
                <w:sz w:val="21"/>
                <w:szCs w:val="21"/>
              </w:rPr>
              <w:t xml:space="preserve">       12分</w:t>
            </w:r>
          </w:p>
        </w:tc>
        <w:tc>
          <w:tcPr>
            <w:tcW w:w="970" w:type="dxa"/>
            <w:shd w:val="clear" w:color="000000" w:fill="FFFFFF"/>
            <w:vAlign w:val="center"/>
          </w:tcPr>
          <w:p>
            <w:pPr>
              <w:autoSpaceDE w:val="0"/>
              <w:autoSpaceDN w:val="0"/>
              <w:snapToGrid w:val="0"/>
              <w:spacing w:line="360" w:lineRule="auto"/>
              <w:rPr>
                <w:rFonts w:ascii="宋体" w:cs="宋体"/>
                <w:sz w:val="21"/>
                <w:szCs w:val="21"/>
              </w:rPr>
            </w:pPr>
            <w:r>
              <w:rPr>
                <w:rFonts w:hint="eastAsia" w:ascii="宋体" w:cs="宋体"/>
                <w:sz w:val="21"/>
                <w:szCs w:val="21"/>
              </w:rPr>
              <w:t>类似业绩情况</w:t>
            </w:r>
          </w:p>
        </w:tc>
        <w:tc>
          <w:tcPr>
            <w:tcW w:w="723" w:type="dxa"/>
            <w:shd w:val="clear" w:color="000000" w:fill="FFFFFF"/>
            <w:vAlign w:val="center"/>
          </w:tcPr>
          <w:p>
            <w:pPr>
              <w:autoSpaceDE w:val="0"/>
              <w:autoSpaceDN w:val="0"/>
              <w:snapToGrid w:val="0"/>
              <w:spacing w:line="360" w:lineRule="auto"/>
              <w:jc w:val="center"/>
              <w:rPr>
                <w:rFonts w:ascii="宋体" w:cs="宋体"/>
                <w:sz w:val="21"/>
                <w:szCs w:val="21"/>
              </w:rPr>
            </w:pPr>
            <w:r>
              <w:rPr>
                <w:rFonts w:hint="eastAsia" w:ascii="宋体" w:cs="宋体"/>
                <w:sz w:val="21"/>
                <w:szCs w:val="21"/>
              </w:rPr>
              <w:t>10</w:t>
            </w:r>
          </w:p>
        </w:tc>
        <w:tc>
          <w:tcPr>
            <w:tcW w:w="6565" w:type="dxa"/>
            <w:shd w:val="clear" w:color="000000" w:fill="FFFFFF"/>
            <w:vAlign w:val="center"/>
          </w:tcPr>
          <w:p>
            <w:pPr>
              <w:autoSpaceDE w:val="0"/>
              <w:autoSpaceDN w:val="0"/>
              <w:snapToGrid w:val="0"/>
              <w:spacing w:line="360" w:lineRule="auto"/>
              <w:rPr>
                <w:rFonts w:ascii="宋体" w:cs="宋体"/>
                <w:sz w:val="21"/>
                <w:szCs w:val="21"/>
              </w:rPr>
            </w:pPr>
            <w:r>
              <w:rPr>
                <w:rFonts w:hint="eastAsia" w:ascii="宋体" w:cs="宋体"/>
                <w:sz w:val="21"/>
                <w:szCs w:val="21"/>
              </w:rPr>
              <w:t>提供投标人自202</w:t>
            </w:r>
            <w:r>
              <w:rPr>
                <w:rFonts w:hint="eastAsia" w:ascii="宋体" w:cs="宋体"/>
                <w:sz w:val="21"/>
                <w:szCs w:val="21"/>
                <w:lang w:val="en-US" w:eastAsia="zh-CN"/>
              </w:rPr>
              <w:t>2</w:t>
            </w:r>
            <w:r>
              <w:rPr>
                <w:rFonts w:hint="eastAsia" w:ascii="宋体" w:cs="宋体"/>
                <w:sz w:val="21"/>
                <w:szCs w:val="21"/>
              </w:rPr>
              <w:t>年以来类似业绩证明材料，每有一份得2分；满分10分。不提供不得分。</w:t>
            </w:r>
          </w:p>
          <w:p>
            <w:pPr>
              <w:autoSpaceDE w:val="0"/>
              <w:autoSpaceDN w:val="0"/>
              <w:snapToGrid w:val="0"/>
              <w:spacing w:line="360" w:lineRule="auto"/>
              <w:rPr>
                <w:rFonts w:ascii="宋体" w:cs="宋体"/>
                <w:sz w:val="21"/>
                <w:szCs w:val="21"/>
              </w:rPr>
            </w:pPr>
            <w:r>
              <w:rPr>
                <w:rFonts w:hint="eastAsia" w:ascii="宋体" w:cs="宋体"/>
                <w:sz w:val="21"/>
                <w:szCs w:val="21"/>
              </w:rPr>
              <w:t>注：需提供中标通知书或合同（合同包括首页、标的及金额所在页、交货合同签字盖章页的扫描或复印件）。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45" w:type="dxa"/>
            <w:vMerge w:val="continue"/>
            <w:shd w:val="clear" w:color="000000" w:fill="FFFFFF"/>
            <w:vAlign w:val="center"/>
          </w:tcPr>
          <w:p>
            <w:pPr>
              <w:autoSpaceDE w:val="0"/>
              <w:autoSpaceDN w:val="0"/>
              <w:snapToGrid w:val="0"/>
              <w:spacing w:line="360" w:lineRule="auto"/>
              <w:rPr>
                <w:rFonts w:ascii="宋体" w:cs="宋体"/>
                <w:sz w:val="21"/>
                <w:szCs w:val="21"/>
                <w:lang w:val="zh-CN"/>
              </w:rPr>
            </w:pPr>
          </w:p>
        </w:tc>
        <w:tc>
          <w:tcPr>
            <w:tcW w:w="970" w:type="dxa"/>
            <w:shd w:val="clear" w:color="000000" w:fill="FFFFFF"/>
            <w:vAlign w:val="center"/>
          </w:tcPr>
          <w:p>
            <w:pPr>
              <w:autoSpaceDE w:val="0"/>
              <w:autoSpaceDN w:val="0"/>
              <w:snapToGrid w:val="0"/>
              <w:spacing w:line="360" w:lineRule="auto"/>
              <w:rPr>
                <w:rFonts w:ascii="宋体" w:cs="宋体"/>
                <w:sz w:val="21"/>
                <w:szCs w:val="21"/>
              </w:rPr>
            </w:pPr>
            <w:r>
              <w:rPr>
                <w:rFonts w:hint="eastAsia" w:ascii="宋体" w:cs="宋体"/>
                <w:sz w:val="21"/>
                <w:szCs w:val="21"/>
              </w:rPr>
              <w:t>对</w:t>
            </w:r>
            <w:r>
              <w:rPr>
                <w:rFonts w:hint="eastAsia" w:ascii="宋体" w:cs="宋体"/>
                <w:sz w:val="21"/>
                <w:szCs w:val="21"/>
                <w:lang w:val="en-US" w:eastAsia="zh-CN"/>
              </w:rPr>
              <w:t>磋商</w:t>
            </w:r>
            <w:r>
              <w:rPr>
                <w:rFonts w:hint="eastAsia" w:ascii="宋体" w:cs="宋体"/>
                <w:sz w:val="21"/>
                <w:szCs w:val="21"/>
              </w:rPr>
              <w:t>文件规范性要求</w:t>
            </w:r>
          </w:p>
        </w:tc>
        <w:tc>
          <w:tcPr>
            <w:tcW w:w="723" w:type="dxa"/>
            <w:shd w:val="clear" w:color="000000" w:fill="FFFFFF"/>
            <w:vAlign w:val="center"/>
          </w:tcPr>
          <w:p>
            <w:pPr>
              <w:autoSpaceDE w:val="0"/>
              <w:autoSpaceDN w:val="0"/>
              <w:snapToGrid w:val="0"/>
              <w:spacing w:line="360" w:lineRule="auto"/>
              <w:jc w:val="center"/>
              <w:rPr>
                <w:rFonts w:ascii="宋体" w:cs="宋体"/>
                <w:sz w:val="21"/>
                <w:szCs w:val="21"/>
              </w:rPr>
            </w:pPr>
            <w:r>
              <w:rPr>
                <w:rFonts w:hint="eastAsia" w:ascii="宋体" w:cs="宋体"/>
                <w:sz w:val="21"/>
                <w:szCs w:val="21"/>
              </w:rPr>
              <w:t>2</w:t>
            </w:r>
          </w:p>
        </w:tc>
        <w:tc>
          <w:tcPr>
            <w:tcW w:w="6565" w:type="dxa"/>
            <w:shd w:val="clear" w:color="000000" w:fill="FFFFFF"/>
            <w:vAlign w:val="center"/>
          </w:tcPr>
          <w:p>
            <w:pPr>
              <w:autoSpaceDE w:val="0"/>
              <w:autoSpaceDN w:val="0"/>
              <w:snapToGrid w:val="0"/>
              <w:spacing w:line="360" w:lineRule="auto"/>
              <w:rPr>
                <w:rFonts w:ascii="宋体" w:cs="宋体"/>
                <w:sz w:val="21"/>
                <w:szCs w:val="21"/>
              </w:rPr>
            </w:pPr>
            <w:r>
              <w:rPr>
                <w:rFonts w:hint="eastAsia" w:ascii="宋体" w:cs="宋体"/>
                <w:sz w:val="21"/>
                <w:szCs w:val="21"/>
              </w:rPr>
              <w:t>完全响应</w:t>
            </w:r>
            <w:r>
              <w:rPr>
                <w:rFonts w:hint="eastAsia" w:ascii="宋体" w:cs="宋体"/>
                <w:sz w:val="21"/>
                <w:szCs w:val="21"/>
                <w:lang w:val="en-US" w:eastAsia="zh-CN"/>
              </w:rPr>
              <w:t>磋商</w:t>
            </w:r>
            <w:r>
              <w:rPr>
                <w:rFonts w:hint="eastAsia" w:ascii="宋体" w:cs="宋体"/>
                <w:sz w:val="21"/>
                <w:szCs w:val="21"/>
              </w:rPr>
              <w:t>文件格式要求编排者得2分；有一项细微偏差扣1分，直至该项分值扣完为止。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45" w:type="dxa"/>
            <w:shd w:val="clear" w:color="000000" w:fill="FFFFFF"/>
            <w:vAlign w:val="center"/>
          </w:tcPr>
          <w:p>
            <w:pPr>
              <w:autoSpaceDE w:val="0"/>
              <w:autoSpaceDN w:val="0"/>
              <w:snapToGrid w:val="0"/>
              <w:spacing w:line="360" w:lineRule="auto"/>
              <w:rPr>
                <w:rFonts w:ascii="宋体" w:cs="宋体"/>
                <w:sz w:val="21"/>
                <w:szCs w:val="21"/>
              </w:rPr>
            </w:pPr>
            <w:r>
              <w:rPr>
                <w:rFonts w:hint="eastAsia" w:ascii="宋体" w:cs="宋体"/>
                <w:sz w:val="21"/>
                <w:szCs w:val="21"/>
              </w:rPr>
              <w:t xml:space="preserve">      售后服务</w:t>
            </w:r>
          </w:p>
          <w:p>
            <w:pPr>
              <w:autoSpaceDE w:val="0"/>
              <w:autoSpaceDN w:val="0"/>
              <w:snapToGrid w:val="0"/>
              <w:spacing w:line="360" w:lineRule="auto"/>
              <w:rPr>
                <w:rFonts w:ascii="宋体" w:cs="宋体"/>
                <w:sz w:val="21"/>
                <w:szCs w:val="21"/>
                <w:lang w:val="zh-CN"/>
              </w:rPr>
            </w:pPr>
            <w:r>
              <w:rPr>
                <w:rFonts w:hint="eastAsia" w:ascii="宋体" w:cs="宋体"/>
                <w:sz w:val="21"/>
                <w:szCs w:val="21"/>
              </w:rPr>
              <w:t xml:space="preserve">       </w:t>
            </w:r>
            <w:r>
              <w:rPr>
                <w:rFonts w:hint="eastAsia" w:ascii="宋体" w:cs="宋体"/>
                <w:sz w:val="21"/>
                <w:szCs w:val="21"/>
                <w:lang w:val="zh-CN"/>
              </w:rPr>
              <w:t>5分</w:t>
            </w:r>
          </w:p>
        </w:tc>
        <w:tc>
          <w:tcPr>
            <w:tcW w:w="970" w:type="dxa"/>
            <w:shd w:val="clear" w:color="000000" w:fill="FFFFFF"/>
            <w:vAlign w:val="center"/>
          </w:tcPr>
          <w:p>
            <w:pPr>
              <w:autoSpaceDE w:val="0"/>
              <w:autoSpaceDN w:val="0"/>
              <w:snapToGrid w:val="0"/>
              <w:spacing w:line="360" w:lineRule="auto"/>
              <w:rPr>
                <w:rFonts w:ascii="宋体" w:cs="宋体"/>
                <w:sz w:val="21"/>
                <w:szCs w:val="21"/>
                <w:lang w:val="zh-CN"/>
              </w:rPr>
            </w:pPr>
            <w:r>
              <w:rPr>
                <w:rFonts w:hint="eastAsia" w:ascii="宋体" w:cs="宋体"/>
                <w:sz w:val="21"/>
                <w:szCs w:val="21"/>
                <w:lang w:val="zh-CN"/>
              </w:rPr>
              <w:t>售后服务</w:t>
            </w:r>
          </w:p>
        </w:tc>
        <w:tc>
          <w:tcPr>
            <w:tcW w:w="723" w:type="dxa"/>
            <w:shd w:val="clear" w:color="000000" w:fill="FFFFFF"/>
            <w:vAlign w:val="center"/>
          </w:tcPr>
          <w:p>
            <w:pPr>
              <w:autoSpaceDE w:val="0"/>
              <w:autoSpaceDN w:val="0"/>
              <w:snapToGrid w:val="0"/>
              <w:spacing w:line="360" w:lineRule="auto"/>
              <w:jc w:val="center"/>
              <w:rPr>
                <w:rFonts w:ascii="宋体" w:cs="宋体"/>
                <w:sz w:val="21"/>
                <w:szCs w:val="21"/>
              </w:rPr>
            </w:pPr>
            <w:r>
              <w:rPr>
                <w:rFonts w:hint="eastAsia" w:ascii="宋体" w:cs="宋体"/>
                <w:sz w:val="21"/>
                <w:szCs w:val="21"/>
              </w:rPr>
              <w:t>5</w:t>
            </w:r>
          </w:p>
        </w:tc>
        <w:tc>
          <w:tcPr>
            <w:tcW w:w="6565" w:type="dxa"/>
            <w:shd w:val="clear" w:color="000000" w:fill="FFFFFF"/>
            <w:vAlign w:val="center"/>
          </w:tcPr>
          <w:p>
            <w:pPr>
              <w:autoSpaceDE w:val="0"/>
              <w:autoSpaceDN w:val="0"/>
              <w:snapToGrid w:val="0"/>
              <w:spacing w:line="360" w:lineRule="auto"/>
              <w:rPr>
                <w:rFonts w:ascii="宋体" w:cs="宋体"/>
                <w:sz w:val="21"/>
                <w:szCs w:val="21"/>
              </w:rPr>
            </w:pPr>
            <w:r>
              <w:rPr>
                <w:rFonts w:hint="eastAsia" w:ascii="宋体" w:cs="宋体"/>
                <w:sz w:val="21"/>
                <w:szCs w:val="21"/>
              </w:rPr>
              <w:t>针对该项目有详尽的组织实施、验收、售后等方面的服务能力、措施及相关承诺，全面、详细、合理的得5分；服务能力、措施及相关承诺可行的，得3分；仅提供服务能力、措施及相关承诺内容简单、不明确，得1分；未提供的不得分。</w:t>
            </w:r>
          </w:p>
        </w:tc>
      </w:tr>
    </w:tbl>
    <w:p>
      <w:pPr>
        <w:autoSpaceDE w:val="0"/>
        <w:autoSpaceDN w:val="0"/>
        <w:spacing w:line="360" w:lineRule="auto"/>
        <w:ind w:firstLine="361" w:firstLineChars="150"/>
        <w:rPr>
          <w:rFonts w:hint="eastAsia" w:ascii="宋体" w:hAnsi="宋体" w:cs="宋体"/>
          <w:kern w:val="0"/>
          <w:lang w:val="zh-CN"/>
        </w:rPr>
      </w:pPr>
      <w:r>
        <w:rPr>
          <w:rFonts w:hint="eastAsia" w:ascii="宋体" w:hAnsi="Cambria" w:cs="宋体"/>
          <w:b/>
          <w:kern w:val="0"/>
          <w:sz w:val="24"/>
        </w:rPr>
        <w:t>注：各供应商的提交的响应文件中，应将上述涉及到的证明资料扫描件（或复印件）附在其中，并加盖公章</w:t>
      </w:r>
      <w:r>
        <w:rPr>
          <w:rFonts w:hint="eastAsia" w:ascii="宋体" w:hAnsi="Cambria" w:cs="宋体"/>
          <w:kern w:val="0"/>
          <w:sz w:val="24"/>
        </w:rPr>
        <w:t>。</w:t>
      </w:r>
    </w:p>
    <w:p>
      <w:pPr>
        <w:rPr>
          <w:sz w:val="21"/>
          <w:szCs w:val="21"/>
        </w:rPr>
      </w:pPr>
      <w:bookmarkStart w:id="37" w:name="_Toc37664023"/>
    </w:p>
    <w:p>
      <w:pPr>
        <w:pStyle w:val="20"/>
        <w:spacing w:before="0" w:after="0" w:line="360" w:lineRule="auto"/>
        <w:rPr>
          <w:rFonts w:ascii="宋体" w:cs="宋体"/>
          <w:lang w:val="zh-CN"/>
        </w:rPr>
      </w:pPr>
      <w:r>
        <w:rPr>
          <w:rFonts w:hint="eastAsia" w:ascii="宋体" w:hAnsi="宋体" w:cs="宋体"/>
          <w:lang w:val="zh-CN"/>
        </w:rPr>
        <w:t>八、成交办法</w:t>
      </w:r>
      <w:bookmarkEnd w:id="37"/>
    </w:p>
    <w:p>
      <w:pPr>
        <w:pStyle w:val="20"/>
        <w:spacing w:before="0" w:after="0" w:line="360" w:lineRule="auto"/>
        <w:jc w:val="left"/>
        <w:rPr>
          <w:rFonts w:ascii="宋体" w:cs="宋体"/>
          <w:lang w:val="zh-CN"/>
        </w:rPr>
      </w:pPr>
      <w:bookmarkStart w:id="38" w:name="_Toc37664024"/>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hint="eastAsia" w:ascii="宋体" w:hAnsi="宋体" w:cs="宋体"/>
          <w:sz w:val="28"/>
          <w:szCs w:val="28"/>
          <w:lang w:val="zh-CN"/>
        </w:rPr>
        <w:t>推荐并确定成交投标人</w:t>
      </w:r>
      <w:bookmarkEnd w:id="38"/>
    </w:p>
    <w:p>
      <w:pPr>
        <w:autoSpaceDE w:val="0"/>
        <w:autoSpaceDN w:val="0"/>
        <w:spacing w:line="360" w:lineRule="auto"/>
        <w:ind w:firstLine="480" w:firstLineChars="200"/>
        <w:rPr>
          <w:rFonts w:ascii="宋体" w:cs="宋体"/>
          <w:kern w:val="0"/>
        </w:rPr>
      </w:pPr>
      <w:r>
        <w:rPr>
          <w:rFonts w:ascii="宋体" w:hAnsi="宋体" w:cs="宋体"/>
          <w:kern w:val="0"/>
        </w:rPr>
        <w:t xml:space="preserve">21.1 </w:t>
      </w:r>
      <w:r>
        <w:rPr>
          <w:rFonts w:hint="eastAsia" w:ascii="宋体" w:hAnsi="宋体" w:cs="宋体"/>
          <w:kern w:val="0"/>
        </w:rPr>
        <w:t>磋商小组根据评审总得分由高到低排序推荐预中标候选人，并由采购人按顺序确定成交投标人。</w:t>
      </w:r>
    </w:p>
    <w:p>
      <w:pPr>
        <w:autoSpaceDE w:val="0"/>
        <w:autoSpaceDN w:val="0"/>
        <w:spacing w:line="360" w:lineRule="auto"/>
        <w:ind w:firstLine="480" w:firstLineChars="200"/>
        <w:rPr>
          <w:rFonts w:ascii="宋体" w:cs="宋体"/>
          <w:kern w:val="0"/>
        </w:rPr>
      </w:pPr>
      <w:r>
        <w:rPr>
          <w:rFonts w:ascii="宋体" w:hAnsi="宋体" w:cs="宋体"/>
          <w:kern w:val="0"/>
        </w:rPr>
        <w:t xml:space="preserve">21.2 </w:t>
      </w:r>
      <w:r>
        <w:rPr>
          <w:rFonts w:hint="eastAsia" w:ascii="宋体" w:hAnsi="宋体" w:cs="宋体"/>
          <w:kern w:val="0"/>
        </w:rPr>
        <w:t>成交投标人因不可抗力或自身原因不能履行合同时，采购人可以按照磋商报告推荐的预成交投标人候选人名单排序，确定下一候选人为成交投标人，也可重新开展政府采购活动。</w:t>
      </w:r>
    </w:p>
    <w:p>
      <w:pPr>
        <w:pStyle w:val="20"/>
        <w:spacing w:before="0" w:after="0" w:line="360" w:lineRule="auto"/>
        <w:jc w:val="left"/>
        <w:rPr>
          <w:rFonts w:ascii="宋体" w:cs="宋体"/>
          <w:lang w:val="zh-CN"/>
        </w:rPr>
      </w:pPr>
      <w:bookmarkStart w:id="39" w:name="_Toc37664025"/>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hint="eastAsia" w:ascii="宋体" w:hAnsi="宋体" w:cs="宋体"/>
          <w:sz w:val="28"/>
          <w:szCs w:val="28"/>
          <w:lang w:val="zh-CN"/>
        </w:rPr>
        <w:t>成交通知</w:t>
      </w:r>
      <w:bookmarkEnd w:id="39"/>
    </w:p>
    <w:p>
      <w:pPr>
        <w:autoSpaceDE w:val="0"/>
        <w:autoSpaceDN w:val="0"/>
        <w:spacing w:line="360" w:lineRule="auto"/>
        <w:ind w:firstLine="480" w:firstLineChars="200"/>
        <w:rPr>
          <w:rFonts w:ascii="宋体" w:cs="宋体"/>
          <w:kern w:val="0"/>
        </w:rPr>
      </w:pPr>
      <w:r>
        <w:rPr>
          <w:rFonts w:ascii="宋体" w:hAnsi="宋体" w:cs="宋体"/>
          <w:kern w:val="0"/>
        </w:rPr>
        <w:t xml:space="preserve">22.1 </w:t>
      </w:r>
      <w:r>
        <w:rPr>
          <w:rFonts w:hint="eastAsia" w:ascii="宋体" w:hAnsi="宋体" w:cs="宋体"/>
          <w:kern w:val="0"/>
        </w:rPr>
        <w:t>集中采购机构自成交投标人确定之日起</w:t>
      </w:r>
      <w:r>
        <w:rPr>
          <w:rFonts w:ascii="宋体" w:hAnsi="宋体" w:cs="宋体"/>
          <w:kern w:val="0"/>
        </w:rPr>
        <w:t>2</w:t>
      </w:r>
      <w:r>
        <w:rPr>
          <w:rFonts w:hint="eastAsia" w:ascii="宋体" w:hAnsi="宋体" w:cs="宋体"/>
          <w:kern w:val="0"/>
        </w:rPr>
        <w:t>个工作日内发出《成交通知书》，并在青海政府采购信息网上公告成交结果，公告期限为</w:t>
      </w:r>
      <w:r>
        <w:rPr>
          <w:rFonts w:ascii="宋体" w:hAnsi="宋体" w:cs="宋体"/>
          <w:kern w:val="0"/>
        </w:rPr>
        <w:t>1</w:t>
      </w:r>
      <w:r>
        <w:rPr>
          <w:rFonts w:hint="eastAsia" w:ascii="宋体" w:hAnsi="宋体" w:cs="宋体"/>
          <w:kern w:val="0"/>
        </w:rPr>
        <w:t>个工作日。在公告成交结果的同时，集中采购机构应当向成交投标人发出成交通知书；对未通过资格审查的投标人，告知其未通过的原因；告知未成交投标人本人的评审得分与排序。</w:t>
      </w:r>
    </w:p>
    <w:p>
      <w:pPr>
        <w:autoSpaceDE w:val="0"/>
        <w:autoSpaceDN w:val="0"/>
        <w:spacing w:line="360" w:lineRule="auto"/>
        <w:ind w:firstLine="480" w:firstLineChars="200"/>
        <w:rPr>
          <w:rFonts w:ascii="宋体" w:cs="宋体"/>
          <w:kern w:val="0"/>
        </w:rPr>
      </w:pPr>
      <w:r>
        <w:rPr>
          <w:rFonts w:ascii="宋体" w:hAnsi="宋体" w:cs="宋体"/>
          <w:kern w:val="0"/>
        </w:rPr>
        <w:t xml:space="preserve">22.2 </w:t>
      </w:r>
      <w:r>
        <w:rPr>
          <w:rFonts w:hint="eastAsia" w:ascii="宋体" w:hAnsi="宋体" w:cs="宋体"/>
          <w:kern w:val="0"/>
        </w:rPr>
        <w:t>《成交通知书》发出后，采购人改变成交结果的，或者成交投标人无正当理由放弃成交项目的，依法承担法律责任。</w:t>
      </w:r>
    </w:p>
    <w:p>
      <w:pPr>
        <w:pStyle w:val="20"/>
        <w:spacing w:before="0" w:after="0" w:line="360" w:lineRule="auto"/>
        <w:rPr>
          <w:rFonts w:ascii="宋体" w:cs="宋体"/>
          <w:lang w:val="zh-CN"/>
        </w:rPr>
      </w:pPr>
      <w:bookmarkStart w:id="40" w:name="_Toc37664026"/>
      <w:r>
        <w:rPr>
          <w:rFonts w:hint="eastAsia" w:ascii="宋体" w:hAnsi="宋体" w:cs="宋体"/>
          <w:lang w:val="zh-CN"/>
        </w:rPr>
        <w:t>九、授予合同</w:t>
      </w:r>
      <w:bookmarkEnd w:id="40"/>
    </w:p>
    <w:p>
      <w:pPr>
        <w:pStyle w:val="20"/>
        <w:spacing w:before="0" w:after="0" w:line="360" w:lineRule="auto"/>
        <w:jc w:val="left"/>
        <w:rPr>
          <w:rFonts w:ascii="宋体" w:cs="宋体"/>
          <w:kern w:val="0"/>
          <w:sz w:val="24"/>
        </w:rPr>
      </w:pPr>
      <w:bookmarkStart w:id="41" w:name="_Toc37664027"/>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hint="eastAsia" w:ascii="宋体" w:hAnsi="宋体" w:cs="宋体"/>
          <w:sz w:val="28"/>
          <w:szCs w:val="28"/>
          <w:lang w:val="zh-CN"/>
        </w:rPr>
        <w:t>签订合同</w:t>
      </w:r>
      <w:bookmarkEnd w:id="41"/>
    </w:p>
    <w:p>
      <w:pPr>
        <w:autoSpaceDE w:val="0"/>
        <w:autoSpaceDN w:val="0"/>
        <w:spacing w:line="360" w:lineRule="auto"/>
        <w:ind w:firstLine="480" w:firstLineChars="200"/>
        <w:rPr>
          <w:rFonts w:ascii="宋体" w:cs="宋体"/>
          <w:kern w:val="0"/>
        </w:rPr>
      </w:pPr>
      <w:r>
        <w:rPr>
          <w:rFonts w:ascii="宋体" w:hAnsi="宋体" w:cs="宋体"/>
          <w:kern w:val="0"/>
        </w:rPr>
        <w:t xml:space="preserve">23.1 </w:t>
      </w:r>
      <w:r>
        <w:rPr>
          <w:rFonts w:hint="eastAsia" w:ascii="宋体" w:hAnsi="宋体" w:cs="宋体"/>
          <w:kern w:val="0"/>
        </w:rPr>
        <w:t>采购人与成交投标人双方应当自《成交通知书》发出之日起</w:t>
      </w:r>
      <w:r>
        <w:rPr>
          <w:rFonts w:ascii="宋体" w:hAnsi="宋体" w:cs="宋体"/>
          <w:kern w:val="0"/>
        </w:rPr>
        <w:t>30</w:t>
      </w:r>
      <w:r>
        <w:rPr>
          <w:rFonts w:hint="eastAsia" w:ascii="宋体" w:hAnsi="宋体" w:cs="宋体"/>
          <w:kern w:val="0"/>
        </w:rPr>
        <w:t>日内，按照磋商文件确定的合同文本以及采购标的、规格型号、采购金额、采购数量、技术和服务要求等事项签订政府采购合同，并报大通县政府采购服务中心审核备案。</w:t>
      </w:r>
    </w:p>
    <w:p>
      <w:pPr>
        <w:autoSpaceDE w:val="0"/>
        <w:autoSpaceDN w:val="0"/>
        <w:spacing w:line="360" w:lineRule="auto"/>
        <w:ind w:firstLine="480" w:firstLineChars="200"/>
        <w:rPr>
          <w:rFonts w:ascii="宋体" w:cs="宋体"/>
          <w:kern w:val="0"/>
        </w:rPr>
      </w:pPr>
      <w:r>
        <w:rPr>
          <w:rFonts w:ascii="宋体" w:hAnsi="宋体" w:cs="宋体"/>
          <w:kern w:val="0"/>
        </w:rPr>
        <w:t xml:space="preserve">23.2 </w:t>
      </w:r>
      <w:r>
        <w:rPr>
          <w:rFonts w:hint="eastAsia" w:ascii="宋体" w:hAnsi="宋体" w:cs="宋体"/>
          <w:kern w:val="0"/>
        </w:rPr>
        <w:t>采购人不得向成交投标人提出超出磋商文件以外的任何要求作为订立合同的条件，不得与成交投标人订立背离磋商文件确定的合同文本以及采购标的、规格型号、采购金额、采购数量、技术和服务要求等实质性内容的协议。</w:t>
      </w:r>
    </w:p>
    <w:p>
      <w:pPr>
        <w:autoSpaceDE w:val="0"/>
        <w:autoSpaceDN w:val="0"/>
        <w:spacing w:line="360" w:lineRule="auto"/>
        <w:ind w:firstLine="480" w:firstLineChars="200"/>
        <w:rPr>
          <w:rFonts w:ascii="宋体" w:cs="宋体"/>
          <w:kern w:val="0"/>
        </w:rPr>
      </w:pPr>
      <w:r>
        <w:rPr>
          <w:rFonts w:ascii="宋体" w:hAnsi="宋体" w:cs="宋体"/>
          <w:kern w:val="0"/>
        </w:rPr>
        <w:t xml:space="preserve">23.3 </w:t>
      </w:r>
      <w:r>
        <w:rPr>
          <w:rFonts w:hint="eastAsia" w:ascii="宋体" w:hAnsi="宋体" w:cs="宋体"/>
          <w:kern w:val="0"/>
        </w:rPr>
        <w:t>签订合同时，成交投标人应按规定向采购人提交履约保证金（履约保证金的数额由采购人与成交投标人商定，但数额不得超出采购合同总金额的</w:t>
      </w:r>
      <w:r>
        <w:rPr>
          <w:rFonts w:ascii="宋体" w:hAnsi="宋体" w:cs="宋体"/>
          <w:kern w:val="0"/>
        </w:rPr>
        <w:t>10%</w:t>
      </w:r>
      <w:r>
        <w:rPr>
          <w:rFonts w:hint="eastAsia" w:ascii="宋体" w:hAnsi="宋体" w:cs="宋体"/>
          <w:kern w:val="0"/>
        </w:rPr>
        <w:t>），履约保证金须缴纳到采购人指定的账户。</w:t>
      </w:r>
    </w:p>
    <w:p>
      <w:pPr>
        <w:autoSpaceDE w:val="0"/>
        <w:autoSpaceDN w:val="0"/>
        <w:spacing w:line="360" w:lineRule="auto"/>
        <w:ind w:firstLine="480" w:firstLineChars="200"/>
        <w:rPr>
          <w:rFonts w:ascii="宋体" w:cs="宋体"/>
          <w:kern w:val="0"/>
        </w:rPr>
      </w:pPr>
      <w:r>
        <w:rPr>
          <w:rFonts w:ascii="宋体" w:hAnsi="宋体" w:cs="宋体"/>
          <w:kern w:val="0"/>
        </w:rPr>
        <w:t xml:space="preserve">23.4 </w:t>
      </w:r>
      <w:r>
        <w:rPr>
          <w:rFonts w:hint="eastAsia" w:ascii="宋体" w:hAnsi="宋体" w:cs="宋体"/>
          <w:kern w:val="0"/>
        </w:rPr>
        <w:t>成交投标人在法定期限内无正当理由拒签合同的，按违约处理。同时，集中采购机构和采购人可依成交投标人候选人排序重新确定成交投标人，并协调双方签订采购合同。</w:t>
      </w:r>
    </w:p>
    <w:p>
      <w:pPr>
        <w:autoSpaceDE w:val="0"/>
        <w:autoSpaceDN w:val="0"/>
        <w:spacing w:line="360" w:lineRule="auto"/>
        <w:ind w:firstLine="480" w:firstLineChars="200"/>
        <w:rPr>
          <w:rFonts w:ascii="宋体" w:cs="宋体"/>
          <w:kern w:val="0"/>
        </w:rPr>
      </w:pPr>
      <w:r>
        <w:rPr>
          <w:rFonts w:ascii="宋体" w:hAnsi="宋体" w:cs="宋体"/>
          <w:kern w:val="0"/>
        </w:rPr>
        <w:t xml:space="preserve">23.5 </w:t>
      </w:r>
      <w:r>
        <w:rPr>
          <w:rFonts w:hint="eastAsia" w:ascii="宋体" w:hAnsi="宋体" w:cs="宋体"/>
          <w:kern w:val="0"/>
        </w:rPr>
        <w:t>磋商文件、成交投标人的磋商响应文件、《成交通知书》及其澄清、说明文件等，均为签订采购合同的依据。</w:t>
      </w:r>
    </w:p>
    <w:p>
      <w:pPr>
        <w:pStyle w:val="20"/>
        <w:spacing w:before="0" w:after="0" w:line="360" w:lineRule="auto"/>
        <w:rPr>
          <w:rFonts w:ascii="宋体" w:cs="宋体"/>
          <w:lang w:val="zh-CN"/>
        </w:rPr>
      </w:pPr>
      <w:bookmarkStart w:id="42" w:name="_Toc37664028"/>
      <w:r>
        <w:rPr>
          <w:rFonts w:hint="eastAsia" w:ascii="宋体" w:hAnsi="宋体" w:cs="宋体"/>
          <w:lang w:val="zh-CN"/>
        </w:rPr>
        <w:t>十、串通投标的认定及处理办法</w:t>
      </w:r>
      <w:bookmarkEnd w:id="42"/>
    </w:p>
    <w:p>
      <w:pPr>
        <w:pStyle w:val="20"/>
        <w:spacing w:before="0" w:after="0" w:line="360" w:lineRule="auto"/>
        <w:jc w:val="left"/>
        <w:rPr>
          <w:rFonts w:ascii="宋体" w:cs="宋体"/>
          <w:sz w:val="28"/>
          <w:szCs w:val="28"/>
          <w:lang w:val="zh-CN"/>
        </w:rPr>
      </w:pPr>
      <w:bookmarkStart w:id="43" w:name="_Toc496189563"/>
      <w:bookmarkStart w:id="44" w:name="_Toc496004020"/>
      <w:bookmarkStart w:id="45" w:name="_Toc37664029"/>
      <w:bookmarkStart w:id="46" w:name="_Toc496626225"/>
      <w:r>
        <w:rPr>
          <w:rFonts w:ascii="宋体" w:hAnsi="宋体" w:cs="宋体"/>
          <w:sz w:val="28"/>
          <w:szCs w:val="28"/>
          <w:lang w:val="zh-CN"/>
        </w:rPr>
        <w:t>24.</w:t>
      </w:r>
      <w:r>
        <w:rPr>
          <w:rFonts w:hint="eastAsia" w:ascii="宋体" w:hAnsi="宋体" w:cs="宋体"/>
          <w:sz w:val="28"/>
          <w:szCs w:val="28"/>
          <w:lang w:val="zh-CN"/>
        </w:rPr>
        <w:t>串通投标的情形</w:t>
      </w:r>
      <w:bookmarkEnd w:id="43"/>
      <w:bookmarkEnd w:id="44"/>
      <w:bookmarkEnd w:id="45"/>
      <w:bookmarkEnd w:id="46"/>
    </w:p>
    <w:p>
      <w:pPr>
        <w:autoSpaceDE w:val="0"/>
        <w:autoSpaceDN w:val="0"/>
        <w:spacing w:line="360" w:lineRule="auto"/>
        <w:ind w:firstLine="480" w:firstLineChars="200"/>
        <w:rPr>
          <w:rFonts w:ascii="宋体" w:cs="宋体"/>
          <w:kern w:val="0"/>
        </w:rPr>
      </w:pPr>
      <w:r>
        <w:rPr>
          <w:rFonts w:ascii="宋体" w:hAnsi="宋体" w:cs="宋体"/>
          <w:kern w:val="0"/>
        </w:rPr>
        <w:t xml:space="preserve">24.1 </w:t>
      </w:r>
      <w:r>
        <w:rPr>
          <w:rFonts w:hint="eastAsia" w:ascii="宋体" w:hAnsi="宋体" w:cs="宋体"/>
          <w:kern w:val="0"/>
        </w:rPr>
        <w:t>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cs="宋体"/>
          <w:kern w:val="0"/>
        </w:rPr>
      </w:pPr>
      <w:r>
        <w:rPr>
          <w:rFonts w:ascii="宋体" w:hAnsi="宋体" w:cs="宋体"/>
          <w:kern w:val="0"/>
        </w:rPr>
        <w:t xml:space="preserve">24.2 </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）不同投标人的磋商响应文件由同一单位或者个人编制；</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）不同投标人委托同一单位或者个人办理投标事宜；</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）不同投标人的磋商响应文件载明的项目管理成员或者联系人员为同一人；</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）不同投标人的磋商响应文件异常一致或者投标报价呈规律性差异；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）不同投标人的磋商响应文件相互混装；</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）不同投标人的投标保证金从同一单位或者个人的账户转出。</w:t>
      </w:r>
    </w:p>
    <w:p>
      <w:pPr>
        <w:pStyle w:val="20"/>
        <w:spacing w:before="0" w:after="0" w:line="360" w:lineRule="auto"/>
        <w:rPr>
          <w:rFonts w:ascii="宋体" w:cs="宋体"/>
          <w:lang w:val="zh-CN"/>
        </w:rPr>
      </w:pPr>
      <w:bookmarkStart w:id="47" w:name="_Toc37664030"/>
      <w:r>
        <w:rPr>
          <w:rFonts w:hint="eastAsia" w:ascii="宋体" w:hAnsi="宋体" w:cs="宋体"/>
          <w:lang w:val="zh-CN"/>
        </w:rPr>
        <w:t>十一、磋商活动终止</w:t>
      </w:r>
      <w:bookmarkEnd w:id="47"/>
    </w:p>
    <w:p>
      <w:pPr>
        <w:pStyle w:val="20"/>
        <w:spacing w:before="0" w:after="0" w:line="360" w:lineRule="auto"/>
        <w:jc w:val="left"/>
        <w:rPr>
          <w:rFonts w:ascii="宋体" w:cs="宋体"/>
          <w:sz w:val="28"/>
          <w:szCs w:val="28"/>
          <w:lang w:val="zh-CN"/>
        </w:rPr>
      </w:pPr>
      <w:bookmarkStart w:id="48" w:name="_Toc494439627"/>
      <w:bookmarkStart w:id="49" w:name="_Toc37664031"/>
      <w:bookmarkStart w:id="50" w:name="_Toc376936762"/>
      <w:bookmarkStart w:id="51" w:name="_Toc325726031"/>
      <w:r>
        <w:rPr>
          <w:rFonts w:ascii="宋体" w:hAnsi="宋体" w:cs="宋体"/>
          <w:sz w:val="28"/>
          <w:szCs w:val="28"/>
          <w:lang w:val="zh-CN"/>
        </w:rPr>
        <w:t xml:space="preserve">25. </w:t>
      </w:r>
      <w:r>
        <w:rPr>
          <w:rFonts w:hint="eastAsia" w:ascii="宋体" w:hAnsi="宋体" w:cs="宋体"/>
          <w:sz w:val="28"/>
          <w:szCs w:val="28"/>
          <w:lang w:val="zh-CN"/>
        </w:rPr>
        <w:t>终止情形</w:t>
      </w:r>
      <w:bookmarkEnd w:id="48"/>
      <w:bookmarkEnd w:id="49"/>
    </w:p>
    <w:bookmarkEnd w:id="50"/>
    <w:bookmarkEnd w:id="51"/>
    <w:p>
      <w:pPr>
        <w:autoSpaceDE w:val="0"/>
        <w:autoSpaceDN w:val="0"/>
        <w:spacing w:line="360" w:lineRule="auto"/>
        <w:ind w:firstLine="480" w:firstLineChars="200"/>
        <w:rPr>
          <w:rFonts w:ascii="宋体" w:cs="宋体"/>
          <w:kern w:val="0"/>
        </w:rPr>
      </w:pPr>
      <w:bookmarkStart w:id="52" w:name="_Toc494439628"/>
      <w:bookmarkStart w:id="53" w:name="_Toc376936763"/>
      <w:r>
        <w:rPr>
          <w:rFonts w:ascii="宋体" w:hAnsi="宋体" w:cs="宋体"/>
          <w:kern w:val="0"/>
        </w:rPr>
        <w:t xml:space="preserve">25.1 </w:t>
      </w:r>
      <w:r>
        <w:rPr>
          <w:rFonts w:hint="eastAsia" w:ascii="宋体" w:hAnsi="宋体" w:cs="宋体"/>
          <w:kern w:val="0"/>
        </w:rPr>
        <w:t>在竞争性磋商采购中，出现下列情形之一的，终止磋商活动：</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）因情况变化，不再符合规定的竞争性磋商采购方式适用情形的。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）出现影响采购活动公正的违法、违规行为的。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）符合要求的投标人或者报价未超过采购预算额度的投标人数量不满足相关规定的。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）因重大变故，采购任务取消的。</w:t>
      </w:r>
    </w:p>
    <w:p>
      <w:pPr>
        <w:autoSpaceDE w:val="0"/>
        <w:autoSpaceDN w:val="0"/>
        <w:spacing w:line="360" w:lineRule="auto"/>
        <w:ind w:firstLine="480" w:firstLineChars="200"/>
        <w:rPr>
          <w:rFonts w:ascii="宋体" w:cs="宋体"/>
          <w:kern w:val="0"/>
        </w:rPr>
      </w:pPr>
      <w:r>
        <w:rPr>
          <w:rFonts w:ascii="宋体" w:hAnsi="宋体" w:cs="宋体"/>
          <w:kern w:val="0"/>
        </w:rPr>
        <w:t xml:space="preserve">25.2 </w:t>
      </w:r>
      <w:r>
        <w:rPr>
          <w:rFonts w:hint="eastAsia" w:ascii="宋体" w:hAnsi="宋体" w:cs="宋体"/>
          <w:kern w:val="0"/>
        </w:rPr>
        <w:t>终止磋商活动后，由集中采购机构发布终止公告并说明原因。</w:t>
      </w:r>
    </w:p>
    <w:p>
      <w:pPr>
        <w:pStyle w:val="20"/>
        <w:spacing w:before="0" w:after="0" w:line="360" w:lineRule="auto"/>
        <w:rPr>
          <w:rFonts w:ascii="宋体" w:cs="宋体"/>
          <w:lang w:val="zh-CN"/>
        </w:rPr>
      </w:pPr>
      <w:bookmarkStart w:id="54" w:name="_Toc37664032"/>
      <w:r>
        <w:rPr>
          <w:rFonts w:hint="eastAsia" w:ascii="宋体" w:hAnsi="宋体" w:cs="宋体"/>
          <w:lang w:val="zh-CN"/>
        </w:rPr>
        <w:t>十二、处罚</w:t>
      </w:r>
      <w:bookmarkEnd w:id="52"/>
      <w:bookmarkEnd w:id="53"/>
      <w:bookmarkEnd w:id="54"/>
    </w:p>
    <w:p>
      <w:pPr>
        <w:pStyle w:val="20"/>
        <w:spacing w:before="0" w:after="0" w:line="360" w:lineRule="auto"/>
        <w:jc w:val="left"/>
        <w:rPr>
          <w:rFonts w:ascii="宋体" w:cs="宋体"/>
          <w:sz w:val="28"/>
          <w:szCs w:val="28"/>
          <w:lang w:val="zh-CN"/>
        </w:rPr>
      </w:pPr>
      <w:bookmarkStart w:id="55" w:name="_Toc494439629"/>
      <w:bookmarkStart w:id="56" w:name="_Toc325726033"/>
      <w:bookmarkStart w:id="57" w:name="_Toc37664033"/>
      <w:bookmarkStart w:id="58" w:name="_Toc376936764"/>
      <w:r>
        <w:rPr>
          <w:rFonts w:ascii="宋体" w:hAnsi="宋体" w:cs="宋体"/>
          <w:sz w:val="28"/>
          <w:szCs w:val="28"/>
          <w:lang w:val="zh-CN"/>
        </w:rPr>
        <w:t>26</w:t>
      </w:r>
      <w:r>
        <w:rPr>
          <w:rFonts w:ascii="宋体" w:cs="宋体"/>
          <w:sz w:val="28"/>
          <w:szCs w:val="28"/>
          <w:lang w:val="zh-CN"/>
        </w:rPr>
        <w:t>.</w:t>
      </w:r>
      <w:r>
        <w:rPr>
          <w:rFonts w:hint="eastAsia" w:ascii="宋体" w:hAnsi="宋体" w:cs="宋体"/>
          <w:sz w:val="28"/>
          <w:szCs w:val="28"/>
          <w:lang w:val="zh-CN"/>
        </w:rPr>
        <w:t>处罚情形</w:t>
      </w:r>
      <w:bookmarkEnd w:id="55"/>
      <w:bookmarkEnd w:id="56"/>
      <w:bookmarkEnd w:id="57"/>
      <w:bookmarkEnd w:id="58"/>
    </w:p>
    <w:p>
      <w:pPr>
        <w:autoSpaceDE w:val="0"/>
        <w:autoSpaceDN w:val="0"/>
        <w:spacing w:line="360" w:lineRule="auto"/>
        <w:ind w:firstLine="480" w:firstLineChars="200"/>
        <w:rPr>
          <w:rFonts w:ascii="宋体" w:cs="宋体"/>
          <w:kern w:val="0"/>
        </w:rPr>
      </w:pPr>
      <w:bookmarkStart w:id="59" w:name="_Toc376936765"/>
      <w:bookmarkStart w:id="60" w:name="_Toc494439630"/>
      <w:bookmarkStart w:id="61" w:name="_Toc325726034"/>
      <w:r>
        <w:rPr>
          <w:rFonts w:ascii="宋体" w:hAnsi="宋体" w:cs="宋体"/>
          <w:kern w:val="0"/>
        </w:rPr>
        <w:t xml:space="preserve">26.1 </w:t>
      </w:r>
      <w:r>
        <w:rPr>
          <w:rFonts w:hint="eastAsia" w:ascii="宋体" w:hAnsi="宋体" w:cs="宋体"/>
          <w:kern w:val="0"/>
        </w:rPr>
        <w:t>有下列情形之一的，投标人的磋商保证金不予退还；成交投标人的成交结果无效，履约保证金不予退还。</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）投标人在提交磋商响应文件截止时间后撤回磋商响应文件的；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）投标人在响应文件中提供虚假材料的；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）采取不正当手段诋毁、排挤其他投标人的；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）有恶意串通等不正当竞争行为的；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）成交后无正当理由拒不与采购人签订采购合同的；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）未按照磋商文件、磋商响应文件确定的事项签订采购合同的；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7</w:t>
      </w:r>
      <w:r>
        <w:rPr>
          <w:rFonts w:hint="eastAsia" w:ascii="宋体" w:hAnsi="宋体" w:cs="宋体"/>
          <w:kern w:val="0"/>
        </w:rPr>
        <w:t>）擅自变更、中止或者终止政府采购合同的；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8</w:t>
      </w:r>
      <w:r>
        <w:rPr>
          <w:rFonts w:hint="eastAsia" w:ascii="宋体" w:hAnsi="宋体" w:cs="宋体"/>
          <w:kern w:val="0"/>
        </w:rPr>
        <w:t>）成交投标人签订合同后，因种种原因不能履约或无故拖延履约期的；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9</w:t>
      </w:r>
      <w:r>
        <w:rPr>
          <w:rFonts w:hint="eastAsia" w:ascii="宋体" w:hAnsi="宋体" w:cs="宋体"/>
          <w:kern w:val="0"/>
        </w:rPr>
        <w:t>）法律、法规规定的其他情形的。</w:t>
      </w:r>
    </w:p>
    <w:p>
      <w:pPr>
        <w:autoSpaceDE w:val="0"/>
        <w:autoSpaceDN w:val="0"/>
        <w:spacing w:line="360" w:lineRule="auto"/>
        <w:ind w:firstLine="480" w:firstLineChars="200"/>
        <w:rPr>
          <w:rFonts w:ascii="宋体" w:cs="宋体"/>
          <w:kern w:val="0"/>
        </w:rPr>
      </w:pPr>
      <w:r>
        <w:rPr>
          <w:rFonts w:ascii="宋体" w:hAnsi="宋体" w:cs="宋体"/>
          <w:kern w:val="0"/>
        </w:rPr>
        <w:t xml:space="preserve">26.2 </w:t>
      </w:r>
      <w:r>
        <w:rPr>
          <w:rFonts w:hint="eastAsia" w:ascii="宋体" w:hAnsi="宋体" w:cs="宋体"/>
          <w:kern w:val="0"/>
        </w:rPr>
        <w:t>出现上述情况，情节严重的，报省财政厅依法进行处理。</w:t>
      </w:r>
    </w:p>
    <w:p>
      <w:pPr>
        <w:pStyle w:val="20"/>
        <w:spacing w:before="0" w:after="0" w:line="360" w:lineRule="auto"/>
        <w:rPr>
          <w:rFonts w:ascii="宋体" w:cs="宋体"/>
          <w:lang w:val="zh-CN"/>
        </w:rPr>
      </w:pPr>
      <w:bookmarkStart w:id="62" w:name="_Toc37664034"/>
      <w:r>
        <w:rPr>
          <w:rFonts w:hint="eastAsia" w:ascii="宋体" w:hAnsi="宋体" w:cs="宋体"/>
          <w:lang w:val="zh-CN"/>
        </w:rPr>
        <w:t>十三、其他</w:t>
      </w:r>
      <w:bookmarkEnd w:id="59"/>
      <w:bookmarkEnd w:id="60"/>
      <w:bookmarkEnd w:id="61"/>
      <w:bookmarkEnd w:id="62"/>
    </w:p>
    <w:p>
      <w:pPr>
        <w:autoSpaceDE w:val="0"/>
        <w:autoSpaceDN w:val="0"/>
        <w:spacing w:line="360" w:lineRule="auto"/>
        <w:ind w:firstLine="480" w:firstLineChars="200"/>
        <w:rPr>
          <w:rFonts w:ascii="宋体" w:cs="宋体"/>
          <w:kern w:val="0"/>
        </w:rPr>
      </w:pPr>
      <w:r>
        <w:rPr>
          <w:rFonts w:hint="eastAsia" w:ascii="宋体" w:hAnsi="宋体" w:cs="宋体"/>
          <w:kern w:val="0"/>
        </w:rPr>
        <w:t>其他未尽事宜，按照《中华人民共和国政府采购法》、《中华人民共和国合同法》、《中华人民共和国政府采购法实施条例》、《政府采购竞争性磋商采购方式管理暂行办法》等法律法规的有关条款执行。</w:t>
      </w:r>
    </w:p>
    <w:p>
      <w:pPr>
        <w:pStyle w:val="20"/>
        <w:spacing w:before="0" w:after="0" w:line="360" w:lineRule="auto"/>
        <w:rPr>
          <w:rFonts w:ascii="宋体" w:cs="宋体"/>
          <w:szCs w:val="36"/>
          <w:lang w:val="zh-CN"/>
        </w:rPr>
      </w:pPr>
    </w:p>
    <w:p>
      <w:pPr>
        <w:pStyle w:val="20"/>
        <w:spacing w:before="0" w:after="0" w:line="360" w:lineRule="auto"/>
        <w:rPr>
          <w:rFonts w:ascii="宋体" w:cs="宋体"/>
          <w:szCs w:val="36"/>
          <w:lang w:val="zh-CN"/>
        </w:rPr>
      </w:pPr>
    </w:p>
    <w:p>
      <w:pPr>
        <w:rPr>
          <w:rFonts w:ascii="宋体" w:cs="宋体"/>
          <w:szCs w:val="36"/>
          <w:lang w:val="zh-CN"/>
        </w:rPr>
      </w:pPr>
    </w:p>
    <w:p>
      <w:pPr>
        <w:pStyle w:val="4"/>
        <w:rPr>
          <w:rFonts w:ascii="宋体" w:cs="宋体"/>
          <w:szCs w:val="36"/>
          <w:lang w:val="zh-CN"/>
        </w:rPr>
      </w:pPr>
    </w:p>
    <w:p>
      <w:pPr>
        <w:rPr>
          <w:rFonts w:ascii="宋体" w:cs="宋体"/>
          <w:szCs w:val="36"/>
          <w:lang w:val="zh-CN"/>
        </w:rPr>
      </w:pPr>
    </w:p>
    <w:p>
      <w:pPr>
        <w:pStyle w:val="4"/>
        <w:rPr>
          <w:lang w:val="zh-CN"/>
        </w:rPr>
      </w:pPr>
    </w:p>
    <w:p>
      <w:pPr>
        <w:rPr>
          <w:lang w:val="zh-CN"/>
        </w:rPr>
      </w:pPr>
    </w:p>
    <w:p>
      <w:pPr>
        <w:pStyle w:val="8"/>
        <w:rPr>
          <w:lang w:val="zh-CN"/>
        </w:rPr>
      </w:pPr>
    </w:p>
    <w:p>
      <w:pPr>
        <w:rPr>
          <w:lang w:val="zh-CN"/>
        </w:rPr>
      </w:pPr>
    </w:p>
    <w:p>
      <w:pPr>
        <w:pStyle w:val="8"/>
        <w:rPr>
          <w:lang w:val="zh-CN"/>
        </w:rPr>
      </w:pPr>
    </w:p>
    <w:p>
      <w:pPr>
        <w:rPr>
          <w:lang w:val="zh-CN"/>
        </w:rPr>
      </w:pPr>
    </w:p>
    <w:p>
      <w:pPr>
        <w:rPr>
          <w:lang w:val="zh-CN"/>
        </w:rPr>
      </w:pPr>
    </w:p>
    <w:p>
      <w:pPr>
        <w:rPr>
          <w:lang w:val="zh-CN"/>
        </w:rPr>
      </w:pPr>
    </w:p>
    <w:p>
      <w:pPr>
        <w:rPr>
          <w:lang w:val="zh-CN"/>
        </w:rPr>
      </w:pPr>
    </w:p>
    <w:p>
      <w:pPr>
        <w:pStyle w:val="20"/>
        <w:spacing w:before="0" w:after="0" w:line="360" w:lineRule="auto"/>
        <w:jc w:val="center"/>
        <w:rPr>
          <w:rFonts w:ascii="宋体" w:cs="宋体"/>
          <w:szCs w:val="36"/>
          <w:lang w:val="zh-CN"/>
        </w:rPr>
      </w:pPr>
      <w:bookmarkStart w:id="63" w:name="_Toc37664035"/>
      <w:r>
        <w:rPr>
          <w:rFonts w:hint="eastAsia" w:ascii="宋体" w:hAnsi="宋体" w:cs="宋体"/>
          <w:szCs w:val="36"/>
          <w:lang w:val="zh-CN"/>
        </w:rPr>
        <w:t>第三部分大通县政府采购项目合同书范本</w:t>
      </w:r>
      <w:bookmarkEnd w:id="63"/>
    </w:p>
    <w:p>
      <w:pPr>
        <w:autoSpaceDE w:val="0"/>
        <w:autoSpaceDN w:val="0"/>
        <w:adjustRightInd w:val="0"/>
        <w:spacing w:line="360" w:lineRule="auto"/>
        <w:jc w:val="center"/>
        <w:rPr>
          <w:rFonts w:ascii="宋体" w:cs="宋体"/>
          <w:b/>
          <w:bCs/>
          <w:kern w:val="0"/>
          <w:sz w:val="36"/>
          <w:szCs w:val="36"/>
        </w:rPr>
      </w:pPr>
      <w:r>
        <w:rPr>
          <w:rFonts w:hint="eastAsia" w:ascii="宋体" w:hAnsi="宋体" w:cs="宋体"/>
          <w:b/>
          <w:bCs/>
          <w:kern w:val="0"/>
          <w:sz w:val="36"/>
          <w:szCs w:val="36"/>
          <w:lang w:val="zh-CN"/>
        </w:rPr>
        <w:t>（货物类）</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center"/>
        <w:rPr>
          <w:rFonts w:ascii="宋体" w:cs="宋体"/>
          <w:b/>
          <w:bCs/>
          <w:kern w:val="0"/>
          <w:sz w:val="48"/>
          <w:szCs w:val="48"/>
        </w:rPr>
      </w:pPr>
      <w:r>
        <w:rPr>
          <w:rFonts w:hint="eastAsia" w:ascii="宋体" w:hAnsi="宋体" w:cs="宋体"/>
          <w:b/>
          <w:bCs/>
          <w:kern w:val="0"/>
          <w:sz w:val="48"/>
          <w:szCs w:val="48"/>
          <w:lang w:val="zh-CN"/>
        </w:rPr>
        <w:t>大通县政府采购项目合同书</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采购合同编号：</w:t>
      </w:r>
      <w:r>
        <w:rPr>
          <w:rFonts w:hint="eastAsia"/>
          <w:b/>
          <w:sz w:val="30"/>
          <w:szCs w:val="30"/>
          <w:u w:val="single"/>
          <w:lang w:eastAsia="zh-CN"/>
        </w:rPr>
        <w:t>202</w:t>
      </w:r>
      <w:r>
        <w:rPr>
          <w:rFonts w:hint="eastAsia"/>
          <w:b/>
          <w:sz w:val="30"/>
          <w:szCs w:val="30"/>
          <w:u w:val="single"/>
          <w:lang w:val="en-US" w:eastAsia="zh-CN"/>
        </w:rPr>
        <w:t>5</w:t>
      </w:r>
      <w:r>
        <w:rPr>
          <w:b/>
          <w:sz w:val="30"/>
          <w:szCs w:val="30"/>
          <w:u w:val="single"/>
        </w:rPr>
        <w:t>-</w:t>
      </w:r>
      <w:r>
        <w:rPr>
          <w:rFonts w:hint="eastAsia"/>
          <w:b/>
          <w:sz w:val="30"/>
          <w:szCs w:val="30"/>
          <w:u w:val="single"/>
        </w:rPr>
        <w:t>（货物）</w:t>
      </w:r>
      <w:r>
        <w:rPr>
          <w:b/>
          <w:sz w:val="30"/>
          <w:szCs w:val="30"/>
          <w:u w:val="single"/>
        </w:rPr>
        <w:t xml:space="preserve">-     </w:t>
      </w:r>
      <w:r>
        <w:rPr>
          <w:rFonts w:hint="eastAsia"/>
          <w:b/>
          <w:sz w:val="30"/>
          <w:szCs w:val="30"/>
          <w:u w:val="single"/>
        </w:rPr>
        <w:t>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采购日期：</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left"/>
        <w:rPr>
          <w:rFonts w:ascii="宋体" w:cs="宋体"/>
          <w:b/>
          <w:bCs/>
          <w:kern w:val="0"/>
          <w:sz w:val="28"/>
          <w:szCs w:val="28"/>
        </w:rPr>
      </w:pPr>
      <w:r>
        <w:rPr>
          <w:rFonts w:ascii="宋体" w:cs="宋体"/>
          <w:kern w:val="0"/>
          <w:sz w:val="28"/>
          <w:szCs w:val="28"/>
        </w:rPr>
        <w:br w:type="page"/>
      </w:r>
      <w:r>
        <w:rPr>
          <w:rFonts w:hint="eastAsia" w:ascii="宋体" w:hAnsi="宋体" w:cs="宋体"/>
          <w:b/>
          <w:bCs/>
          <w:kern w:val="0"/>
          <w:sz w:val="28"/>
          <w:szCs w:val="28"/>
          <w:lang w:val="zh-CN"/>
        </w:rPr>
        <w:t>采购人（以下简称甲方）：</w:t>
      </w:r>
    </w:p>
    <w:p>
      <w:pPr>
        <w:autoSpaceDE w:val="0"/>
        <w:autoSpaceDN w:val="0"/>
        <w:adjustRightInd w:val="0"/>
        <w:spacing w:line="360" w:lineRule="auto"/>
        <w:rPr>
          <w:rFonts w:ascii="宋体" w:cs="宋体"/>
          <w:kern w:val="0"/>
          <w:sz w:val="28"/>
          <w:szCs w:val="28"/>
        </w:rPr>
      </w:pPr>
      <w:r>
        <w:rPr>
          <w:rFonts w:hint="eastAsia" w:ascii="宋体" w:hAnsi="宋体" w:cs="宋体"/>
          <w:b/>
          <w:bCs/>
          <w:kern w:val="0"/>
          <w:sz w:val="30"/>
          <w:szCs w:val="30"/>
          <w:lang w:val="zh-CN"/>
        </w:rPr>
        <w:t>中标人</w:t>
      </w:r>
      <w:r>
        <w:rPr>
          <w:rFonts w:hint="eastAsia" w:ascii="宋体" w:hAnsi="宋体" w:cs="宋体"/>
          <w:b/>
          <w:bCs/>
          <w:kern w:val="0"/>
          <w:sz w:val="28"/>
          <w:szCs w:val="28"/>
          <w:lang w:val="zh-CN"/>
        </w:rPr>
        <w:t>（以下简称乙方）：</w:t>
      </w:r>
    </w:p>
    <w:p>
      <w:pPr>
        <w:pStyle w:val="10"/>
        <w:spacing w:after="0" w:line="360" w:lineRule="auto"/>
        <w:ind w:left="0" w:leftChars="0" w:firstLine="480"/>
        <w:rPr>
          <w:rFonts w:ascii="宋体" w:cs="宋体"/>
          <w:kern w:val="0"/>
          <w:lang w:val="zh-CN"/>
        </w:rPr>
      </w:pPr>
      <w:r>
        <w:rPr>
          <w:rFonts w:hint="eastAsia" w:ascii="宋体" w:hAnsi="宋体" w:cs="宋体"/>
          <w:kern w:val="0"/>
          <w:lang w:val="zh-CN"/>
        </w:rPr>
        <w:t>甲、乙双方根据</w:t>
      </w:r>
      <w:r>
        <w:rPr>
          <w:rFonts w:ascii="宋体" w:hAnsi="宋体" w:cs="宋体"/>
          <w:kern w:val="0"/>
          <w:lang w:val="zh-CN"/>
        </w:rPr>
        <w:t>XXXX</w:t>
      </w:r>
      <w:r>
        <w:rPr>
          <w:rFonts w:hint="eastAsia" w:ascii="宋体" w:hAnsi="宋体" w:cs="宋体"/>
          <w:kern w:val="0"/>
          <w:lang w:val="zh-CN"/>
        </w:rPr>
        <w:t>年</w:t>
      </w:r>
      <w:r>
        <w:rPr>
          <w:rFonts w:ascii="宋体" w:hAnsi="宋体" w:cs="宋体"/>
          <w:kern w:val="0"/>
          <w:lang w:val="zh-CN"/>
        </w:rPr>
        <w:t>XX</w:t>
      </w:r>
      <w:r>
        <w:rPr>
          <w:rFonts w:hint="eastAsia" w:ascii="宋体" w:hAnsi="宋体" w:cs="宋体"/>
          <w:kern w:val="0"/>
          <w:lang w:val="zh-CN"/>
        </w:rPr>
        <w:t>月</w:t>
      </w:r>
      <w:r>
        <w:rPr>
          <w:rFonts w:ascii="宋体" w:hAnsi="宋体" w:cs="宋体"/>
          <w:kern w:val="0"/>
          <w:lang w:val="zh-CN"/>
        </w:rPr>
        <w:t>XX</w:t>
      </w:r>
      <w:r>
        <w:rPr>
          <w:rFonts w:hint="eastAsia" w:ascii="宋体" w:hAnsi="宋体" w:cs="宋体"/>
          <w:kern w:val="0"/>
          <w:lang w:val="zh-CN"/>
        </w:rPr>
        <w:t>日（</w:t>
      </w:r>
      <w:r>
        <w:rPr>
          <w:rFonts w:hint="eastAsia" w:ascii="宋体" w:hAnsi="宋体" w:cs="宋体"/>
          <w:kern w:val="0"/>
          <w:u w:val="single"/>
          <w:lang w:val="zh-CN"/>
        </w:rPr>
        <w:t>采购项目名称）</w:t>
      </w:r>
      <w:r>
        <w:rPr>
          <w:rFonts w:hint="eastAsia" w:ascii="宋体" w:hAnsi="宋体" w:cs="宋体"/>
          <w:kern w:val="0"/>
          <w:lang w:val="zh-CN"/>
        </w:rPr>
        <w:t>采购项目（</w:t>
      </w:r>
      <w:r>
        <w:rPr>
          <w:rFonts w:hint="eastAsia" w:ascii="宋体" w:hAnsi="宋体" w:cs="宋体"/>
          <w:kern w:val="0"/>
          <w:u w:val="single"/>
          <w:lang w:val="zh-CN"/>
        </w:rPr>
        <w:t>采购项目编号</w:t>
      </w:r>
      <w:r>
        <w:rPr>
          <w:rFonts w:hint="eastAsia" w:ascii="宋体" w:hAnsi="宋体" w:cs="宋体"/>
          <w:kern w:val="0"/>
          <w:lang w:val="zh-CN"/>
        </w:rPr>
        <w:t>）的磋商文件要求和</w:t>
      </w:r>
      <w:r>
        <w:rPr>
          <w:rFonts w:hint="eastAsia" w:ascii="宋体" w:hAnsi="宋体" w:cs="宋体"/>
          <w:kern w:val="0"/>
          <w:lang w:val="en-US" w:eastAsia="zh-CN"/>
        </w:rPr>
        <w:t>大通县政府采购服务中心</w:t>
      </w:r>
      <w:r>
        <w:rPr>
          <w:rFonts w:hint="eastAsia" w:ascii="宋体" w:hAnsi="宋体" w:cs="宋体"/>
          <w:kern w:val="0"/>
          <w:lang w:val="zh-CN"/>
        </w:rPr>
        <w:t>出具的《中标通知书》，并经双方协商一致，签订本合同协议书。</w:t>
      </w:r>
    </w:p>
    <w:p>
      <w:pPr>
        <w:autoSpaceDE w:val="0"/>
        <w:autoSpaceDN w:val="0"/>
        <w:spacing w:line="360" w:lineRule="auto"/>
        <w:rPr>
          <w:rFonts w:asci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本政府采购合同所附下列文件是构成本政府采购合同不可分割的部分：</w:t>
      </w:r>
    </w:p>
    <w:p>
      <w:pPr>
        <w:pStyle w:val="10"/>
        <w:spacing w:after="0" w:line="360" w:lineRule="auto"/>
        <w:ind w:left="0" w:leftChars="0"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磋商文件；</w:t>
      </w:r>
    </w:p>
    <w:p>
      <w:pPr>
        <w:pStyle w:val="10"/>
        <w:spacing w:after="0" w:line="360" w:lineRule="auto"/>
        <w:ind w:left="0" w:leftChars="0"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磋商文件的更正、变更公告；</w:t>
      </w:r>
    </w:p>
    <w:p>
      <w:pPr>
        <w:pStyle w:val="10"/>
        <w:spacing w:after="0" w:line="360" w:lineRule="auto"/>
        <w:ind w:left="0" w:leftChars="0"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成交投标人提交的磋商响应文件；</w:t>
      </w:r>
    </w:p>
    <w:p>
      <w:pPr>
        <w:pStyle w:val="10"/>
        <w:spacing w:after="0" w:line="360" w:lineRule="auto"/>
        <w:ind w:left="0" w:leftChars="0"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磋商文件中规定的政府采购合同通用条款；</w:t>
      </w:r>
    </w:p>
    <w:p>
      <w:pPr>
        <w:pStyle w:val="10"/>
        <w:spacing w:after="0" w:line="360" w:lineRule="auto"/>
        <w:ind w:left="0" w:leftChars="0" w:firstLine="480"/>
        <w:rPr>
          <w:rFonts w:ascii="宋体" w:cs="宋体"/>
          <w:kern w:val="0"/>
          <w:lang w:val="zh-CN"/>
        </w:rPr>
      </w:pPr>
      <w:r>
        <w:rPr>
          <w:rFonts w:ascii="宋体" w:hAnsi="宋体" w:cs="宋体"/>
          <w:kern w:val="0"/>
          <w:lang w:val="zh-CN"/>
        </w:rPr>
        <w:t>5.</w:t>
      </w:r>
      <w:r>
        <w:rPr>
          <w:rFonts w:hint="eastAsia" w:ascii="宋体" w:hAnsi="宋体" w:cs="宋体"/>
          <w:kern w:val="0"/>
          <w:lang w:val="zh-CN"/>
        </w:rPr>
        <w:t>成交通知书；</w:t>
      </w:r>
    </w:p>
    <w:p>
      <w:pPr>
        <w:pStyle w:val="10"/>
        <w:spacing w:after="0" w:line="360" w:lineRule="auto"/>
        <w:ind w:left="0" w:leftChars="0" w:firstLine="480"/>
        <w:rPr>
          <w:rFonts w:ascii="宋体" w:cs="宋体"/>
          <w:kern w:val="0"/>
          <w:lang w:val="zh-CN"/>
        </w:rPr>
      </w:pPr>
      <w:r>
        <w:rPr>
          <w:rFonts w:ascii="宋体" w:hAnsi="宋体" w:cs="宋体"/>
          <w:kern w:val="0"/>
          <w:lang w:val="zh-CN"/>
        </w:rPr>
        <w:t>6.</w:t>
      </w:r>
      <w:r>
        <w:rPr>
          <w:rFonts w:hint="eastAsia" w:ascii="宋体" w:hAnsi="宋体" w:cs="宋体"/>
          <w:kern w:val="0"/>
          <w:lang w:val="zh-CN"/>
        </w:rPr>
        <w:t>履约保证金缴费证明。</w:t>
      </w:r>
    </w:p>
    <w:p>
      <w:pPr>
        <w:autoSpaceDE w:val="0"/>
        <w:autoSpaceDN w:val="0"/>
        <w:spacing w:line="360" w:lineRule="auto"/>
        <w:rPr>
          <w:rFonts w:ascii="宋体" w:cs="宋体"/>
          <w:kern w:val="0"/>
          <w:lang w:val="zh-CN"/>
        </w:rPr>
      </w:pPr>
      <w:r>
        <w:rPr>
          <w:rFonts w:hint="eastAsia" w:ascii="宋体" w:hAnsi="宋体" w:cs="宋体"/>
          <w:kern w:val="0"/>
          <w:lang w:val="zh-CN"/>
        </w:rPr>
        <w:t>二、合同标的及金额单位：元</w:t>
      </w:r>
    </w:p>
    <w:tbl>
      <w:tblPr>
        <w:tblStyle w:val="21"/>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bl>
    <w:p>
      <w:pPr>
        <w:autoSpaceDE w:val="0"/>
        <w:autoSpaceDN w:val="0"/>
        <w:spacing w:line="360" w:lineRule="auto"/>
        <w:jc w:val="left"/>
        <w:rPr>
          <w:rFonts w:ascii="宋体" w:cs="宋体"/>
          <w:kern w:val="0"/>
          <w:u w:val="single"/>
        </w:rPr>
      </w:pPr>
      <w:r>
        <w:rPr>
          <w:rFonts w:hint="eastAsia" w:ascii="宋体" w:hAnsi="宋体" w:cs="宋体"/>
          <w:kern w:val="0"/>
          <w:lang w:val="zh-CN"/>
        </w:rPr>
        <w:t>根据上述政府采购合同文件要求，本政府采购合同的总金额为人民币</w:t>
      </w:r>
    </w:p>
    <w:p>
      <w:pPr>
        <w:autoSpaceDE w:val="0"/>
        <w:autoSpaceDN w:val="0"/>
        <w:spacing w:line="360" w:lineRule="auto"/>
        <w:jc w:val="left"/>
        <w:rPr>
          <w:rFonts w:ascii="宋体" w:cs="宋体"/>
          <w:kern w:val="0"/>
          <w:lang w:val="zh-CN"/>
        </w:rPr>
      </w:pPr>
      <w:r>
        <w:rPr>
          <w:rFonts w:hint="eastAsia" w:ascii="宋体" w:hAnsi="宋体" w:cs="宋体"/>
          <w:kern w:val="0"/>
          <w:lang w:val="zh-CN"/>
        </w:rPr>
        <w:t>（大写）元。</w:t>
      </w:r>
    </w:p>
    <w:p>
      <w:pPr>
        <w:autoSpaceDE w:val="0"/>
        <w:autoSpaceDN w:val="0"/>
        <w:spacing w:line="360" w:lineRule="auto"/>
        <w:ind w:firstLine="360"/>
        <w:rPr>
          <w:rFonts w:ascii="宋体" w:cs="宋体"/>
          <w:kern w:val="0"/>
        </w:rPr>
      </w:pPr>
      <w:r>
        <w:rPr>
          <w:rFonts w:hint="eastAsia" w:ascii="宋体" w:hAnsi="宋体" w:cs="宋体"/>
          <w:kern w:val="0"/>
          <w:lang w:val="zh-CN"/>
        </w:rPr>
        <w:t>本合同以人民币进行结算，合同总价包括：包装费、装卸费、运费、售前、售中、售后服务费、税金及不可预见费等全部费用。　</w:t>
      </w:r>
    </w:p>
    <w:p>
      <w:pPr>
        <w:autoSpaceDE w:val="0"/>
        <w:autoSpaceDN w:val="0"/>
        <w:spacing w:line="360" w:lineRule="auto"/>
        <w:rPr>
          <w:rFonts w:ascii="宋体" w:cs="宋体"/>
          <w:kern w:val="0"/>
        </w:rPr>
      </w:pPr>
      <w:r>
        <w:rPr>
          <w:rFonts w:hint="eastAsia" w:ascii="宋体" w:hAnsi="宋体" w:cs="宋体"/>
          <w:kern w:val="0"/>
          <w:lang w:val="zh-CN"/>
        </w:rPr>
        <w:t>三、交付时间、地点和要求</w:t>
      </w:r>
    </w:p>
    <w:p>
      <w:pPr>
        <w:autoSpaceDE w:val="0"/>
        <w:autoSpaceDN w:val="0"/>
        <w:spacing w:line="360" w:lineRule="auto"/>
        <w:ind w:firstLine="360"/>
        <w:jc w:val="left"/>
        <w:rPr>
          <w:rFonts w:ascii="宋体" w:cs="宋体"/>
          <w:color w:val="auto"/>
          <w:kern w:val="0"/>
          <w:highlight w:val="none"/>
        </w:rPr>
      </w:pPr>
      <w:r>
        <w:rPr>
          <w:rFonts w:ascii="宋体" w:hAnsi="宋体" w:cs="宋体"/>
          <w:kern w:val="0"/>
          <w:highlight w:val="none"/>
        </w:rPr>
        <w:t>1.</w:t>
      </w:r>
      <w:r>
        <w:rPr>
          <w:rFonts w:hint="eastAsia" w:ascii="宋体" w:hAnsi="宋体" w:cs="宋体"/>
          <w:kern w:val="0"/>
          <w:highlight w:val="none"/>
          <w:lang w:val="zh-CN"/>
        </w:rPr>
        <w:t>交货时间：</w:t>
      </w:r>
      <w:r>
        <w:rPr>
          <w:rFonts w:hint="eastAsia" w:ascii="宋体" w:hAnsi="宋体" w:cs="宋体"/>
          <w:color w:val="auto"/>
          <w:kern w:val="0"/>
          <w:highlight w:val="none"/>
          <w:u w:val="single"/>
          <w:lang w:val="en-US" w:eastAsia="zh-CN"/>
        </w:rPr>
        <w:t>自合同签订之日至2025年8月30日前完成并调式完成</w:t>
      </w:r>
      <w:r>
        <w:rPr>
          <w:rFonts w:hint="eastAsia" w:ascii="宋体" w:hAnsi="宋体" w:cs="宋体"/>
          <w:color w:val="auto"/>
          <w:kern w:val="0"/>
          <w:highlight w:val="none"/>
          <w:lang w:val="zh-CN"/>
        </w:rPr>
        <w:t>；交货地点：</w:t>
      </w:r>
      <w:r>
        <w:rPr>
          <w:rFonts w:hint="eastAsia" w:ascii="宋体" w:hAnsi="宋体" w:cs="宋体"/>
          <w:color w:val="auto"/>
          <w:kern w:val="0"/>
          <w:highlight w:val="none"/>
          <w:u w:val="single"/>
          <w:lang w:val="en-US" w:eastAsia="zh-CN"/>
        </w:rPr>
        <w:t>采购人指定地点</w:t>
      </w:r>
      <w:r>
        <w:rPr>
          <w:rFonts w:hint="eastAsia" w:ascii="宋体" w:hAnsi="宋体" w:cs="宋体"/>
          <w:color w:val="auto"/>
          <w:kern w:val="0"/>
          <w:highlight w:val="none"/>
          <w:lang w:val="zh-CN"/>
        </w:rPr>
        <w:t>。</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乙方提供不符合招投标文件和本合同规定的产品，甲方有权拒绝接受。</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甲方应当在到货（安装、调试完）后个工作日内进行验收，逾期不验收的，乙方可视为验收合格。验收合格后，由甲乙双方签署产品验收单并加盖采购人公章，甲乙双方各执一份。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甲方在验收过程中发现乙方有违约问题，可按招、投标文件的规定要求乙方及时予以解决。</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乙方向甲方提供产品相关完税销售发票。</w:t>
      </w:r>
    </w:p>
    <w:p>
      <w:pPr>
        <w:autoSpaceDE w:val="0"/>
        <w:autoSpaceDN w:val="0"/>
        <w:spacing w:line="360" w:lineRule="auto"/>
        <w:rPr>
          <w:rFonts w:ascii="宋体" w:cs="宋体"/>
          <w:kern w:val="0"/>
          <w:lang w:val="zh-CN"/>
        </w:rPr>
      </w:pPr>
      <w:r>
        <w:rPr>
          <w:rFonts w:hint="eastAsia" w:ascii="宋体" w:hAnsi="宋体" w:cs="宋体"/>
          <w:kern w:val="0"/>
          <w:lang w:val="zh-CN"/>
        </w:rPr>
        <w:t>四、付款方式（</w:t>
      </w:r>
      <w:r>
        <w:rPr>
          <w:rFonts w:hint="eastAsia" w:ascii="宋体" w:hAnsi="宋体" w:cs="宋体"/>
          <w:kern w:val="0"/>
          <w:lang w:val="en-US" w:eastAsia="zh-CN"/>
        </w:rPr>
        <w:t>中标后甲乙双方约定付款方式和履约保证金</w:t>
      </w:r>
      <w:r>
        <w:rPr>
          <w:rFonts w:hint="eastAsia" w:ascii="宋体" w:hAnsi="宋体" w:cs="宋体"/>
          <w:kern w:val="0"/>
          <w:lang w:val="zh-CN"/>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乙方所交付的产品由甲方验收，验收合格后由甲方报同级财政监管部门，申请资金拨付</w:t>
      </w:r>
      <w:r>
        <w:rPr>
          <w:rFonts w:ascii="宋体" w:cs="宋体"/>
          <w:kern w:val="0"/>
        </w:rPr>
        <w:t>,</w:t>
      </w:r>
      <w:r>
        <w:rPr>
          <w:rFonts w:hint="eastAsia" w:ascii="宋体" w:hAnsi="宋体" w:cs="宋体"/>
          <w:kern w:val="0"/>
          <w:lang w:val="zh-CN"/>
        </w:rPr>
        <w:t>按合同金额向乙方支付合同总价款的</w:t>
      </w:r>
      <w:r>
        <w:rPr>
          <w:rFonts w:hint="eastAsia" w:ascii="宋体" w:hAnsi="宋体" w:cs="宋体"/>
          <w:kern w:val="0"/>
          <w:lang w:val="en-US" w:eastAsia="zh-CN"/>
        </w:rPr>
        <w:t xml:space="preserve">    </w:t>
      </w:r>
      <w:r>
        <w:rPr>
          <w:rFonts w:ascii="宋体" w:hAnsi="宋体" w:cs="宋体"/>
          <w:kern w:val="0"/>
        </w:rPr>
        <w:t>%</w:t>
      </w:r>
      <w:r>
        <w:rPr>
          <w:rFonts w:hint="eastAsia" w:ascii="宋体" w:hAnsi="宋体" w:cs="宋体"/>
        </w:rPr>
        <w:t>（</w:t>
      </w:r>
      <w:r>
        <w:rPr>
          <w:rFonts w:hint="eastAsia" w:ascii="宋体" w:hAnsi="宋体" w:cs="宋体"/>
          <w:kern w:val="0"/>
          <w:lang w:val="zh-CN"/>
        </w:rPr>
        <w:t>付款方式及金额由采购人根据项目情况确定</w:t>
      </w:r>
      <w:r>
        <w:rPr>
          <w:rFonts w:hint="eastAsia" w:ascii="宋体" w:hAnsi="宋体" w:cs="宋体"/>
        </w:rPr>
        <w:t>）</w:t>
      </w:r>
      <w:r>
        <w:rPr>
          <w:rFonts w:hint="eastAsia" w:ascii="宋体" w:hAnsi="宋体" w:cs="宋体"/>
          <w:kern w:val="0"/>
          <w:lang w:val="zh-CN"/>
        </w:rPr>
        <w:t>，即人民币（大写）：</w:t>
      </w:r>
      <w:r>
        <w:rPr>
          <w:rFonts w:hint="eastAsia" w:ascii="宋体" w:hAnsi="宋体" w:cs="宋体"/>
          <w:kern w:val="0"/>
        </w:rPr>
        <w:t>元</w:t>
      </w:r>
      <w:r>
        <w:rPr>
          <w:rFonts w:hint="eastAsia" w:ascii="宋体" w:hAnsi="宋体" w:cs="宋体"/>
          <w:kern w:val="0"/>
          <w:lang w:val="zh-CN"/>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乙方向甲方提交</w:t>
      </w:r>
      <w:r>
        <w:rPr>
          <w:rFonts w:hint="eastAsia" w:ascii="宋体" w:hAnsi="宋体" w:cs="宋体"/>
          <w:kern w:val="0"/>
          <w:lang w:val="en-US" w:eastAsia="zh-CN"/>
        </w:rPr>
        <w:t xml:space="preserve">  </w:t>
      </w:r>
      <w:bookmarkStart w:id="144" w:name="_GoBack"/>
      <w:bookmarkEnd w:id="144"/>
      <w:r>
        <w:rPr>
          <w:rFonts w:ascii="宋体" w:hAnsi="宋体" w:cs="宋体"/>
          <w:kern w:val="0"/>
          <w:lang w:val="zh-CN"/>
        </w:rPr>
        <w:t>%</w:t>
      </w:r>
      <w:r>
        <w:rPr>
          <w:rFonts w:hint="eastAsia" w:ascii="宋体" w:hAnsi="宋体" w:cs="宋体"/>
          <w:kern w:val="0"/>
          <w:lang w:val="zh-CN"/>
        </w:rPr>
        <w:t>的履约保证金计（大写）</w:t>
      </w:r>
      <w:r>
        <w:rPr>
          <w:rFonts w:hint="eastAsia" w:ascii="宋体" w:hAnsi="宋体" w:cs="宋体"/>
          <w:kern w:val="0"/>
        </w:rPr>
        <w:t>元</w:t>
      </w:r>
      <w:r>
        <w:rPr>
          <w:rFonts w:hint="eastAsia" w:ascii="宋体" w:hAnsi="宋体" w:cs="宋体"/>
          <w:kern w:val="0"/>
          <w:lang w:val="zh-CN"/>
        </w:rPr>
        <w:t>转为质量保证金。质量保证金待约定的免费质保期满（年）且产品无质量问题后，由乙方提出书面申请，甲方以转账方式予以退还。</w:t>
      </w:r>
    </w:p>
    <w:p>
      <w:pPr>
        <w:autoSpaceDE w:val="0"/>
        <w:autoSpaceDN w:val="0"/>
        <w:spacing w:line="360" w:lineRule="auto"/>
        <w:rPr>
          <w:rFonts w:ascii="宋体" w:cs="宋体"/>
          <w:kern w:val="0"/>
        </w:rPr>
      </w:pPr>
      <w:r>
        <w:rPr>
          <w:rFonts w:hint="eastAsia" w:ascii="宋体" w:hAnsi="宋体" w:cs="宋体"/>
          <w:kern w:val="0"/>
          <w:lang w:val="zh-CN"/>
        </w:rPr>
        <w:t>五、合同的变更、终止与转让</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除《中华人民共和国政府采购法》第</w:t>
      </w:r>
      <w:r>
        <w:rPr>
          <w:rFonts w:ascii="宋体" w:hAnsi="宋体" w:cs="宋体"/>
          <w:kern w:val="0"/>
        </w:rPr>
        <w:t>50</w:t>
      </w:r>
      <w:r>
        <w:rPr>
          <w:rFonts w:hint="eastAsia" w:ascii="宋体" w:hAnsi="宋体" w:cs="宋体"/>
          <w:kern w:val="0"/>
          <w:lang w:val="zh-CN"/>
        </w:rPr>
        <w:t>条规定的情形外，本合同一经签订，甲乙双方不得擅自变更、中止或终止。</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乙方不得擅自转让其应履行的合同义务。</w:t>
      </w:r>
    </w:p>
    <w:p>
      <w:pPr>
        <w:autoSpaceDE w:val="0"/>
        <w:autoSpaceDN w:val="0"/>
        <w:spacing w:line="360" w:lineRule="auto"/>
        <w:rPr>
          <w:rFonts w:ascii="宋体" w:cs="宋体"/>
          <w:kern w:val="0"/>
        </w:rPr>
      </w:pPr>
      <w:r>
        <w:rPr>
          <w:rFonts w:hint="eastAsia" w:ascii="宋体" w:hAnsi="宋体" w:cs="宋体"/>
          <w:kern w:val="0"/>
          <w:lang w:val="zh-CN"/>
        </w:rPr>
        <w:t>六、违约责任</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因包装、运输引起的货物损坏，按质量不合格处罚。</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甲方无故延期接受货物和乙方逾期交货的，每天应向对方偿付未交货物的货款</w:t>
      </w:r>
      <w:r>
        <w:rPr>
          <w:rFonts w:ascii="宋体" w:hAnsi="宋体" w:cs="宋体"/>
          <w:kern w:val="0"/>
        </w:rPr>
        <w:t>3</w:t>
      </w:r>
      <w:r>
        <w:rPr>
          <w:rFonts w:hint="eastAsia" w:ascii="宋体" w:hAnsi="宋体" w:cs="宋体"/>
          <w:kern w:val="0"/>
          <w:lang w:val="zh-CN"/>
        </w:rPr>
        <w:t>‰的违约金，但违约金累计不得超过违约货款的</w:t>
      </w:r>
      <w:r>
        <w:rPr>
          <w:rFonts w:ascii="宋体" w:hAnsi="宋体" w:cs="宋体"/>
          <w:kern w:val="0"/>
        </w:rPr>
        <w:t>5%</w:t>
      </w:r>
      <w:r>
        <w:rPr>
          <w:rFonts w:hint="eastAsia" w:ascii="宋体" w:hAnsi="宋体" w:cs="宋体"/>
          <w:kern w:val="0"/>
          <w:lang w:val="zh-CN"/>
        </w:rPr>
        <w:t>，超过天对方有权解除合同，违约方承担因此给对方造成的经济损失。</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乙方未按本合同和投标文件中规定的服务承诺提供售后服务的，乙方应按本合同合计金额的</w:t>
      </w:r>
      <w:r>
        <w:rPr>
          <w:rFonts w:ascii="宋体" w:hAnsi="宋体" w:cs="宋体"/>
          <w:kern w:val="0"/>
        </w:rPr>
        <w:t>5%</w:t>
      </w:r>
      <w:r>
        <w:rPr>
          <w:rFonts w:hint="eastAsia" w:ascii="宋体" w:hAnsi="宋体" w:cs="宋体"/>
          <w:kern w:val="0"/>
          <w:lang w:val="zh-CN"/>
        </w:rPr>
        <w:t>向甲方支付违约金。</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其它违约行为按违约货款额</w:t>
      </w:r>
      <w:r>
        <w:rPr>
          <w:rFonts w:ascii="宋体" w:hAnsi="宋体" w:cs="宋体"/>
          <w:kern w:val="0"/>
        </w:rPr>
        <w:t>5%</w:t>
      </w:r>
      <w:r>
        <w:rPr>
          <w:rFonts w:hint="eastAsia" w:ascii="宋体" w:hAnsi="宋体" w:cs="宋体"/>
          <w:kern w:val="0"/>
          <w:lang w:val="zh-CN"/>
        </w:rPr>
        <w:t>收取违约金并赔偿经济损失。</w:t>
      </w:r>
    </w:p>
    <w:p>
      <w:pPr>
        <w:autoSpaceDE w:val="0"/>
        <w:autoSpaceDN w:val="0"/>
        <w:spacing w:line="360" w:lineRule="auto"/>
        <w:rPr>
          <w:rFonts w:ascii="宋体" w:cs="宋体"/>
          <w:kern w:val="0"/>
        </w:rPr>
      </w:pPr>
      <w:r>
        <w:rPr>
          <w:rFonts w:hint="eastAsia" w:ascii="宋体" w:hAnsi="宋体" w:cs="宋体"/>
          <w:kern w:val="0"/>
          <w:lang w:val="zh-CN"/>
        </w:rPr>
        <w:t>七、不可抗力</w:t>
      </w:r>
    </w:p>
    <w:p>
      <w:pPr>
        <w:autoSpaceDE w:val="0"/>
        <w:autoSpaceDN w:val="0"/>
        <w:spacing w:line="360" w:lineRule="auto"/>
        <w:ind w:firstLine="360"/>
        <w:rPr>
          <w:rFonts w:ascii="宋体" w:cs="宋体"/>
          <w:kern w:val="0"/>
        </w:rPr>
      </w:pPr>
      <w:r>
        <w:rPr>
          <w:rFonts w:hint="eastAsia" w:ascii="宋体" w:hAnsi="宋体" w:cs="宋体"/>
          <w:kern w:val="0"/>
          <w:lang w:val="zh-CN"/>
        </w:rPr>
        <w:t>不可抗力使合同的某些内容有变更必要的，双方应通过协商在天内达成进一步履行合同的协议，因不可抗力致使合同不能履行的，合同终止。</w:t>
      </w:r>
    </w:p>
    <w:p>
      <w:pPr>
        <w:autoSpaceDE w:val="0"/>
        <w:autoSpaceDN w:val="0"/>
        <w:spacing w:line="360" w:lineRule="auto"/>
        <w:rPr>
          <w:rFonts w:ascii="宋体" w:cs="宋体"/>
          <w:kern w:val="0"/>
        </w:rPr>
      </w:pPr>
      <w:r>
        <w:rPr>
          <w:rFonts w:hint="eastAsia" w:ascii="宋体" w:hAnsi="宋体" w:cs="宋体"/>
          <w:kern w:val="0"/>
          <w:lang w:val="zh-CN"/>
        </w:rPr>
        <w:t>八、知识产权：详见合同通用条款</w:t>
      </w:r>
    </w:p>
    <w:p>
      <w:pPr>
        <w:autoSpaceDE w:val="0"/>
        <w:autoSpaceDN w:val="0"/>
        <w:spacing w:line="360" w:lineRule="auto"/>
        <w:rPr>
          <w:rFonts w:ascii="宋体" w:cs="宋体"/>
          <w:kern w:val="0"/>
        </w:rPr>
      </w:pPr>
      <w:r>
        <w:rPr>
          <w:rFonts w:hint="eastAsia" w:ascii="宋体" w:hAnsi="宋体" w:cs="宋体"/>
          <w:kern w:val="0"/>
          <w:lang w:val="zh-CN"/>
        </w:rPr>
        <w:t>九、其他约定：</w:t>
      </w:r>
    </w:p>
    <w:p>
      <w:pPr>
        <w:autoSpaceDE w:val="0"/>
        <w:autoSpaceDN w:val="0"/>
        <w:spacing w:line="360" w:lineRule="auto"/>
        <w:rPr>
          <w:rFonts w:ascii="宋体" w:cs="宋体"/>
          <w:kern w:val="0"/>
        </w:rPr>
      </w:pPr>
      <w:r>
        <w:rPr>
          <w:rFonts w:hint="eastAsia" w:ascii="宋体" w:hAnsi="宋体" w:cs="宋体"/>
          <w:kern w:val="0"/>
          <w:lang w:val="zh-CN"/>
        </w:rPr>
        <w:t>十、合同争议解决</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因履行本合同引起的或与本合同有关的争议，甲乙双方应首先通过友好协商解决，如果协商不能解决，可向</w:t>
      </w:r>
      <w:r>
        <w:rPr>
          <w:rFonts w:hint="eastAsia" w:ascii="宋体" w:hAnsi="宋体" w:cs="宋体"/>
          <w:kern w:val="0"/>
          <w:u w:val="single"/>
          <w:lang w:val="zh-CN"/>
        </w:rPr>
        <w:t>甲方</w:t>
      </w:r>
      <w:r>
        <w:rPr>
          <w:rFonts w:hint="eastAsia" w:ascii="宋体" w:hAnsi="宋体" w:cs="宋体"/>
          <w:kern w:val="0"/>
          <w:lang w:val="zh-CN"/>
        </w:rPr>
        <w:t>所在地仲裁委员会申请仲裁或向甲方所在地人民法院提起诉讼。</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诉讼期间，本合同继续履行。</w:t>
      </w:r>
    </w:p>
    <w:p>
      <w:pPr>
        <w:autoSpaceDE w:val="0"/>
        <w:autoSpaceDN w:val="0"/>
        <w:spacing w:line="360" w:lineRule="auto"/>
        <w:rPr>
          <w:rFonts w:asci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本合同一式份，经双方签字，并加盖公章即为生效。</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本合同未尽事宜，按经济合同法有关规定处理。</w:t>
      </w:r>
    </w:p>
    <w:p>
      <w:pPr>
        <w:autoSpaceDE w:val="0"/>
        <w:autoSpaceDN w:val="0"/>
        <w:spacing w:line="360" w:lineRule="auto"/>
        <w:ind w:firstLine="360"/>
        <w:rPr>
          <w:rFonts w:ascii="宋体" w:cs="宋体"/>
          <w:kern w:val="0"/>
          <w:lang w:val="zh-CN"/>
        </w:rPr>
      </w:pPr>
      <w:r>
        <w:rPr>
          <w:rFonts w:ascii="宋体" w:hAnsi="宋体" w:cs="宋体"/>
          <w:kern w:val="0"/>
        </w:rPr>
        <w:t>3.</w:t>
      </w:r>
      <w:r>
        <w:rPr>
          <w:rFonts w:hint="eastAsia" w:ascii="宋体" w:hAnsi="宋体" w:cs="宋体"/>
          <w:kern w:val="0"/>
          <w:lang w:val="zh-CN"/>
        </w:rPr>
        <w:t>本合同的组成包含《合同通用条款》。</w:t>
      </w:r>
    </w:p>
    <w:p>
      <w:pPr>
        <w:autoSpaceDE w:val="0"/>
        <w:autoSpaceDN w:val="0"/>
        <w:spacing w:line="360" w:lineRule="auto"/>
        <w:rPr>
          <w:rFonts w:ascii="宋体" w:cs="宋体"/>
          <w:kern w:val="0"/>
        </w:rPr>
      </w:pPr>
      <w:r>
        <w:rPr>
          <w:rFonts w:hint="eastAsia" w:ascii="宋体" w:hAnsi="宋体" w:cs="宋体"/>
          <w:kern w:val="0"/>
          <w:lang w:val="zh-CN"/>
        </w:rPr>
        <w:t>甲方（盖章）：乙方（盖章）：</w:t>
      </w:r>
    </w:p>
    <w:p>
      <w:pPr>
        <w:autoSpaceDE w:val="0"/>
        <w:autoSpaceDN w:val="0"/>
        <w:spacing w:line="360" w:lineRule="auto"/>
        <w:rPr>
          <w:rFonts w:asci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360" w:lineRule="auto"/>
        <w:rPr>
          <w:rFonts w:ascii="宋体" w:cs="宋体"/>
          <w:kern w:val="0"/>
        </w:rPr>
      </w:pPr>
      <w:r>
        <w:rPr>
          <w:rFonts w:hint="eastAsia" w:ascii="宋体" w:hAnsi="宋体" w:cs="宋体"/>
          <w:kern w:val="0"/>
          <w:lang w:val="zh-CN"/>
        </w:rPr>
        <w:t>开户银行：</w:t>
      </w:r>
    </w:p>
    <w:p>
      <w:pPr>
        <w:autoSpaceDE w:val="0"/>
        <w:autoSpaceDN w:val="0"/>
        <w:spacing w:line="360" w:lineRule="auto"/>
        <w:rPr>
          <w:rFonts w:ascii="宋体" w:cs="宋体"/>
          <w:kern w:val="0"/>
          <w:lang w:val="zh-CN"/>
        </w:rPr>
      </w:pPr>
      <w:r>
        <w:rPr>
          <w:rFonts w:hint="eastAsia" w:ascii="宋体" w:hAnsi="宋体" w:cs="宋体"/>
          <w:kern w:val="0"/>
          <w:lang w:val="zh-CN"/>
        </w:rPr>
        <w:t>账号：</w:t>
      </w:r>
    </w:p>
    <w:p>
      <w:pPr>
        <w:autoSpaceDE w:val="0"/>
        <w:autoSpaceDN w:val="0"/>
        <w:spacing w:line="360" w:lineRule="auto"/>
        <w:rPr>
          <w:rFonts w:ascii="宋体" w:cs="宋体"/>
          <w:kern w:val="0"/>
          <w:lang w:val="zh-CN"/>
        </w:rPr>
      </w:pPr>
      <w:r>
        <w:rPr>
          <w:rFonts w:hint="eastAsia" w:ascii="宋体" w:hAnsi="宋体" w:cs="宋体"/>
          <w:kern w:val="0"/>
          <w:lang w:val="zh-CN"/>
        </w:rPr>
        <w:t>地址：地址：</w:t>
      </w:r>
    </w:p>
    <w:p>
      <w:pPr>
        <w:autoSpaceDE w:val="0"/>
        <w:autoSpaceDN w:val="0"/>
        <w:spacing w:line="360" w:lineRule="auto"/>
        <w:rPr>
          <w:rFonts w:ascii="宋体" w:cs="宋体"/>
          <w:kern w:val="0"/>
        </w:rPr>
      </w:pPr>
      <w:r>
        <w:rPr>
          <w:rFonts w:hint="eastAsia" w:ascii="宋体" w:hAnsi="宋体" w:cs="宋体"/>
          <w:kern w:val="0"/>
          <w:lang w:val="zh-CN"/>
        </w:rPr>
        <w:t>联系电话：联系电话：</w:t>
      </w:r>
    </w:p>
    <w:p>
      <w:pPr>
        <w:autoSpaceDE w:val="0"/>
        <w:autoSpaceDN w:val="0"/>
        <w:spacing w:line="360" w:lineRule="auto"/>
        <w:ind w:firstLine="4320" w:firstLineChars="1800"/>
        <w:rPr>
          <w:rFonts w:ascii="宋体" w:cs="宋体"/>
          <w:kern w:val="0"/>
        </w:rPr>
      </w:pPr>
      <w:r>
        <w:rPr>
          <w:rFonts w:hint="eastAsia" w:ascii="宋体" w:hAnsi="宋体" w:cs="宋体"/>
          <w:kern w:val="0"/>
          <w:lang w:val="zh-CN"/>
        </w:rPr>
        <w:t>签约时间：年月日</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rPr>
      </w:pPr>
      <w:r>
        <w:rPr>
          <w:rFonts w:hint="eastAsia" w:ascii="宋体" w:hAnsi="宋体" w:cs="宋体"/>
          <w:kern w:val="0"/>
          <w:lang w:val="zh-CN"/>
        </w:rPr>
        <w:t>采购代理机构：</w:t>
      </w:r>
    </w:p>
    <w:p>
      <w:pPr>
        <w:autoSpaceDE w:val="0"/>
        <w:autoSpaceDN w:val="0"/>
        <w:spacing w:line="360" w:lineRule="auto"/>
        <w:rPr>
          <w:rFonts w:ascii="宋体" w:cs="宋体"/>
          <w:kern w:val="0"/>
        </w:rPr>
      </w:pPr>
      <w:r>
        <w:rPr>
          <w:rFonts w:hint="eastAsia" w:ascii="宋体" w:hAnsi="宋体" w:cs="宋体"/>
          <w:kern w:val="0"/>
          <w:lang w:val="zh-CN"/>
        </w:rPr>
        <w:t>负责人或经办人：</w:t>
      </w:r>
    </w:p>
    <w:p>
      <w:pPr>
        <w:autoSpaceDE w:val="0"/>
        <w:autoSpaceDN w:val="0"/>
        <w:spacing w:line="360" w:lineRule="auto"/>
        <w:jc w:val="center"/>
        <w:rPr>
          <w:rFonts w:ascii="宋体" w:cs="宋体"/>
          <w:kern w:val="0"/>
          <w:lang w:val="zh-CN"/>
        </w:rPr>
      </w:pPr>
      <w:r>
        <w:rPr>
          <w:rFonts w:hint="eastAsia" w:ascii="宋体" w:hAnsi="宋体" w:cs="宋体"/>
          <w:kern w:val="0"/>
          <w:lang w:val="en-US" w:eastAsia="zh-CN"/>
        </w:rPr>
        <w:t xml:space="preserve">         </w:t>
      </w:r>
      <w:r>
        <w:rPr>
          <w:rFonts w:hint="eastAsia" w:ascii="宋体" w:hAnsi="宋体" w:cs="宋体"/>
          <w:kern w:val="0"/>
          <w:lang w:val="zh-CN"/>
        </w:rPr>
        <w:t>时间：</w:t>
      </w:r>
      <w:r>
        <w:rPr>
          <w:rFonts w:hint="eastAsia" w:ascii="宋体" w:hAnsi="宋体" w:cs="宋体"/>
          <w:kern w:val="0"/>
          <w:lang w:val="en-US" w:eastAsia="zh-CN"/>
        </w:rPr>
        <w:t xml:space="preserve">  </w:t>
      </w:r>
      <w:r>
        <w:rPr>
          <w:rFonts w:hint="eastAsia" w:ascii="宋体" w:hAnsi="宋体" w:cs="宋体"/>
          <w:kern w:val="0"/>
          <w:lang w:val="zh-CN"/>
        </w:rPr>
        <w:t>年</w:t>
      </w:r>
      <w:r>
        <w:rPr>
          <w:rFonts w:hint="eastAsia" w:ascii="宋体" w:hAnsi="宋体" w:cs="宋体"/>
          <w:kern w:val="0"/>
          <w:lang w:val="en-US" w:eastAsia="zh-CN"/>
        </w:rPr>
        <w:t xml:space="preserve">  </w:t>
      </w:r>
      <w:r>
        <w:rPr>
          <w:rFonts w:hint="eastAsia" w:ascii="宋体" w:hAnsi="宋体" w:cs="宋体"/>
          <w:kern w:val="0"/>
          <w:lang w:val="zh-CN"/>
        </w:rPr>
        <w:t>月</w:t>
      </w:r>
      <w:r>
        <w:rPr>
          <w:rFonts w:hint="eastAsia" w:ascii="宋体" w:hAnsi="宋体" w:cs="宋体"/>
          <w:kern w:val="0"/>
          <w:lang w:val="en-US" w:eastAsia="zh-CN"/>
        </w:rPr>
        <w:t xml:space="preserve">  </w:t>
      </w:r>
      <w:r>
        <w:rPr>
          <w:rFonts w:hint="eastAsia" w:ascii="宋体" w:hAnsi="宋体" w:cs="宋体"/>
          <w:kern w:val="0"/>
          <w:lang w:val="zh-CN"/>
        </w:rPr>
        <w:t>日</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adjustRightInd w:val="0"/>
        <w:spacing w:line="360" w:lineRule="auto"/>
        <w:jc w:val="left"/>
        <w:rPr>
          <w:rFonts w:ascii="宋体" w:cs="宋体"/>
          <w:b/>
          <w:kern w:val="0"/>
          <w:u w:val="single"/>
          <w:lang w:val="zh-CN"/>
        </w:rPr>
      </w:pPr>
      <w:r>
        <w:rPr>
          <w:rFonts w:hint="eastAsia" w:ascii="宋体" w:hAnsi="宋体" w:cs="宋体"/>
          <w:b/>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kern w:val="0"/>
        </w:rPr>
      </w:pPr>
      <w:r>
        <w:rPr>
          <w:rFonts w:ascii="宋体" w:cs="宋体"/>
          <w:b/>
          <w:bCs/>
          <w:kern w:val="0"/>
          <w:sz w:val="28"/>
          <w:szCs w:val="28"/>
          <w:lang w:val="zh-CN"/>
        </w:rPr>
        <w:br w:type="page"/>
      </w:r>
      <w:r>
        <w:rPr>
          <w:rFonts w:hint="eastAsia" w:ascii="宋体" w:hAnsi="宋体" w:cs="宋体"/>
          <w:b/>
          <w:bCs/>
          <w:kern w:val="0"/>
          <w:sz w:val="28"/>
          <w:szCs w:val="28"/>
          <w:lang w:val="zh-CN"/>
        </w:rPr>
        <w:t>合同通用条款</w:t>
      </w:r>
    </w:p>
    <w:p>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hint="eastAsia"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hint="eastAsia" w:ascii="宋体" w:hAnsi="宋体"/>
        </w:rPr>
      </w:pPr>
      <w:r>
        <w:rPr>
          <w:rFonts w:hint="eastAsia" w:ascii="宋体" w:hAnsi="宋体"/>
        </w:rPr>
        <w:t xml:space="preserve">9.3检验费用 </w:t>
      </w:r>
    </w:p>
    <w:p>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autoSpaceDE w:val="0"/>
        <w:autoSpaceDN w:val="0"/>
        <w:spacing w:line="360" w:lineRule="auto"/>
        <w:ind w:firstLine="360"/>
        <w:jc w:val="left"/>
        <w:rPr>
          <w:rFonts w:ascii="宋体" w:cs="宋体"/>
          <w:color w:val="auto"/>
          <w:kern w:val="0"/>
          <w:highlight w:val="none"/>
        </w:rPr>
      </w:pPr>
      <w:r>
        <w:rPr>
          <w:rFonts w:hint="eastAsia" w:ascii="宋体" w:hAnsi="宋体"/>
        </w:rPr>
        <w:t>交货日期：</w:t>
      </w:r>
      <w:r>
        <w:rPr>
          <w:rFonts w:hint="eastAsia" w:ascii="宋体" w:hAnsi="宋体" w:cs="宋体"/>
          <w:color w:val="auto"/>
          <w:kern w:val="0"/>
          <w:highlight w:val="none"/>
          <w:u w:val="single"/>
          <w:lang w:val="en-US" w:eastAsia="zh-CN"/>
        </w:rPr>
        <w:t>自合同签订之日至2025年8月30日前完成并调式完成</w:t>
      </w:r>
      <w:r>
        <w:rPr>
          <w:rFonts w:hint="eastAsia" w:ascii="宋体" w:hAnsi="宋体" w:cs="宋体"/>
          <w:color w:val="auto"/>
          <w:kern w:val="0"/>
          <w:highlight w:val="none"/>
          <w:lang w:val="zh-CN"/>
        </w:rPr>
        <w:t>；交货地点：</w:t>
      </w:r>
      <w:r>
        <w:rPr>
          <w:rFonts w:hint="eastAsia" w:ascii="宋体" w:hAnsi="宋体" w:cs="宋体"/>
          <w:color w:val="auto"/>
          <w:kern w:val="0"/>
          <w:highlight w:val="none"/>
          <w:u w:val="single"/>
          <w:lang w:val="en-US" w:eastAsia="zh-CN"/>
        </w:rPr>
        <w:t>采购人指定地点</w:t>
      </w:r>
      <w:r>
        <w:rPr>
          <w:rFonts w:hint="eastAsia" w:ascii="宋体" w:hAnsi="宋体" w:cs="宋体"/>
          <w:color w:val="auto"/>
          <w:kern w:val="0"/>
          <w:highlight w:val="none"/>
          <w:lang w:val="zh-CN"/>
        </w:rPr>
        <w:t>。</w:t>
      </w:r>
    </w:p>
    <w:p>
      <w:pPr>
        <w:spacing w:line="360" w:lineRule="auto"/>
        <w:ind w:firstLine="482" w:firstLineChars="200"/>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eastAsia" w:ascii="宋体" w:hAnsi="宋体"/>
        </w:rPr>
      </w:pPr>
      <w:r>
        <w:rPr>
          <w:rFonts w:hint="eastAsia" w:ascii="宋体" w:hAnsi="宋体"/>
        </w:rPr>
        <w:t>11.2  检验验收</w:t>
      </w:r>
    </w:p>
    <w:p>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hint="eastAsia" w:ascii="宋体" w:hAnsi="宋体"/>
        </w:rPr>
      </w:pPr>
      <w:r>
        <w:rPr>
          <w:rFonts w:hint="eastAsia" w:ascii="宋体" w:hAnsi="宋体"/>
        </w:rPr>
        <w:t>b.要求乙方对货物进行免费更换，然后重新测试直至合格为止；</w:t>
      </w:r>
    </w:p>
    <w:p>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hint="eastAsia" w:ascii="宋体" w:hAnsi="宋体"/>
        </w:rPr>
      </w:pPr>
      <w:r>
        <w:rPr>
          <w:rFonts w:hint="eastAsia" w:ascii="宋体" w:hAnsi="宋体"/>
        </w:rPr>
        <w:t>11.3  使用过程检验</w:t>
      </w:r>
    </w:p>
    <w:p>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autoSpaceDE w:val="0"/>
        <w:autoSpaceDN w:val="0"/>
        <w:spacing w:line="360" w:lineRule="auto"/>
        <w:ind w:firstLine="480"/>
        <w:rPr>
          <w:rFonts w:ascii="宋体" w:cs="宋体"/>
          <w:lang w:val="zh-CN"/>
        </w:rPr>
      </w:pPr>
    </w:p>
    <w:p>
      <w:pPr>
        <w:pStyle w:val="20"/>
        <w:spacing w:before="0" w:after="0" w:line="360" w:lineRule="auto"/>
        <w:jc w:val="center"/>
        <w:rPr>
          <w:rFonts w:hint="eastAsia" w:ascii="宋体" w:hAnsi="宋体" w:cs="宋体"/>
          <w:szCs w:val="36"/>
          <w:lang w:val="zh-CN"/>
        </w:rPr>
      </w:pPr>
      <w:bookmarkStart w:id="64" w:name="_Toc37664036"/>
    </w:p>
    <w:p>
      <w:pPr>
        <w:pStyle w:val="20"/>
        <w:spacing w:before="0" w:after="0" w:line="360" w:lineRule="auto"/>
        <w:jc w:val="center"/>
        <w:rPr>
          <w:rFonts w:hint="eastAsia" w:ascii="宋体" w:hAnsi="宋体" w:cs="宋体"/>
          <w:szCs w:val="36"/>
          <w:lang w:val="zh-CN"/>
        </w:rPr>
      </w:pPr>
    </w:p>
    <w:p>
      <w:pPr>
        <w:pStyle w:val="20"/>
        <w:spacing w:before="0" w:after="0" w:line="360" w:lineRule="auto"/>
        <w:jc w:val="center"/>
        <w:rPr>
          <w:rFonts w:hint="eastAsia" w:ascii="宋体" w:hAnsi="宋体" w:cs="宋体"/>
          <w:szCs w:val="36"/>
          <w:lang w:val="zh-CN"/>
        </w:rPr>
      </w:pPr>
    </w:p>
    <w:p>
      <w:pPr>
        <w:pStyle w:val="20"/>
        <w:spacing w:before="0" w:after="0" w:line="360" w:lineRule="auto"/>
        <w:jc w:val="center"/>
        <w:rPr>
          <w:rFonts w:hint="eastAsia" w:ascii="宋体" w:hAnsi="宋体" w:cs="宋体"/>
          <w:szCs w:val="36"/>
          <w:lang w:val="zh-CN"/>
        </w:rPr>
      </w:pPr>
    </w:p>
    <w:p>
      <w:pPr>
        <w:pStyle w:val="20"/>
        <w:spacing w:before="0" w:after="0" w:line="360" w:lineRule="auto"/>
        <w:jc w:val="center"/>
        <w:rPr>
          <w:rFonts w:ascii="宋体" w:cs="宋体"/>
          <w:szCs w:val="36"/>
          <w:lang w:val="zh-CN"/>
        </w:rPr>
      </w:pPr>
      <w:r>
        <w:rPr>
          <w:rFonts w:hint="eastAsia" w:ascii="宋体" w:hAnsi="宋体" w:cs="宋体"/>
          <w:szCs w:val="36"/>
          <w:lang w:val="zh-CN"/>
        </w:rPr>
        <w:t>第四部分磋商响应文件格式</w:t>
      </w:r>
      <w:bookmarkEnd w:id="64"/>
    </w:p>
    <w:p>
      <w:pPr>
        <w:keepNext/>
        <w:keepLines/>
        <w:widowControl/>
        <w:snapToGrid w:val="0"/>
        <w:spacing w:line="400" w:lineRule="atLeast"/>
        <w:jc w:val="center"/>
        <w:outlineLvl w:val="0"/>
        <w:rPr>
          <w:rFonts w:ascii="宋体"/>
          <w:b/>
          <w:kern w:val="28"/>
          <w:sz w:val="36"/>
          <w:szCs w:val="20"/>
        </w:rPr>
      </w:pPr>
      <w:bookmarkStart w:id="65" w:name="_Toc496004029"/>
      <w:bookmarkStart w:id="66" w:name="_Toc496626234"/>
      <w:r>
        <w:rPr>
          <w:rFonts w:hint="eastAsia" w:ascii="宋体"/>
          <w:b/>
          <w:kern w:val="28"/>
          <w:sz w:val="36"/>
          <w:szCs w:val="20"/>
        </w:rPr>
        <w:t>磋商响应文件的组成</w:t>
      </w:r>
      <w:bookmarkEnd w:id="65"/>
      <w:bookmarkEnd w:id="66"/>
    </w:p>
    <w:p>
      <w:pPr>
        <w:spacing w:line="500" w:lineRule="exact"/>
        <w:ind w:firstLine="480"/>
        <w:rPr>
          <w:rFonts w:ascii="宋体"/>
        </w:rPr>
      </w:pPr>
      <w:r>
        <w:rPr>
          <w:rFonts w:hint="eastAsia" w:ascii="宋体" w:hAnsi="宋体"/>
        </w:rPr>
        <w:t>（一）资格审查文件</w:t>
      </w:r>
    </w:p>
    <w:p>
      <w:pPr>
        <w:spacing w:line="500" w:lineRule="exact"/>
        <w:ind w:firstLine="480"/>
        <w:rPr>
          <w:rFonts w:ascii="宋体"/>
        </w:rPr>
      </w:pPr>
      <w:r>
        <w:rPr>
          <w:rFonts w:ascii="宋体" w:hAnsi="宋体"/>
        </w:rPr>
        <w:t>1.</w:t>
      </w:r>
      <w:r>
        <w:rPr>
          <w:rFonts w:hint="eastAsia" w:ascii="宋体" w:hAnsi="宋体"/>
        </w:rPr>
        <w:t>磋商函……………………………………………………………（附件</w:t>
      </w:r>
      <w:r>
        <w:rPr>
          <w:rFonts w:ascii="宋体" w:hAnsi="宋体"/>
        </w:rPr>
        <w:t>1</w:t>
      </w:r>
      <w:r>
        <w:rPr>
          <w:rFonts w:hint="eastAsia" w:ascii="宋体" w:hAnsi="宋体"/>
        </w:rPr>
        <w:t>）</w:t>
      </w:r>
    </w:p>
    <w:p>
      <w:pPr>
        <w:spacing w:line="500" w:lineRule="exact"/>
        <w:ind w:firstLine="480"/>
        <w:rPr>
          <w:rFonts w:ascii="宋体"/>
        </w:rPr>
      </w:pPr>
      <w:r>
        <w:rPr>
          <w:rFonts w:ascii="宋体" w:hAnsi="宋体"/>
        </w:rPr>
        <w:t>2.</w:t>
      </w:r>
      <w:r>
        <w:rPr>
          <w:rFonts w:hint="eastAsia" w:ascii="宋体" w:hAnsi="宋体"/>
        </w:rPr>
        <w:t>法定代表人证明书………………………………………………（附件</w:t>
      </w:r>
      <w:r>
        <w:rPr>
          <w:rFonts w:ascii="宋体" w:hAnsi="宋体"/>
        </w:rPr>
        <w:t>2</w:t>
      </w:r>
      <w:r>
        <w:rPr>
          <w:rFonts w:hint="eastAsia" w:ascii="宋体" w:hAnsi="宋体"/>
        </w:rPr>
        <w:t>）</w:t>
      </w:r>
    </w:p>
    <w:p>
      <w:pPr>
        <w:spacing w:line="500" w:lineRule="exact"/>
        <w:ind w:firstLine="480"/>
        <w:rPr>
          <w:rFonts w:ascii="宋体"/>
        </w:rPr>
      </w:pPr>
      <w:r>
        <w:rPr>
          <w:rFonts w:ascii="宋体" w:hAnsi="宋体"/>
        </w:rPr>
        <w:t>3.</w:t>
      </w:r>
      <w:r>
        <w:rPr>
          <w:rFonts w:hint="eastAsia" w:ascii="宋体" w:hAnsi="宋体"/>
        </w:rPr>
        <w:t>法定代表人授权书………………………………………………（附件</w:t>
      </w:r>
      <w:r>
        <w:rPr>
          <w:rFonts w:ascii="宋体" w:hAnsi="宋体"/>
        </w:rPr>
        <w:t>3</w:t>
      </w:r>
      <w:r>
        <w:rPr>
          <w:rFonts w:hint="eastAsia" w:ascii="宋体" w:hAnsi="宋体"/>
        </w:rPr>
        <w:t>）</w:t>
      </w:r>
    </w:p>
    <w:p>
      <w:pPr>
        <w:spacing w:line="500" w:lineRule="exact"/>
        <w:ind w:firstLine="480"/>
        <w:rPr>
          <w:rFonts w:ascii="宋体"/>
        </w:rPr>
      </w:pPr>
      <w:r>
        <w:rPr>
          <w:rFonts w:ascii="宋体" w:hAnsi="宋体"/>
        </w:rPr>
        <w:t>4.</w:t>
      </w:r>
      <w:r>
        <w:rPr>
          <w:rFonts w:hint="eastAsia" w:ascii="宋体" w:hAnsi="宋体"/>
        </w:rPr>
        <w:t>投标人承诺函……………………………………………………（附件</w:t>
      </w:r>
      <w:r>
        <w:rPr>
          <w:rFonts w:ascii="宋体" w:hAnsi="宋体"/>
        </w:rPr>
        <w:t>4</w:t>
      </w:r>
      <w:r>
        <w:rPr>
          <w:rFonts w:hint="eastAsia" w:ascii="宋体" w:hAnsi="宋体"/>
        </w:rPr>
        <w:t>）</w:t>
      </w:r>
    </w:p>
    <w:p>
      <w:pPr>
        <w:spacing w:line="500" w:lineRule="exact"/>
        <w:ind w:firstLine="480"/>
        <w:rPr>
          <w:rFonts w:ascii="宋体"/>
        </w:rPr>
      </w:pPr>
      <w:r>
        <w:rPr>
          <w:rFonts w:ascii="宋体" w:hAnsi="宋体"/>
        </w:rPr>
        <w:t>5.</w:t>
      </w:r>
      <w:r>
        <w:rPr>
          <w:rFonts w:hint="eastAsia" w:ascii="宋体" w:hAnsi="宋体"/>
        </w:rPr>
        <w:t>投标人诚信承诺书………………………………………………（附件</w:t>
      </w:r>
      <w:r>
        <w:rPr>
          <w:rFonts w:ascii="宋体" w:hAnsi="宋体"/>
        </w:rPr>
        <w:t>5</w:t>
      </w:r>
      <w:r>
        <w:rPr>
          <w:rFonts w:hint="eastAsia" w:ascii="宋体" w:hAnsi="宋体"/>
        </w:rPr>
        <w:t>）</w:t>
      </w:r>
    </w:p>
    <w:p>
      <w:pPr>
        <w:spacing w:line="500" w:lineRule="exact"/>
        <w:ind w:firstLine="480"/>
        <w:rPr>
          <w:rFonts w:ascii="宋体"/>
        </w:rPr>
      </w:pPr>
      <w:r>
        <w:rPr>
          <w:rFonts w:ascii="宋体" w:hAnsi="宋体"/>
        </w:rPr>
        <w:t>6.</w:t>
      </w:r>
      <w:r>
        <w:rPr>
          <w:rFonts w:hint="eastAsia" w:ascii="宋体" w:hAnsi="宋体"/>
        </w:rPr>
        <w:t>投标人资格证明文件……………………………………………（附件</w:t>
      </w:r>
      <w:r>
        <w:rPr>
          <w:rFonts w:ascii="宋体" w:hAnsi="宋体"/>
        </w:rPr>
        <w:t>6</w:t>
      </w:r>
      <w:r>
        <w:rPr>
          <w:rFonts w:hint="eastAsia" w:ascii="宋体" w:hAnsi="宋体"/>
        </w:rPr>
        <w:t>）</w:t>
      </w:r>
    </w:p>
    <w:p>
      <w:pPr>
        <w:spacing w:line="500" w:lineRule="exact"/>
        <w:ind w:firstLine="480"/>
        <w:rPr>
          <w:rFonts w:ascii="宋体"/>
        </w:rPr>
      </w:pPr>
      <w:r>
        <w:rPr>
          <w:rFonts w:ascii="宋体" w:hAnsi="宋体"/>
        </w:rPr>
        <w:t>7.</w:t>
      </w:r>
      <w:r>
        <w:rPr>
          <w:rFonts w:hint="eastAsia" w:ascii="宋体" w:hAnsi="宋体"/>
        </w:rPr>
        <w:t>财务状况、缴纳税收和社会保障资金证明……………………（附件</w:t>
      </w:r>
      <w:r>
        <w:rPr>
          <w:rFonts w:ascii="宋体" w:hAnsi="宋体"/>
        </w:rPr>
        <w:t>7</w:t>
      </w:r>
      <w:r>
        <w:rPr>
          <w:rFonts w:hint="eastAsia" w:ascii="宋体" w:hAnsi="宋体"/>
        </w:rPr>
        <w:t>）</w:t>
      </w:r>
    </w:p>
    <w:p>
      <w:pPr>
        <w:spacing w:line="500" w:lineRule="exact"/>
        <w:ind w:firstLine="480"/>
        <w:rPr>
          <w:rFonts w:ascii="宋体"/>
        </w:rPr>
      </w:pPr>
      <w:r>
        <w:rPr>
          <w:rFonts w:ascii="宋体" w:hAnsi="宋体"/>
        </w:rPr>
        <w:t>8.</w:t>
      </w:r>
      <w:r>
        <w:rPr>
          <w:rFonts w:hint="eastAsia" w:ascii="宋体" w:hAnsi="宋体"/>
        </w:rPr>
        <w:t>无重大违法记录声明……………………………………………（附件</w:t>
      </w:r>
      <w:r>
        <w:rPr>
          <w:rFonts w:ascii="宋体" w:hAnsi="宋体"/>
        </w:rPr>
        <w:t>8</w:t>
      </w:r>
      <w:r>
        <w:rPr>
          <w:rFonts w:hint="eastAsia" w:ascii="宋体" w:hAnsi="宋体"/>
        </w:rPr>
        <w:t>）</w:t>
      </w:r>
    </w:p>
    <w:p>
      <w:pPr>
        <w:spacing w:line="500" w:lineRule="exact"/>
        <w:ind w:firstLine="480"/>
        <w:rPr>
          <w:rFonts w:ascii="宋体"/>
        </w:rPr>
      </w:pPr>
      <w:r>
        <w:rPr>
          <w:rFonts w:hint="eastAsia" w:ascii="宋体" w:hAnsi="宋体"/>
        </w:rPr>
        <w:t>（二）符合性审查文件</w:t>
      </w:r>
    </w:p>
    <w:p>
      <w:pPr>
        <w:spacing w:line="500" w:lineRule="exact"/>
        <w:ind w:firstLine="480"/>
        <w:rPr>
          <w:rFonts w:ascii="宋体"/>
        </w:rPr>
      </w:pPr>
      <w:r>
        <w:rPr>
          <w:rFonts w:hint="eastAsia" w:ascii="宋体" w:hAnsi="宋体"/>
          <w:lang w:val="en-US" w:eastAsia="zh-CN"/>
        </w:rPr>
        <w:t>9</w:t>
      </w:r>
      <w:r>
        <w:rPr>
          <w:rFonts w:ascii="宋体" w:hAnsi="宋体"/>
        </w:rPr>
        <w:t>.</w:t>
      </w:r>
      <w:r>
        <w:rPr>
          <w:rFonts w:hint="eastAsia" w:ascii="宋体" w:hAnsi="宋体"/>
        </w:rPr>
        <w:t>竞争性磋商首次报价表………………………………………（附件</w:t>
      </w:r>
      <w:r>
        <w:rPr>
          <w:rFonts w:ascii="宋体" w:hAnsi="宋体"/>
        </w:rPr>
        <w:t>10</w:t>
      </w:r>
      <w:r>
        <w:rPr>
          <w:rFonts w:hint="eastAsia" w:ascii="宋体" w:hAnsi="宋体"/>
        </w:rPr>
        <w:t>）</w:t>
      </w:r>
    </w:p>
    <w:p>
      <w:pPr>
        <w:spacing w:line="500" w:lineRule="exact"/>
        <w:ind w:firstLine="480"/>
        <w:rPr>
          <w:rFonts w:ascii="宋体"/>
        </w:rPr>
      </w:pPr>
      <w:r>
        <w:rPr>
          <w:rFonts w:hint="eastAsia" w:ascii="宋体" w:hAnsi="宋体"/>
          <w:lang w:val="en-US" w:eastAsia="zh-CN"/>
        </w:rPr>
        <w:t>10</w:t>
      </w:r>
      <w:r>
        <w:rPr>
          <w:rFonts w:ascii="宋体" w:hAnsi="宋体"/>
        </w:rPr>
        <w:t>.</w:t>
      </w:r>
      <w:r>
        <w:rPr>
          <w:rFonts w:hint="eastAsia" w:ascii="宋体" w:hAnsi="宋体"/>
        </w:rPr>
        <w:t>分项报价表……………………………………………………（附件</w:t>
      </w:r>
      <w:r>
        <w:rPr>
          <w:rFonts w:ascii="宋体" w:hAnsi="宋体"/>
        </w:rPr>
        <w:t>11</w:t>
      </w:r>
      <w:r>
        <w:rPr>
          <w:rFonts w:hint="eastAsia" w:ascii="宋体" w:hAnsi="宋体"/>
        </w:rPr>
        <w:t>）</w:t>
      </w:r>
    </w:p>
    <w:p>
      <w:pPr>
        <w:spacing w:line="500" w:lineRule="exact"/>
        <w:ind w:firstLine="480"/>
        <w:rPr>
          <w:rFonts w:ascii="宋体"/>
        </w:rPr>
      </w:pPr>
      <w:r>
        <w:rPr>
          <w:rFonts w:hint="eastAsia" w:ascii="宋体" w:hAnsi="宋体"/>
          <w:lang w:val="en-US" w:eastAsia="zh-CN"/>
        </w:rPr>
        <w:t>11</w:t>
      </w:r>
      <w:r>
        <w:rPr>
          <w:rFonts w:ascii="宋体" w:hAnsi="宋体"/>
        </w:rPr>
        <w:t>.</w:t>
      </w:r>
      <w:r>
        <w:rPr>
          <w:rFonts w:hint="eastAsia" w:ascii="宋体" w:hAnsi="宋体"/>
        </w:rPr>
        <w:t>技术规格响应表………………………………………………（附件</w:t>
      </w:r>
      <w:r>
        <w:rPr>
          <w:rFonts w:ascii="宋体" w:hAnsi="宋体"/>
        </w:rPr>
        <w:t>12</w:t>
      </w:r>
      <w:r>
        <w:rPr>
          <w:rFonts w:hint="eastAsia" w:ascii="宋体" w:hAnsi="宋体"/>
        </w:rPr>
        <w:t>）</w:t>
      </w:r>
    </w:p>
    <w:p>
      <w:pPr>
        <w:spacing w:line="500" w:lineRule="exact"/>
        <w:ind w:firstLine="480"/>
        <w:rPr>
          <w:rFonts w:ascii="宋体"/>
        </w:rPr>
      </w:pPr>
      <w:r>
        <w:rPr>
          <w:rFonts w:hint="eastAsia" w:ascii="宋体" w:hAnsi="宋体"/>
          <w:lang w:val="en-US" w:eastAsia="zh-CN"/>
        </w:rPr>
        <w:t>12</w:t>
      </w:r>
      <w:r>
        <w:rPr>
          <w:rFonts w:ascii="宋体" w:hAnsi="宋体"/>
        </w:rPr>
        <w:t>.</w:t>
      </w:r>
      <w:r>
        <w:rPr>
          <w:rFonts w:hint="eastAsia" w:ascii="宋体" w:hAnsi="宋体"/>
        </w:rPr>
        <w:t>其他资格证明材料……………………………………………（附件</w:t>
      </w:r>
      <w:r>
        <w:rPr>
          <w:rFonts w:ascii="宋体" w:hAnsi="宋体"/>
        </w:rPr>
        <w:t>13</w:t>
      </w:r>
      <w:r>
        <w:rPr>
          <w:rFonts w:hint="eastAsia" w:ascii="宋体" w:hAnsi="宋体"/>
        </w:rPr>
        <w:t>）</w:t>
      </w:r>
    </w:p>
    <w:p>
      <w:pPr>
        <w:spacing w:line="500" w:lineRule="exact"/>
        <w:ind w:firstLine="480"/>
        <w:rPr>
          <w:rFonts w:ascii="宋体"/>
        </w:rPr>
      </w:pPr>
      <w:r>
        <w:rPr>
          <w:rFonts w:hint="eastAsia" w:ascii="宋体" w:hAnsi="宋体"/>
          <w:lang w:val="en-US" w:eastAsia="zh-CN"/>
        </w:rPr>
        <w:t>13</w:t>
      </w:r>
      <w:r>
        <w:rPr>
          <w:rFonts w:ascii="宋体" w:hAnsi="宋体"/>
        </w:rPr>
        <w:t>.</w:t>
      </w:r>
      <w:r>
        <w:rPr>
          <w:rFonts w:hint="eastAsia" w:ascii="宋体" w:hAnsi="宋体"/>
        </w:rPr>
        <w:t>投标产品相关资料……………………………………………（附件</w:t>
      </w:r>
      <w:r>
        <w:rPr>
          <w:rFonts w:ascii="宋体" w:hAnsi="宋体"/>
        </w:rPr>
        <w:t>14</w:t>
      </w:r>
      <w:r>
        <w:rPr>
          <w:rFonts w:hint="eastAsia" w:ascii="宋体" w:hAnsi="宋体"/>
        </w:rPr>
        <w:t>）</w:t>
      </w:r>
    </w:p>
    <w:p>
      <w:pPr>
        <w:spacing w:line="500" w:lineRule="exact"/>
        <w:ind w:firstLine="480"/>
        <w:rPr>
          <w:rFonts w:ascii="宋体"/>
        </w:rPr>
      </w:pPr>
      <w:r>
        <w:rPr>
          <w:rFonts w:hint="eastAsia" w:ascii="宋体" w:hAnsi="宋体"/>
          <w:lang w:val="en-US" w:eastAsia="zh-CN"/>
        </w:rPr>
        <w:t>14</w:t>
      </w:r>
      <w:r>
        <w:rPr>
          <w:rFonts w:ascii="宋体" w:hAnsi="宋体"/>
        </w:rPr>
        <w:t>.</w:t>
      </w:r>
      <w:r>
        <w:rPr>
          <w:rFonts w:hint="eastAsia" w:ascii="宋体" w:hAnsi="宋体"/>
        </w:rPr>
        <w:t>投标人类似业绩证明材料……………………………………（附件</w:t>
      </w:r>
      <w:r>
        <w:rPr>
          <w:rFonts w:ascii="宋体" w:hAnsi="宋体"/>
        </w:rPr>
        <w:t>15</w:t>
      </w:r>
      <w:r>
        <w:rPr>
          <w:rFonts w:hint="eastAsia" w:ascii="宋体" w:hAnsi="宋体"/>
        </w:rPr>
        <w:t>）</w:t>
      </w:r>
    </w:p>
    <w:p>
      <w:pPr>
        <w:spacing w:line="500" w:lineRule="exact"/>
        <w:ind w:firstLine="480"/>
        <w:rPr>
          <w:rFonts w:ascii="宋体"/>
        </w:rPr>
      </w:pPr>
      <w:r>
        <w:rPr>
          <w:rFonts w:hint="eastAsia" w:ascii="宋体" w:hAnsi="宋体"/>
          <w:lang w:val="en-US" w:eastAsia="zh-CN"/>
        </w:rPr>
        <w:t>15</w:t>
      </w:r>
      <w:r>
        <w:rPr>
          <w:rFonts w:ascii="宋体" w:hAnsi="宋体"/>
        </w:rPr>
        <w:t>.</w:t>
      </w:r>
      <w:r>
        <w:rPr>
          <w:rFonts w:hint="eastAsia" w:ascii="宋体" w:hAnsi="宋体"/>
        </w:rPr>
        <w:t>制造（生产）企业小型、微型企业声明函…………………（附件</w:t>
      </w:r>
      <w:r>
        <w:rPr>
          <w:rFonts w:ascii="宋体" w:hAnsi="宋体"/>
        </w:rPr>
        <w:t>16</w:t>
      </w:r>
      <w:r>
        <w:rPr>
          <w:rFonts w:hint="eastAsia" w:ascii="宋体" w:hAnsi="宋体"/>
        </w:rPr>
        <w:t>）</w:t>
      </w:r>
    </w:p>
    <w:p>
      <w:pPr>
        <w:spacing w:line="500" w:lineRule="exact"/>
        <w:ind w:firstLine="480"/>
        <w:rPr>
          <w:rFonts w:ascii="宋体"/>
        </w:rPr>
      </w:pPr>
      <w:r>
        <w:rPr>
          <w:rFonts w:hint="eastAsia" w:ascii="宋体" w:hAnsi="宋体"/>
          <w:lang w:val="en-US" w:eastAsia="zh-CN"/>
        </w:rPr>
        <w:t>16</w:t>
      </w:r>
      <w:r>
        <w:rPr>
          <w:rFonts w:ascii="宋体" w:hAnsi="宋体"/>
        </w:rPr>
        <w:t>.</w:t>
      </w:r>
      <w:r>
        <w:rPr>
          <w:rFonts w:hint="eastAsia" w:ascii="宋体" w:hAnsi="宋体"/>
        </w:rPr>
        <w:t>残疾人福利性单位声明函……………………………………（附件</w:t>
      </w:r>
      <w:r>
        <w:rPr>
          <w:rFonts w:ascii="宋体" w:hAnsi="宋体"/>
        </w:rPr>
        <w:t>17</w:t>
      </w:r>
      <w:r>
        <w:rPr>
          <w:rFonts w:hint="eastAsia" w:ascii="宋体" w:hAnsi="宋体"/>
        </w:rPr>
        <w:t>）</w:t>
      </w:r>
    </w:p>
    <w:p>
      <w:pPr>
        <w:spacing w:line="500" w:lineRule="exact"/>
        <w:ind w:firstLine="480"/>
        <w:rPr>
          <w:rFonts w:ascii="宋体"/>
        </w:rPr>
      </w:pPr>
      <w:r>
        <w:rPr>
          <w:rFonts w:hint="eastAsia" w:ascii="宋体" w:hAnsi="宋体"/>
          <w:lang w:val="en-US" w:eastAsia="zh-CN"/>
        </w:rPr>
        <w:t>17</w:t>
      </w:r>
      <w:r>
        <w:rPr>
          <w:rFonts w:ascii="宋体" w:hAnsi="宋体"/>
        </w:rPr>
        <w:t>.</w:t>
      </w:r>
      <w:r>
        <w:rPr>
          <w:rFonts w:hint="eastAsia" w:ascii="宋体" w:hAnsi="宋体"/>
        </w:rPr>
        <w:t>销售及服务相关内容…………………………………………（附件</w:t>
      </w:r>
      <w:r>
        <w:rPr>
          <w:rFonts w:ascii="宋体" w:hAnsi="宋体"/>
        </w:rPr>
        <w:t>18</w:t>
      </w:r>
      <w:r>
        <w:rPr>
          <w:rFonts w:hint="eastAsia" w:ascii="宋体" w:hAnsi="宋体"/>
        </w:rPr>
        <w:t>）</w:t>
      </w:r>
    </w:p>
    <w:p>
      <w:pPr>
        <w:spacing w:line="500" w:lineRule="exact"/>
        <w:ind w:firstLine="480"/>
        <w:rPr>
          <w:rFonts w:ascii="宋体"/>
        </w:rPr>
      </w:pPr>
      <w:r>
        <w:rPr>
          <w:rFonts w:hint="eastAsia" w:ascii="宋体" w:hAnsi="宋体"/>
          <w:lang w:val="en-US" w:eastAsia="zh-CN"/>
        </w:rPr>
        <w:t>18</w:t>
      </w:r>
      <w:r>
        <w:rPr>
          <w:rFonts w:ascii="宋体" w:hAnsi="宋体"/>
        </w:rPr>
        <w:t>.</w:t>
      </w:r>
      <w:r>
        <w:rPr>
          <w:rFonts w:hint="eastAsia" w:ascii="宋体" w:hAnsi="宋体"/>
        </w:rPr>
        <w:t>投标人认为在其他方面有必要说明的事项…………………（附件</w:t>
      </w:r>
      <w:r>
        <w:rPr>
          <w:rFonts w:ascii="宋体" w:hAnsi="宋体"/>
        </w:rPr>
        <w:t>19</w:t>
      </w:r>
      <w:r>
        <w:rPr>
          <w:rFonts w:hint="eastAsia" w:ascii="宋体" w:hAnsi="宋体"/>
        </w:rPr>
        <w:t>）</w:t>
      </w:r>
    </w:p>
    <w:p/>
    <w:p/>
    <w:p/>
    <w:p/>
    <w:p/>
    <w:p/>
    <w:p/>
    <w:p/>
    <w:p>
      <w:pPr>
        <w:rPr>
          <w:rFonts w:hint="eastAsia"/>
          <w:b/>
        </w:rPr>
      </w:pPr>
    </w:p>
    <w:p>
      <w:pPr>
        <w:rPr>
          <w:rFonts w:hint="eastAsia"/>
          <w:b/>
        </w:rPr>
      </w:pPr>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（资格审查文件）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采购项目编号：大政采竞磋（货物）2025-14号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采购项目名称：大通县2025年第二批（因素法）义务教育学校信息化设备采购项目</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年月日</w:t>
      </w: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pStyle w:val="20"/>
        <w:spacing w:before="0" w:after="0" w:line="360" w:lineRule="auto"/>
        <w:jc w:val="left"/>
        <w:outlineLvl w:val="1"/>
        <w:rPr>
          <w:rFonts w:hint="eastAsia" w:ascii="宋体" w:hAnsi="宋体" w:cs="宋体"/>
          <w:sz w:val="30"/>
          <w:szCs w:val="30"/>
          <w:lang w:val="zh-CN"/>
        </w:rPr>
      </w:pPr>
      <w:bookmarkStart w:id="67" w:name="_Toc37664037"/>
      <w:bookmarkStart w:id="68" w:name="_Toc19582"/>
    </w:p>
    <w:p>
      <w:pPr>
        <w:pStyle w:val="20"/>
        <w:spacing w:before="0" w:after="0" w:line="360" w:lineRule="auto"/>
        <w:jc w:val="left"/>
        <w:outlineLvl w:val="1"/>
        <w:rPr>
          <w:rFonts w:ascii="宋体" w:cs="宋体"/>
        </w:rPr>
      </w:pPr>
      <w:r>
        <w:rPr>
          <w:rFonts w:hint="eastAsia" w:ascii="宋体" w:hAnsi="宋体" w:cs="宋体"/>
          <w:sz w:val="30"/>
          <w:szCs w:val="30"/>
          <w:lang w:val="zh-CN"/>
        </w:rPr>
        <w:t>附件</w:t>
      </w:r>
      <w:r>
        <w:rPr>
          <w:rFonts w:ascii="宋体" w:hAnsi="宋体" w:cs="宋体"/>
          <w:sz w:val="30"/>
          <w:szCs w:val="30"/>
        </w:rPr>
        <w:t>1</w:t>
      </w:r>
      <w:r>
        <w:rPr>
          <w:rFonts w:hint="eastAsia" w:ascii="宋体" w:hAnsi="宋体" w:cs="宋体"/>
          <w:sz w:val="30"/>
          <w:szCs w:val="30"/>
        </w:rPr>
        <w:t>：</w:t>
      </w:r>
      <w:r>
        <w:rPr>
          <w:rFonts w:hint="eastAsia" w:ascii="宋体" w:hAnsi="宋体" w:cs="宋体"/>
          <w:sz w:val="30"/>
          <w:szCs w:val="30"/>
          <w:lang w:val="zh-CN"/>
        </w:rPr>
        <w:t>磋商函</w:t>
      </w:r>
      <w:bookmarkEnd w:id="67"/>
      <w:bookmarkEnd w:id="68"/>
    </w:p>
    <w:p>
      <w:pPr>
        <w:autoSpaceDE w:val="0"/>
        <w:autoSpaceDN w:val="0"/>
        <w:spacing w:line="360" w:lineRule="auto"/>
        <w:rPr>
          <w:rFonts w:ascii="宋体" w:cs="宋体"/>
          <w:b/>
          <w:bCs/>
          <w:kern w:val="0"/>
          <w:sz w:val="28"/>
          <w:szCs w:val="28"/>
        </w:rPr>
      </w:pPr>
    </w:p>
    <w:p>
      <w:pPr>
        <w:autoSpaceDE w:val="0"/>
        <w:autoSpaceDN w:val="0"/>
        <w:spacing w:line="360" w:lineRule="auto"/>
        <w:jc w:val="center"/>
        <w:rPr>
          <w:rFonts w:ascii="宋体" w:cs="宋体"/>
          <w:b/>
          <w:bCs/>
          <w:kern w:val="0"/>
          <w:sz w:val="36"/>
          <w:szCs w:val="36"/>
        </w:rPr>
      </w:pPr>
      <w:r>
        <w:rPr>
          <w:rFonts w:hint="eastAsia" w:ascii="宋体" w:hAnsi="宋体" w:cs="宋体"/>
          <w:b/>
          <w:bCs/>
          <w:kern w:val="0"/>
          <w:sz w:val="28"/>
          <w:szCs w:val="28"/>
          <w:lang w:val="zh-CN"/>
        </w:rPr>
        <w:t>磋商函</w:t>
      </w:r>
    </w:p>
    <w:p>
      <w:pPr>
        <w:autoSpaceDE w:val="0"/>
        <w:autoSpaceDN w:val="0"/>
        <w:spacing w:line="360" w:lineRule="auto"/>
        <w:rPr>
          <w:rFonts w:ascii="宋体" w:cs="宋体"/>
          <w:b/>
          <w:bCs/>
          <w:kern w:val="0"/>
          <w:sz w:val="28"/>
          <w:szCs w:val="28"/>
        </w:rPr>
      </w:pPr>
    </w:p>
    <w:p>
      <w:pPr>
        <w:autoSpaceDE w:val="0"/>
        <w:autoSpaceDN w:val="0"/>
        <w:spacing w:line="360" w:lineRule="auto"/>
        <w:rPr>
          <w:rFonts w:ascii="宋体" w:cs="宋体"/>
          <w:kern w:val="0"/>
          <w:lang w:val="zh-CN"/>
        </w:rPr>
      </w:pPr>
      <w:r>
        <w:rPr>
          <w:rFonts w:hint="eastAsia" w:ascii="宋体" w:hAnsi="宋体" w:cs="宋体"/>
          <w:b/>
          <w:bCs/>
          <w:kern w:val="0"/>
          <w:lang w:val="zh-CN"/>
        </w:rPr>
        <w:t>致：大通县政府采购服务中心</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磋商文件，经研究，法定代表人（姓名、职务）正式授权（委托代理人姓名、职务）代表投标人（投标人名称、地址）提交投标文件。</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我方已详阅磋商文件的全部内容，包括澄清、修改条款等有关附件，承诺对其完全理解并接受。</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、磋商有效期自开标之日起</w:t>
      </w:r>
      <w:r>
        <w:rPr>
          <w:rFonts w:ascii="宋体" w:hAnsi="宋体" w:cs="宋体"/>
          <w:kern w:val="0"/>
          <w:lang w:val="zh-CN"/>
        </w:rPr>
        <w:t>60</w:t>
      </w:r>
      <w:r>
        <w:rPr>
          <w:rFonts w:hint="eastAsia" w:ascii="宋体" w:hAnsi="宋体" w:cs="宋体"/>
          <w:kern w:val="0"/>
          <w:lang w:val="zh-CN"/>
        </w:rPr>
        <w:t>天内有效。如果在规定的磋商时间后，我方在磋商有效期内撤回投标或成交后不签约的，磋商保证金将被贵方没收。</w:t>
      </w:r>
    </w:p>
    <w:p>
      <w:pPr>
        <w:autoSpaceDE w:val="0"/>
        <w:autoSpaceDN w:val="0"/>
        <w:spacing w:line="360" w:lineRule="auto"/>
        <w:ind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我方同意按照贵方要求提供与投标有关的一切数据或资料，理解并接受贵方制定的评标办法。</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与本投标有关的一切正式往来通讯请寄：</w:t>
      </w:r>
    </w:p>
    <w:p>
      <w:pPr>
        <w:autoSpaceDE w:val="0"/>
        <w:autoSpaceDN w:val="0"/>
        <w:spacing w:line="360" w:lineRule="auto"/>
        <w:rPr>
          <w:rFonts w:ascii="宋体" w:cs="宋体"/>
          <w:kern w:val="0"/>
        </w:rPr>
      </w:pPr>
    </w:p>
    <w:p>
      <w:pPr>
        <w:autoSpaceDE w:val="0"/>
        <w:autoSpaceDN w:val="0"/>
        <w:spacing w:line="360" w:lineRule="auto"/>
        <w:rPr>
          <w:rFonts w:ascii="宋体" w:cs="宋体"/>
          <w:kern w:val="0"/>
          <w:lang w:val="zh-CN"/>
        </w:rPr>
      </w:pPr>
      <w:r>
        <w:rPr>
          <w:rFonts w:hint="eastAsia" w:ascii="宋体" w:hAnsi="宋体" w:cs="宋体"/>
          <w:kern w:val="0"/>
          <w:lang w:val="zh-CN"/>
        </w:rPr>
        <w:t>地址：</w:t>
      </w:r>
      <w:r>
        <w:rPr>
          <w:rFonts w:ascii="宋体" w:hAnsi="宋体" w:cs="宋体"/>
          <w:kern w:val="0"/>
          <w:lang w:val="zh-CN"/>
        </w:rPr>
        <w:t xml:space="preserve">_______________          </w:t>
      </w:r>
      <w:r>
        <w:rPr>
          <w:rFonts w:hint="eastAsia" w:ascii="宋体" w:hAnsi="宋体" w:cs="宋体"/>
          <w:kern w:val="0"/>
          <w:lang w:val="zh-CN"/>
        </w:rPr>
        <w:t>邮编：</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电话：</w:t>
      </w:r>
      <w:r>
        <w:rPr>
          <w:rFonts w:ascii="宋体" w:hAnsi="宋体" w:cs="宋体"/>
          <w:kern w:val="0"/>
          <w:lang w:val="zh-CN"/>
        </w:rPr>
        <w:t xml:space="preserve">_______________          </w:t>
      </w:r>
      <w:r>
        <w:rPr>
          <w:rFonts w:hint="eastAsia" w:ascii="宋体" w:hAnsi="宋体" w:cs="宋体"/>
          <w:kern w:val="0"/>
          <w:lang w:val="zh-CN"/>
        </w:rPr>
        <w:t>传真：</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法定代表人姓名：</w:t>
      </w:r>
      <w:r>
        <w:rPr>
          <w:rFonts w:ascii="宋体" w:hAnsi="宋体" w:cs="宋体"/>
          <w:kern w:val="0"/>
          <w:lang w:val="zh-CN"/>
        </w:rPr>
        <w:t xml:space="preserve"> ___________   </w:t>
      </w:r>
      <w:r>
        <w:rPr>
          <w:rFonts w:hint="eastAsia" w:ascii="宋体" w:hAnsi="宋体" w:cs="宋体"/>
          <w:kern w:val="0"/>
          <w:lang w:val="zh-CN"/>
        </w:rPr>
        <w:t>职务：</w:t>
      </w:r>
      <w:r>
        <w:rPr>
          <w:rFonts w:ascii="宋体" w:hAnsi="宋体" w:cs="宋体"/>
          <w:kern w:val="0"/>
          <w:lang w:val="zh-CN"/>
        </w:rPr>
        <w:t>____________</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hint="eastAsia" w:ascii="宋体" w:hAnsi="宋体"/>
          <w:b/>
        </w:rPr>
        <w:t>签字或盖章</w:t>
      </w:r>
      <w:r>
        <w:rPr>
          <w:rFonts w:hint="eastAsia" w:ascii="宋体" w:hAnsi="宋体" w:cs="宋体"/>
          <w:b/>
          <w:bCs/>
          <w:kern w:val="0"/>
          <w:lang w:val="zh-CN"/>
        </w:rPr>
        <w:t>）</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0"/>
        <w:spacing w:before="0" w:after="0" w:line="360" w:lineRule="auto"/>
        <w:jc w:val="left"/>
        <w:outlineLvl w:val="1"/>
        <w:rPr>
          <w:rFonts w:ascii="宋体" w:cs="宋体"/>
          <w:sz w:val="30"/>
          <w:szCs w:val="30"/>
          <w:lang w:val="zh-CN"/>
        </w:rPr>
      </w:pPr>
      <w:bookmarkStart w:id="69" w:name="_Toc494439636"/>
      <w:bookmarkStart w:id="70" w:name="_Toc29944"/>
    </w:p>
    <w:p>
      <w:pPr>
        <w:rPr>
          <w:lang w:val="zh-CN"/>
        </w:rPr>
      </w:pPr>
    </w:p>
    <w:p>
      <w:pPr>
        <w:pStyle w:val="20"/>
        <w:spacing w:before="0" w:after="0" w:line="360" w:lineRule="auto"/>
        <w:jc w:val="left"/>
        <w:outlineLvl w:val="1"/>
        <w:rPr>
          <w:rFonts w:hint="eastAsia" w:ascii="宋体" w:hAnsi="宋体" w:cs="宋体"/>
          <w:sz w:val="30"/>
          <w:szCs w:val="30"/>
          <w:lang w:val="zh-CN"/>
        </w:rPr>
      </w:pPr>
      <w:bookmarkStart w:id="71" w:name="_Toc37664038"/>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bookmarkStart w:id="72" w:name="_Toc325726038"/>
      <w:bookmarkStart w:id="73" w:name="_Toc376936769"/>
      <w:r>
        <w:rPr>
          <w:rFonts w:ascii="宋体" w:hAnsi="宋体" w:cs="宋体"/>
          <w:sz w:val="30"/>
          <w:szCs w:val="30"/>
          <w:lang w:val="zh-CN"/>
        </w:rPr>
        <w:t>2</w:t>
      </w:r>
      <w:r>
        <w:rPr>
          <w:rFonts w:hint="eastAsia" w:ascii="宋体" w:hAnsi="宋体" w:cs="宋体"/>
          <w:sz w:val="30"/>
          <w:szCs w:val="30"/>
          <w:lang w:val="zh-CN"/>
        </w:rPr>
        <w:t>：</w:t>
      </w:r>
      <w:bookmarkEnd w:id="72"/>
      <w:bookmarkEnd w:id="73"/>
      <w:r>
        <w:rPr>
          <w:rFonts w:hint="eastAsia" w:ascii="宋体" w:hAnsi="宋体" w:cs="宋体"/>
          <w:sz w:val="30"/>
          <w:szCs w:val="30"/>
          <w:lang w:val="zh-CN"/>
        </w:rPr>
        <w:t>法定代表人证明书</w:t>
      </w:r>
      <w:bookmarkEnd w:id="71"/>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法定代表人证明书</w:t>
      </w:r>
    </w:p>
    <w:p/>
    <w:p>
      <w:pPr>
        <w:autoSpaceDE w:val="0"/>
        <w:autoSpaceDN w:val="0"/>
        <w:spacing w:line="360" w:lineRule="auto"/>
        <w:rPr>
          <w:rFonts w:ascii="宋体" w:cs="宋体"/>
          <w:kern w:val="0"/>
          <w:lang w:val="zh-CN"/>
        </w:rPr>
      </w:pPr>
      <w:r>
        <w:rPr>
          <w:rFonts w:hint="eastAsia" w:ascii="宋体" w:hAnsi="宋体" w:cs="宋体"/>
          <w:kern w:val="0"/>
          <w:lang w:val="zh-CN"/>
        </w:rPr>
        <w:t>致：大通县政府采购服务中心</w:t>
      </w:r>
    </w:p>
    <w:p>
      <w:pPr>
        <w:autoSpaceDE w:val="0"/>
        <w:autoSpaceDN w:val="0"/>
        <w:adjustRightInd w:val="0"/>
        <w:spacing w:line="400" w:lineRule="exact"/>
        <w:ind w:firstLine="480" w:firstLineChars="200"/>
        <w:jc w:val="left"/>
        <w:rPr>
          <w:rFonts w:ascii="宋体"/>
        </w:rPr>
      </w:pPr>
      <w:r>
        <w:rPr>
          <w:rFonts w:hint="eastAsia" w:ascii="宋体" w:hAnsi="宋体"/>
          <w:u w:val="single"/>
        </w:rPr>
        <w:t>（法定代表人姓名）</w:t>
      </w:r>
      <w:r>
        <w:rPr>
          <w:rFonts w:hint="eastAsia" w:ascii="宋体" w:hAnsi="宋体" w:cs="宋体"/>
          <w:kern w:val="0"/>
        </w:rPr>
        <w:t>现任我单位</w:t>
      </w:r>
      <w:r>
        <w:rPr>
          <w:rFonts w:hint="eastAsia" w:ascii="宋体" w:hAnsi="宋体"/>
        </w:rPr>
        <w:t>职务，为法定代表人，特此证明。</w:t>
      </w:r>
    </w:p>
    <w:p>
      <w:pPr>
        <w:autoSpaceDE w:val="0"/>
        <w:autoSpaceDN w:val="0"/>
        <w:adjustRightInd w:val="0"/>
        <w:spacing w:line="400" w:lineRule="exact"/>
        <w:ind w:firstLine="480" w:firstLineChars="200"/>
        <w:jc w:val="left"/>
        <w:rPr>
          <w:rFonts w:ascii="宋体"/>
        </w:rPr>
      </w:pPr>
    </w:p>
    <w:p>
      <w:pPr>
        <w:autoSpaceDE w:val="0"/>
        <w:autoSpaceDN w:val="0"/>
        <w:adjustRightInd w:val="0"/>
        <w:spacing w:line="400" w:lineRule="exact"/>
        <w:ind w:firstLine="480" w:firstLineChars="200"/>
        <w:jc w:val="left"/>
        <w:rPr>
          <w:rFonts w:ascii="宋体" w:cs="宋体"/>
          <w:kern w:val="0"/>
        </w:rPr>
      </w:pPr>
      <w:r>
        <w:rPr>
          <w:rFonts w:hint="eastAsia" w:ascii="宋体" w:hAnsi="宋体"/>
        </w:rPr>
        <w:t>法定代表人基本情况：</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性别：年龄：民族：</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地址：</w:t>
      </w:r>
    </w:p>
    <w:p>
      <w:pPr>
        <w:autoSpaceDE w:val="0"/>
        <w:autoSpaceDN w:val="0"/>
        <w:adjustRightInd w:val="0"/>
        <w:spacing w:line="400" w:lineRule="exact"/>
        <w:ind w:firstLine="480" w:firstLineChars="200"/>
        <w:jc w:val="left"/>
        <w:rPr>
          <w:rFonts w:ascii="宋体"/>
          <w:u w:val="single"/>
        </w:rPr>
      </w:pPr>
      <w:r>
        <w:rPr>
          <w:rFonts w:hint="eastAsia" w:ascii="宋体" w:hAnsi="宋体" w:cs="宋体"/>
          <w:kern w:val="0"/>
        </w:rPr>
        <w:t>身份证号码：</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附法定代表人第二代身份证双面扫描（或复印）件</w:t>
      </w:r>
    </w:p>
    <w:p>
      <w:pPr>
        <w:autoSpaceDE w:val="0"/>
        <w:autoSpaceDN w:val="0"/>
        <w:adjustRightInd w:val="0"/>
        <w:spacing w:line="400" w:lineRule="exact"/>
        <w:ind w:firstLine="480" w:firstLineChars="20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spacing w:line="360" w:lineRule="auto"/>
        <w:ind w:firstLine="480"/>
        <w:rPr>
          <w:rFonts w:ascii="宋体" w:cs="宋体"/>
          <w:sz w:val="30"/>
          <w:szCs w:val="30"/>
        </w:rPr>
      </w:pPr>
    </w:p>
    <w:p/>
    <w:p/>
    <w:p/>
    <w:p/>
    <w:p/>
    <w:p/>
    <w:p/>
    <w:p/>
    <w:p/>
    <w:p/>
    <w:p/>
    <w:p/>
    <w:p/>
    <w:p/>
    <w:p/>
    <w:p/>
    <w:p/>
    <w:p/>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w:t>
      </w:r>
      <w:r>
        <w:rPr>
          <w:rFonts w:hint="eastAsia" w:ascii="宋体" w:hAnsi="宋体" w:cs="宋体"/>
          <w:b/>
          <w:bCs/>
          <w:kern w:val="0"/>
          <w:lang w:val="en-US" w:eastAsia="zh-CN"/>
        </w:rPr>
        <w:t xml:space="preserve">  </w:t>
      </w:r>
      <w:r>
        <w:rPr>
          <w:rFonts w:hint="eastAsia" w:ascii="宋体" w:hAnsi="宋体" w:cs="宋体"/>
          <w:b/>
          <w:bCs/>
          <w:kern w:val="0"/>
          <w:lang w:val="zh-CN"/>
        </w:rPr>
        <w:t>月</w:t>
      </w:r>
      <w:r>
        <w:rPr>
          <w:rFonts w:hint="eastAsia" w:ascii="宋体" w:hAnsi="宋体" w:cs="宋体"/>
          <w:b/>
          <w:bCs/>
          <w:kern w:val="0"/>
          <w:lang w:val="en-US" w:eastAsia="zh-CN"/>
        </w:rPr>
        <w:t xml:space="preserve">  </w:t>
      </w:r>
      <w:r>
        <w:rPr>
          <w:rFonts w:hint="eastAsia" w:ascii="宋体" w:hAnsi="宋体" w:cs="宋体"/>
          <w:b/>
          <w:bCs/>
          <w:kern w:val="0"/>
          <w:lang w:val="zh-CN"/>
        </w:rPr>
        <w:t>日</w:t>
      </w:r>
    </w:p>
    <w:p>
      <w:pPr>
        <w:pStyle w:val="20"/>
        <w:spacing w:before="0" w:after="0" w:line="360" w:lineRule="auto"/>
        <w:jc w:val="left"/>
        <w:outlineLvl w:val="1"/>
        <w:rPr>
          <w:rFonts w:ascii="宋体" w:cs="宋体"/>
          <w:sz w:val="30"/>
          <w:szCs w:val="30"/>
          <w:lang w:val="zh-CN"/>
        </w:rPr>
      </w:pPr>
    </w:p>
    <w:p>
      <w:pPr>
        <w:pStyle w:val="20"/>
        <w:spacing w:before="0" w:after="0" w:line="360" w:lineRule="auto"/>
        <w:jc w:val="left"/>
        <w:outlineLvl w:val="1"/>
        <w:rPr>
          <w:rFonts w:ascii="宋体" w:cs="宋体"/>
          <w:sz w:val="30"/>
          <w:szCs w:val="30"/>
          <w:lang w:val="zh-CN"/>
        </w:rPr>
      </w:pPr>
      <w:bookmarkStart w:id="74" w:name="_Toc496626237"/>
    </w:p>
    <w:p>
      <w:pPr>
        <w:pStyle w:val="20"/>
        <w:spacing w:before="0" w:after="0" w:line="360" w:lineRule="auto"/>
        <w:jc w:val="left"/>
        <w:outlineLvl w:val="1"/>
        <w:rPr>
          <w:rFonts w:ascii="宋体" w:cs="宋体"/>
          <w:sz w:val="30"/>
          <w:szCs w:val="30"/>
          <w:lang w:val="zh-CN"/>
        </w:rPr>
      </w:pPr>
      <w:bookmarkStart w:id="75" w:name="_Toc37664039"/>
      <w:r>
        <w:rPr>
          <w:rFonts w:hint="eastAsia" w:ascii="宋体" w:hAnsi="宋体" w:cs="宋体"/>
          <w:sz w:val="30"/>
          <w:szCs w:val="30"/>
          <w:lang w:val="zh-CN"/>
        </w:rPr>
        <w:t>附件</w:t>
      </w:r>
      <w:r>
        <w:rPr>
          <w:rFonts w:ascii="宋体" w:hAnsi="宋体" w:cs="宋体"/>
          <w:sz w:val="30"/>
          <w:szCs w:val="30"/>
          <w:lang w:val="zh-CN"/>
        </w:rPr>
        <w:t>3</w:t>
      </w:r>
      <w:r>
        <w:rPr>
          <w:rFonts w:hint="eastAsia" w:ascii="宋体" w:hAnsi="宋体" w:cs="宋体"/>
          <w:sz w:val="30"/>
          <w:szCs w:val="30"/>
          <w:lang w:val="zh-CN"/>
        </w:rPr>
        <w:t>：法定代表人授权书</w:t>
      </w:r>
      <w:bookmarkEnd w:id="74"/>
      <w:bookmarkEnd w:id="75"/>
    </w:p>
    <w:p>
      <w:pPr>
        <w:ind w:firstLine="3813" w:firstLineChars="105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法定代表人授权书</w:t>
      </w:r>
    </w:p>
    <w:p>
      <w:pPr>
        <w:ind w:firstLine="198" w:firstLineChars="82"/>
        <w:rPr>
          <w:rFonts w:ascii="宋体"/>
          <w:b/>
          <w:bCs/>
        </w:rPr>
      </w:pPr>
    </w:p>
    <w:p>
      <w:pPr>
        <w:ind w:firstLine="198" w:firstLineChars="82"/>
        <w:rPr>
          <w:rFonts w:ascii="宋体"/>
          <w:b/>
          <w:bCs/>
        </w:rPr>
      </w:pPr>
      <w:r>
        <w:rPr>
          <w:rFonts w:hint="eastAsia" w:ascii="宋体" w:hAnsi="宋体"/>
          <w:b/>
          <w:bCs/>
        </w:rPr>
        <w:t>致：大通县政府采购服务中心</w:t>
      </w:r>
    </w:p>
    <w:p>
      <w:pPr>
        <w:ind w:firstLine="480"/>
        <w:rPr>
          <w:rFonts w:ascii="宋体"/>
          <w:u w:val="single"/>
        </w:rPr>
      </w:pPr>
    </w:p>
    <w:p>
      <w:pPr>
        <w:spacing w:line="360" w:lineRule="auto"/>
        <w:ind w:firstLine="480"/>
        <w:rPr>
          <w:rFonts w:ascii="宋体"/>
        </w:rPr>
      </w:pPr>
      <w:r>
        <w:rPr>
          <w:rFonts w:hint="eastAsia" w:ascii="宋体" w:hAnsi="宋体"/>
          <w:u w:val="single"/>
        </w:rPr>
        <w:t>（投标人名称）</w:t>
      </w:r>
      <w:r>
        <w:rPr>
          <w:rFonts w:hint="eastAsia" w:ascii="宋体" w:hAnsi="宋体"/>
        </w:rPr>
        <w:t>系中华人民共和国合法企业，法定地址。</w:t>
      </w:r>
    </w:p>
    <w:p>
      <w:pPr>
        <w:spacing w:line="360" w:lineRule="auto"/>
        <w:ind w:firstLine="480"/>
        <w:rPr>
          <w:rFonts w:ascii="宋体"/>
        </w:rPr>
      </w:pP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代表我单位全权办理针对项目的磋商、答疑等具体工作，并签署全部有关的文件、资料。</w:t>
      </w:r>
    </w:p>
    <w:p>
      <w:pPr>
        <w:spacing w:line="360" w:lineRule="auto"/>
        <w:ind w:firstLine="480"/>
        <w:rPr>
          <w:rFonts w:ascii="宋体"/>
        </w:rPr>
      </w:pPr>
      <w:r>
        <w:rPr>
          <w:rFonts w:hint="eastAsia" w:ascii="宋体" w:hAnsi="宋体"/>
        </w:rPr>
        <w:t>我单位对被授权人的签名负全部责任。</w:t>
      </w:r>
    </w:p>
    <w:p>
      <w:pPr>
        <w:spacing w:line="360" w:lineRule="auto"/>
        <w:ind w:firstLine="480"/>
        <w:rPr>
          <w:rFonts w:ascii="宋体"/>
        </w:rPr>
      </w:pPr>
      <w:r>
        <w:rPr>
          <w:rFonts w:hint="eastAsia" w:ascii="宋体" w:hAnsi="宋体"/>
        </w:rPr>
        <w:t>在撤销授权的书面通知以前，本授权书一直有效，被授权人签署的所有文件（在授权书有效期内签署的）不因授权的撤销而失效。</w:t>
      </w:r>
    </w:p>
    <w:p>
      <w:pPr>
        <w:spacing w:line="360" w:lineRule="auto"/>
        <w:ind w:firstLine="480"/>
        <w:rPr>
          <w:rFonts w:ascii="宋体"/>
        </w:rPr>
      </w:pPr>
    </w:p>
    <w:p>
      <w:pPr>
        <w:spacing w:line="360" w:lineRule="auto"/>
        <w:ind w:firstLine="480"/>
        <w:rPr>
          <w:rFonts w:ascii="宋体"/>
        </w:rPr>
      </w:pPr>
      <w:r>
        <w:rPr>
          <w:rFonts w:hint="eastAsia" w:ascii="宋体" w:hAnsi="宋体"/>
        </w:rPr>
        <w:t>授权期限：自年月日起至年月日止。</w:t>
      </w:r>
    </w:p>
    <w:p>
      <w:pPr>
        <w:spacing w:line="360" w:lineRule="auto"/>
        <w:ind w:firstLine="480"/>
        <w:rPr>
          <w:rFonts w:ascii="宋体"/>
        </w:rPr>
      </w:pPr>
      <w:r>
        <w:rPr>
          <w:rFonts w:hint="eastAsia" w:ascii="宋体" w:hAnsi="宋体"/>
        </w:rPr>
        <w:t>被授权人联系电话：</w:t>
      </w:r>
    </w:p>
    <w:p>
      <w:pPr>
        <w:spacing w:line="360" w:lineRule="auto"/>
        <w:ind w:firstLine="480"/>
        <w:rPr>
          <w:rFonts w:ascii="宋体"/>
        </w:rPr>
      </w:pPr>
    </w:p>
    <w:p>
      <w:pPr>
        <w:spacing w:line="360" w:lineRule="auto"/>
        <w:rPr>
          <w:rFonts w:ascii="宋体"/>
        </w:rPr>
      </w:pPr>
    </w:p>
    <w:p>
      <w:pPr>
        <w:spacing w:line="360" w:lineRule="auto"/>
        <w:ind w:firstLine="480"/>
        <w:rPr>
          <w:rFonts w:ascii="宋体"/>
          <w:u w:val="single"/>
        </w:rPr>
      </w:pPr>
      <w:r>
        <w:rPr>
          <w:rFonts w:hint="eastAsia" w:ascii="宋体" w:hAnsi="宋体"/>
        </w:rPr>
        <w:t>被授权人（委托代理人）签字：授权人（法定代表人）签字：</w:t>
      </w:r>
    </w:p>
    <w:p>
      <w:pPr>
        <w:spacing w:line="360" w:lineRule="auto"/>
        <w:ind w:firstLine="480"/>
        <w:rPr>
          <w:rFonts w:ascii="宋体"/>
        </w:rPr>
      </w:pPr>
      <w:r>
        <w:rPr>
          <w:rFonts w:hint="eastAsia" w:ascii="宋体" w:hAnsi="宋体"/>
        </w:rPr>
        <w:t>职务：职务：</w:t>
      </w:r>
    </w:p>
    <w:p>
      <w:pPr>
        <w:autoSpaceDE w:val="0"/>
        <w:autoSpaceDN w:val="0"/>
        <w:adjustRightInd w:val="0"/>
        <w:spacing w:line="360" w:lineRule="auto"/>
        <w:ind w:firstLine="480"/>
        <w:jc w:val="left"/>
        <w:rPr>
          <w:rFonts w:ascii="宋体" w:cs="宋体"/>
          <w:kern w:val="0"/>
        </w:rPr>
      </w:pPr>
      <w:r>
        <w:rPr>
          <w:rFonts w:hint="eastAsia" w:ascii="宋体" w:hAnsi="宋体" w:cs="宋体"/>
          <w:kern w:val="0"/>
        </w:rPr>
        <w:t>附被授权人第二代身份证双面扫描（或复印）件</w:t>
      </w:r>
    </w:p>
    <w:p>
      <w:pPr>
        <w:ind w:firstLine="480"/>
        <w:jc w:val="center"/>
        <w:rPr>
          <w:rFonts w:ascii="宋体"/>
        </w:rPr>
      </w:pPr>
    </w:p>
    <w:p>
      <w:pPr>
        <w:ind w:firstLine="480"/>
        <w:jc w:val="center"/>
        <w:rPr>
          <w:rFonts w:ascii="宋体"/>
        </w:rPr>
      </w:pPr>
    </w:p>
    <w:p>
      <w:pPr>
        <w:spacing w:line="360" w:lineRule="auto"/>
        <w:ind w:firstLine="420"/>
        <w:rPr>
          <w:rFonts w:ascii="宋体"/>
          <w:b/>
          <w:sz w:val="21"/>
          <w:szCs w:val="21"/>
        </w:rPr>
      </w:pPr>
      <w:r>
        <w:rPr>
          <w:rFonts w:hint="eastAsia" w:ascii="宋体" w:hAnsi="宋体"/>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pPr>
        <w:rPr>
          <w:rFonts w:ascii="宋体"/>
        </w:rPr>
      </w:pPr>
    </w:p>
    <w:p>
      <w:pPr>
        <w:ind w:firstLine="4426" w:firstLineChars="1837"/>
        <w:rPr>
          <w:rFonts w:ascii="宋体"/>
          <w:b/>
        </w:rPr>
      </w:pPr>
      <w:r>
        <w:rPr>
          <w:rFonts w:hint="eastAsia" w:ascii="宋体" w:hAnsi="宋体"/>
          <w:b/>
        </w:rPr>
        <w:t>投标单位：（公章）</w:t>
      </w:r>
    </w:p>
    <w:p>
      <w:pPr>
        <w:ind w:firstLine="4667" w:firstLineChars="1937"/>
        <w:rPr>
          <w:rFonts w:ascii="宋体"/>
          <w:b/>
        </w:rPr>
      </w:pPr>
      <w:r>
        <w:rPr>
          <w:rFonts w:hint="eastAsia" w:ascii="宋体" w:hAnsi="宋体"/>
          <w:b/>
        </w:rPr>
        <w:t>年</w:t>
      </w:r>
      <w:r>
        <w:rPr>
          <w:rFonts w:hint="eastAsia" w:ascii="宋体" w:hAnsi="宋体"/>
          <w:b/>
          <w:lang w:val="en-US" w:eastAsia="zh-CN"/>
        </w:rPr>
        <w:t xml:space="preserve">  </w:t>
      </w:r>
      <w:r>
        <w:rPr>
          <w:rFonts w:hint="eastAsia" w:ascii="宋体" w:hAnsi="宋体"/>
          <w:b/>
        </w:rPr>
        <w:t>月</w:t>
      </w:r>
      <w:r>
        <w:rPr>
          <w:rFonts w:hint="eastAsia" w:ascii="宋体" w:hAnsi="宋体"/>
          <w:b/>
          <w:lang w:val="en-US" w:eastAsia="zh-CN"/>
        </w:rPr>
        <w:t xml:space="preserve">  </w:t>
      </w:r>
      <w:r>
        <w:rPr>
          <w:rFonts w:hint="eastAsia" w:ascii="宋体" w:hAnsi="宋体"/>
          <w:b/>
        </w:rPr>
        <w:t>日</w:t>
      </w:r>
    </w:p>
    <w:p>
      <w:pPr>
        <w:pStyle w:val="20"/>
        <w:spacing w:before="0" w:after="0" w:line="360" w:lineRule="auto"/>
        <w:jc w:val="left"/>
        <w:outlineLvl w:val="1"/>
        <w:rPr>
          <w:rFonts w:ascii="宋体" w:hAnsi="宋体" w:cs="宋体"/>
          <w:sz w:val="30"/>
          <w:szCs w:val="30"/>
          <w:lang w:val="zh-CN"/>
        </w:rPr>
      </w:pPr>
      <w:bookmarkStart w:id="76" w:name="_Toc496626238"/>
      <w:bookmarkStart w:id="77" w:name="_Toc37664040"/>
    </w:p>
    <w:p>
      <w:pPr>
        <w:pStyle w:val="20"/>
        <w:spacing w:before="0" w:after="0" w:line="360" w:lineRule="auto"/>
        <w:jc w:val="left"/>
        <w:outlineLvl w:val="1"/>
        <w:rPr>
          <w:rFonts w:ascii="宋体" w:hAnsi="宋体" w:cs="宋体"/>
          <w:sz w:val="30"/>
          <w:szCs w:val="30"/>
          <w:lang w:val="zh-CN"/>
        </w:rPr>
      </w:pPr>
    </w:p>
    <w:p>
      <w:pPr>
        <w:pStyle w:val="20"/>
        <w:spacing w:before="0" w:after="0" w:line="360" w:lineRule="auto"/>
        <w:jc w:val="left"/>
        <w:outlineLvl w:val="1"/>
        <w:rPr>
          <w:rFonts w:ascii="宋体" w:hAnsi="宋体" w:cs="宋体"/>
          <w:sz w:val="30"/>
          <w:szCs w:val="30"/>
          <w:lang w:val="zh-CN"/>
        </w:rPr>
      </w:pPr>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4</w:t>
      </w:r>
      <w:r>
        <w:rPr>
          <w:rFonts w:hint="eastAsia" w:ascii="宋体" w:hAnsi="宋体" w:cs="宋体"/>
          <w:sz w:val="30"/>
          <w:szCs w:val="30"/>
          <w:lang w:val="zh-CN"/>
        </w:rPr>
        <w:t>：投标人承诺函</w:t>
      </w:r>
      <w:bookmarkEnd w:id="76"/>
      <w:bookmarkEnd w:id="77"/>
    </w:p>
    <w:p>
      <w:pPr>
        <w:ind w:firstLine="723"/>
        <w:jc w:val="center"/>
        <w:rPr>
          <w:rFonts w:ascii="宋体"/>
          <w:b/>
          <w:bCs/>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投标人承诺函</w:t>
      </w:r>
    </w:p>
    <w:p>
      <w:pPr>
        <w:rPr>
          <w:rFonts w:ascii="宋体"/>
          <w:b/>
          <w:bCs/>
        </w:rPr>
      </w:pPr>
    </w:p>
    <w:p>
      <w:pPr>
        <w:spacing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关于贵方</w:t>
      </w:r>
      <w:r>
        <w:rPr>
          <w:rFonts w:hint="eastAsia" w:ascii="宋体" w:hAnsi="宋体"/>
          <w:lang w:eastAsia="zh-CN"/>
        </w:rPr>
        <w:t>202</w:t>
      </w:r>
      <w:r>
        <w:rPr>
          <w:rFonts w:hint="eastAsia" w:ascii="宋体" w:hAnsi="宋体"/>
          <w:lang w:val="en-US" w:eastAsia="zh-CN"/>
        </w:rPr>
        <w:t>5</w:t>
      </w:r>
      <w:r>
        <w:rPr>
          <w:rFonts w:hint="eastAsia" w:ascii="宋体" w:hAnsi="宋体"/>
        </w:rPr>
        <w:t>年 月 日</w:t>
      </w:r>
      <w:r>
        <w:rPr>
          <w:rFonts w:hint="eastAsia" w:ascii="宋体" w:hAnsi="宋体"/>
          <w:lang w:eastAsia="zh-CN"/>
        </w:rPr>
        <w:t>大政采竞磋（货物）2025-14号</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，在此作如下承诺：</w:t>
      </w:r>
    </w:p>
    <w:p>
      <w:pPr>
        <w:spacing w:line="360" w:lineRule="auto"/>
        <w:ind w:firstLine="480"/>
        <w:rPr>
          <w:rFonts w:ascii="宋体"/>
        </w:rPr>
      </w:pPr>
      <w:r>
        <w:rPr>
          <w:rFonts w:ascii="宋体" w:hAnsi="宋体"/>
        </w:rPr>
        <w:t xml:space="preserve">  1</w:t>
      </w:r>
      <w:r>
        <w:rPr>
          <w:rFonts w:hint="eastAsia" w:ascii="宋体" w:hAnsi="宋体"/>
        </w:rPr>
        <w:t>、完全理解和接受磋商文件的一切规定和要求；</w:t>
      </w:r>
    </w:p>
    <w:p>
      <w:pPr>
        <w:spacing w:line="360" w:lineRule="auto"/>
        <w:ind w:firstLine="480"/>
        <w:rPr>
          <w:rFonts w:ascii="宋体"/>
        </w:rPr>
      </w:pPr>
      <w:r>
        <w:rPr>
          <w:rFonts w:ascii="宋体" w:hAnsi="宋体"/>
        </w:rPr>
        <w:t xml:space="preserve">  2</w:t>
      </w:r>
      <w:r>
        <w:rPr>
          <w:rFonts w:hint="eastAsia" w:ascii="宋体" w:hAnsi="宋体"/>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ascii="宋体"/>
        </w:rPr>
      </w:pPr>
      <w:r>
        <w:rPr>
          <w:rFonts w:ascii="宋体" w:hAnsi="宋体"/>
        </w:rPr>
        <w:t>3</w:t>
      </w:r>
      <w:r>
        <w:rPr>
          <w:rFonts w:hint="eastAsia" w:ascii="宋体" w:hAnsi="宋体"/>
        </w:rPr>
        <w:t>、我方保证甲方在使用该产品或其任何一部分时，不受第三方提出的侵犯专利权、著作权、商标权和工业设计权等知识产权的起诉，若有违犯，愿承担相应的一切责任。</w:t>
      </w:r>
    </w:p>
    <w:p>
      <w:pPr>
        <w:spacing w:line="360" w:lineRule="auto"/>
        <w:ind w:firstLine="600" w:firstLineChars="250"/>
        <w:rPr>
          <w:rFonts w:ascii="宋体"/>
        </w:rPr>
      </w:pPr>
      <w:r>
        <w:rPr>
          <w:rFonts w:ascii="宋体" w:hAnsi="宋体"/>
        </w:rPr>
        <w:t>4</w:t>
      </w:r>
      <w:r>
        <w:rPr>
          <w:rFonts w:hint="eastAsia" w:ascii="宋体" w:hAnsi="宋体"/>
        </w:rPr>
        <w:t>、我方承诺，除磋商文件中规定的进口产品外，所投的产品均为国产产品，且均符合国家强制性标准。若有不实，愿承担相应的责任。</w:t>
      </w:r>
    </w:p>
    <w:p>
      <w:pPr>
        <w:spacing w:line="360" w:lineRule="auto"/>
        <w:ind w:firstLine="480"/>
        <w:rPr>
          <w:rFonts w:ascii="宋体"/>
        </w:rPr>
      </w:pPr>
      <w:r>
        <w:rPr>
          <w:rFonts w:ascii="宋体" w:hAnsi="宋体"/>
        </w:rPr>
        <w:t xml:space="preserve"> 5</w:t>
      </w:r>
      <w:r>
        <w:rPr>
          <w:rFonts w:hint="eastAsia" w:ascii="宋体" w:hAnsi="宋体"/>
        </w:rPr>
        <w:t>、在整个磋商过程中我方若有违规行为，贵方可按磋商文件之规定给予处罚，我方完全接受。</w:t>
      </w:r>
    </w:p>
    <w:p>
      <w:pPr>
        <w:spacing w:line="360" w:lineRule="auto"/>
        <w:rPr>
          <w:rFonts w:ascii="宋体"/>
        </w:rPr>
      </w:pPr>
      <w:r>
        <w:rPr>
          <w:rFonts w:ascii="宋体" w:hAnsi="宋体"/>
        </w:rPr>
        <w:t xml:space="preserve"> 6</w:t>
      </w:r>
      <w:r>
        <w:rPr>
          <w:rFonts w:hint="eastAsia" w:ascii="宋体" w:hAnsi="宋体"/>
        </w:rPr>
        <w:t>、若成交，本承诺将成为合同不可分割的一部分，与合同具有同等的法律效力。</w:t>
      </w:r>
    </w:p>
    <w:p>
      <w:pPr>
        <w:rPr>
          <w:rFonts w:ascii="宋体"/>
        </w:rPr>
      </w:pPr>
    </w:p>
    <w:p>
      <w:pPr>
        <w:rPr>
          <w:rFonts w:ascii="宋体"/>
        </w:rPr>
      </w:pPr>
    </w:p>
    <w:p>
      <w:pPr>
        <w:rPr>
          <w:rFonts w:ascii="宋体"/>
        </w:rPr>
      </w:pPr>
    </w:p>
    <w:p>
      <w:pPr>
        <w:rPr>
          <w:rFonts w:ascii="宋体"/>
        </w:rPr>
      </w:pPr>
    </w:p>
    <w:p>
      <w:pPr>
        <w:rPr>
          <w:rFonts w:ascii="宋体"/>
        </w:rPr>
      </w:pPr>
    </w:p>
    <w:p>
      <w:pPr>
        <w:spacing w:line="360" w:lineRule="auto"/>
        <w:ind w:firstLine="3494" w:firstLineChars="1450"/>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ind w:firstLine="4698" w:firstLineChars="1950"/>
        <w:rPr>
          <w:rFonts w:ascii="宋体"/>
        </w:rPr>
      </w:pPr>
      <w:r>
        <w:rPr>
          <w:rFonts w:hint="eastAsia" w:ascii="宋体" w:hAnsi="宋体"/>
          <w:b/>
        </w:rPr>
        <w:t>年</w:t>
      </w:r>
      <w:r>
        <w:rPr>
          <w:rFonts w:hint="eastAsia" w:ascii="宋体" w:hAnsi="宋体"/>
          <w:b/>
          <w:lang w:val="en-US" w:eastAsia="zh-CN"/>
        </w:rPr>
        <w:t xml:space="preserve">  </w:t>
      </w:r>
      <w:r>
        <w:rPr>
          <w:rFonts w:hint="eastAsia" w:ascii="宋体" w:hAnsi="宋体"/>
          <w:b/>
        </w:rPr>
        <w:t>月</w:t>
      </w:r>
      <w:r>
        <w:rPr>
          <w:rFonts w:hint="eastAsia" w:ascii="宋体" w:hAnsi="宋体"/>
          <w:b/>
          <w:lang w:val="en-US" w:eastAsia="zh-CN"/>
        </w:rPr>
        <w:t xml:space="preserve">  </w:t>
      </w:r>
      <w:r>
        <w:rPr>
          <w:rFonts w:hint="eastAsia" w:ascii="宋体" w:hAnsi="宋体"/>
          <w:b/>
        </w:rPr>
        <w:t>日</w:t>
      </w:r>
    </w:p>
    <w:p>
      <w:pPr>
        <w:rPr>
          <w:lang w:val="zh-CN"/>
        </w:rPr>
      </w:pPr>
      <w:bookmarkStart w:id="78" w:name="_Toc496626239"/>
    </w:p>
    <w:p>
      <w:pPr>
        <w:pStyle w:val="8"/>
        <w:rPr>
          <w:lang w:val="zh-CN"/>
        </w:rPr>
      </w:pPr>
    </w:p>
    <w:p>
      <w:pPr>
        <w:rPr>
          <w:lang w:val="zh-CN"/>
        </w:rPr>
      </w:pPr>
    </w:p>
    <w:p>
      <w:pPr>
        <w:pStyle w:val="20"/>
        <w:spacing w:before="0" w:after="0" w:line="360" w:lineRule="auto"/>
        <w:jc w:val="left"/>
        <w:outlineLvl w:val="1"/>
        <w:rPr>
          <w:rFonts w:hint="eastAsia" w:ascii="宋体" w:hAnsi="宋体" w:cs="宋体"/>
          <w:sz w:val="30"/>
          <w:szCs w:val="30"/>
          <w:lang w:val="zh-CN"/>
        </w:rPr>
      </w:pPr>
      <w:bookmarkStart w:id="79" w:name="_Toc37664041"/>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5</w:t>
      </w:r>
      <w:r>
        <w:rPr>
          <w:rFonts w:hint="eastAsia" w:ascii="宋体" w:hAnsi="宋体" w:cs="宋体"/>
          <w:sz w:val="30"/>
          <w:szCs w:val="30"/>
          <w:lang w:val="zh-CN"/>
        </w:rPr>
        <w:t>：投标人诚信承诺书</w:t>
      </w:r>
      <w:bookmarkEnd w:id="78"/>
      <w:bookmarkEnd w:id="79"/>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投标人诚信承诺书</w:t>
      </w:r>
    </w:p>
    <w:p>
      <w:pPr>
        <w:ind w:firstLine="2729" w:firstLineChars="755"/>
        <w:rPr>
          <w:rFonts w:ascii="宋体"/>
          <w:b/>
          <w:sz w:val="36"/>
          <w:szCs w:val="36"/>
        </w:rPr>
      </w:pPr>
    </w:p>
    <w:p>
      <w:pPr>
        <w:spacing w:after="120" w:afterLines="50"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为了诚实、客观、有序地参与青海省政府采购活动，愿就以下内容作出承诺：</w:t>
      </w:r>
    </w:p>
    <w:p>
      <w:pPr>
        <w:spacing w:line="360" w:lineRule="auto"/>
        <w:ind w:firstLine="480"/>
        <w:rPr>
          <w:rFonts w:ascii="宋体"/>
        </w:rPr>
      </w:pPr>
      <w:r>
        <w:rPr>
          <w:rFonts w:hint="eastAsia" w:ascii="宋体" w:hAnsi="宋体"/>
        </w:rPr>
        <w:t>一、自觉遵守各项法律、法规、规章、制度以及社会公德，维护廉洁环境，与同场竞争的投标人平等参加政府采购活动。</w:t>
      </w:r>
    </w:p>
    <w:p>
      <w:pPr>
        <w:spacing w:line="360" w:lineRule="auto"/>
        <w:ind w:firstLine="480"/>
        <w:rPr>
          <w:rFonts w:ascii="宋体"/>
        </w:rPr>
      </w:pPr>
      <w:r>
        <w:rPr>
          <w:rFonts w:hint="eastAsia" w:ascii="宋体" w:hAnsi="宋体"/>
        </w:rPr>
        <w:t>二、参加青海省政府采购中心组织的政府采购活动时，严格按照磋商文件的规定和要求提供所需的相关材料，并对所提供的各类资料的真实性负责，不虚假应标，不虚列业绩。</w:t>
      </w:r>
    </w:p>
    <w:p>
      <w:pPr>
        <w:spacing w:line="360" w:lineRule="auto"/>
        <w:ind w:firstLine="480"/>
        <w:rPr>
          <w:rFonts w:ascii="宋体"/>
        </w:rPr>
      </w:pPr>
      <w:r>
        <w:rPr>
          <w:rFonts w:hint="eastAsia" w:ascii="宋体" w:hAnsi="宋体"/>
        </w:rPr>
        <w:t>三、尊重参与政府采购活动各相关方的合法行为，接受政府采购活动依法形成的意见、结果。</w:t>
      </w:r>
    </w:p>
    <w:p>
      <w:pPr>
        <w:spacing w:line="360" w:lineRule="auto"/>
        <w:ind w:firstLine="480"/>
        <w:rPr>
          <w:rFonts w:ascii="宋体"/>
        </w:rPr>
      </w:pPr>
      <w:r>
        <w:rPr>
          <w:rFonts w:hint="eastAsia" w:ascii="宋体" w:hAnsi="宋体"/>
        </w:rPr>
        <w:t>四、依法参加政府采购活动，不围标、串标，维护市场秩序，不提供“三无”产品、以次充好。</w:t>
      </w:r>
    </w:p>
    <w:p>
      <w:pPr>
        <w:spacing w:line="360" w:lineRule="auto"/>
        <w:ind w:firstLine="480"/>
        <w:rPr>
          <w:rFonts w:asci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rPr>
      </w:pPr>
      <w:r>
        <w:rPr>
          <w:rFonts w:hint="eastAsia" w:ascii="宋体" w:hAnsi="宋体"/>
        </w:rPr>
        <w:t>六、认真履行成交投标人应承担的责任和义务，全面执行采购合同规定的各项内容，保质保量地按时提供采购物品。</w:t>
      </w:r>
    </w:p>
    <w:p>
      <w:pPr>
        <w:spacing w:line="360" w:lineRule="auto"/>
        <w:ind w:firstLine="480"/>
        <w:rPr>
          <w:rFonts w:ascii="宋体"/>
        </w:rPr>
      </w:pPr>
      <w:r>
        <w:rPr>
          <w:rFonts w:hint="eastAsia" w:ascii="宋体" w:hAnsi="宋体"/>
        </w:rPr>
        <w:t>若本企业（单位）发生有悖于上述承诺的行为，愿意接受《中华人民共和国政府采购法》和《政府采购法实施条例》中对投标人的相关处理。</w:t>
      </w:r>
    </w:p>
    <w:p>
      <w:pPr>
        <w:spacing w:line="360" w:lineRule="auto"/>
        <w:ind w:firstLine="480"/>
        <w:rPr>
          <w:rFonts w:ascii="宋体"/>
        </w:rPr>
      </w:pPr>
      <w:r>
        <w:rPr>
          <w:rFonts w:hint="eastAsia" w:ascii="宋体" w:hAnsi="宋体"/>
        </w:rPr>
        <w:t>本承诺是采购项目磋商响应文件的组成部分。</w:t>
      </w:r>
    </w:p>
    <w:p>
      <w:pPr>
        <w:spacing w:line="360" w:lineRule="auto"/>
        <w:rPr>
          <w:rFonts w:ascii="宋体"/>
          <w:b/>
        </w:rPr>
      </w:pPr>
    </w:p>
    <w:p>
      <w:pPr>
        <w:spacing w:line="360" w:lineRule="auto"/>
        <w:ind w:firstLine="3812" w:firstLineChars="1582"/>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spacing w:line="360" w:lineRule="auto"/>
        <w:ind w:firstLine="482"/>
        <w:jc w:val="center"/>
        <w:rPr>
          <w:rFonts w:ascii="宋体"/>
          <w:b/>
        </w:rPr>
      </w:pPr>
      <w:r>
        <w:rPr>
          <w:rFonts w:hint="eastAsia" w:ascii="宋体" w:hAnsi="宋体"/>
          <w:b/>
        </w:rPr>
        <w:t>年</w:t>
      </w:r>
      <w:r>
        <w:rPr>
          <w:rFonts w:hint="eastAsia" w:ascii="宋体" w:hAnsi="宋体"/>
          <w:b/>
          <w:lang w:val="en-US" w:eastAsia="zh-CN"/>
        </w:rPr>
        <w:t xml:space="preserve">  </w:t>
      </w:r>
      <w:r>
        <w:rPr>
          <w:rFonts w:hint="eastAsia" w:ascii="宋体" w:hAnsi="宋体"/>
          <w:b/>
        </w:rPr>
        <w:t>月</w:t>
      </w:r>
      <w:r>
        <w:rPr>
          <w:rFonts w:hint="eastAsia" w:ascii="宋体" w:hAnsi="宋体"/>
          <w:b/>
          <w:lang w:val="en-US" w:eastAsia="zh-CN"/>
        </w:rPr>
        <w:t xml:space="preserve">  </w:t>
      </w:r>
      <w:r>
        <w:rPr>
          <w:rFonts w:hint="eastAsia" w:ascii="宋体" w:hAnsi="宋体"/>
          <w:b/>
        </w:rPr>
        <w:t>日</w:t>
      </w:r>
    </w:p>
    <w:p>
      <w:pPr>
        <w:rPr>
          <w:lang w:val="zh-CN"/>
        </w:rPr>
      </w:pPr>
      <w:bookmarkStart w:id="80" w:name="_Toc496626240"/>
      <w:bookmarkStart w:id="81" w:name="_Toc37664042"/>
    </w:p>
    <w:p>
      <w:pPr>
        <w:pStyle w:val="20"/>
        <w:spacing w:before="0" w:after="0" w:line="360" w:lineRule="auto"/>
        <w:jc w:val="left"/>
        <w:outlineLvl w:val="1"/>
        <w:rPr>
          <w:rFonts w:hint="eastAsia" w:ascii="宋体" w:hAnsi="宋体" w:cs="宋体"/>
          <w:sz w:val="30"/>
          <w:szCs w:val="30"/>
          <w:lang w:val="zh-CN"/>
        </w:rPr>
      </w:pPr>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6</w:t>
      </w:r>
      <w:r>
        <w:rPr>
          <w:rFonts w:hint="eastAsia" w:ascii="宋体" w:hAnsi="宋体" w:cs="宋体"/>
          <w:sz w:val="30"/>
          <w:szCs w:val="30"/>
          <w:lang w:val="zh-CN"/>
        </w:rPr>
        <w:t>：投标人资格证明文件</w:t>
      </w:r>
      <w:bookmarkEnd w:id="80"/>
      <w:bookmarkEnd w:id="81"/>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cs="宋体"/>
          <w:kern w:val="0"/>
          <w:sz w:val="28"/>
          <w:szCs w:val="28"/>
          <w:lang w:val="zh-CN"/>
        </w:rPr>
      </w:pPr>
      <w:bookmarkStart w:id="82" w:name="_Toc492284572"/>
      <w:bookmarkStart w:id="83" w:name="_Toc482176311"/>
      <w:bookmarkStart w:id="84" w:name="_Toc491781021"/>
      <w:bookmarkStart w:id="85" w:name="_Toc490122951"/>
      <w:r>
        <w:rPr>
          <w:rFonts w:hint="eastAsia" w:ascii="宋体" w:hAnsi="宋体" w:cs="宋体"/>
          <w:kern w:val="0"/>
          <w:sz w:val="28"/>
          <w:szCs w:val="28"/>
          <w:lang w:val="zh-CN"/>
        </w:rPr>
        <w:t>投标人资格证明文件</w:t>
      </w:r>
    </w:p>
    <w:p>
      <w:pPr>
        <w:ind w:firstLine="3090" w:firstLineChars="855"/>
        <w:rPr>
          <w:rFonts w:ascii="宋体"/>
          <w:b/>
          <w:sz w:val="36"/>
          <w:szCs w:val="36"/>
        </w:rPr>
      </w:pPr>
    </w:p>
    <w:bookmarkEnd w:id="82"/>
    <w:bookmarkEnd w:id="83"/>
    <w:bookmarkEnd w:id="84"/>
    <w:bookmarkEnd w:id="85"/>
    <w:p>
      <w:pPr>
        <w:spacing w:line="360" w:lineRule="auto"/>
        <w:ind w:firstLine="480"/>
        <w:rPr>
          <w:rFonts w:ascii="宋体"/>
        </w:rPr>
      </w:pPr>
      <w:r>
        <w:rPr>
          <w:rFonts w:hint="eastAsia" w:ascii="宋体" w:hAnsi="宋体"/>
        </w:rPr>
        <w:t>资格证明材料包括：提供有效的营业执照、税务登记证、机构代码证或三证（五证）合一统一社会代码证及其他资格证明文件（扫描或复印件）。</w:t>
      </w:r>
    </w:p>
    <w:p>
      <w:pPr>
        <w:spacing w:line="360" w:lineRule="auto"/>
        <w:ind w:firstLine="480"/>
        <w:rPr>
          <w:rFonts w:ascii="宋体"/>
        </w:rPr>
      </w:pPr>
      <w:r>
        <w:rPr>
          <w:rFonts w:ascii="宋体" w:hAnsi="宋体"/>
        </w:rPr>
        <w:t>1</w:t>
      </w:r>
      <w:r>
        <w:rPr>
          <w:rFonts w:hint="eastAsia" w:ascii="宋体" w:hAnsi="宋体"/>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rPr>
          <w:rFonts w:ascii="宋体"/>
        </w:rPr>
      </w:pPr>
      <w:r>
        <w:rPr>
          <w:rFonts w:ascii="宋体" w:hAnsi="宋体"/>
        </w:rPr>
        <w:t>2</w:t>
      </w:r>
      <w:r>
        <w:rPr>
          <w:rFonts w:hint="eastAsia" w:ascii="宋体" w:hAnsi="宋体"/>
        </w:rPr>
        <w:t>、根据采购项目内容，提供投标人的相关资质证书、许可证等。</w:t>
      </w:r>
    </w:p>
    <w:p/>
    <w:p/>
    <w:p/>
    <w:p/>
    <w:p/>
    <w:p/>
    <w:p/>
    <w:p/>
    <w:p/>
    <w:p/>
    <w:p/>
    <w:p/>
    <w:p/>
    <w:p/>
    <w:p/>
    <w:p/>
    <w:p/>
    <w:p/>
    <w:p/>
    <w:p/>
    <w:p/>
    <w:p/>
    <w:p>
      <w:pPr>
        <w:pStyle w:val="20"/>
        <w:spacing w:before="0" w:after="0" w:line="360" w:lineRule="auto"/>
        <w:jc w:val="left"/>
        <w:outlineLvl w:val="1"/>
        <w:rPr>
          <w:rFonts w:hint="eastAsia" w:ascii="宋体" w:hAnsi="宋体" w:cs="宋体"/>
          <w:sz w:val="30"/>
          <w:szCs w:val="30"/>
          <w:lang w:val="zh-CN"/>
        </w:rPr>
      </w:pPr>
      <w:bookmarkStart w:id="86" w:name="_Toc37664043"/>
      <w:bookmarkStart w:id="87" w:name="_Toc496626241"/>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7</w:t>
      </w:r>
      <w:r>
        <w:rPr>
          <w:rFonts w:hint="eastAsia" w:ascii="宋体" w:hAnsi="宋体" w:cs="宋体"/>
          <w:sz w:val="30"/>
          <w:szCs w:val="30"/>
          <w:lang w:val="zh-CN"/>
        </w:rPr>
        <w:t>：财务状况、缴纳税收和社会保障资金证明</w:t>
      </w:r>
      <w:bookmarkEnd w:id="86"/>
      <w:bookmarkEnd w:id="87"/>
    </w:p>
    <w:p>
      <w:pPr>
        <w:autoSpaceDE w:val="0"/>
        <w:autoSpaceDN w:val="0"/>
        <w:adjustRightInd w:val="0"/>
        <w:ind w:firstLine="904" w:firstLineChars="250"/>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财务状况、缴纳税收和社会保障资金证明</w:t>
      </w:r>
    </w:p>
    <w:p>
      <w:pPr>
        <w:autoSpaceDE w:val="0"/>
        <w:autoSpaceDN w:val="0"/>
        <w:adjustRightInd w:val="0"/>
        <w:ind w:firstLine="904" w:firstLineChars="250"/>
        <w:rPr>
          <w:rFonts w:ascii="宋体"/>
          <w:b/>
          <w:sz w:val="36"/>
          <w:szCs w:val="36"/>
        </w:rPr>
      </w:pPr>
    </w:p>
    <w:p>
      <w:pPr>
        <w:spacing w:line="360" w:lineRule="auto"/>
        <w:ind w:firstLine="480"/>
        <w:rPr>
          <w:rFonts w:ascii="宋体" w:hAnsi="宋体"/>
        </w:rPr>
      </w:pPr>
      <w:r>
        <w:rPr>
          <w:rFonts w:hint="eastAsia" w:ascii="宋体" w:hAnsi="宋体"/>
        </w:rPr>
        <w:t>按照《政府采购法》第</w:t>
      </w:r>
      <w:r>
        <w:rPr>
          <w:rFonts w:ascii="宋体" w:hAnsi="宋体"/>
        </w:rPr>
        <w:t>22</w:t>
      </w:r>
      <w:r>
        <w:rPr>
          <w:rFonts w:hint="eastAsia" w:ascii="宋体" w:hAnsi="宋体"/>
        </w:rPr>
        <w:t>条规定提供以下相关材料：</w:t>
      </w:r>
    </w:p>
    <w:p>
      <w:pPr>
        <w:spacing w:line="360" w:lineRule="auto"/>
        <w:ind w:firstLine="480"/>
        <w:rPr>
          <w:rFonts w:ascii="宋体" w:hAnsi="宋体"/>
        </w:rPr>
      </w:pPr>
      <w:r>
        <w:rPr>
          <w:rFonts w:ascii="宋体" w:hAnsi="宋体"/>
        </w:rPr>
        <w:t>1</w:t>
      </w:r>
      <w:r>
        <w:rPr>
          <w:rFonts w:hint="eastAsia" w:ascii="宋体" w:hAnsi="宋体"/>
        </w:rPr>
        <w:t>、投标人是法人的，提供</w:t>
      </w:r>
      <w:r>
        <w:rPr>
          <w:rFonts w:ascii="宋体" w:hAnsi="宋体"/>
        </w:rPr>
        <w:t>20</w:t>
      </w:r>
      <w:r>
        <w:rPr>
          <w:rFonts w:hint="eastAsia" w:ascii="宋体" w:hAnsi="宋体"/>
          <w:lang w:val="en-US" w:eastAsia="zh-CN"/>
        </w:rPr>
        <w:t>23</w:t>
      </w:r>
      <w:r>
        <w:rPr>
          <w:rFonts w:hint="eastAsia" w:ascii="宋体" w:hAnsi="宋体"/>
        </w:rPr>
        <w:t>年</w:t>
      </w:r>
      <w:r>
        <w:rPr>
          <w:rFonts w:hint="eastAsia" w:ascii="宋体" w:hAnsi="宋体"/>
          <w:lang w:val="en-US" w:eastAsia="zh-CN"/>
        </w:rPr>
        <w:t>或</w:t>
      </w:r>
      <w:r>
        <w:rPr>
          <w:rFonts w:ascii="宋体" w:hAnsi="宋体"/>
        </w:rPr>
        <w:t>20</w:t>
      </w:r>
      <w:r>
        <w:rPr>
          <w:rFonts w:hint="eastAsia" w:ascii="宋体" w:hAnsi="宋体"/>
        </w:rPr>
        <w:t>2</w:t>
      </w:r>
      <w:r>
        <w:rPr>
          <w:rFonts w:hint="eastAsia" w:ascii="宋体" w:hAnsi="宋体"/>
          <w:lang w:val="en-US" w:eastAsia="zh-CN"/>
        </w:rPr>
        <w:t>4</w:t>
      </w:r>
      <w:r>
        <w:rPr>
          <w:rFonts w:hint="eastAsia" w:ascii="宋体" w:hAnsi="宋体"/>
        </w:rPr>
        <w:t>年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pPr>
        <w:spacing w:line="360" w:lineRule="auto"/>
        <w:ind w:firstLine="480"/>
        <w:rPr>
          <w:rFonts w:ascii="宋体" w:hAnsi="宋体"/>
        </w:rPr>
      </w:pPr>
      <w:r>
        <w:rPr>
          <w:rFonts w:ascii="宋体" w:hAnsi="宋体"/>
        </w:rPr>
        <w:t>2</w:t>
      </w:r>
      <w:r>
        <w:rPr>
          <w:rFonts w:hint="eastAsia" w:ascii="宋体" w:hAnsi="宋体"/>
        </w:rPr>
        <w:t>、近</w:t>
      </w:r>
      <w:r>
        <w:rPr>
          <w:rFonts w:hint="eastAsia" w:ascii="宋体" w:hAnsi="宋体"/>
          <w:lang w:val="en-US" w:eastAsia="zh-CN"/>
        </w:rPr>
        <w:t>半年任意</w:t>
      </w:r>
      <w:r>
        <w:rPr>
          <w:rFonts w:hint="eastAsia" w:ascii="宋体" w:hAnsi="宋体"/>
        </w:rPr>
        <w:t>三个月依法缴纳税收和社会保障资金记录的证明材料。依法免税或不需要缴纳社会保障资金的投标人，应提供相应文件证明其依法免税或不需要缴纳社会保障资金。</w:t>
      </w:r>
    </w:p>
    <w:p>
      <w:pPr>
        <w:spacing w:line="360" w:lineRule="auto"/>
        <w:ind w:firstLine="480"/>
        <w:rPr>
          <w:rFonts w:ascii="宋体" w:hAnsi="宋体"/>
        </w:rPr>
      </w:pPr>
    </w:p>
    <w:p>
      <w:pPr>
        <w:tabs>
          <w:tab w:val="left" w:pos="168"/>
        </w:tabs>
        <w:adjustRightInd w:val="0"/>
        <w:ind w:firstLine="480"/>
        <w:textAlignment w:val="baseline"/>
        <w:rPr>
          <w:rFonts w:ascii="宋体"/>
        </w:rPr>
      </w:pPr>
    </w:p>
    <w:p>
      <w:pPr>
        <w:tabs>
          <w:tab w:val="left" w:pos="168"/>
        </w:tabs>
        <w:adjustRightInd w:val="0"/>
        <w:ind w:firstLine="480"/>
        <w:textAlignment w:val="baseline"/>
        <w:rPr>
          <w:rFonts w:ascii="宋体"/>
        </w:rPr>
      </w:pPr>
    </w:p>
    <w:p>
      <w:pPr>
        <w:widowControl/>
        <w:snapToGrid w:val="0"/>
        <w:spacing w:line="360" w:lineRule="auto"/>
        <w:outlineLvl w:val="1"/>
        <w:rPr>
          <w:rFonts w:ascii="宋体"/>
          <w:b/>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pStyle w:val="20"/>
        <w:spacing w:before="0" w:after="0" w:line="360" w:lineRule="auto"/>
        <w:jc w:val="left"/>
        <w:outlineLvl w:val="1"/>
        <w:rPr>
          <w:rFonts w:hint="eastAsia" w:ascii="宋体" w:hAnsi="宋体" w:cs="宋体"/>
          <w:sz w:val="30"/>
          <w:szCs w:val="30"/>
          <w:lang w:val="zh-CN"/>
        </w:rPr>
      </w:pPr>
      <w:bookmarkStart w:id="88" w:name="_Toc37664044"/>
      <w:bookmarkStart w:id="89" w:name="_Toc496626242"/>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8</w:t>
      </w:r>
      <w:r>
        <w:rPr>
          <w:rFonts w:hint="eastAsia" w:ascii="宋体" w:hAnsi="宋体" w:cs="宋体"/>
          <w:sz w:val="30"/>
          <w:szCs w:val="30"/>
          <w:lang w:val="zh-CN"/>
        </w:rPr>
        <w:t>：无重大违法记录声明</w:t>
      </w:r>
      <w:bookmarkEnd w:id="88"/>
      <w:bookmarkEnd w:id="89"/>
    </w:p>
    <w:p>
      <w:pPr>
        <w:ind w:firstLine="2909" w:firstLineChars="80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无重大违法记录声明</w:t>
      </w:r>
    </w:p>
    <w:p>
      <w:pPr>
        <w:tabs>
          <w:tab w:val="left" w:pos="168"/>
        </w:tabs>
        <w:adjustRightInd w:val="0"/>
        <w:ind w:firstLine="2530" w:firstLineChars="700"/>
        <w:textAlignment w:val="baseline"/>
        <w:rPr>
          <w:rFonts w:ascii="宋体"/>
          <w:b/>
          <w:sz w:val="36"/>
          <w:szCs w:val="36"/>
        </w:rPr>
      </w:pPr>
    </w:p>
    <w:p>
      <w:pPr>
        <w:spacing w:line="360" w:lineRule="auto"/>
        <w:ind w:firstLine="480"/>
        <w:rPr>
          <w:rFonts w:ascii="宋体"/>
        </w:rPr>
      </w:pPr>
      <w:r>
        <w:rPr>
          <w:rFonts w:hint="eastAsia" w:ascii="宋体" w:hAnsi="宋体"/>
        </w:rPr>
        <w:t>提供参加政府采购活动前</w:t>
      </w:r>
      <w:r>
        <w:rPr>
          <w:rFonts w:ascii="宋体" w:hAnsi="宋体"/>
        </w:rPr>
        <w:t>3</w:t>
      </w:r>
      <w:r>
        <w:rPr>
          <w:rFonts w:hint="eastAsia" w:ascii="宋体" w:hAnsi="宋体"/>
        </w:rPr>
        <w:t>年内在经营活动中没有重大违法记录的书面声明（格式可自定）；并附“信用中国”网站的查询截图，时间为投标截止时间前</w:t>
      </w:r>
      <w:r>
        <w:rPr>
          <w:rFonts w:ascii="宋体" w:hAnsi="宋体"/>
        </w:rPr>
        <w:t>20</w:t>
      </w:r>
      <w:r>
        <w:rPr>
          <w:rFonts w:hint="eastAsia" w:ascii="宋体" w:hAnsi="宋体"/>
        </w:rPr>
        <w:t>天内（截图中须显示“报告查看时间”）。</w:t>
      </w: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widowControl/>
        <w:snapToGrid w:val="0"/>
        <w:spacing w:line="360" w:lineRule="auto"/>
        <w:outlineLvl w:val="1"/>
        <w:rPr>
          <w:rFonts w:ascii="宋体"/>
          <w:b/>
          <w:sz w:val="28"/>
          <w:szCs w:val="28"/>
        </w:rPr>
      </w:pPr>
    </w:p>
    <w:p>
      <w:r>
        <w:rPr>
          <w:rFonts w:ascii="宋体"/>
          <w:b w:val="0"/>
          <w:sz w:val="28"/>
          <w:szCs w:val="28"/>
        </w:rPr>
        <w:br w:type="page"/>
      </w:r>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（符合性审查文件）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采购项目编号：大政采竞磋（货物）2025-14号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采购项目名称：大通县2025年第二批（因素法）义务教育学校信息化设备采购项目</w:t>
      </w:r>
    </w:p>
    <w:p>
      <w:pPr>
        <w:autoSpaceDE w:val="0"/>
        <w:autoSpaceDN w:val="0"/>
        <w:spacing w:line="360" w:lineRule="auto"/>
        <w:rPr>
          <w:rFonts w:ascii="宋体" w:cs="宋体"/>
          <w:b/>
          <w:bCs/>
          <w:kern w:val="0"/>
          <w:sz w:val="36"/>
          <w:szCs w:val="36"/>
          <w:lang w:val="zh-CN"/>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年月日</w:t>
      </w:r>
    </w:p>
    <w:p>
      <w:pPr>
        <w:pStyle w:val="20"/>
        <w:spacing w:before="0" w:after="0" w:line="360" w:lineRule="auto"/>
        <w:jc w:val="left"/>
        <w:outlineLvl w:val="1"/>
        <w:rPr>
          <w:rFonts w:hint="eastAsia" w:ascii="宋体" w:hAnsi="宋体" w:cs="宋体"/>
          <w:sz w:val="30"/>
          <w:szCs w:val="30"/>
          <w:lang w:val="zh-CN"/>
        </w:rPr>
      </w:pPr>
      <w:bookmarkStart w:id="90" w:name="_Toc37664046"/>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hint="eastAsia" w:ascii="宋体" w:hAnsi="宋体" w:cs="宋体"/>
          <w:sz w:val="30"/>
          <w:szCs w:val="30"/>
          <w:lang w:val="en-US" w:eastAsia="zh-CN"/>
        </w:rPr>
        <w:t>9</w:t>
      </w:r>
      <w:r>
        <w:rPr>
          <w:rFonts w:hint="eastAsia" w:ascii="宋体" w:hAnsi="宋体" w:cs="宋体"/>
          <w:sz w:val="30"/>
          <w:szCs w:val="30"/>
          <w:lang w:val="zh-CN"/>
        </w:rPr>
        <w:t>：竞争性磋商首次报价表</w:t>
      </w:r>
      <w:bookmarkEnd w:id="69"/>
      <w:bookmarkEnd w:id="90"/>
    </w:p>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竞争性磋商首次报价表</w:t>
      </w:r>
    </w:p>
    <w:p>
      <w:pPr>
        <w:autoSpaceDE w:val="0"/>
        <w:autoSpaceDN w:val="0"/>
        <w:spacing w:line="360" w:lineRule="auto"/>
        <w:ind w:firstLine="480"/>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投标人名称：单位：人民币</w:t>
      </w:r>
      <w:r>
        <w:rPr>
          <w:rFonts w:ascii="宋体" w:hAnsi="宋体" w:cs="宋体"/>
          <w:kern w:val="0"/>
          <w:lang w:val="zh-CN"/>
        </w:rPr>
        <w:t>(</w:t>
      </w:r>
      <w:r>
        <w:rPr>
          <w:rFonts w:hint="eastAsia" w:ascii="宋体" w:hAnsi="宋体" w:cs="宋体"/>
          <w:kern w:val="0"/>
          <w:lang w:val="zh-CN"/>
        </w:rPr>
        <w:t>元</w:t>
      </w:r>
      <w:r>
        <w:rPr>
          <w:rFonts w:ascii="宋体" w:hAnsi="宋体" w:cs="宋体"/>
          <w:kern w:val="0"/>
          <w:lang w:val="zh-CN"/>
        </w:rPr>
        <w:t>)</w:t>
      </w:r>
    </w:p>
    <w:tbl>
      <w:tblPr>
        <w:tblStyle w:val="2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51"/>
        <w:gridCol w:w="255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668" w:type="dxa"/>
            <w:vAlign w:val="center"/>
          </w:tcPr>
          <w:p>
            <w:pPr>
              <w:ind w:firstLine="480"/>
              <w:jc w:val="center"/>
            </w:pPr>
            <w:r>
              <w:rPr>
                <w:rFonts w:hint="eastAsia"/>
              </w:rPr>
              <w:t>项目名称</w:t>
            </w:r>
          </w:p>
        </w:tc>
        <w:tc>
          <w:tcPr>
            <w:tcW w:w="2551" w:type="dxa"/>
            <w:vAlign w:val="center"/>
          </w:tcPr>
          <w:p>
            <w:pPr>
              <w:jc w:val="center"/>
            </w:pPr>
            <w:r>
              <w:rPr>
                <w:rFonts w:hint="eastAsia"/>
              </w:rPr>
              <w:t>竞争性磋商首次报价（元）</w:t>
            </w:r>
          </w:p>
        </w:tc>
        <w:tc>
          <w:tcPr>
            <w:tcW w:w="2552" w:type="dxa"/>
            <w:vAlign w:val="center"/>
          </w:tcPr>
          <w:p>
            <w:pPr>
              <w:jc w:val="center"/>
            </w:pPr>
            <w:r>
              <w:rPr>
                <w:rFonts w:hint="eastAsia"/>
              </w:rPr>
              <w:t>交货期</w:t>
            </w:r>
          </w:p>
        </w:tc>
        <w:tc>
          <w:tcPr>
            <w:tcW w:w="2126"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5" w:hRule="atLeast"/>
        </w:trPr>
        <w:tc>
          <w:tcPr>
            <w:tcW w:w="1668" w:type="dxa"/>
            <w:vMerge w:val="restart"/>
            <w:vAlign w:val="center"/>
          </w:tcPr>
          <w:p/>
        </w:tc>
        <w:tc>
          <w:tcPr>
            <w:tcW w:w="2551" w:type="dxa"/>
          </w:tcPr>
          <w:p>
            <w:r>
              <w:rPr>
                <w:rFonts w:hint="eastAsia"/>
              </w:rPr>
              <w:t>大写：</w:t>
            </w:r>
          </w:p>
        </w:tc>
        <w:tc>
          <w:tcPr>
            <w:tcW w:w="2552" w:type="dxa"/>
            <w:vMerge w:val="restart"/>
          </w:tcPr>
          <w:p/>
        </w:tc>
        <w:tc>
          <w:tcPr>
            <w:tcW w:w="2126"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5" w:hRule="atLeast"/>
        </w:trPr>
        <w:tc>
          <w:tcPr>
            <w:tcW w:w="1668" w:type="dxa"/>
            <w:vMerge w:val="continue"/>
            <w:vAlign w:val="center"/>
          </w:tcPr>
          <w:p/>
        </w:tc>
        <w:tc>
          <w:tcPr>
            <w:tcW w:w="2551" w:type="dxa"/>
          </w:tcPr>
          <w:p>
            <w:r>
              <w:rPr>
                <w:rFonts w:hint="eastAsia"/>
              </w:rPr>
              <w:t>小写：</w:t>
            </w:r>
          </w:p>
        </w:tc>
        <w:tc>
          <w:tcPr>
            <w:tcW w:w="2552" w:type="dxa"/>
            <w:vMerge w:val="continue"/>
          </w:tcPr>
          <w:p/>
        </w:tc>
        <w:tc>
          <w:tcPr>
            <w:tcW w:w="212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897" w:type="dxa"/>
            <w:gridSpan w:val="4"/>
            <w:vAlign w:val="center"/>
          </w:tcPr>
          <w:p>
            <w:pPr>
              <w:rPr>
                <w:rFonts w:ascii="宋体"/>
              </w:rPr>
            </w:pPr>
            <w:r>
              <w:rPr>
                <w:rFonts w:hint="eastAsia" w:ascii="宋体" w:hAnsi="宋体"/>
              </w:rPr>
              <w:t>其他承诺及需要说明的事项：</w:t>
            </w:r>
          </w:p>
          <w:p>
            <w:pPr>
              <w:rPr>
                <w:rFonts w:ascii="宋体"/>
              </w:rPr>
            </w:pPr>
          </w:p>
          <w:p>
            <w:pPr>
              <w:rPr>
                <w:rFonts w:ascii="宋体"/>
              </w:rPr>
            </w:pPr>
          </w:p>
          <w:p>
            <w:pPr>
              <w:rPr>
                <w:rFonts w:ascii="宋体"/>
              </w:rPr>
            </w:pPr>
          </w:p>
          <w:p/>
        </w:tc>
      </w:tr>
    </w:tbl>
    <w:p>
      <w:pPr>
        <w:autoSpaceDE w:val="0"/>
        <w:autoSpaceDN w:val="0"/>
        <w:spacing w:line="360" w:lineRule="auto"/>
        <w:rPr>
          <w:rFonts w:ascii="宋体" w:cs="宋体"/>
          <w:kern w:val="0"/>
        </w:rPr>
      </w:pPr>
    </w:p>
    <w:p>
      <w:pPr>
        <w:autoSpaceDE w:val="0"/>
        <w:autoSpaceDN w:val="0"/>
        <w:spacing w:line="360" w:lineRule="auto"/>
        <w:rPr>
          <w:rFonts w:ascii="宋体" w:cs="宋体"/>
          <w:kern w:val="0"/>
          <w:lang w:val="zh-CN"/>
        </w:rPr>
      </w:pPr>
      <w:r>
        <w:rPr>
          <w:rFonts w:hint="eastAsia" w:ascii="宋体" w:hAnsi="宋体" w:cs="宋体"/>
          <w:kern w:val="0"/>
          <w:lang w:val="zh-CN"/>
        </w:rPr>
        <w:t>注：</w:t>
      </w:r>
      <w:r>
        <w:rPr>
          <w:rFonts w:ascii="宋体" w:hAnsi="宋体" w:cs="宋体"/>
          <w:kern w:val="0"/>
          <w:lang w:val="zh-CN"/>
        </w:rPr>
        <w:t>1</w:t>
      </w:r>
      <w:r>
        <w:rPr>
          <w:rFonts w:hint="eastAsia" w:ascii="宋体" w:hAnsi="宋体" w:cs="宋体"/>
          <w:kern w:val="0"/>
          <w:lang w:val="zh-CN"/>
        </w:rPr>
        <w:t>、填写此表时不得改变表格形式。</w:t>
      </w:r>
    </w:p>
    <w:p>
      <w:pPr>
        <w:autoSpaceDE w:val="0"/>
        <w:autoSpaceDN w:val="0"/>
        <w:spacing w:line="360" w:lineRule="auto"/>
        <w:ind w:firstLine="480" w:firstLineChars="200"/>
        <w:rPr>
          <w:rFonts w:ascii="宋体" w:hAnsi="Calibri" w:cs="宋体"/>
          <w:kern w:val="0"/>
          <w:lang w:val="zh-CN"/>
        </w:rPr>
      </w:pPr>
      <w:r>
        <w:rPr>
          <w:rFonts w:ascii="宋体" w:hAnsi="宋体" w:cs="宋体"/>
          <w:kern w:val="0"/>
          <w:lang w:val="zh-CN"/>
        </w:rPr>
        <w:t>2</w:t>
      </w:r>
      <w:r>
        <w:rPr>
          <w:rFonts w:hint="eastAsia" w:ascii="宋体" w:hAnsi="宋体" w:cs="宋体"/>
          <w:kern w:val="0"/>
          <w:lang w:val="zh-CN"/>
        </w:rPr>
        <w:t>、磋商报价为总报价。</w:t>
      </w:r>
      <w:r>
        <w:rPr>
          <w:rFonts w:hint="eastAsia" w:ascii="宋体" w:hAnsi="宋体"/>
        </w:rPr>
        <w:t>必须包括：</w:t>
      </w:r>
      <w:r>
        <w:rPr>
          <w:rFonts w:hint="eastAsia" w:ascii="宋体" w:hAnsi="Calibri" w:cs="宋体"/>
          <w:kern w:val="0"/>
          <w:lang w:val="zh-CN"/>
        </w:rPr>
        <w:t>产品费、检验费、手续费、包装费、运输费、保险费、安装调试费、税金及其他不可预见费等全部费用。</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3</w:t>
      </w:r>
      <w:r>
        <w:rPr>
          <w:rFonts w:hint="eastAsia" w:ascii="宋体" w:hAnsi="宋体" w:cs="宋体"/>
          <w:kern w:val="0"/>
          <w:lang w:val="zh-CN"/>
        </w:rPr>
        <w:t>、“交货期”是指产品能够交付使用的具体时间。</w:t>
      </w:r>
    </w:p>
    <w:p>
      <w:pPr>
        <w:pStyle w:val="20"/>
        <w:spacing w:before="0" w:after="0" w:line="360" w:lineRule="auto"/>
        <w:jc w:val="left"/>
        <w:outlineLvl w:val="1"/>
        <w:rPr>
          <w:rFonts w:ascii="宋体" w:cs="宋体"/>
          <w:kern w:val="0"/>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ind w:firstLine="3373" w:firstLineChars="1400"/>
        <w:jc w:val="left"/>
      </w:pPr>
      <w:r>
        <w:rPr>
          <w:rFonts w:hint="eastAsia" w:ascii="宋体" w:hAnsi="宋体" w:cs="宋体"/>
          <w:b/>
          <w:bCs/>
          <w:kern w:val="0"/>
          <w:lang w:val="zh-CN"/>
        </w:rPr>
        <w:t>年</w:t>
      </w:r>
      <w:r>
        <w:rPr>
          <w:rFonts w:hint="eastAsia" w:ascii="宋体" w:hAnsi="宋体" w:cs="宋体"/>
          <w:b/>
          <w:bCs/>
          <w:kern w:val="0"/>
          <w:lang w:val="en-US" w:eastAsia="zh-CN"/>
        </w:rPr>
        <w:t xml:space="preserve">  </w:t>
      </w:r>
      <w:r>
        <w:rPr>
          <w:rFonts w:hint="eastAsia" w:ascii="宋体" w:hAnsi="宋体" w:cs="宋体"/>
          <w:b/>
          <w:bCs/>
          <w:kern w:val="0"/>
          <w:lang w:val="zh-CN"/>
        </w:rPr>
        <w:t>月</w:t>
      </w:r>
      <w:r>
        <w:rPr>
          <w:rFonts w:hint="eastAsia" w:ascii="宋体" w:hAnsi="宋体" w:cs="宋体"/>
          <w:b/>
          <w:bCs/>
          <w:kern w:val="0"/>
          <w:lang w:val="en-US" w:eastAsia="zh-CN"/>
        </w:rPr>
        <w:t xml:space="preserve">  </w:t>
      </w:r>
      <w:r>
        <w:rPr>
          <w:rFonts w:hint="eastAsia" w:ascii="宋体" w:hAnsi="宋体" w:cs="宋体"/>
          <w:b/>
          <w:bCs/>
          <w:kern w:val="0"/>
          <w:lang w:val="zh-CN"/>
        </w:rPr>
        <w:t>日</w:t>
      </w:r>
      <w:r>
        <w:rPr>
          <w:rFonts w:ascii="宋体" w:cs="宋体"/>
          <w:lang w:val="zh-CN"/>
        </w:rPr>
        <w:br w:type="page"/>
      </w:r>
      <w:bookmarkEnd w:id="70"/>
      <w:bookmarkStart w:id="91" w:name="_Toc37664047"/>
      <w:bookmarkStart w:id="92" w:name="_Toc494439637"/>
      <w:bookmarkStart w:id="93" w:name="_Toc17284"/>
      <w:r>
        <w:rPr>
          <w:rFonts w:hint="eastAsia" w:ascii="宋体" w:hAnsi="宋体" w:cs="宋体"/>
          <w:b/>
          <w:bCs/>
          <w:sz w:val="30"/>
          <w:szCs w:val="30"/>
          <w:lang w:val="zh-CN"/>
        </w:rPr>
        <w:t>附件</w:t>
      </w:r>
      <w:r>
        <w:rPr>
          <w:rFonts w:hint="eastAsia" w:ascii="宋体" w:hAnsi="宋体" w:cs="宋体"/>
          <w:b/>
          <w:bCs/>
          <w:sz w:val="30"/>
          <w:szCs w:val="30"/>
          <w:lang w:val="en-US" w:eastAsia="zh-CN"/>
        </w:rPr>
        <w:t>10</w:t>
      </w:r>
      <w:r>
        <w:rPr>
          <w:rFonts w:ascii="宋体" w:hAnsi="宋体" w:cs="宋体"/>
          <w:b/>
          <w:bCs/>
          <w:sz w:val="30"/>
          <w:szCs w:val="30"/>
          <w:lang w:val="zh-CN"/>
        </w:rPr>
        <w:t xml:space="preserve"> </w:t>
      </w:r>
      <w:r>
        <w:rPr>
          <w:rFonts w:hint="eastAsia" w:ascii="宋体" w:hAnsi="宋体" w:cs="宋体"/>
          <w:b/>
          <w:bCs/>
          <w:sz w:val="30"/>
          <w:szCs w:val="30"/>
          <w:lang w:val="zh-CN"/>
        </w:rPr>
        <w:t>：分项报价表</w:t>
      </w:r>
      <w:bookmarkEnd w:id="91"/>
      <w:bookmarkEnd w:id="92"/>
    </w:p>
    <w:p/>
    <w:p>
      <w:pPr>
        <w:autoSpaceDE w:val="0"/>
        <w:autoSpaceDN w:val="0"/>
        <w:spacing w:line="360" w:lineRule="auto"/>
        <w:ind w:firstLine="480"/>
        <w:jc w:val="center"/>
        <w:rPr>
          <w:rFonts w:ascii="宋体" w:cs="宋体"/>
          <w:kern w:val="0"/>
          <w:sz w:val="28"/>
          <w:szCs w:val="28"/>
          <w:lang w:val="zh-CN"/>
        </w:rPr>
      </w:pPr>
      <w:bookmarkStart w:id="94" w:name="_Toc325726039"/>
      <w:bookmarkStart w:id="95" w:name="_Toc365019575"/>
      <w:r>
        <w:rPr>
          <w:rFonts w:hint="eastAsia" w:ascii="宋体" w:hAnsi="宋体" w:cs="宋体"/>
          <w:kern w:val="0"/>
          <w:sz w:val="28"/>
          <w:szCs w:val="28"/>
          <w:lang w:val="zh-CN"/>
        </w:rPr>
        <w:t>分项报价表</w:t>
      </w:r>
      <w:bookmarkEnd w:id="94"/>
      <w:bookmarkEnd w:id="95"/>
    </w:p>
    <w:p/>
    <w:p>
      <w:r>
        <w:rPr>
          <w:rFonts w:hint="eastAsia"/>
        </w:rPr>
        <w:t>投标人名称</w:t>
      </w:r>
      <w:r>
        <w:t>:</w:t>
      </w:r>
    </w:p>
    <w:p>
      <w:r>
        <w:rPr>
          <w:rFonts w:hint="eastAsia"/>
        </w:rPr>
        <w:t>包号：</w:t>
      </w:r>
    </w:p>
    <w:p>
      <w:r>
        <w:rPr>
          <w:rFonts w:hint="eastAsia"/>
        </w:rPr>
        <w:t>单位：人民币（元）</w:t>
      </w:r>
    </w:p>
    <w:p/>
    <w:tbl>
      <w:tblPr>
        <w:tblStyle w:val="21"/>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r>
              <w:rPr>
                <w:rFonts w:hint="eastAsia"/>
              </w:rPr>
              <w:t>序号</w:t>
            </w:r>
          </w:p>
        </w:tc>
        <w:tc>
          <w:tcPr>
            <w:tcW w:w="1704" w:type="dxa"/>
            <w:tcBorders>
              <w:top w:val="single" w:color="auto" w:sz="12" w:space="0"/>
            </w:tcBorders>
            <w:vAlign w:val="center"/>
          </w:tcPr>
          <w:p>
            <w:r>
              <w:rPr>
                <w:rFonts w:hint="eastAsia"/>
              </w:rPr>
              <w:t>产品名称</w:t>
            </w:r>
          </w:p>
        </w:tc>
        <w:tc>
          <w:tcPr>
            <w:tcW w:w="1081" w:type="dxa"/>
            <w:tcBorders>
              <w:top w:val="single" w:color="auto" w:sz="12" w:space="0"/>
            </w:tcBorders>
            <w:vAlign w:val="center"/>
          </w:tcPr>
          <w:p>
            <w:r>
              <w:rPr>
                <w:rFonts w:hint="eastAsia"/>
              </w:rPr>
              <w:t>品牌</w:t>
            </w:r>
          </w:p>
        </w:tc>
        <w:tc>
          <w:tcPr>
            <w:tcW w:w="756" w:type="dxa"/>
            <w:tcBorders>
              <w:top w:val="single" w:color="auto" w:sz="12" w:space="0"/>
            </w:tcBorders>
            <w:vAlign w:val="center"/>
          </w:tcPr>
          <w:p>
            <w:r>
              <w:rPr>
                <w:rFonts w:hint="eastAsia"/>
              </w:rPr>
              <w:t>规格型号</w:t>
            </w:r>
          </w:p>
        </w:tc>
        <w:tc>
          <w:tcPr>
            <w:tcW w:w="1356" w:type="dxa"/>
            <w:tcBorders>
              <w:top w:val="single" w:color="auto" w:sz="12" w:space="0"/>
            </w:tcBorders>
            <w:vAlign w:val="center"/>
          </w:tcPr>
          <w:p>
            <w:r>
              <w:rPr>
                <w:rFonts w:hint="eastAsia"/>
              </w:rPr>
              <w:t>生产厂家</w:t>
            </w:r>
          </w:p>
        </w:tc>
        <w:tc>
          <w:tcPr>
            <w:tcW w:w="953" w:type="dxa"/>
            <w:tcBorders>
              <w:top w:val="single" w:color="auto" w:sz="12" w:space="0"/>
            </w:tcBorders>
            <w:vAlign w:val="center"/>
          </w:tcPr>
          <w:p>
            <w:r>
              <w:rPr>
                <w:rFonts w:hint="eastAsia"/>
              </w:rPr>
              <w:t>数量及单位</w:t>
            </w:r>
          </w:p>
        </w:tc>
        <w:tc>
          <w:tcPr>
            <w:tcW w:w="710" w:type="dxa"/>
            <w:tcBorders>
              <w:top w:val="single" w:color="auto" w:sz="12" w:space="0"/>
              <w:right w:val="single" w:color="auto" w:sz="4" w:space="0"/>
            </w:tcBorders>
            <w:vAlign w:val="center"/>
          </w:tcPr>
          <w:p>
            <w:r>
              <w:rPr>
                <w:rFonts w:hint="eastAsia"/>
              </w:rPr>
              <w:t>单价</w:t>
            </w:r>
          </w:p>
        </w:tc>
        <w:tc>
          <w:tcPr>
            <w:tcW w:w="851" w:type="dxa"/>
            <w:tcBorders>
              <w:top w:val="single" w:color="auto" w:sz="12" w:space="0"/>
              <w:left w:val="single" w:color="auto" w:sz="4" w:space="0"/>
            </w:tcBorders>
            <w:vAlign w:val="center"/>
          </w:tcPr>
          <w:p>
            <w:r>
              <w:rPr>
                <w:rFonts w:hint="eastAsia"/>
              </w:rPr>
              <w:t>合计</w:t>
            </w:r>
          </w:p>
        </w:tc>
        <w:tc>
          <w:tcPr>
            <w:tcW w:w="850" w:type="dxa"/>
            <w:tcBorders>
              <w:top w:val="single" w:color="auto" w:sz="12" w:space="0"/>
            </w:tcBorders>
            <w:vAlign w:val="center"/>
          </w:tcPr>
          <w:p>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1</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2</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3</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4</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r>
              <w:rPr>
                <w:rFonts w:hint="eastAsia" w:ascii="宋体" w:hAnsi="宋体"/>
              </w:rPr>
              <w:t>其他承诺及需要说明的事项：</w:t>
            </w:r>
            <w:r>
              <w:rPr>
                <w:rFonts w:hint="eastAsia"/>
              </w:rPr>
              <w:t>：</w:t>
            </w:r>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r>
              <w:rPr>
                <w:rFonts w:hint="eastAsia"/>
              </w:rPr>
              <w:t>投标总价</w:t>
            </w:r>
          </w:p>
        </w:tc>
        <w:tc>
          <w:tcPr>
            <w:tcW w:w="6557" w:type="dxa"/>
            <w:gridSpan w:val="7"/>
            <w:tcBorders>
              <w:bottom w:val="single" w:color="auto" w:sz="12" w:space="0"/>
            </w:tcBorders>
            <w:vAlign w:val="center"/>
          </w:tcPr>
          <w:p>
            <w:r>
              <w:rPr>
                <w:rFonts w:hint="eastAsia"/>
              </w:rPr>
              <w:t>大写：小写：</w:t>
            </w:r>
          </w:p>
        </w:tc>
      </w:tr>
    </w:tbl>
    <w:p>
      <w:r>
        <w:rPr>
          <w:rFonts w:hint="eastAsia"/>
        </w:rPr>
        <w:t>注：本表应按照采购需求的内容逐项填写，不得遗漏。否则，按无效投标处理。</w:t>
      </w:r>
    </w:p>
    <w:p/>
    <w:p/>
    <w:p/>
    <w:p/>
    <w:p/>
    <w:p/>
    <w:p/>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w:t>
      </w:r>
      <w:r>
        <w:rPr>
          <w:rFonts w:hint="eastAsia" w:ascii="宋体" w:hAnsi="宋体" w:cs="宋体"/>
          <w:b/>
          <w:bCs/>
          <w:kern w:val="0"/>
          <w:lang w:val="en-US" w:eastAsia="zh-CN"/>
        </w:rPr>
        <w:t xml:space="preserve">  </w:t>
      </w:r>
      <w:r>
        <w:rPr>
          <w:rFonts w:hint="eastAsia" w:ascii="宋体" w:hAnsi="宋体" w:cs="宋体"/>
          <w:b/>
          <w:bCs/>
          <w:kern w:val="0"/>
          <w:lang w:val="zh-CN"/>
        </w:rPr>
        <w:t>月</w:t>
      </w:r>
      <w:r>
        <w:rPr>
          <w:rFonts w:hint="eastAsia" w:ascii="宋体" w:hAnsi="宋体" w:cs="宋体"/>
          <w:b/>
          <w:bCs/>
          <w:kern w:val="0"/>
          <w:lang w:val="en-US" w:eastAsia="zh-CN"/>
        </w:rPr>
        <w:t xml:space="preserve">  </w:t>
      </w:r>
      <w:r>
        <w:rPr>
          <w:rFonts w:hint="eastAsia" w:ascii="宋体" w:hAnsi="宋体" w:cs="宋体"/>
          <w:b/>
          <w:bCs/>
          <w:kern w:val="0"/>
          <w:lang w:val="zh-CN"/>
        </w:rPr>
        <w:t>日</w:t>
      </w:r>
    </w:p>
    <w:p>
      <w:pPr>
        <w:pStyle w:val="20"/>
        <w:spacing w:before="0" w:after="0" w:line="360" w:lineRule="auto"/>
        <w:jc w:val="left"/>
        <w:outlineLvl w:val="1"/>
      </w:pPr>
      <w:r>
        <w:rPr>
          <w:rFonts w:ascii="宋体" w:cs="宋体"/>
          <w:lang w:val="zh-CN"/>
        </w:rPr>
        <w:br w:type="page"/>
      </w:r>
      <w:bookmarkStart w:id="96" w:name="_Toc37664048"/>
      <w:bookmarkStart w:id="97" w:name="_Toc494439638"/>
      <w:bookmarkStart w:id="98" w:name="_Toc427748095"/>
      <w:r>
        <w:rPr>
          <w:rFonts w:hint="eastAsia" w:ascii="宋体" w:hAnsi="宋体" w:cs="宋体"/>
          <w:sz w:val="30"/>
          <w:szCs w:val="30"/>
          <w:lang w:val="zh-CN"/>
        </w:rPr>
        <w:t>附件</w:t>
      </w:r>
      <w:bookmarkStart w:id="99" w:name="_Toc376936771"/>
      <w:bookmarkStart w:id="100" w:name="_Toc325726040"/>
      <w:r>
        <w:rPr>
          <w:rFonts w:hint="eastAsia" w:ascii="宋体" w:hAnsi="宋体" w:cs="宋体"/>
          <w:sz w:val="30"/>
          <w:szCs w:val="30"/>
          <w:lang w:val="en-US" w:eastAsia="zh-CN"/>
        </w:rPr>
        <w:t>11</w:t>
      </w:r>
      <w:r>
        <w:rPr>
          <w:rFonts w:hint="eastAsia" w:ascii="宋体" w:hAnsi="宋体" w:cs="宋体"/>
          <w:sz w:val="30"/>
          <w:szCs w:val="30"/>
          <w:lang w:val="zh-CN"/>
        </w:rPr>
        <w:t>：技术规格响应表</w:t>
      </w:r>
      <w:bookmarkEnd w:id="96"/>
      <w:bookmarkEnd w:id="97"/>
      <w:bookmarkEnd w:id="98"/>
      <w:bookmarkEnd w:id="99"/>
      <w:bookmarkEnd w:id="100"/>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技术规格响应表</w:t>
      </w:r>
    </w:p>
    <w:p>
      <w:r>
        <w:rPr>
          <w:rFonts w:hint="eastAsia"/>
        </w:rPr>
        <w:t>投标人名称</w:t>
      </w:r>
      <w:r>
        <w:t>:</w:t>
      </w:r>
    </w:p>
    <w:p>
      <w:r>
        <w:rPr>
          <w:rFonts w:hint="eastAsia"/>
        </w:rPr>
        <w:t>包号</w:t>
      </w:r>
    </w:p>
    <w:p/>
    <w:tbl>
      <w:tblPr>
        <w:tblStyle w:val="21"/>
        <w:tblW w:w="90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42"/>
        <w:gridCol w:w="865"/>
        <w:gridCol w:w="1729"/>
        <w:gridCol w:w="721"/>
        <w:gridCol w:w="719"/>
        <w:gridCol w:w="1088"/>
        <w:gridCol w:w="1873"/>
        <w:gridCol w:w="721"/>
        <w:gridCol w:w="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19" w:hRule="atLeast"/>
          <w:jc w:val="center"/>
        </w:trPr>
        <w:tc>
          <w:tcPr>
            <w:tcW w:w="642" w:type="dxa"/>
            <w:vAlign w:val="center"/>
          </w:tcPr>
          <w:p/>
        </w:tc>
        <w:tc>
          <w:tcPr>
            <w:tcW w:w="3315" w:type="dxa"/>
            <w:gridSpan w:val="3"/>
            <w:vAlign w:val="center"/>
          </w:tcPr>
          <w:p>
            <w:r>
              <w:rPr>
                <w:rFonts w:hint="eastAsia"/>
              </w:rPr>
              <w:t>采购需求技术参数、指标</w:t>
            </w:r>
          </w:p>
        </w:tc>
        <w:tc>
          <w:tcPr>
            <w:tcW w:w="4401" w:type="dxa"/>
            <w:gridSpan w:val="4"/>
            <w:vAlign w:val="center"/>
          </w:tcPr>
          <w:p>
            <w:r>
              <w:rPr>
                <w:rFonts w:hint="eastAsia"/>
              </w:rPr>
              <w:t>投标产品技术参数、指标</w:t>
            </w:r>
          </w:p>
        </w:tc>
        <w:tc>
          <w:tcPr>
            <w:tcW w:w="706" w:type="dxa"/>
            <w:vAlign w:val="center"/>
          </w:tcPr>
          <w:p>
            <w:r>
              <w:rPr>
                <w:rFonts w:hint="eastAsia"/>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19" w:hRule="atLeast"/>
          <w:jc w:val="center"/>
        </w:trPr>
        <w:tc>
          <w:tcPr>
            <w:tcW w:w="642" w:type="dxa"/>
            <w:vAlign w:val="center"/>
          </w:tcPr>
          <w:p>
            <w:r>
              <w:rPr>
                <w:rFonts w:hint="eastAsia"/>
              </w:rPr>
              <w:t>序号</w:t>
            </w:r>
          </w:p>
        </w:tc>
        <w:tc>
          <w:tcPr>
            <w:tcW w:w="865" w:type="dxa"/>
            <w:vAlign w:val="center"/>
          </w:tcPr>
          <w:p>
            <w:r>
              <w:rPr>
                <w:rFonts w:hint="eastAsia"/>
              </w:rPr>
              <w:t>名称</w:t>
            </w:r>
          </w:p>
        </w:tc>
        <w:tc>
          <w:tcPr>
            <w:tcW w:w="1729" w:type="dxa"/>
            <w:vAlign w:val="center"/>
          </w:tcPr>
          <w:p>
            <w:r>
              <w:rPr>
                <w:rFonts w:hint="eastAsia"/>
              </w:rPr>
              <w:t>技术参数、指标</w:t>
            </w:r>
          </w:p>
        </w:tc>
        <w:tc>
          <w:tcPr>
            <w:tcW w:w="721" w:type="dxa"/>
            <w:vAlign w:val="center"/>
          </w:tcPr>
          <w:p>
            <w:r>
              <w:rPr>
                <w:rFonts w:hint="eastAsia"/>
              </w:rPr>
              <w:t>数量</w:t>
            </w:r>
          </w:p>
        </w:tc>
        <w:tc>
          <w:tcPr>
            <w:tcW w:w="719" w:type="dxa"/>
            <w:vAlign w:val="center"/>
          </w:tcPr>
          <w:p>
            <w:r>
              <w:rPr>
                <w:rFonts w:hint="eastAsia"/>
              </w:rPr>
              <w:t>名称</w:t>
            </w:r>
          </w:p>
        </w:tc>
        <w:tc>
          <w:tcPr>
            <w:tcW w:w="1088" w:type="dxa"/>
            <w:tcBorders>
              <w:right w:val="single" w:color="auto" w:sz="4" w:space="0"/>
            </w:tcBorders>
            <w:vAlign w:val="center"/>
          </w:tcPr>
          <w:p>
            <w:r>
              <w:rPr>
                <w:rFonts w:hint="eastAsia"/>
              </w:rPr>
              <w:t>规格型号</w:t>
            </w:r>
          </w:p>
        </w:tc>
        <w:tc>
          <w:tcPr>
            <w:tcW w:w="1873" w:type="dxa"/>
            <w:tcBorders>
              <w:left w:val="single" w:color="auto" w:sz="4" w:space="0"/>
            </w:tcBorders>
            <w:vAlign w:val="center"/>
          </w:tcPr>
          <w:p>
            <w:r>
              <w:rPr>
                <w:rFonts w:hint="eastAsia"/>
              </w:rPr>
              <w:t>技术参数、指标</w:t>
            </w:r>
          </w:p>
        </w:tc>
        <w:tc>
          <w:tcPr>
            <w:tcW w:w="721" w:type="dxa"/>
            <w:vAlign w:val="center"/>
          </w:tcPr>
          <w:p>
            <w:r>
              <w:rPr>
                <w:rFonts w:hint="eastAsia"/>
              </w:rPr>
              <w:t>数量</w:t>
            </w: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1</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73" w:hRule="atLeast"/>
          <w:jc w:val="center"/>
        </w:trPr>
        <w:tc>
          <w:tcPr>
            <w:tcW w:w="642" w:type="dxa"/>
            <w:vAlign w:val="center"/>
          </w:tcPr>
          <w:p>
            <w:pPr>
              <w:jc w:val="center"/>
            </w:pPr>
            <w:r>
              <w:t>2</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3</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4</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bl>
    <w:p>
      <w:pPr>
        <w:spacing w:line="360" w:lineRule="auto"/>
        <w:ind w:firstLine="352" w:firstLineChars="147"/>
        <w:rPr>
          <w:rFonts w:ascii="宋体"/>
        </w:rPr>
      </w:pPr>
      <w:r>
        <w:rPr>
          <w:rFonts w:hint="eastAsia" w:ascii="宋体" w:hAnsi="宋体" w:cs="宋体"/>
          <w:kern w:val="0"/>
          <w:lang w:val="zh-CN"/>
        </w:rPr>
        <w:t>注：</w:t>
      </w:r>
      <w:r>
        <w:rPr>
          <w:rFonts w:ascii="宋体" w:hAnsi="宋体"/>
        </w:rPr>
        <w:t>1</w:t>
      </w:r>
      <w:r>
        <w:rPr>
          <w:rFonts w:hint="eastAsia" w:ascii="宋体" w:hAnsi="宋体"/>
        </w:rPr>
        <w:t>、本表应按照采购分项报价表中“产品名称”及采购一览表中产品序号的指标逐项填写，不得遗漏。否则，按无效投标处理。</w:t>
      </w:r>
    </w:p>
    <w:p>
      <w:pPr>
        <w:widowControl/>
        <w:spacing w:after="160" w:line="360" w:lineRule="auto"/>
        <w:ind w:firstLine="840" w:firstLineChars="350"/>
        <w:jc w:val="left"/>
        <w:rPr>
          <w:rFonts w:ascii="宋体"/>
          <w:kern w:val="0"/>
          <w:szCs w:val="20"/>
        </w:rPr>
      </w:pPr>
      <w:r>
        <w:rPr>
          <w:rFonts w:ascii="宋体" w:hAnsi="宋体"/>
          <w:kern w:val="0"/>
          <w:szCs w:val="20"/>
        </w:rPr>
        <w:t>2</w:t>
      </w:r>
      <w:r>
        <w:rPr>
          <w:rFonts w:hint="eastAsia" w:ascii="宋体" w:hAnsi="宋体"/>
          <w:kern w:val="0"/>
          <w:szCs w:val="20"/>
        </w:rPr>
        <w:t>、“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Pr>
          <w:rFonts w:hint="eastAsia" w:ascii="宋体" w:hAnsi="宋体"/>
        </w:rPr>
        <w:t>采购需求技术参数、指标</w:t>
      </w:r>
      <w:r>
        <w:rPr>
          <w:rFonts w:hint="eastAsia" w:ascii="宋体" w:hAnsi="宋体"/>
          <w:kern w:val="0"/>
          <w:szCs w:val="20"/>
        </w:rPr>
        <w:t>”内容的，按无效投标处理。</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w:t>
      </w:r>
      <w:r>
        <w:rPr>
          <w:rFonts w:hint="eastAsia" w:ascii="宋体" w:hAnsi="宋体" w:cs="宋体"/>
          <w:b/>
          <w:bCs/>
          <w:kern w:val="0"/>
          <w:lang w:val="en-US" w:eastAsia="zh-CN"/>
        </w:rPr>
        <w:t xml:space="preserve">  </w:t>
      </w:r>
      <w:r>
        <w:rPr>
          <w:rFonts w:hint="eastAsia" w:ascii="宋体" w:hAnsi="宋体" w:cs="宋体"/>
          <w:b/>
          <w:bCs/>
          <w:kern w:val="0"/>
          <w:lang w:val="zh-CN"/>
        </w:rPr>
        <w:t>月</w:t>
      </w:r>
      <w:r>
        <w:rPr>
          <w:rFonts w:hint="eastAsia" w:ascii="宋体" w:hAnsi="宋体" w:cs="宋体"/>
          <w:b/>
          <w:bCs/>
          <w:kern w:val="0"/>
          <w:lang w:val="en-US" w:eastAsia="zh-CN"/>
        </w:rPr>
        <w:t xml:space="preserve">  </w:t>
      </w:r>
      <w:r>
        <w:rPr>
          <w:rFonts w:hint="eastAsia" w:ascii="宋体" w:hAnsi="宋体" w:cs="宋体"/>
          <w:b/>
          <w:bCs/>
          <w:kern w:val="0"/>
          <w:lang w:val="zh-CN"/>
        </w:rPr>
        <w:t>日</w:t>
      </w:r>
    </w:p>
    <w:p>
      <w:pPr>
        <w:pStyle w:val="20"/>
        <w:spacing w:before="0" w:after="0" w:line="360" w:lineRule="auto"/>
        <w:jc w:val="left"/>
        <w:outlineLvl w:val="1"/>
        <w:rPr>
          <w:rFonts w:ascii="宋体" w:cs="宋体"/>
          <w:sz w:val="30"/>
          <w:szCs w:val="30"/>
          <w:lang w:val="zh-CN"/>
        </w:rPr>
      </w:pPr>
      <w:bookmarkStart w:id="101" w:name="_Toc201287639"/>
      <w:bookmarkStart w:id="102" w:name="_Toc324756736"/>
      <w:bookmarkStart w:id="103" w:name="_Toc494439640"/>
      <w:bookmarkStart w:id="104" w:name="_Toc37664049"/>
      <w:r>
        <w:rPr>
          <w:rFonts w:hint="eastAsia" w:ascii="宋体" w:hAnsi="宋体" w:cs="宋体"/>
          <w:sz w:val="30"/>
          <w:szCs w:val="30"/>
          <w:lang w:val="zh-CN"/>
        </w:rPr>
        <w:t>附件</w:t>
      </w:r>
      <w:bookmarkEnd w:id="101"/>
      <w:bookmarkEnd w:id="102"/>
      <w:r>
        <w:rPr>
          <w:rFonts w:hint="eastAsia" w:ascii="宋体" w:hAnsi="宋体" w:cs="宋体"/>
          <w:sz w:val="30"/>
          <w:szCs w:val="30"/>
          <w:lang w:val="en-US" w:eastAsia="zh-CN"/>
        </w:rPr>
        <w:t>12</w:t>
      </w:r>
      <w:r>
        <w:rPr>
          <w:rFonts w:hint="eastAsia" w:ascii="宋体" w:hAnsi="宋体" w:cs="宋体"/>
          <w:sz w:val="30"/>
          <w:szCs w:val="30"/>
          <w:lang w:val="zh-CN"/>
        </w:rPr>
        <w:t>：</w:t>
      </w:r>
      <w:bookmarkEnd w:id="93"/>
      <w:bookmarkEnd w:id="103"/>
      <w:bookmarkStart w:id="105" w:name="_Toc427748102"/>
      <w:bookmarkStart w:id="106" w:name="_Toc494439646"/>
      <w:bookmarkStart w:id="107" w:name="_Toc21530"/>
      <w:r>
        <w:rPr>
          <w:rFonts w:hint="eastAsia" w:ascii="宋体" w:hAnsi="宋体" w:cs="宋体"/>
          <w:sz w:val="30"/>
          <w:szCs w:val="30"/>
          <w:lang w:val="zh-CN"/>
        </w:rPr>
        <w:t>其他资格证明材料</w:t>
      </w:r>
      <w:bookmarkEnd w:id="104"/>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其他资格证明材料</w:t>
      </w:r>
    </w:p>
    <w:p>
      <w:pPr>
        <w:ind w:firstLine="480"/>
        <w:rPr>
          <w:rFonts w:ascii="宋体"/>
          <w:bCs/>
        </w:rPr>
      </w:pPr>
    </w:p>
    <w:p>
      <w:pPr>
        <w:spacing w:line="360" w:lineRule="auto"/>
        <w:ind w:firstLine="482"/>
        <w:rPr>
          <w:rFonts w:ascii="宋体"/>
          <w:bCs/>
        </w:rPr>
      </w:pPr>
      <w:r>
        <w:rPr>
          <w:rFonts w:hint="eastAsia" w:ascii="宋体" w:hAnsi="宋体"/>
          <w:bCs/>
        </w:rPr>
        <w:t>根据采购项目内容，投标时按磋商文件要求提供投标产品的相关认证、合格证等材料，生产厂家的相关资质、相关认证和投标人认为有必要提供的其他资格证明文件等材料。</w:t>
      </w:r>
    </w:p>
    <w:p/>
    <w:p/>
    <w:p/>
    <w:p/>
    <w:p/>
    <w:p/>
    <w:p/>
    <w:p/>
    <w:p/>
    <w:p/>
    <w:p/>
    <w:p/>
    <w:p/>
    <w:p/>
    <w:p/>
    <w:p/>
    <w:p/>
    <w:p/>
    <w:p/>
    <w:p/>
    <w:p/>
    <w:p/>
    <w:p/>
    <w:p/>
    <w:p/>
    <w:p/>
    <w:p/>
    <w:p/>
    <w:p/>
    <w:p/>
    <w:p/>
    <w:p/>
    <w:p/>
    <w:p/>
    <w:p/>
    <w:p/>
    <w:p/>
    <w:p/>
    <w:p/>
    <w:p>
      <w:pPr>
        <w:pStyle w:val="20"/>
        <w:spacing w:before="0" w:after="0" w:line="360" w:lineRule="auto"/>
        <w:jc w:val="left"/>
        <w:outlineLvl w:val="1"/>
        <w:rPr>
          <w:rFonts w:ascii="宋体" w:cs="宋体"/>
          <w:sz w:val="30"/>
          <w:szCs w:val="30"/>
          <w:lang w:val="zh-CN"/>
        </w:rPr>
      </w:pPr>
      <w:bookmarkStart w:id="108" w:name="_Toc37664050"/>
      <w:r>
        <w:rPr>
          <w:rFonts w:hint="eastAsia" w:ascii="宋体" w:hAnsi="宋体" w:cs="宋体"/>
          <w:sz w:val="30"/>
          <w:szCs w:val="30"/>
          <w:lang w:val="zh-CN"/>
        </w:rPr>
        <w:t>附件</w:t>
      </w:r>
      <w:r>
        <w:rPr>
          <w:rFonts w:hint="eastAsia" w:ascii="宋体" w:hAnsi="宋体" w:cs="宋体"/>
          <w:sz w:val="30"/>
          <w:szCs w:val="30"/>
          <w:lang w:val="en-US" w:eastAsia="zh-CN"/>
        </w:rPr>
        <w:t>13</w:t>
      </w:r>
      <w:r>
        <w:rPr>
          <w:rFonts w:hint="eastAsia" w:ascii="宋体" w:hAnsi="宋体" w:cs="宋体"/>
          <w:sz w:val="30"/>
          <w:szCs w:val="30"/>
          <w:lang w:val="zh-CN"/>
        </w:rPr>
        <w:t>：投标产品相关资料</w:t>
      </w:r>
      <w:bookmarkEnd w:id="105"/>
      <w:bookmarkEnd w:id="106"/>
      <w:bookmarkEnd w:id="108"/>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投标产品相关资料</w:t>
      </w:r>
    </w:p>
    <w:p>
      <w:pPr>
        <w:autoSpaceDE w:val="0"/>
        <w:autoSpaceDN w:val="0"/>
        <w:spacing w:line="360" w:lineRule="auto"/>
        <w:jc w:val="center"/>
        <w:rPr>
          <w:rFonts w:ascii="宋体" w:cs="宋体"/>
          <w:b/>
          <w:bCs/>
          <w:kern w:val="0"/>
          <w:sz w:val="28"/>
          <w:szCs w:val="28"/>
          <w:lang w:val="zh-CN"/>
        </w:rPr>
      </w:pPr>
    </w:p>
    <w:p>
      <w:pPr>
        <w:spacing w:line="360" w:lineRule="auto"/>
        <w:ind w:firstLine="482"/>
        <w:rPr>
          <w:rFonts w:ascii="宋体"/>
          <w:bCs/>
        </w:rPr>
      </w:pPr>
      <w:r>
        <w:rPr>
          <w:rFonts w:hint="eastAsia" w:ascii="宋体" w:hAnsi="宋体"/>
          <w:bCs/>
        </w:rPr>
        <w:t>根据采购项目内容，投标时提供国家认可的质监机构出具的投标产品的产品检验报告或证明技术参数响应的相关资料或相关认证等资料</w:t>
      </w:r>
      <w:r>
        <w:rPr>
          <w:rFonts w:hint="eastAsia" w:ascii="宋体" w:hAnsi="宋体" w:cs="宋体"/>
          <w:kern w:val="0"/>
          <w:lang w:val="zh-CN"/>
        </w:rPr>
        <w:t>。</w:t>
      </w:r>
    </w:p>
    <w:p>
      <w:pPr>
        <w:pStyle w:val="20"/>
        <w:spacing w:before="0" w:after="0" w:line="360" w:lineRule="auto"/>
        <w:jc w:val="left"/>
        <w:outlineLvl w:val="1"/>
        <w:rPr>
          <w:rFonts w:ascii="宋体" w:cs="宋体"/>
          <w:sz w:val="30"/>
          <w:szCs w:val="30"/>
          <w:lang w:val="zh-CN"/>
        </w:rPr>
      </w:pPr>
      <w:r>
        <w:rPr>
          <w:rFonts w:ascii="宋体" w:cs="宋体"/>
          <w:kern w:val="0"/>
          <w:sz w:val="24"/>
          <w:lang w:val="zh-CN"/>
        </w:rPr>
        <w:br w:type="page"/>
      </w:r>
      <w:bookmarkStart w:id="109" w:name="_Toc427748103"/>
      <w:bookmarkStart w:id="110" w:name="_Toc494439647"/>
      <w:bookmarkStart w:id="111" w:name="_Toc37664051"/>
      <w:r>
        <w:rPr>
          <w:rFonts w:hint="eastAsia" w:ascii="宋体" w:hAnsi="宋体" w:cs="宋体"/>
          <w:sz w:val="30"/>
          <w:szCs w:val="30"/>
          <w:lang w:val="zh-CN"/>
        </w:rPr>
        <w:t>附件</w:t>
      </w:r>
      <w:bookmarkEnd w:id="107"/>
      <w:bookmarkEnd w:id="109"/>
      <w:bookmarkEnd w:id="110"/>
      <w:bookmarkStart w:id="112" w:name="_Toc28726"/>
      <w:bookmarkStart w:id="113" w:name="_Toc494439650"/>
      <w:r>
        <w:rPr>
          <w:rFonts w:hint="eastAsia" w:ascii="宋体" w:hAnsi="宋体" w:cs="宋体"/>
          <w:sz w:val="30"/>
          <w:szCs w:val="30"/>
          <w:lang w:val="en-US" w:eastAsia="zh-CN"/>
        </w:rPr>
        <w:t>14</w:t>
      </w:r>
      <w:r>
        <w:rPr>
          <w:rFonts w:hint="eastAsia" w:ascii="宋体" w:hAnsi="宋体" w:cs="宋体"/>
          <w:sz w:val="30"/>
          <w:szCs w:val="30"/>
          <w:lang w:val="zh-CN"/>
        </w:rPr>
        <w:t>：投标人的类似业绩证明材料</w:t>
      </w:r>
      <w:bookmarkEnd w:id="111"/>
      <w:bookmarkEnd w:id="112"/>
      <w:bookmarkEnd w:id="113"/>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投标人的类似业绩证明材料</w:t>
      </w:r>
    </w:p>
    <w:p>
      <w:pPr>
        <w:spacing w:line="360" w:lineRule="auto"/>
        <w:ind w:firstLine="480" w:firstLineChars="200"/>
        <w:rPr>
          <w:rFonts w:ascii="宋体" w:cs="宋体"/>
        </w:rPr>
      </w:pPr>
    </w:p>
    <w:p>
      <w:pPr>
        <w:spacing w:line="360" w:lineRule="auto"/>
        <w:ind w:firstLine="480" w:firstLineChars="200"/>
        <w:rPr>
          <w:rFonts w:ascii="宋体" w:cs="宋体"/>
        </w:rPr>
      </w:pPr>
      <w:r>
        <w:rPr>
          <w:rFonts w:hint="eastAsia" w:ascii="宋体" w:hAnsi="宋体" w:cs="宋体"/>
        </w:rPr>
        <w:t>提供自</w:t>
      </w:r>
      <w:r>
        <w:rPr>
          <w:rFonts w:ascii="宋体" w:hAnsi="宋体" w:cs="宋体"/>
        </w:rPr>
        <w:t>20</w:t>
      </w:r>
      <w:r>
        <w:rPr>
          <w:rFonts w:hint="eastAsia" w:ascii="宋体" w:hAnsi="宋体" w:cs="宋体"/>
          <w:lang w:val="en-US" w:eastAsia="zh-CN"/>
        </w:rPr>
        <w:t>22</w:t>
      </w:r>
      <w:r>
        <w:rPr>
          <w:rFonts w:hint="eastAsia" w:ascii="宋体" w:hAnsi="宋体" w:cs="宋体"/>
        </w:rPr>
        <w:t>年以来的类似业绩证明材料。类似业绩是指与采购项目在产品类型、使用功能、合同规模等方面相同或相近的项目。需提供包含合同首页、标的及金额所在页、供货合同签字盖章页的扫描（或复印）件。</w:t>
      </w:r>
    </w:p>
    <w:p/>
    <w:p/>
    <w:p/>
    <w:p/>
    <w:p/>
    <w:p/>
    <w:p/>
    <w:p/>
    <w:p/>
    <w:p/>
    <w:p/>
    <w:p/>
    <w:p/>
    <w:p/>
    <w:p/>
    <w:p/>
    <w:p/>
    <w:p/>
    <w:p/>
    <w:p/>
    <w:p/>
    <w:p/>
    <w:p/>
    <w:p/>
    <w:p/>
    <w:p/>
    <w:p/>
    <w:p/>
    <w:p/>
    <w:p/>
    <w:p/>
    <w:p/>
    <w:p/>
    <w:p/>
    <w:p/>
    <w:p/>
    <w:p/>
    <w:p/>
    <w:p>
      <w:pPr>
        <w:pStyle w:val="20"/>
        <w:spacing w:before="0" w:after="0" w:line="360" w:lineRule="auto"/>
        <w:jc w:val="left"/>
        <w:outlineLvl w:val="1"/>
        <w:rPr>
          <w:rFonts w:ascii="宋体" w:cs="宋体"/>
          <w:sz w:val="30"/>
          <w:szCs w:val="30"/>
          <w:lang w:val="zh-CN"/>
        </w:rPr>
      </w:pPr>
      <w:bookmarkStart w:id="114" w:name="_Toc494439651"/>
      <w:bookmarkStart w:id="115" w:name="_Toc37664052"/>
      <w:bookmarkStart w:id="116" w:name="_Toc13751"/>
      <w:r>
        <w:rPr>
          <w:rFonts w:hint="eastAsia" w:ascii="宋体" w:hAnsi="宋体" w:cs="宋体"/>
          <w:sz w:val="30"/>
          <w:szCs w:val="30"/>
          <w:lang w:val="zh-CN"/>
        </w:rPr>
        <w:t>附件</w:t>
      </w:r>
      <w:r>
        <w:rPr>
          <w:rFonts w:hint="eastAsia" w:ascii="宋体" w:hAnsi="宋体" w:cs="宋体"/>
          <w:sz w:val="30"/>
          <w:szCs w:val="30"/>
          <w:lang w:val="en-US" w:eastAsia="zh-CN"/>
        </w:rPr>
        <w:t>15</w:t>
      </w:r>
      <w:r>
        <w:rPr>
          <w:rFonts w:hint="eastAsia" w:ascii="宋体" w:hAnsi="宋体" w:cs="宋体"/>
          <w:sz w:val="30"/>
          <w:szCs w:val="30"/>
          <w:lang w:val="zh-CN"/>
        </w:rPr>
        <w:t>：</w:t>
      </w:r>
      <w:bookmarkEnd w:id="114"/>
      <w:bookmarkEnd w:id="115"/>
      <w:bookmarkEnd w:id="116"/>
      <w:r>
        <w:rPr>
          <w:rFonts w:hint="eastAsia" w:ascii="宋体" w:hAnsi="宋体" w:cs="宋体"/>
          <w:sz w:val="30"/>
          <w:szCs w:val="30"/>
          <w:lang w:val="zh-CN"/>
        </w:rPr>
        <w:t>中小企业声明函</w:t>
      </w:r>
    </w:p>
    <w:p/>
    <w:p>
      <w:pPr>
        <w:autoSpaceDE w:val="0"/>
        <w:autoSpaceDN w:val="0"/>
        <w:spacing w:line="360" w:lineRule="auto"/>
        <w:ind w:firstLine="480"/>
        <w:jc w:val="center"/>
        <w:rPr>
          <w:rFonts w:ascii="宋体" w:hAnsi="宋体" w:cs="宋体"/>
          <w:kern w:val="0"/>
          <w:sz w:val="28"/>
          <w:szCs w:val="28"/>
          <w:lang w:val="zh-CN"/>
        </w:rPr>
      </w:pPr>
      <w:r>
        <w:rPr>
          <w:rFonts w:hint="eastAsia" w:ascii="宋体" w:hAnsi="宋体" w:cs="宋体"/>
          <w:kern w:val="0"/>
          <w:sz w:val="28"/>
          <w:szCs w:val="28"/>
          <w:lang w:val="zh-CN"/>
        </w:rPr>
        <w:t>中小企业声明函（</w:t>
      </w:r>
      <w:r>
        <w:rPr>
          <w:rFonts w:hint="eastAsia" w:ascii="宋体" w:hAnsi="宋体" w:cs="宋体"/>
          <w:kern w:val="0"/>
          <w:sz w:val="28"/>
          <w:szCs w:val="28"/>
          <w:lang w:val="en-US" w:eastAsia="zh-CN"/>
        </w:rPr>
        <w:t>货物</w:t>
      </w:r>
      <w:r>
        <w:rPr>
          <w:rFonts w:hint="eastAsia" w:ascii="宋体" w:hAnsi="宋体" w:cs="宋体"/>
          <w:kern w:val="0"/>
          <w:sz w:val="28"/>
          <w:szCs w:val="28"/>
          <w:lang w:val="zh-CN"/>
        </w:rPr>
        <w:t>）</w:t>
      </w:r>
    </w:p>
    <w:p>
      <w:pPr>
        <w:autoSpaceDE w:val="0"/>
        <w:autoSpaceDN w:val="0"/>
        <w:spacing w:line="360" w:lineRule="auto"/>
        <w:ind w:firstLine="480"/>
        <w:jc w:val="center"/>
        <w:rPr>
          <w:rFonts w:ascii="宋体" w:cs="宋体"/>
          <w:b/>
          <w:bCs/>
          <w:kern w:val="0"/>
          <w:sz w:val="28"/>
          <w:szCs w:val="28"/>
          <w:lang w:val="zh-CN"/>
        </w:rPr>
      </w:pPr>
    </w:p>
    <w:p/>
    <w:p>
      <w:pPr>
        <w:spacing w:afterLines="50"/>
        <w:rPr>
          <w:rFonts w:ascii="宋体" w:hAnsi="宋体"/>
          <w:b/>
          <w:bCs/>
          <w:color w:val="000000"/>
        </w:rPr>
      </w:pPr>
      <w:r>
        <w:rPr>
          <w:rFonts w:hint="eastAsia" w:ascii="宋体" w:hAnsi="宋体"/>
          <w:b/>
          <w:bCs/>
          <w:color w:val="000000"/>
        </w:rPr>
        <w:t>致：大通县政府采购服务中心</w:t>
      </w:r>
    </w:p>
    <w:p>
      <w:pPr>
        <w:spacing w:line="360" w:lineRule="auto"/>
        <w:rPr>
          <w:color w:val="000000"/>
        </w:rPr>
      </w:pPr>
    </w:p>
    <w:p>
      <w:pPr>
        <w:spacing w:line="400" w:lineRule="exact"/>
        <w:ind w:firstLine="480" w:firstLineChars="200"/>
        <w:rPr>
          <w:rFonts w:ascii="宋体" w:hAnsi="宋体"/>
          <w:color w:val="000000"/>
          <w:lang w:val="zh-CN"/>
        </w:rPr>
      </w:pPr>
      <w:r>
        <w:rPr>
          <w:rFonts w:hint="eastAsia" w:ascii="宋体" w:hAnsi="宋体"/>
          <w:color w:val="000000"/>
          <w:lang w:val="zh-CN"/>
        </w:rPr>
        <w:t>本公司（联合体） 郑重声明， 根据《政府采购促进中小企业发展管理办法》（财库﹝2020﹞46 号） 的规定， 本公司（联合体） 参加（单位名称） 的（项目名称） 采购活动，提供的货物全部由符合政策要求的中小企业制造。 相关企业（含联合体中的中小企业、 签订分包意向协议的中小企业）的具体情况如下：</w:t>
      </w:r>
    </w:p>
    <w:p>
      <w:pPr>
        <w:spacing w:line="400" w:lineRule="exact"/>
        <w:ind w:firstLine="480" w:firstLineChars="200"/>
        <w:rPr>
          <w:rFonts w:ascii="宋体" w:hAnsi="宋体"/>
          <w:color w:val="000000"/>
          <w:lang w:val="zh-CN"/>
        </w:rPr>
      </w:pPr>
      <w:r>
        <w:rPr>
          <w:rFonts w:hint="eastAsia" w:ascii="宋体" w:hAnsi="宋体"/>
          <w:color w:val="000000"/>
          <w:lang w:val="zh-CN"/>
        </w:rPr>
        <w:t>1. （标的名称） ，属于    （采购文件中明确的所属行业）     行业； 制造商为（ 企业名称）， 从业人员    人， 营业收入为     万元， 资产总额为    万元，属于（中型企业、 小型企业、 微型企业）；</w:t>
      </w:r>
    </w:p>
    <w:p>
      <w:pPr>
        <w:spacing w:line="400" w:lineRule="exact"/>
        <w:ind w:firstLine="480" w:firstLineChars="200"/>
        <w:rPr>
          <w:rFonts w:ascii="宋体" w:hAnsi="宋体"/>
          <w:color w:val="000000"/>
          <w:lang w:val="zh-CN"/>
        </w:rPr>
      </w:pPr>
      <w:r>
        <w:rPr>
          <w:rFonts w:hint="eastAsia" w:ascii="宋体" w:hAnsi="宋体"/>
          <w:color w:val="000000"/>
          <w:lang w:val="zh-CN"/>
        </w:rPr>
        <w:t>2. （标的名称） ，属于  （采购文件中明确的所属行业）    行业； 制造商为（ 企业名称），从业人员    人， 营业收入为    万元， 资产总额为    万元，属于（中型企业、 小型企业、 微型企业）；</w:t>
      </w:r>
    </w:p>
    <w:p>
      <w:pPr>
        <w:spacing w:line="400" w:lineRule="exact"/>
        <w:ind w:firstLine="480" w:firstLineChars="200"/>
        <w:rPr>
          <w:rFonts w:ascii="宋体" w:hAnsi="宋体"/>
          <w:color w:val="000000"/>
          <w:lang w:val="zh-CN"/>
        </w:rPr>
      </w:pPr>
      <w:r>
        <w:rPr>
          <w:rFonts w:hint="eastAsia" w:ascii="宋体" w:hAnsi="宋体"/>
          <w:color w:val="000000"/>
          <w:lang w:val="zh-CN"/>
        </w:rPr>
        <w:t>……</w:t>
      </w:r>
    </w:p>
    <w:p>
      <w:pPr>
        <w:spacing w:line="400" w:lineRule="exact"/>
        <w:ind w:firstLine="480" w:firstLineChars="200"/>
        <w:rPr>
          <w:rFonts w:ascii="宋体" w:hAnsi="宋体"/>
          <w:color w:val="000000"/>
          <w:lang w:val="zh-CN"/>
        </w:rPr>
      </w:pPr>
      <w:r>
        <w:rPr>
          <w:rFonts w:hint="eastAsia" w:ascii="宋体" w:hAnsi="宋体"/>
          <w:color w:val="000000"/>
          <w:lang w:val="zh-CN"/>
        </w:rPr>
        <w:t>以上企业，不属于大企业的分支机构， 不存在控股股东为大企业的情形， 也不存在与大企业的负责人为同一人的情形。</w:t>
      </w:r>
    </w:p>
    <w:p>
      <w:pPr>
        <w:spacing w:line="400" w:lineRule="exact"/>
        <w:ind w:firstLine="480" w:firstLineChars="200"/>
        <w:rPr>
          <w:rFonts w:ascii="宋体" w:hAnsi="宋体"/>
          <w:color w:val="000000"/>
          <w:lang w:val="zh-CN"/>
        </w:rPr>
      </w:pPr>
      <w:r>
        <w:rPr>
          <w:rFonts w:hint="eastAsia" w:ascii="宋体" w:hAnsi="宋体"/>
          <w:color w:val="000000"/>
          <w:lang w:val="zh-CN"/>
        </w:rPr>
        <w:t>本企业对上述声明内容的真实性负责。 如有虚假， 将依法承担相应责任。</w:t>
      </w:r>
    </w:p>
    <w:p>
      <w:pPr>
        <w:spacing w:line="400" w:lineRule="exact"/>
        <w:ind w:firstLine="480" w:firstLineChars="200"/>
        <w:rPr>
          <w:rFonts w:ascii="宋体" w:hAnsi="宋体"/>
          <w:color w:val="000000"/>
          <w:lang w:val="zh-CN"/>
        </w:rPr>
      </w:pPr>
    </w:p>
    <w:p>
      <w:pPr>
        <w:spacing w:line="400" w:lineRule="exact"/>
        <w:ind w:firstLine="480" w:firstLineChars="200"/>
        <w:rPr>
          <w:rFonts w:ascii="宋体" w:hAnsi="宋体"/>
          <w:color w:val="000000"/>
          <w:lang w:val="zh-CN"/>
        </w:rPr>
      </w:pPr>
      <w:r>
        <w:rPr>
          <w:rFonts w:hint="eastAsia" w:ascii="宋体" w:hAnsi="宋体"/>
          <w:color w:val="000000"/>
          <w:lang w:val="zh-CN"/>
        </w:rPr>
        <w:t>注：1、从业人员、营业收入、资产总额填报上一年度数据，无上一年度数据的新成立企业可不填报。</w:t>
      </w:r>
    </w:p>
    <w:p>
      <w:pPr>
        <w:spacing w:line="400" w:lineRule="exact"/>
        <w:ind w:firstLine="480" w:firstLineChars="200"/>
        <w:rPr>
          <w:rFonts w:ascii="宋体" w:hAnsi="宋体"/>
          <w:color w:val="000000"/>
          <w:lang w:val="zh-CN"/>
        </w:rPr>
      </w:pPr>
      <w:r>
        <w:rPr>
          <w:rFonts w:hint="eastAsia" w:ascii="宋体" w:hAnsi="宋体"/>
          <w:color w:val="000000"/>
          <w:lang w:val="zh-CN"/>
        </w:rPr>
        <w:t>2、若无此项内容，可不提供此函。</w:t>
      </w:r>
    </w:p>
    <w:p>
      <w:pPr>
        <w:spacing w:line="360" w:lineRule="auto"/>
        <w:rPr>
          <w:color w:val="000000"/>
        </w:rPr>
      </w:pPr>
    </w:p>
    <w:p>
      <w:pPr>
        <w:pStyle w:val="70"/>
        <w:rPr>
          <w:color w:val="000000"/>
        </w:rPr>
      </w:pPr>
    </w:p>
    <w:p>
      <w:pPr>
        <w:pStyle w:val="70"/>
        <w:rPr>
          <w:color w:val="000000"/>
        </w:rPr>
      </w:pPr>
    </w:p>
    <w:p>
      <w:pPr>
        <w:pStyle w:val="70"/>
        <w:rPr>
          <w:color w:val="000000"/>
        </w:rPr>
      </w:pPr>
    </w:p>
    <w:p>
      <w:pPr>
        <w:pStyle w:val="70"/>
        <w:rPr>
          <w:color w:val="000000"/>
        </w:rPr>
      </w:pPr>
    </w:p>
    <w:p>
      <w:pPr>
        <w:spacing w:line="360" w:lineRule="auto"/>
        <w:ind w:right="480"/>
        <w:jc w:val="right"/>
        <w:rPr>
          <w:rFonts w:ascii="宋体" w:hAnsi="宋体"/>
          <w:b/>
          <w:color w:val="000000"/>
        </w:rPr>
      </w:pPr>
      <w:r>
        <w:rPr>
          <w:rFonts w:hint="eastAsia" w:ascii="宋体" w:hAnsi="宋体"/>
          <w:b/>
          <w:color w:val="000000"/>
        </w:rPr>
        <w:t>企业名称：（公章）</w:t>
      </w:r>
    </w:p>
    <w:p>
      <w:pPr>
        <w:spacing w:line="360" w:lineRule="auto"/>
        <w:ind w:firstLine="482"/>
        <w:jc w:val="right"/>
        <w:rPr>
          <w:rFonts w:ascii="宋体" w:hAnsi="宋体"/>
          <w:b/>
          <w:color w:val="000000"/>
        </w:rPr>
      </w:pPr>
      <w:r>
        <w:rPr>
          <w:rFonts w:hint="eastAsia" w:ascii="宋体" w:hAnsi="宋体"/>
          <w:b/>
          <w:color w:val="000000"/>
        </w:rPr>
        <w:t>企业法定代表人：（签字或盖章）</w:t>
      </w:r>
    </w:p>
    <w:p>
      <w:pPr>
        <w:ind w:right="480" w:firstLine="6023" w:firstLineChars="2500"/>
        <w:rPr>
          <w:rFonts w:ascii="宋体" w:hAnsi="宋体"/>
          <w:b/>
          <w:color w:val="000000"/>
        </w:rPr>
      </w:pPr>
      <w:r>
        <w:rPr>
          <w:rFonts w:hint="eastAsia" w:ascii="宋体" w:hAnsi="宋体"/>
          <w:b/>
          <w:color w:val="000000"/>
        </w:rPr>
        <w:t>年  月  日</w:t>
      </w:r>
    </w:p>
    <w:p>
      <w:pPr>
        <w:autoSpaceDE w:val="0"/>
        <w:autoSpaceDN w:val="0"/>
        <w:spacing w:line="360" w:lineRule="auto"/>
        <w:jc w:val="both"/>
        <w:rPr>
          <w:rFonts w:ascii="宋体" w:cs="宋体"/>
          <w:b/>
          <w:bCs/>
          <w:kern w:val="0"/>
          <w:lang w:val="zh-CN"/>
        </w:rPr>
      </w:pPr>
    </w:p>
    <w:p>
      <w:pPr>
        <w:pStyle w:val="20"/>
        <w:spacing w:before="0" w:after="0" w:line="360" w:lineRule="auto"/>
        <w:jc w:val="left"/>
        <w:outlineLvl w:val="1"/>
        <w:rPr>
          <w:rFonts w:ascii="宋体" w:cs="宋体"/>
          <w:sz w:val="30"/>
          <w:szCs w:val="30"/>
          <w:lang w:val="zh-CN"/>
        </w:rPr>
      </w:pPr>
      <w:bookmarkStart w:id="117" w:name="_Toc494439652"/>
      <w:bookmarkStart w:id="118" w:name="_Toc474933484"/>
      <w:bookmarkStart w:id="119" w:name="_Toc474913501"/>
      <w:bookmarkStart w:id="120" w:name="_Toc37664053"/>
      <w:bookmarkStart w:id="121" w:name="_Toc416363470"/>
      <w:r>
        <w:rPr>
          <w:rFonts w:hint="eastAsia" w:ascii="宋体" w:hAnsi="宋体" w:cs="宋体"/>
          <w:sz w:val="30"/>
          <w:szCs w:val="30"/>
          <w:lang w:val="zh-CN"/>
        </w:rPr>
        <w:t>附件</w:t>
      </w:r>
      <w:r>
        <w:rPr>
          <w:rFonts w:hint="eastAsia" w:ascii="宋体" w:hAnsi="宋体" w:cs="宋体"/>
          <w:sz w:val="30"/>
          <w:szCs w:val="30"/>
          <w:lang w:val="en-US" w:eastAsia="zh-CN"/>
        </w:rPr>
        <w:t>16</w:t>
      </w:r>
      <w:r>
        <w:rPr>
          <w:rFonts w:hint="eastAsia" w:ascii="宋体" w:hAnsi="宋体" w:cs="宋体"/>
          <w:sz w:val="30"/>
          <w:szCs w:val="30"/>
          <w:lang w:val="zh-CN"/>
        </w:rPr>
        <w:t>：</w:t>
      </w:r>
      <w:bookmarkEnd w:id="117"/>
      <w:bookmarkEnd w:id="118"/>
      <w:bookmarkEnd w:id="119"/>
      <w:r>
        <w:rPr>
          <w:rFonts w:hint="eastAsia" w:ascii="宋体" w:hAnsi="宋体" w:cs="宋体"/>
          <w:sz w:val="30"/>
          <w:szCs w:val="30"/>
          <w:lang w:val="zh-CN"/>
        </w:rPr>
        <w:t>残疾人福利性单位声明函</w:t>
      </w:r>
      <w:bookmarkEnd w:id="120"/>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残疾人福利性单位声明函</w:t>
      </w:r>
    </w:p>
    <w:p>
      <w:pPr>
        <w:spacing w:after="120" w:afterLines="50"/>
        <w:rPr>
          <w:rFonts w:ascii="宋体"/>
          <w:bCs/>
        </w:rPr>
      </w:pPr>
    </w:p>
    <w:p>
      <w:pPr>
        <w:spacing w:after="120" w:afterLines="50"/>
        <w:rPr>
          <w:rFonts w:ascii="宋体"/>
          <w:b/>
          <w:bCs/>
        </w:rPr>
      </w:pPr>
      <w:r>
        <w:rPr>
          <w:rFonts w:hint="eastAsia" w:ascii="宋体" w:hAnsi="宋体"/>
          <w:b/>
          <w:bCs/>
        </w:rPr>
        <w:t>致：大通县政府采购服务中心</w:t>
      </w:r>
    </w:p>
    <w:p>
      <w:pPr>
        <w:spacing w:line="360" w:lineRule="auto"/>
        <w:ind w:firstLine="480"/>
      </w:pPr>
    </w:p>
    <w:p>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号）的规定，本公司为符合条件的残疾人福利性单位，本公司在职职工人数为人，安置的残疾人人数人。且本单位参加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pPr>
    </w:p>
    <w:p>
      <w:pPr>
        <w:spacing w:line="360" w:lineRule="auto"/>
      </w:pPr>
      <w:r>
        <w:rPr>
          <w:rFonts w:hint="eastAsia"/>
        </w:rPr>
        <w:t>注：</w:t>
      </w:r>
      <w:r>
        <w:rPr>
          <w:rFonts w:hint="eastAsia" w:ascii="宋体" w:hAnsi="宋体"/>
        </w:rPr>
        <w:t>若无此项内容，可不提供此函。</w:t>
      </w: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jc w:val="center"/>
        <w:rPr>
          <w:rFonts w:ascii="宋体"/>
          <w:b/>
        </w:rPr>
      </w:pPr>
      <w:r>
        <w:rPr>
          <w:rFonts w:hint="eastAsia" w:ascii="宋体" w:hAnsi="宋体"/>
          <w:b/>
        </w:rPr>
        <w:t>企业名称：（公章）</w:t>
      </w:r>
    </w:p>
    <w:p>
      <w:pPr>
        <w:spacing w:line="360" w:lineRule="auto"/>
        <w:ind w:firstLine="482"/>
        <w:jc w:val="center"/>
        <w:rPr>
          <w:rFonts w:ascii="宋体"/>
          <w:b/>
        </w:rPr>
      </w:pPr>
      <w:r>
        <w:rPr>
          <w:rFonts w:hint="eastAsia" w:ascii="宋体" w:hAnsi="宋体"/>
          <w:b/>
        </w:rPr>
        <w:t>企业法定代表人：（签字或盖章）</w:t>
      </w:r>
    </w:p>
    <w:p>
      <w:pPr>
        <w:ind w:firstLine="482"/>
        <w:jc w:val="center"/>
        <w:rPr>
          <w:rFonts w:ascii="宋体"/>
          <w:b/>
        </w:rPr>
      </w:pPr>
      <w:r>
        <w:rPr>
          <w:rFonts w:hint="eastAsia" w:ascii="宋体" w:hAnsi="宋体"/>
          <w:b/>
        </w:rPr>
        <w:t>年</w:t>
      </w:r>
      <w:r>
        <w:rPr>
          <w:rFonts w:hint="eastAsia" w:ascii="宋体" w:hAnsi="宋体"/>
          <w:b/>
          <w:lang w:val="en-US" w:eastAsia="zh-CN"/>
        </w:rPr>
        <w:t xml:space="preserve">  </w:t>
      </w:r>
      <w:r>
        <w:rPr>
          <w:rFonts w:hint="eastAsia" w:ascii="宋体" w:hAnsi="宋体"/>
          <w:b/>
        </w:rPr>
        <w:t>月</w:t>
      </w:r>
      <w:r>
        <w:rPr>
          <w:rFonts w:hint="eastAsia" w:ascii="宋体" w:hAnsi="宋体"/>
          <w:b/>
          <w:lang w:val="en-US" w:eastAsia="zh-CN"/>
        </w:rPr>
        <w:t xml:space="preserve">  </w:t>
      </w:r>
      <w:r>
        <w:rPr>
          <w:rFonts w:hint="eastAsia" w:ascii="宋体" w:hAnsi="宋体"/>
          <w:b/>
        </w:rPr>
        <w:t>日</w:t>
      </w:r>
    </w:p>
    <w:p>
      <w:pPr>
        <w:autoSpaceDE w:val="0"/>
        <w:autoSpaceDN w:val="0"/>
        <w:spacing w:line="360" w:lineRule="auto"/>
        <w:jc w:val="center"/>
      </w:pPr>
    </w:p>
    <w:p/>
    <w:p>
      <w:pPr>
        <w:pStyle w:val="20"/>
        <w:spacing w:before="0" w:after="0" w:line="360" w:lineRule="auto"/>
        <w:jc w:val="left"/>
        <w:outlineLvl w:val="1"/>
        <w:rPr>
          <w:rFonts w:ascii="宋体" w:cs="宋体"/>
          <w:sz w:val="30"/>
          <w:szCs w:val="30"/>
          <w:lang w:val="zh-CN"/>
        </w:rPr>
      </w:pPr>
      <w:bookmarkStart w:id="122" w:name="_Toc37664054"/>
      <w:bookmarkStart w:id="123" w:name="_Toc494439653"/>
      <w:r>
        <w:rPr>
          <w:rFonts w:hint="eastAsia" w:ascii="宋体" w:hAnsi="宋体" w:cs="宋体"/>
          <w:sz w:val="30"/>
          <w:szCs w:val="30"/>
          <w:lang w:val="zh-CN"/>
        </w:rPr>
        <w:t>附件</w:t>
      </w:r>
      <w:r>
        <w:rPr>
          <w:rFonts w:hint="eastAsia" w:ascii="宋体" w:hAnsi="宋体" w:cs="宋体"/>
          <w:sz w:val="30"/>
          <w:szCs w:val="30"/>
          <w:lang w:val="en-US" w:eastAsia="zh-CN"/>
        </w:rPr>
        <w:t>17</w:t>
      </w:r>
      <w:r>
        <w:rPr>
          <w:rFonts w:hint="eastAsia" w:ascii="宋体" w:hAnsi="宋体" w:cs="宋体"/>
          <w:sz w:val="30"/>
          <w:szCs w:val="30"/>
          <w:lang w:val="zh-CN"/>
        </w:rPr>
        <w:t>：</w:t>
      </w:r>
      <w:bookmarkEnd w:id="121"/>
      <w:r>
        <w:rPr>
          <w:rFonts w:hint="eastAsia" w:ascii="宋体" w:hAnsi="宋体" w:cs="宋体"/>
          <w:sz w:val="30"/>
          <w:szCs w:val="30"/>
          <w:lang w:val="zh-CN"/>
        </w:rPr>
        <w:t>销售及服务相关内容</w:t>
      </w:r>
      <w:bookmarkEnd w:id="122"/>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销售及服务相关内容</w:t>
      </w:r>
    </w:p>
    <w:p>
      <w:pPr>
        <w:ind w:firstLine="480"/>
      </w:pPr>
    </w:p>
    <w:p>
      <w:pPr>
        <w:spacing w:line="360" w:lineRule="auto"/>
        <w:ind w:firstLine="482"/>
        <w:rPr>
          <w:rFonts w:ascii="宋体"/>
        </w:rPr>
      </w:pPr>
      <w:r>
        <w:rPr>
          <w:rFonts w:hint="eastAsia" w:ascii="宋体" w:hAnsi="宋体"/>
        </w:rPr>
        <w:t>按照磋商文件评标标准中的相关要求，提供：</w:t>
      </w:r>
    </w:p>
    <w:p>
      <w:pPr>
        <w:spacing w:line="360" w:lineRule="auto"/>
        <w:ind w:firstLine="482"/>
        <w:rPr>
          <w:rFonts w:ascii="宋体"/>
        </w:rPr>
      </w:pPr>
      <w:r>
        <w:rPr>
          <w:rFonts w:ascii="宋体" w:hAnsi="宋体"/>
        </w:rPr>
        <w:t>1</w:t>
      </w:r>
      <w:r>
        <w:rPr>
          <w:rFonts w:hint="eastAsia" w:ascii="宋体" w:hAnsi="宋体"/>
        </w:rPr>
        <w:t>、详细的项目管理及实施方案。</w:t>
      </w:r>
    </w:p>
    <w:p>
      <w:pPr>
        <w:spacing w:line="360" w:lineRule="auto"/>
        <w:ind w:firstLine="482"/>
        <w:rPr>
          <w:rFonts w:ascii="宋体"/>
        </w:rPr>
      </w:pPr>
      <w:r>
        <w:rPr>
          <w:rFonts w:ascii="宋体" w:hAnsi="宋体"/>
        </w:rPr>
        <w:t>2</w:t>
      </w:r>
      <w:r>
        <w:rPr>
          <w:rFonts w:hint="eastAsia" w:ascii="宋体" w:hAnsi="宋体"/>
        </w:rPr>
        <w:t>、投标产品交货地点、交货时间、交货方式、交货进度以及售后服务计划、措施及服务等方面的承诺。</w:t>
      </w:r>
    </w:p>
    <w:p>
      <w:pPr>
        <w:spacing w:line="360" w:lineRule="auto"/>
        <w:ind w:firstLine="482"/>
        <w:rPr>
          <w:rFonts w:ascii="宋体"/>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20"/>
        <w:spacing w:before="0" w:after="0" w:line="360" w:lineRule="auto"/>
        <w:jc w:val="left"/>
        <w:outlineLvl w:val="1"/>
        <w:rPr>
          <w:rFonts w:ascii="宋体" w:cs="宋体"/>
          <w:sz w:val="30"/>
          <w:szCs w:val="30"/>
          <w:lang w:val="zh-CN"/>
        </w:rPr>
      </w:pPr>
      <w:bookmarkStart w:id="124" w:name="_Toc37664055"/>
      <w:bookmarkStart w:id="125" w:name="_Toc496626253"/>
      <w:bookmarkStart w:id="126" w:name="_Toc496004047"/>
      <w:r>
        <w:rPr>
          <w:rFonts w:hint="eastAsia" w:ascii="宋体" w:hAnsi="宋体" w:cs="宋体"/>
          <w:sz w:val="30"/>
          <w:szCs w:val="30"/>
          <w:lang w:val="zh-CN"/>
        </w:rPr>
        <w:t>附件</w:t>
      </w:r>
      <w:r>
        <w:rPr>
          <w:rFonts w:hint="eastAsia" w:ascii="宋体" w:hAnsi="宋体" w:cs="宋体"/>
          <w:sz w:val="30"/>
          <w:szCs w:val="30"/>
          <w:lang w:val="en-US" w:eastAsia="zh-CN"/>
        </w:rPr>
        <w:t>18</w:t>
      </w:r>
      <w:r>
        <w:rPr>
          <w:rFonts w:hint="eastAsia" w:ascii="宋体" w:hAnsi="宋体" w:cs="宋体"/>
          <w:sz w:val="30"/>
          <w:szCs w:val="30"/>
          <w:lang w:val="zh-CN"/>
        </w:rPr>
        <w:t>：投标人认为在其他方面有必要说明的事项</w:t>
      </w:r>
      <w:bookmarkEnd w:id="124"/>
      <w:bookmarkEnd w:id="125"/>
      <w:bookmarkEnd w:id="126"/>
    </w:p>
    <w:p>
      <w:pPr>
        <w:ind w:firstLine="723"/>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投标人认为在其他方面有必要说明的事项</w:t>
      </w: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（格式自定）</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bookmarkEnd w:id="123"/>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p>
    <w:p>
      <w:pPr>
        <w:pStyle w:val="20"/>
        <w:spacing w:before="0" w:after="0" w:line="360" w:lineRule="auto"/>
        <w:rPr>
          <w:rFonts w:ascii="宋体" w:cs="宋体"/>
        </w:rPr>
      </w:pPr>
      <w:bookmarkStart w:id="127" w:name="_Toc37664056"/>
      <w:bookmarkStart w:id="128" w:name="_Toc18752"/>
      <w:r>
        <w:rPr>
          <w:rFonts w:hint="eastAsia" w:ascii="宋体" w:hAnsi="宋体" w:cs="宋体"/>
          <w:szCs w:val="36"/>
          <w:lang w:val="zh-CN"/>
        </w:rPr>
        <w:t>第五部分</w:t>
      </w:r>
      <w:r>
        <w:rPr>
          <w:rFonts w:hint="eastAsia" w:ascii="宋体" w:hAnsi="宋体" w:cs="宋体"/>
          <w:szCs w:val="36"/>
          <w:lang w:val="en-US" w:eastAsia="zh-CN"/>
        </w:rPr>
        <w:t xml:space="preserve">  </w:t>
      </w:r>
      <w:r>
        <w:rPr>
          <w:rFonts w:hint="eastAsia" w:ascii="宋体" w:hAnsi="宋体" w:cs="宋体"/>
          <w:szCs w:val="36"/>
          <w:lang w:val="zh-CN"/>
        </w:rPr>
        <w:t>磋商及采购项目服务要求</w:t>
      </w:r>
      <w:bookmarkEnd w:id="127"/>
      <w:bookmarkEnd w:id="128"/>
    </w:p>
    <w:p>
      <w:pPr>
        <w:pStyle w:val="20"/>
        <w:spacing w:before="0" w:after="0" w:line="360" w:lineRule="auto"/>
        <w:outlineLvl w:val="1"/>
        <w:rPr>
          <w:rFonts w:ascii="宋体" w:cs="宋体"/>
          <w:szCs w:val="36"/>
        </w:rPr>
      </w:pPr>
      <w:bookmarkStart w:id="129" w:name="_Toc9451"/>
      <w:bookmarkStart w:id="130" w:name="_Toc37664057"/>
      <w:r>
        <w:rPr>
          <w:rFonts w:hint="eastAsia" w:ascii="宋体" w:hAnsi="宋体" w:cs="宋体"/>
          <w:lang w:val="zh-CN"/>
        </w:rPr>
        <w:t>一、磋商要求</w:t>
      </w:r>
      <w:bookmarkEnd w:id="129"/>
      <w:bookmarkEnd w:id="130"/>
    </w:p>
    <w:p>
      <w:pPr>
        <w:pStyle w:val="20"/>
        <w:spacing w:before="0" w:after="0" w:line="360" w:lineRule="auto"/>
        <w:jc w:val="left"/>
        <w:outlineLvl w:val="1"/>
        <w:rPr>
          <w:rFonts w:ascii="宋体" w:cs="宋体"/>
          <w:lang w:val="zh-CN"/>
        </w:rPr>
      </w:pPr>
      <w:bookmarkStart w:id="131" w:name="_Toc4601"/>
      <w:bookmarkStart w:id="132" w:name="_Toc37664058"/>
      <w:bookmarkStart w:id="133" w:name="_Toc515889460"/>
      <w:r>
        <w:rPr>
          <w:rFonts w:ascii="宋体" w:hAnsi="宋体" w:cs="宋体"/>
          <w:sz w:val="28"/>
          <w:szCs w:val="28"/>
          <w:lang w:val="zh-CN"/>
        </w:rPr>
        <w:t>1.</w:t>
      </w:r>
      <w:r>
        <w:rPr>
          <w:rFonts w:hint="eastAsia" w:ascii="宋体" w:hAnsi="宋体" w:cs="宋体"/>
          <w:sz w:val="28"/>
          <w:szCs w:val="28"/>
          <w:lang w:val="zh-CN"/>
        </w:rPr>
        <w:t>磋商说明</w:t>
      </w:r>
      <w:bookmarkEnd w:id="131"/>
      <w:bookmarkEnd w:id="132"/>
      <w:bookmarkEnd w:id="13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1.1 </w:t>
      </w:r>
      <w:r>
        <w:rPr>
          <w:rFonts w:hint="eastAsia" w:ascii="宋体" w:hAnsi="宋体" w:cs="宋体"/>
          <w:kern w:val="0"/>
          <w:lang w:val="zh-CN"/>
        </w:rPr>
        <w:t>投标人必须对磋商文件采购需求中所有内容作为一个整体进行投标，不能拆分或少报。否则，视为无效响应。</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1.2 </w:t>
      </w:r>
      <w:r>
        <w:rPr>
          <w:rFonts w:hint="eastAsia" w:ascii="宋体" w:hAnsi="宋体" w:cs="宋体"/>
          <w:kern w:val="0"/>
          <w:lang w:val="zh-CN"/>
        </w:rPr>
        <w:t>磋商报价为总报价。</w:t>
      </w:r>
      <w:r>
        <w:rPr>
          <w:rFonts w:hint="eastAsia" w:ascii="宋体" w:hAnsi="宋体"/>
        </w:rPr>
        <w:t>包括产品费、检验费、手续费、包装费、运输费、保险费、安装调试费、税金及其他不可预见费等全部费用。</w:t>
      </w:r>
      <w:r>
        <w:rPr>
          <w:rFonts w:hint="eastAsia" w:ascii="宋体" w:hAnsi="宋体" w:cs="宋体"/>
          <w:kern w:val="0"/>
          <w:lang w:val="zh-CN"/>
        </w:rPr>
        <w:t>若投标磋商不能完全包括上述内容，该投标将被认为非实质性响应。</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 </w:t>
      </w:r>
      <w:r>
        <w:rPr>
          <w:rFonts w:hint="eastAsia" w:ascii="宋体" w:hAnsi="宋体" w:cs="宋体"/>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Pr>
          <w:rFonts w:ascii="宋体" w:cs="宋体"/>
          <w:kern w:val="0"/>
          <w:lang w:val="zh-CN"/>
        </w:rPr>
        <w:t>-</w:t>
      </w:r>
      <w:r>
        <w:rPr>
          <w:rFonts w:hint="eastAsia" w:ascii="宋体" w:hAnsi="宋体" w:cs="宋体"/>
          <w:kern w:val="0"/>
          <w:lang w:val="zh-CN"/>
        </w:rPr>
        <w:t>、</w:t>
      </w:r>
      <w:r>
        <w:rPr>
          <w:rFonts w:ascii="宋体" w:cs="宋体"/>
          <w:kern w:val="0"/>
          <w:lang w:val="zh-CN"/>
        </w:rPr>
        <w:t>0</w:t>
      </w:r>
      <w:r>
        <w:rPr>
          <w:rFonts w:hint="eastAsia" w:ascii="宋体" w:hAnsi="宋体" w:cs="宋体"/>
          <w:kern w:val="0"/>
          <w:lang w:val="zh-CN"/>
        </w:rPr>
        <w:t>”偏差。如果与投标文件中提供的产品检测报告等证明材料中的实质性响应情况不一致或直接复制招标文件“采购需求技术参数、指标”内容的，按无效投标处理。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cs="宋体"/>
          <w:kern w:val="0"/>
          <w:lang w:val="zh-CN"/>
        </w:rPr>
      </w:pPr>
      <w:bookmarkStart w:id="134" w:name="_Toc418665424"/>
      <w:bookmarkStart w:id="135" w:name="_Toc376936785"/>
      <w:bookmarkStart w:id="136" w:name="_Toc325726054"/>
      <w:r>
        <w:rPr>
          <w:rFonts w:ascii="宋体" w:hAnsi="宋体" w:cs="宋体"/>
          <w:kern w:val="0"/>
          <w:lang w:val="zh-CN"/>
        </w:rPr>
        <w:t xml:space="preserve">1.4 </w:t>
      </w:r>
      <w:r>
        <w:rPr>
          <w:rFonts w:hint="eastAsia" w:ascii="宋体" w:hAnsi="宋体" w:cs="宋体"/>
          <w:kern w:val="0"/>
          <w:lang w:val="zh-CN"/>
        </w:rPr>
        <w:t>本次采购产品均为国产产品，所投产品必须符合国家的强制性标准。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1.5 </w:t>
      </w:r>
      <w:r>
        <w:rPr>
          <w:rFonts w:hint="eastAsia" w:ascii="宋体" w:hAnsi="宋体" w:cs="宋体"/>
          <w:kern w:val="0"/>
          <w:lang w:val="zh-CN"/>
        </w:rPr>
        <w:t>所投产品或其任何一部分不得侵犯专利权、著作权、商标权和工业设计权等知识产权。</w:t>
      </w:r>
    </w:p>
    <w:p>
      <w:pPr>
        <w:autoSpaceDE w:val="0"/>
        <w:autoSpaceDN w:val="0"/>
        <w:spacing w:line="360" w:lineRule="auto"/>
        <w:ind w:firstLine="360"/>
        <w:jc w:val="left"/>
        <w:rPr>
          <w:rFonts w:ascii="宋体" w:cs="宋体"/>
          <w:color w:val="auto"/>
          <w:kern w:val="0"/>
          <w:highlight w:val="none"/>
        </w:rPr>
      </w:pPr>
      <w:r>
        <w:rPr>
          <w:rFonts w:ascii="宋体" w:hAnsi="宋体" w:cs="宋体"/>
          <w:kern w:val="0"/>
          <w:lang w:val="zh-CN"/>
        </w:rPr>
        <w:t xml:space="preserve">1.6 </w:t>
      </w:r>
      <w:r>
        <w:rPr>
          <w:rFonts w:hint="eastAsia" w:ascii="宋体" w:hAnsi="宋体" w:cs="宋体"/>
          <w:kern w:val="0"/>
          <w:lang w:val="zh-CN"/>
        </w:rPr>
        <w:t>交货时间：</w:t>
      </w:r>
      <w:r>
        <w:rPr>
          <w:rFonts w:hint="eastAsia" w:ascii="宋体" w:hAnsi="宋体" w:cs="宋体"/>
          <w:color w:val="auto"/>
          <w:kern w:val="0"/>
          <w:highlight w:val="none"/>
          <w:u w:val="single"/>
          <w:lang w:val="en-US" w:eastAsia="zh-CN"/>
        </w:rPr>
        <w:t>自合同签订之日至2025年8月30日前完成并调式完成</w:t>
      </w:r>
      <w:r>
        <w:rPr>
          <w:rFonts w:hint="eastAsia" w:ascii="宋体" w:hAnsi="宋体" w:cs="宋体"/>
          <w:color w:val="auto"/>
          <w:kern w:val="0"/>
          <w:highlight w:val="none"/>
          <w:lang w:val="zh-CN"/>
        </w:rPr>
        <w:t>；交货地点：</w:t>
      </w:r>
      <w:r>
        <w:rPr>
          <w:rFonts w:hint="eastAsia" w:ascii="宋体" w:hAnsi="宋体" w:cs="宋体"/>
          <w:color w:val="auto"/>
          <w:kern w:val="0"/>
          <w:highlight w:val="none"/>
          <w:u w:val="single"/>
          <w:lang w:val="en-US" w:eastAsia="zh-CN"/>
        </w:rPr>
        <w:t>采购人指定地点</w:t>
      </w:r>
      <w:r>
        <w:rPr>
          <w:rFonts w:hint="eastAsia" w:ascii="宋体" w:hAnsi="宋体" w:cs="宋体"/>
          <w:color w:val="auto"/>
          <w:kern w:val="0"/>
          <w:highlight w:val="none"/>
          <w:lang w:val="zh-CN"/>
        </w:rPr>
        <w:t>。</w:t>
      </w:r>
    </w:p>
    <w:p>
      <w:pPr>
        <w:pStyle w:val="20"/>
        <w:spacing w:before="0" w:after="0" w:line="360" w:lineRule="auto"/>
        <w:ind w:firstLine="480" w:firstLineChars="200"/>
        <w:jc w:val="left"/>
        <w:outlineLvl w:val="1"/>
        <w:rPr>
          <w:rFonts w:hint="default" w:ascii="宋体" w:hAnsi="宋体" w:eastAsia="宋体" w:cs="宋体"/>
          <w:b w:val="0"/>
          <w:kern w:val="0"/>
          <w:sz w:val="24"/>
          <w:szCs w:val="24"/>
          <w:lang w:val="en-US" w:eastAsia="zh-CN" w:bidi="ar-SA"/>
        </w:rPr>
      </w:pPr>
      <w:bookmarkStart w:id="137" w:name="_Toc494439657"/>
      <w:bookmarkStart w:id="138" w:name="_Toc37664059"/>
      <w:r>
        <w:rPr>
          <w:rFonts w:hint="eastAsia" w:ascii="宋体" w:hAnsi="宋体" w:eastAsia="宋体" w:cs="宋体"/>
          <w:b w:val="0"/>
          <w:kern w:val="0"/>
          <w:sz w:val="24"/>
          <w:szCs w:val="24"/>
          <w:lang w:val="en-US" w:eastAsia="zh-CN" w:bidi="ar-SA"/>
        </w:rPr>
        <w:t>1.7保质期：三年。</w:t>
      </w:r>
    </w:p>
    <w:p>
      <w:pPr>
        <w:pStyle w:val="20"/>
        <w:spacing w:before="0" w:after="0" w:line="360" w:lineRule="auto"/>
        <w:jc w:val="left"/>
        <w:outlineLvl w:val="1"/>
        <w:rPr>
          <w:rFonts w:ascii="宋体" w:cs="宋体"/>
          <w:sz w:val="28"/>
          <w:szCs w:val="28"/>
          <w:lang w:val="zh-CN"/>
        </w:rPr>
      </w:pPr>
      <w:r>
        <w:rPr>
          <w:rFonts w:ascii="宋体" w:hAnsi="宋体" w:cs="宋体"/>
          <w:sz w:val="28"/>
          <w:szCs w:val="28"/>
          <w:lang w:val="zh-CN"/>
        </w:rPr>
        <w:t>2</w:t>
      </w:r>
      <w:r>
        <w:rPr>
          <w:rFonts w:hint="eastAsia" w:ascii="宋体" w:hAnsi="宋体" w:cs="宋体"/>
          <w:sz w:val="28"/>
          <w:szCs w:val="28"/>
          <w:lang w:val="zh-CN"/>
        </w:rPr>
        <w:t>、报价说明</w:t>
      </w:r>
      <w:bookmarkEnd w:id="134"/>
      <w:bookmarkEnd w:id="135"/>
      <w:bookmarkEnd w:id="137"/>
      <w:bookmarkEnd w:id="138"/>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本次磋商文件中规定的采购预算额度为招标最高限价，投标单位的投标报价不得超出此额度。否则，投标无效。</w:t>
      </w:r>
    </w:p>
    <w:p>
      <w:pPr>
        <w:pStyle w:val="20"/>
        <w:spacing w:before="0" w:after="0" w:line="360" w:lineRule="auto"/>
        <w:jc w:val="left"/>
        <w:outlineLvl w:val="1"/>
        <w:rPr>
          <w:rFonts w:ascii="宋体" w:cs="宋体"/>
          <w:kern w:val="0"/>
          <w:lang w:val="zh-CN"/>
        </w:rPr>
      </w:pPr>
      <w:bookmarkStart w:id="139" w:name="_Toc376936786"/>
      <w:bookmarkStart w:id="140" w:name="_Toc37664060"/>
      <w:bookmarkStart w:id="141" w:name="_Toc494439658"/>
      <w:r>
        <w:rPr>
          <w:rFonts w:ascii="宋体" w:hAnsi="宋体" w:cs="宋体"/>
          <w:kern w:val="0"/>
          <w:lang w:val="zh-CN"/>
        </w:rPr>
        <w:t>3</w:t>
      </w:r>
      <w:r>
        <w:rPr>
          <w:rFonts w:hint="eastAsia" w:ascii="宋体" w:hAnsi="宋体" w:cs="宋体"/>
          <w:kern w:val="0"/>
          <w:lang w:val="zh-CN"/>
        </w:rPr>
        <w:t>、重要指标</w:t>
      </w:r>
      <w:bookmarkEnd w:id="136"/>
      <w:bookmarkEnd w:id="139"/>
      <w:bookmarkEnd w:id="140"/>
      <w:bookmarkEnd w:id="141"/>
    </w:p>
    <w:p>
      <w:pPr>
        <w:autoSpaceDE w:val="0"/>
        <w:autoSpaceDN w:val="0"/>
        <w:spacing w:line="360" w:lineRule="auto"/>
        <w:ind w:firstLine="480" w:firstLineChars="200"/>
        <w:rPr>
          <w:lang w:val="zh-CN"/>
        </w:rPr>
      </w:pPr>
      <w:r>
        <w:rPr>
          <w:rFonts w:ascii="宋体" w:hAnsi="宋体" w:cs="宋体"/>
          <w:kern w:val="0"/>
          <w:lang w:val="zh-CN"/>
        </w:rPr>
        <w:t>3.1</w:t>
      </w:r>
      <w:r>
        <w:rPr>
          <w:rFonts w:hint="eastAsia" w:ascii="宋体" w:hAnsi="宋体" w:cs="宋体"/>
          <w:kern w:val="0"/>
          <w:lang w:val="zh-CN"/>
        </w:rPr>
        <w:t>磋商文件在服务要求中列出了采购人可以接受的最低服务指标，投标人必须对服务要求表中各项服务和指标进行实质性响应，所提供的每一项服务不能低于所列的各项指标。</w:t>
      </w:r>
      <w:r>
        <w:rPr>
          <w:rFonts w:hint="eastAsia" w:ascii="宋体" w:hAnsi="宋体" w:cs="宋体"/>
          <w:kern w:val="0"/>
        </w:rPr>
        <w:t xml:space="preserve">       </w:t>
      </w:r>
      <w:bookmarkStart w:id="142" w:name="_Toc494439659"/>
      <w:bookmarkStart w:id="143" w:name="_Toc28576"/>
    </w:p>
    <w:p>
      <w:pPr>
        <w:rPr>
          <w:lang w:val="zh-CN"/>
        </w:rPr>
      </w:pPr>
    </w:p>
    <w:p>
      <w:pPr>
        <w:pStyle w:val="8"/>
        <w:jc w:val="center"/>
        <w:rPr>
          <w:rFonts w:hint="eastAsia" w:ascii="仿宋_GB2312" w:hAnsi="宋体" w:eastAsia="仿宋_GB2312" w:cs="宋体"/>
          <w:b/>
          <w:bCs/>
          <w:color w:val="000000"/>
          <w:kern w:val="0"/>
          <w:sz w:val="30"/>
          <w:szCs w:val="30"/>
          <w:lang w:val="zh-CN" w:eastAsia="zh-CN"/>
        </w:rPr>
        <w:sectPr>
          <w:headerReference r:id="rId4" w:type="first"/>
          <w:headerReference r:id="rId3" w:type="default"/>
          <w:footerReference r:id="rId5" w:type="default"/>
          <w:pgSz w:w="11907" w:h="16840"/>
          <w:pgMar w:top="1440" w:right="1633" w:bottom="1440" w:left="1689" w:header="851" w:footer="992" w:gutter="0"/>
          <w:cols w:space="0" w:num="1"/>
          <w:titlePg/>
          <w:rtlGutter w:val="0"/>
          <w:docGrid w:linePitch="397" w:charSpace="0"/>
        </w:sectPr>
      </w:pPr>
    </w:p>
    <w:p>
      <w:pPr>
        <w:pStyle w:val="8"/>
        <w:jc w:val="center"/>
        <w:rPr>
          <w:rFonts w:hint="eastAsia" w:ascii="仿宋_GB2312" w:hAnsi="宋体" w:eastAsia="仿宋_GB2312" w:cs="宋体"/>
          <w:b/>
          <w:bCs/>
          <w:color w:val="000000"/>
          <w:kern w:val="0"/>
          <w:sz w:val="30"/>
          <w:szCs w:val="30"/>
          <w:lang w:val="en-US" w:eastAsia="zh-CN"/>
        </w:rPr>
      </w:pPr>
      <w:r>
        <w:rPr>
          <w:rFonts w:hint="eastAsia" w:ascii="仿宋_GB2312" w:hAnsi="宋体" w:eastAsia="仿宋_GB2312" w:cs="宋体"/>
          <w:b/>
          <w:bCs/>
          <w:color w:val="000000"/>
          <w:kern w:val="0"/>
          <w:sz w:val="30"/>
          <w:szCs w:val="30"/>
          <w:lang w:val="zh-CN" w:eastAsia="zh-CN"/>
        </w:rPr>
        <w:t>大通县2025年第二批（因素法）义务教育学校信息化设备采购项目</w:t>
      </w:r>
      <w:r>
        <w:rPr>
          <w:rFonts w:hint="eastAsia" w:ascii="仿宋_GB2312" w:hAnsi="宋体" w:eastAsia="仿宋_GB2312" w:cs="宋体"/>
          <w:b/>
          <w:bCs/>
          <w:color w:val="000000"/>
          <w:kern w:val="0"/>
          <w:sz w:val="30"/>
          <w:szCs w:val="30"/>
          <w:lang w:val="en-US" w:eastAsia="zh-CN"/>
        </w:rPr>
        <w:t>参数表</w:t>
      </w:r>
    </w:p>
    <w:bookmarkEnd w:id="142"/>
    <w:bookmarkEnd w:id="143"/>
    <w:p>
      <w:pPr>
        <w:pStyle w:val="4"/>
        <w:numPr>
          <w:ilvl w:val="1"/>
          <w:numId w:val="0"/>
        </w:numPr>
        <w:rPr>
          <w:rFonts w:ascii="仿宋_GB2312" w:hAnsi="仿宋_GB2312" w:eastAsia="仿宋_GB2312" w:cs="仿宋_GB2312"/>
        </w:rPr>
      </w:pPr>
      <w:r>
        <w:rPr>
          <w:rFonts w:hint="eastAsia" w:ascii="仿宋_GB2312" w:hAnsi="仿宋_GB2312" w:eastAsia="仿宋_GB2312" w:cs="仿宋_GB2312"/>
        </w:rPr>
        <w:t>一、智慧黑板</w:t>
      </w:r>
    </w:p>
    <w:tbl>
      <w:tblPr>
        <w:tblStyle w:val="2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2"/>
        <w:gridCol w:w="1043"/>
        <w:gridCol w:w="10818"/>
        <w:gridCol w:w="965"/>
        <w:gridCol w:w="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15" w:type="pct"/>
            <w:tcBorders>
              <w:tl2br w:val="nil"/>
              <w:tr2bl w:val="nil"/>
            </w:tcBorders>
            <w:shd w:val="clear" w:color="auto" w:fill="auto"/>
            <w:vAlign w:val="center"/>
          </w:tcPr>
          <w:p>
            <w:pPr>
              <w:widowControl/>
              <w:ind w:firstLine="0" w:firstLineChars="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367" w:type="pct"/>
            <w:tcBorders>
              <w:tl2br w:val="nil"/>
              <w:tr2bl w:val="nil"/>
            </w:tcBorders>
            <w:shd w:val="clear" w:color="auto" w:fill="auto"/>
            <w:vAlign w:val="center"/>
          </w:tcPr>
          <w:p>
            <w:pPr>
              <w:widowControl/>
              <w:ind w:firstLine="0" w:firstLineChars="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名称</w:t>
            </w:r>
          </w:p>
        </w:tc>
        <w:tc>
          <w:tcPr>
            <w:tcW w:w="3815" w:type="pct"/>
            <w:tcBorders>
              <w:tl2br w:val="nil"/>
              <w:tr2bl w:val="nil"/>
            </w:tcBorders>
            <w:shd w:val="clear" w:color="auto" w:fill="auto"/>
            <w:noWrap/>
            <w:vAlign w:val="center"/>
          </w:tcPr>
          <w:p>
            <w:pPr>
              <w:ind w:firstLine="420"/>
              <w:jc w:val="left"/>
              <w:rPr>
                <w:rFonts w:asciiTheme="minorEastAsia" w:hAnsiTheme="minorEastAsia" w:eastAsiaTheme="minorEastAsia" w:cstheme="minorEastAsia"/>
                <w:sz w:val="21"/>
                <w:szCs w:val="21"/>
              </w:rPr>
            </w:pPr>
          </w:p>
        </w:tc>
        <w:tc>
          <w:tcPr>
            <w:tcW w:w="340" w:type="pct"/>
            <w:tcBorders>
              <w:tl2br w:val="nil"/>
              <w:tr2bl w:val="nil"/>
            </w:tcBorders>
            <w:shd w:val="clear" w:color="auto" w:fill="auto"/>
            <w:noWrap/>
            <w:vAlign w:val="center"/>
          </w:tcPr>
          <w:p>
            <w:pPr>
              <w:widowControl/>
              <w:ind w:firstLine="0" w:firstLineChars="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数量</w:t>
            </w:r>
          </w:p>
        </w:tc>
        <w:tc>
          <w:tcPr>
            <w:tcW w:w="260" w:type="pct"/>
            <w:tcBorders>
              <w:tl2br w:val="nil"/>
              <w:tr2bl w:val="nil"/>
            </w:tcBorders>
            <w:shd w:val="clear" w:color="auto" w:fill="auto"/>
            <w:noWrap/>
            <w:vAlign w:val="center"/>
          </w:tcPr>
          <w:p>
            <w:pPr>
              <w:widowControl/>
              <w:ind w:firstLine="0" w:firstLineChars="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15" w:type="pct"/>
            <w:tcBorders>
              <w:tl2br w:val="nil"/>
              <w:tr2bl w:val="nil"/>
            </w:tcBorders>
            <w:shd w:val="clear" w:color="auto" w:fill="auto"/>
            <w:vAlign w:val="center"/>
          </w:tcPr>
          <w:p>
            <w:pPr>
              <w:widowControl/>
              <w:ind w:firstLine="210" w:firstLineChars="10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w:t>
            </w:r>
          </w:p>
        </w:tc>
        <w:tc>
          <w:tcPr>
            <w:tcW w:w="367" w:type="pct"/>
            <w:tcBorders>
              <w:tl2br w:val="nil"/>
              <w:tr2bl w:val="nil"/>
            </w:tcBorders>
            <w:shd w:val="clear" w:color="auto" w:fill="auto"/>
            <w:vAlign w:val="center"/>
          </w:tcPr>
          <w:p>
            <w:pPr>
              <w:widowControl/>
              <w:ind w:firstLine="0" w:firstLineChars="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智慧黑</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板</w:t>
            </w:r>
          </w:p>
        </w:tc>
        <w:tc>
          <w:tcPr>
            <w:tcW w:w="3815" w:type="pct"/>
            <w:tcBorders>
              <w:tl2br w:val="nil"/>
              <w:tr2bl w:val="nil"/>
            </w:tcBorders>
            <w:shd w:val="clear" w:color="auto" w:fill="auto"/>
            <w:vAlign w:val="center"/>
          </w:tcPr>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整机要求：</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主副屏过渡平滑，中间无单独边框阻隔。整体外观尺寸：长度≥4200mm,高度≥1200mm,外部无可见内部功能模块连接线。</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主屏书写面板采用全钢化耐磨玻璃材质，钢化玻璃表面硬度≥9H,表面采用纳米材料镀膜环保工艺，防眩光效果优异;支持普通粉笔直接书写，长期书写情况下面板磨损导致的雾度≤0.5%。</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主屏≥90吋，分辨率：3840*2160,显示比例需满足16:9;在sRGB模式下高色准△E≤1。</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采用电容触控方式，支持≥20点触控，外置电脑操作系统接入时，无需安装触摸驱动。</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整机背光系统需支持DC调光方式，多级亮度调节，支持白颜色背景下最暗亮度≤100nit,用于提升显示对比度；支持自定义图像设置，可对屏幕色温、对比度、图像亮度、亮度范围、色彩空间调节设置，在照度100k勒克司环境下仍能正常工作。</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全通道支持纸质护眼模式，可实现画面纹理的实时调整，支持通过前置物理按键一键启用经典护眼模式；通过由中国标准化研究院制定的视觉舒适度(VICO)评价体系测试，并达到视觉舒适度A级或以上标准。</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整机具前置物理按键，可实现开关机、调出中控菜单、音量+、音量-、护眼、录屏等操作，除电源按键外，均支持设置为自定义按键，一键启用全局小工具。</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前置输入接口需具备≥2路USB接口、≥1路Type-C(支持通过不带转换转置的外部线缆，实现外接电脑HDMI信号的接入显示)。</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侧置接口需具备≥2路HDMI、≥1路USB接口，≥1路RS232,≥1路触控USB输出。</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整机内置8阵列麦克风，可用于对教室环境音频进行采集，拾音角度≥180°,拾音距离≥12m。</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整机支持标准、听力、观影和AI空间感知音效模式，AI空间感知音效模式可通过内置麦克风采集教室物理环境声音，自动生成符合当前教室物理环境的频段、音量、音效。</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整机内置2.2声道扬声器，额定总功率≥60W;100%音量下，满足1米处声压级≥88db,10米处声压级≥79dB。</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整机上边框内置非独立摄像头≥3个，可拍摄≥1600万像素数的照片，水平视场角≥138°,支持输出分辨率达8192×2048或以上视频，画面支持畸变校正功能。</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整机设备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整机内置双WiFi6无线网卡(不接受外接),在整机设备下可实现Wi-Fi无线上网连接、AP无线热点发射功能。</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整机支持蓝牙Bluetooth5.4标准，PC端支持主动发现蓝牙外设从而连接(无需整机进入发现模式)。</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整机内置传屏接收模块，不需要连接任何附加设备，可实现外部电脑、手机设备的音视频信号实时传输到整机上；当使用外部电脑传屏时，支持触摸回传，屏幕上部显示传屏工具栏，可以进行触摸回传控制、勿扰模式、暂停投屏功能；开启勿扰模式时，不允许其他人再进行传屏；投屏时可以选择特定应用窗口，从而实现过滤其他应用窗口，如邮件应用等窗口。</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系统配置要求：</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采用模块化可拔插式OPS电脑方案，无需工具即可快速拆卸。</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CPU：C86架构国产CPU，符合国家《安全可靠测评结果公告》要求，≥8核16线程，主频≥2.8GHz， 内存：16G DDR4或以上内存；硬盘：512GB或以上固态硬盘； 显卡：2G独立显卡。</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模块具有多个独立非外扩展的接口，≥1路HDMI，≥3路USB 3.0，≥1路USB 2.0，≥1路RJ45。</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预装正版国产操作系统。</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交互式备授课软件：</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支持为教师提供可扩展至 100TB 的云存储空间， 教师可在个人云空间上传存 储互动课件、云教案和其他教学资源。</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采用备授课一体化框架设计，教师可根据教学场景自由切换类 PPT 界面的备课模式与触控交互教学模式；为使用方全体教师配备个人账号，形成一体的信息化教学账号体系；根据教师账号信息将教师云空间匹配至对应学校、学科校本资源库。支持通过数字账号、微信二维码登录教师个人账号。</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为方便老师之间课件的传阅，软件需支持互动教学课件支持定向精准分享；分享者可将互动课件、课件组精准推送至指定接收方账号云空间，接收方可在云空间接收并打开分享课件。</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提供互动式教学课件资源，包含学科教育各学段各地区教材版本≥80个；包含学科教育各学段教材版本全部教学章节、专题教育多个主题教育、特殊教育三大分类≥160000份的交互动课件。</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内置图片处理功能，无需借助专业图片处理软件即可对课件内的图片进行快速抠图，图片主体处理后边缘无明显毛边，且处理后的图片可直接上传至用户云空间供后续复用。</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支持课件内嵌图片、音视频等多媒体文件，支持对音频、视频文件进行关键帧标记，可在音、视频进度条任意位置自由设置关键帧播放节点，便于快速定位讲解关键内容。</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内嵌思维导图功能，提供思维导图、鱼骨图及组织结构图等知识结构化工具，提供≥8种预设模板，可自由增删或拖拽编辑知识节点，并支持在节点上插入图片、音频、视频、网页链接、课件页面等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支持PPT的原生解析，用户可将pptx课件转化为互动教学课件，保留pptx原文件中的文字、图片、表格等对象及动画的可编辑性，并可为课件增加互动教学元素。</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软件提供学科工具，包含语文、数学、英语、物理、化学、生物、地理等。需支持以下几个重点学科工具：</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学科工具：</w:t>
            </w:r>
          </w:p>
          <w:p>
            <w:pPr>
              <w:widowControl/>
              <w:numPr>
                <w:ilvl w:val="0"/>
                <w:numId w:val="0"/>
              </w:numPr>
              <w:ind w:firstLine="420" w:firstLineChars="20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语文学科工具：古诗词：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pPr>
              <w:widowControl/>
              <w:numPr>
                <w:ilvl w:val="0"/>
                <w:numId w:val="0"/>
              </w:numPr>
              <w:ind w:firstLine="420" w:firstLineChars="20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数学学科工具：数学函数公式：支持中英文、数学公式的编辑输入，可快速输入方程组、脱式运算，提供≥70个数学符号及模板；预置≥40个常用数学公式，无需编辑一键插入，输入内容可用不同颜色标记及重复编辑。支持LaTeX公式输入。</w:t>
            </w:r>
          </w:p>
          <w:p>
            <w:pPr>
              <w:widowControl/>
              <w:numPr>
                <w:ilvl w:val="0"/>
                <w:numId w:val="0"/>
              </w:numPr>
              <w:ind w:firstLine="420" w:firstLineChars="20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数学函数图像：可快速生成包含一次函数一次函数、二次函数、幂函数、指数函数、对数函数、三角函数等图像，也可自定义输入函数表达式生成图像；在同一坐标轴上支持同时绘制6个及以上函数表达式，可显示函数与函数图像彼此相交、函数与坐标轴相交的交点坐标。可缩放函数图像与坐标轴，可显示坐标网格，函数图生成后可重新编辑。</w:t>
            </w:r>
          </w:p>
          <w:p>
            <w:pPr>
              <w:widowControl/>
              <w:numPr>
                <w:ilvl w:val="0"/>
                <w:numId w:val="0"/>
              </w:numPr>
              <w:ind w:firstLine="420" w:firstLineChars="20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pPr>
              <w:widowControl/>
              <w:numPr>
                <w:ilvl w:val="0"/>
                <w:numId w:val="0"/>
              </w:numPr>
              <w:ind w:firstLine="420" w:firstLineChars="20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数学画板：支持课件中插入在线数学画板，授课时一键打开使用。提供≥500个数学画板资源，按照小学、初中、高中学段数学学科主要知识点分类，便于教师查找使用。内置画板课件展示生动直观，可动态展示平面几何的变化：如小学几何四边形，可动态演示四边形的不同形态间的变化；中学函数的平方差公式讲解，可将平方差公式通过图形具象展示其计算原理。提供个人画板供教师创作，具备点、线段、直线、射线、多边形和圆形这些基础元素和两点中点、线段中点、椭圆焦点、画笔、绘图、标注、坐标轴、文本、极坐标方程等10种数学常用工具。创建后可一键将画板无缝嵌入课件。</w:t>
            </w:r>
          </w:p>
          <w:p>
            <w:pPr>
              <w:widowControl/>
              <w:numPr>
                <w:ilvl w:val="0"/>
                <w:numId w:val="0"/>
              </w:numPr>
              <w:ind w:left="400" w:firstLine="0"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化学学科工具：</w:t>
            </w:r>
          </w:p>
          <w:p>
            <w:pPr>
              <w:widowControl/>
              <w:numPr>
                <w:ilvl w:val="0"/>
                <w:numId w:val="0"/>
              </w:numPr>
              <w:ind w:firstLine="420" w:firstLineChars="20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化学方程式编辑器：提供化学方程式快速编辑工具，当输入一个化学元素时，软件界面将自动显示出和该元素相关的多个常用化学反应方程式，可直接选择使用。插入后的化学方程式可重新编辑。</w:t>
            </w:r>
          </w:p>
          <w:p>
            <w:pPr>
              <w:widowControl/>
              <w:numPr>
                <w:ilvl w:val="0"/>
                <w:numId w:val="0"/>
              </w:numPr>
              <w:ind w:firstLine="420" w:firstLineChars="20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化学元素周期表：支持浏览和插入化学元素周期表，可整表或单个元素插入备课课件中形成元素卡片。支持以原子序数、相对原子质量、原子结构、价层电子排布等多种形式呈现。插入后的元素卡片支持展开浏览元素详解。</w:t>
            </w:r>
          </w:p>
          <w:p>
            <w:pPr>
              <w:widowControl/>
              <w:numPr>
                <w:ilvl w:val="0"/>
                <w:numId w:val="0"/>
              </w:numPr>
              <w:ind w:left="400" w:firstLine="0"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物理工具：</w:t>
            </w:r>
          </w:p>
          <w:p>
            <w:pPr>
              <w:widowControl/>
              <w:numPr>
                <w:ilvl w:val="0"/>
                <w:numId w:val="0"/>
              </w:numPr>
              <w:ind w:firstLine="420" w:firstLineChars="20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物理线图：支持自由绘制物理线图，提供元件库和模板库≥30个组件，支持自动吸附连接线，画布可无限漫游。绘制后的线图可一键插入到备课课件中并支持二次编辑。老师可将常用的线图保存至个人云盘方便二次调用。</w:t>
            </w:r>
          </w:p>
          <w:p>
            <w:pPr>
              <w:widowControl/>
              <w:numPr>
                <w:ilvl w:val="0"/>
                <w:numId w:val="0"/>
              </w:numPr>
              <w:ind w:left="400" w:firstLine="0"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英语工具：</w:t>
            </w:r>
          </w:p>
          <w:p>
            <w:pPr>
              <w:widowControl/>
              <w:numPr>
                <w:ilvl w:val="0"/>
                <w:numId w:val="0"/>
              </w:numPr>
              <w:ind w:firstLine="420" w:firstLineChars="20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四线三格：配置英语学科四线三格，可直接键入人教版英语辅助教材配套的手写字体。</w:t>
            </w:r>
          </w:p>
          <w:p>
            <w:pPr>
              <w:widowControl/>
              <w:numPr>
                <w:ilvl w:val="0"/>
                <w:numId w:val="0"/>
              </w:numPr>
              <w:ind w:firstLine="420" w:firstLineChars="20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听写：配置英语学科听写工具，覆盖小初高≥8000个英语单词，支持自定义选择单词。自定义听写频率和次数，一键生成听写卡；授课模式支持一键开启听写朗读。</w:t>
            </w:r>
          </w:p>
          <w:p>
            <w:pPr>
              <w:widowControl/>
              <w:numPr>
                <w:ilvl w:val="0"/>
                <w:numId w:val="0"/>
              </w:numPr>
              <w:ind w:left="400" w:firstLine="0"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35交互式智能白板软件需支持直播听评课：</w:t>
            </w:r>
          </w:p>
          <w:p>
            <w:pPr>
              <w:widowControl/>
              <w:numPr>
                <w:ilvl w:val="0"/>
                <w:numId w:val="0"/>
              </w:numPr>
              <w:ind w:left="400" w:firstLine="0"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（1）直播听评课：支持授课老师发起直播听评课，使用手机进行录影，听课老师可查看课堂直播。</w:t>
            </w:r>
          </w:p>
          <w:p>
            <w:pPr>
              <w:widowControl/>
              <w:numPr>
                <w:ilvl w:val="0"/>
                <w:numId w:val="0"/>
              </w:numPr>
              <w:ind w:left="400" w:firstLine="0"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（2）听课提醒：支持查看评课邀请信息和直播开启预告，及时进入直播课堂，进行听课评价。</w:t>
            </w:r>
          </w:p>
          <w:p>
            <w:pPr>
              <w:widowControl/>
              <w:numPr>
                <w:ilvl w:val="0"/>
                <w:numId w:val="0"/>
              </w:numPr>
              <w:ind w:firstLine="420" w:firstLineChars="20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（3）听课交流：支持主动发布“开启了直播”、“关闭直播”课堂状态，及时同步课堂进度。支持远程观看课堂直播时同步在听课交流区发表文字、快捷表情和照片内容，记录与分享听课想法。</w:t>
            </w:r>
          </w:p>
          <w:p>
            <w:pPr>
              <w:widowControl/>
              <w:numPr>
                <w:ilvl w:val="0"/>
                <w:numId w:val="0"/>
              </w:numPr>
              <w:ind w:firstLine="420" w:firstLineChars="20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4）直播回放：直播评课全过程支持回放并自动生成字幕，支持回放视频形成回放链接分享，可直接下载导出，用于老师回顾课堂内容，分析老师的课堂表现和教学情况。支持查看课堂录影回放，回顾课堂内容，分析老师的课堂表现和教学情况。</w:t>
            </w:r>
          </w:p>
          <w:p>
            <w:pPr>
              <w:widowControl/>
              <w:numPr>
                <w:ilvl w:val="0"/>
                <w:numId w:val="0"/>
              </w:numPr>
              <w:ind w:left="400" w:firstLine="0"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36白板软件需支持云教案以下功能：</w:t>
            </w:r>
          </w:p>
          <w:p>
            <w:pPr>
              <w:widowControl/>
              <w:numPr>
                <w:ilvl w:val="0"/>
                <w:numId w:val="0"/>
              </w:numPr>
              <w:ind w:firstLine="420" w:firstLineChars="20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1）云教案内容无需人为保存即可同步至云空间，支持已链接方式进行定向式分享和开放式分享。接收者可直接在桌面浏览器、微信浏览器内打开预览，可将云教案转存至个人云空间。云教案支持导出为PDF格式。</w:t>
            </w:r>
          </w:p>
          <w:p>
            <w:pPr>
              <w:widowControl/>
              <w:numPr>
                <w:ilvl w:val="0"/>
                <w:numId w:val="0"/>
              </w:numPr>
              <w:ind w:left="400" w:firstLine="0"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（2）提供将Word转换为云教案的能力，支持解析文本、表格等通用元素，方便老师迁移旧教案</w:t>
            </w:r>
          </w:p>
          <w:p>
            <w:pPr>
              <w:widowControl/>
              <w:numPr>
                <w:ilvl w:val="0"/>
                <w:numId w:val="0"/>
              </w:numPr>
              <w:ind w:firstLine="420" w:firstLineChars="20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 xml:space="preserve">（3）云教案支持插入表格、图片、音视频（m4v、mp3、mp4、oga、ogg、opus、wav、webm）、文档附件（.pdf、.doc、.docx、.xls、.xlsx） </w:t>
            </w:r>
          </w:p>
          <w:p>
            <w:pPr>
              <w:widowControl/>
              <w:numPr>
                <w:ilvl w:val="0"/>
                <w:numId w:val="0"/>
              </w:numPr>
              <w:ind w:firstLine="420" w:firstLineChars="20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（4）提供教案模板，方便老师撰写教案，预置模板包含表格式、提纲式、集备式、多课时式、单元设计式等≥7个。支持校本模板，管理员在教研管理后台设置校本模板后，老师可在云教案模板调用。</w:t>
            </w:r>
          </w:p>
          <w:p>
            <w:pPr>
              <w:widowControl/>
              <w:numPr>
                <w:ilvl w:val="0"/>
                <w:numId w:val="0"/>
              </w:numPr>
              <w:ind w:firstLine="420" w:firstLineChars="20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5）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p>
          <w:p>
            <w:pPr>
              <w:widowControl/>
              <w:numPr>
                <w:ilvl w:val="0"/>
                <w:numId w:val="0"/>
              </w:numPr>
              <w:ind w:firstLine="420" w:firstLineChars="20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（6）云教案提供授课模式，可在云教案预览页面点击授课进入全屏演示模式，也可在授课端直接打开云教案列表进入。授课模式下支持使用笔工具书写批注，且可上下左右漫游。</w:t>
            </w:r>
          </w:p>
          <w:p>
            <w:pPr>
              <w:widowControl/>
              <w:numPr>
                <w:ilvl w:val="0"/>
                <w:numId w:val="0"/>
              </w:numPr>
              <w:ind w:left="400" w:firstLine="0"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（7）一键插入思维导图，支持直接在教案页面的轻量化编辑，进入全屏后可设置更多导图格式。</w:t>
            </w:r>
          </w:p>
          <w:p>
            <w:pPr>
              <w:widowControl/>
              <w:numPr>
                <w:ilvl w:val="0"/>
                <w:numId w:val="0"/>
              </w:numPr>
              <w:ind w:left="400" w:firstLine="0"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（8）教案授课模式下，课件页、思维导图、插入的PDF、Word等文件均支持全屏预览板书。</w:t>
            </w:r>
          </w:p>
          <w:p>
            <w:pPr>
              <w:widowControl/>
              <w:numPr>
                <w:ilvl w:val="0"/>
                <w:numId w:val="0"/>
              </w:numPr>
              <w:ind w:left="400" w:firstLine="0"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37其他要求：</w:t>
            </w:r>
          </w:p>
          <w:p>
            <w:pPr>
              <w:widowControl/>
              <w:numPr>
                <w:ilvl w:val="0"/>
                <w:numId w:val="0"/>
              </w:numPr>
              <w:ind w:firstLine="420" w:firstLineChars="20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1.硬件设备至少提供三年的原厂质保，教学白板软件须与硬件设备为同一品牌，签订合同时提供软件终生免费升级承诺，提供国家认可的检测机构出具的相关检测报告。</w:t>
            </w:r>
          </w:p>
          <w:p>
            <w:pPr>
              <w:widowControl/>
              <w:numPr>
                <w:ilvl w:val="0"/>
                <w:numId w:val="2"/>
              </w:numPr>
              <w:ind w:firstLineChars="0"/>
              <w:jc w:val="left"/>
              <w:textAlignment w:val="center"/>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依据《信息安全等级保护管理办法》有关规定，教学白板软件需达到信息系统安全等级保护二级及以上。</w:t>
            </w:r>
          </w:p>
          <w:p>
            <w:pPr>
              <w:widowControl/>
              <w:numPr>
                <w:ilvl w:val="0"/>
                <w:numId w:val="2"/>
              </w:numPr>
              <w:ind w:firstLineChars="0"/>
              <w:jc w:val="left"/>
              <w:textAlignment w:val="center"/>
              <w:rPr>
                <w:rFonts w:asciiTheme="minorEastAsia" w:hAnsiTheme="minorEastAsia" w:eastAsiaTheme="minorEastAsia" w:cstheme="minorEastAsia"/>
                <w:sz w:val="21"/>
                <w:szCs w:val="21"/>
              </w:rPr>
            </w:pPr>
            <w:r>
              <w:rPr>
                <w:rFonts w:hint="eastAsia" w:asciiTheme="majorEastAsia" w:hAnsiTheme="majorEastAsia" w:eastAsiaTheme="majorEastAsia" w:cstheme="majorEastAsia"/>
                <w:kern w:val="0"/>
                <w:sz w:val="21"/>
                <w:szCs w:val="21"/>
                <w:lang w:bidi="ar"/>
              </w:rPr>
              <w:t>软件产品须提供软件著作权登记证书，及提供国家认可的检测机构出具的相关检测报告。</w:t>
            </w:r>
          </w:p>
        </w:tc>
        <w:tc>
          <w:tcPr>
            <w:tcW w:w="340" w:type="pct"/>
            <w:tcBorders>
              <w:tl2br w:val="nil"/>
              <w:tr2bl w:val="nil"/>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20</w:t>
            </w:r>
          </w:p>
        </w:tc>
        <w:tc>
          <w:tcPr>
            <w:tcW w:w="260" w:type="pct"/>
            <w:tcBorders>
              <w:tl2br w:val="nil"/>
              <w:tr2bl w:val="nil"/>
            </w:tcBorders>
            <w:shd w:val="clear" w:color="auto" w:fill="auto"/>
            <w:noWrap/>
            <w:vAlign w:val="center"/>
          </w:tcPr>
          <w:p>
            <w:pPr>
              <w:widowControl/>
              <w:ind w:firstLine="0" w:firstLineChars="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15" w:type="pct"/>
            <w:tcBorders>
              <w:tl2br w:val="nil"/>
              <w:tr2bl w:val="nil"/>
            </w:tcBorders>
            <w:shd w:val="clear" w:color="auto" w:fill="auto"/>
            <w:vAlign w:val="center"/>
          </w:tcPr>
          <w:p>
            <w:pPr>
              <w:widowControl/>
              <w:ind w:firstLine="420"/>
              <w:jc w:val="center"/>
              <w:textAlignment w:val="center"/>
              <w:rPr>
                <w:rFonts w:asciiTheme="minorEastAsia" w:hAnsiTheme="minorEastAsia" w:eastAsiaTheme="minorEastAsia" w:cstheme="minorEastAsia"/>
                <w:sz w:val="21"/>
                <w:szCs w:val="21"/>
              </w:rPr>
            </w:pPr>
          </w:p>
          <w:p>
            <w:pPr>
              <w:widowControl/>
              <w:ind w:firstLine="0" w:firstLineChars="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67" w:type="pct"/>
            <w:tcBorders>
              <w:tl2br w:val="nil"/>
              <w:tr2bl w:val="nil"/>
            </w:tcBorders>
            <w:shd w:val="clear" w:color="auto" w:fill="auto"/>
            <w:vAlign w:val="center"/>
          </w:tcPr>
          <w:p>
            <w:pPr>
              <w:widowControl/>
              <w:ind w:firstLine="0" w:firstLineChars="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实物展台</w:t>
            </w:r>
          </w:p>
        </w:tc>
        <w:tc>
          <w:tcPr>
            <w:tcW w:w="3815" w:type="pct"/>
            <w:tcBorders>
              <w:tl2br w:val="nil"/>
              <w:tr2bl w:val="nil"/>
            </w:tcBorders>
            <w:shd w:val="clear" w:color="auto" w:fill="auto"/>
            <w:vAlign w:val="center"/>
          </w:tcPr>
          <w:p>
            <w:pPr>
              <w:widowControl/>
              <w:numPr>
                <w:ilvl w:val="0"/>
                <w:numId w:val="3"/>
              </w:numPr>
              <w:ind w:firstLine="42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硬件参数：</w:t>
            </w:r>
          </w:p>
          <w:p>
            <w:pPr>
              <w:widowControl/>
              <w:numPr>
                <w:ilvl w:val="0"/>
                <w:numId w:val="4"/>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壁挂式安装，无利边无锐角设计，托板为单板结构且平整无接缝，展开后托板尺寸≥A4面积，需支持≥3kg物体承重；托板收起方式需支持磁吸吸附式。</w:t>
            </w:r>
          </w:p>
          <w:p>
            <w:pPr>
              <w:widowControl/>
              <w:numPr>
                <w:ilvl w:val="0"/>
                <w:numId w:val="4"/>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采用一体式、非活动悬臂设计，打开托板即可启动展台，实现画面拍摄和数据传输。</w:t>
            </w:r>
          </w:p>
          <w:p>
            <w:pPr>
              <w:widowControl/>
              <w:numPr>
                <w:ilvl w:val="0"/>
                <w:numId w:val="4"/>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采用USB接口，单根USB线实现供电及高清数据传输需求。</w:t>
            </w:r>
          </w:p>
          <w:p>
            <w:pPr>
              <w:widowControl/>
              <w:numPr>
                <w:ilvl w:val="0"/>
                <w:numId w:val="4"/>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摄像头可拍摄不少于1300万像素数的照片，摄像头支持自动对焦，可拍摄A4画幅，支持视频矫正功能。</w:t>
            </w:r>
          </w:p>
          <w:p>
            <w:pPr>
              <w:widowControl/>
              <w:numPr>
                <w:ilvl w:val="0"/>
                <w:numId w:val="4"/>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展台按键采用触摸按键，可实现灯光调节、拍照截图、画面放大、缩小等功能，需支持3档及以上LED补光进行亮度补充；支持通过双击屏幕画面任意位置即时改变对焦位置,可对立体物体的局部进行对焦。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二、软件参数：</w:t>
            </w:r>
          </w:p>
          <w:p>
            <w:pPr>
              <w:widowControl/>
              <w:numPr>
                <w:ilvl w:val="0"/>
                <w:numId w:val="5"/>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软件需支持对展台实时画面进行放大、缩小、旋转、自适应、画面锁定等基础操作，预设多种笔划粗细及颜色对展台画面进行实时批注。</w:t>
            </w:r>
          </w:p>
          <w:p>
            <w:pPr>
              <w:widowControl/>
              <w:numPr>
                <w:ilvl w:val="0"/>
                <w:numId w:val="5"/>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软件支持对展台画面拍照截图并进行多图预览，可对任一图片进行全屏显示，且支持对展台画面联同批注内容进行同步缩放、移动。</w:t>
            </w:r>
          </w:p>
          <w:p>
            <w:pPr>
              <w:widowControl/>
              <w:numPr>
                <w:ilvl w:val="0"/>
                <w:numId w:val="5"/>
              </w:numPr>
              <w:ind w:firstLineChars="0"/>
              <w:jc w:val="left"/>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软件需支持故障自动检测，可判断硬件连接、显卡驱动、摄像头占用、软件版本问题，并给出引导性解决方案。</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三、其他要求：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要求质保不低于三年，签订合同时提供原厂质保承诺函，提供国家认可的检测机构出具的相关检测报告。</w:t>
            </w:r>
          </w:p>
        </w:tc>
        <w:tc>
          <w:tcPr>
            <w:tcW w:w="340" w:type="pct"/>
            <w:tcBorders>
              <w:tl2br w:val="nil"/>
              <w:tr2bl w:val="nil"/>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kern w:val="0"/>
                <w:sz w:val="21"/>
                <w:szCs w:val="21"/>
              </w:rPr>
            </w:pPr>
          </w:p>
          <w:p>
            <w:pPr>
              <w:widowControl/>
              <w:ind w:firstLine="0" w:firstLineChars="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20</w:t>
            </w:r>
          </w:p>
        </w:tc>
        <w:tc>
          <w:tcPr>
            <w:tcW w:w="260" w:type="pct"/>
            <w:tcBorders>
              <w:tl2br w:val="nil"/>
              <w:tr2bl w:val="nil"/>
            </w:tcBorders>
            <w:shd w:val="clear" w:color="auto" w:fill="auto"/>
            <w:noWrap/>
            <w:vAlign w:val="center"/>
          </w:tcPr>
          <w:p>
            <w:pPr>
              <w:widowControl/>
              <w:ind w:firstLine="42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台台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15" w:type="pct"/>
            <w:tcBorders>
              <w:tl2br w:val="nil"/>
              <w:tr2bl w:val="nil"/>
            </w:tcBorders>
            <w:shd w:val="clear" w:color="auto" w:fill="auto"/>
            <w:vAlign w:val="center"/>
          </w:tcPr>
          <w:p>
            <w:pPr>
              <w:widowControl/>
              <w:ind w:firstLine="210" w:firstLineChars="10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3</w:t>
            </w:r>
          </w:p>
        </w:tc>
        <w:tc>
          <w:tcPr>
            <w:tcW w:w="367" w:type="pct"/>
            <w:tcBorders>
              <w:tl2br w:val="nil"/>
              <w:tr2bl w:val="nil"/>
            </w:tcBorders>
            <w:shd w:val="clear" w:color="auto" w:fill="auto"/>
            <w:vAlign w:val="center"/>
          </w:tcPr>
          <w:p>
            <w:pPr>
              <w:widowControl/>
              <w:ind w:firstLine="0" w:firstLineChars="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智能笔</w:t>
            </w:r>
          </w:p>
        </w:tc>
        <w:tc>
          <w:tcPr>
            <w:tcW w:w="3815" w:type="pct"/>
            <w:tcBorders>
              <w:tl2br w:val="nil"/>
              <w:tr2bl w:val="nil"/>
            </w:tcBorders>
            <w:shd w:val="clear" w:color="auto" w:fill="auto"/>
            <w:vAlign w:val="center"/>
          </w:tcPr>
          <w:p>
            <w:pPr>
              <w:widowControl/>
              <w:numPr>
                <w:ilvl w:val="0"/>
                <w:numId w:val="6"/>
              </w:numPr>
              <w:ind w:firstLine="400"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笔身造型采用圆润一体化笔型设计，表面采用手感漆工艺便于握持.</w:t>
            </w:r>
          </w:p>
          <w:p>
            <w:pPr>
              <w:widowControl/>
              <w:numPr>
                <w:ilvl w:val="0"/>
                <w:numId w:val="6"/>
              </w:numPr>
              <w:ind w:firstLine="400"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笔身配置上下翻页、智能语音、远程聚光灯/放大、书写颜色切换等功能。</w:t>
            </w:r>
          </w:p>
          <w:p>
            <w:pPr>
              <w:widowControl/>
              <w:numPr>
                <w:ilvl w:val="0"/>
                <w:numId w:val="6"/>
              </w:numPr>
              <w:ind w:firstLine="400"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采用锥型笔尖设计，直径≤3mm；同时支持电容，红外触控设备书写。</w:t>
            </w:r>
          </w:p>
          <w:p>
            <w:pPr>
              <w:widowControl/>
              <w:numPr>
                <w:ilvl w:val="0"/>
                <w:numId w:val="6"/>
              </w:numPr>
              <w:ind w:firstLine="400"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短按上下翻页按键，可实现白板软件/ppt/pdf等文档上下翻页。</w:t>
            </w:r>
          </w:p>
          <w:p>
            <w:pPr>
              <w:widowControl/>
              <w:numPr>
                <w:ilvl w:val="0"/>
                <w:numId w:val="6"/>
              </w:numPr>
              <w:ind w:firstLine="400"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内置麦克风，支持按键唤醒语音识别功能，避免杂音造成误唤醒。</w:t>
            </w:r>
          </w:p>
          <w:p>
            <w:pPr>
              <w:widowControl/>
              <w:numPr>
                <w:ilvl w:val="0"/>
                <w:numId w:val="6"/>
              </w:numPr>
              <w:ind w:firstLine="400"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支持无线dongle及蓝牙两种连接方式，支持蓝牙5.1协议；</w:t>
            </w:r>
          </w:p>
          <w:p>
            <w:pPr>
              <w:widowControl/>
              <w:numPr>
                <w:ilvl w:val="0"/>
                <w:numId w:val="6"/>
              </w:numPr>
              <w:ind w:firstLine="400"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无线dongle&amp;蓝牙连接距离≥12m，上下翻页/语音控制/远程批注实现距离≥12m；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内置锂电池，支持type-c充电，待机时间≥60h。</w:t>
            </w:r>
          </w:p>
          <w:p>
            <w:pPr>
              <w:widowControl/>
              <w:numPr>
                <w:ilvl w:val="0"/>
                <w:numId w:val="6"/>
              </w:numPr>
              <w:ind w:firstLine="400"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其他要求：要求质保不低于三年，签订合同时提供原厂质保承诺函，提供国家认可的检测机构出具的相关检测报告。</w:t>
            </w:r>
          </w:p>
        </w:tc>
        <w:tc>
          <w:tcPr>
            <w:tcW w:w="340" w:type="pct"/>
            <w:tcBorders>
              <w:tl2br w:val="nil"/>
              <w:tr2bl w:val="nil"/>
            </w:tcBorders>
            <w:shd w:val="clear" w:color="auto" w:fill="auto"/>
            <w:noWrap/>
            <w:vAlign w:val="center"/>
          </w:tcPr>
          <w:p>
            <w:pPr>
              <w:widowControl/>
              <w:ind w:firstLine="0" w:firstLineChars="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20</w:t>
            </w:r>
          </w:p>
        </w:tc>
        <w:tc>
          <w:tcPr>
            <w:tcW w:w="260" w:type="pct"/>
            <w:tcBorders>
              <w:tl2br w:val="nil"/>
              <w:tr2bl w:val="nil"/>
            </w:tcBorders>
            <w:shd w:val="clear" w:color="auto" w:fill="auto"/>
            <w:noWrap/>
            <w:vAlign w:val="center"/>
          </w:tcPr>
          <w:p>
            <w:pPr>
              <w:widowControl/>
              <w:ind w:firstLine="0" w:firstLineChars="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215" w:type="pct"/>
            <w:tcBorders>
              <w:tl2br w:val="nil"/>
              <w:tr2bl w:val="nil"/>
            </w:tcBorders>
            <w:shd w:val="clear" w:color="auto" w:fill="auto"/>
            <w:vAlign w:val="center"/>
          </w:tcPr>
          <w:p>
            <w:pPr>
              <w:widowControl/>
              <w:ind w:firstLine="210" w:firstLineChars="10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4</w:t>
            </w:r>
          </w:p>
        </w:tc>
        <w:tc>
          <w:tcPr>
            <w:tcW w:w="367" w:type="pct"/>
            <w:tcBorders>
              <w:tl2br w:val="nil"/>
              <w:tr2bl w:val="nil"/>
            </w:tcBorders>
            <w:shd w:val="clear" w:color="auto" w:fill="auto"/>
            <w:vAlign w:val="center"/>
          </w:tcPr>
          <w:p>
            <w:pPr>
              <w:widowControl/>
              <w:ind w:firstLine="0" w:firstLineChars="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扩音设备</w:t>
            </w:r>
          </w:p>
        </w:tc>
        <w:tc>
          <w:tcPr>
            <w:tcW w:w="3815" w:type="pct"/>
            <w:tcBorders>
              <w:tl2br w:val="nil"/>
              <w:tr2bl w:val="nil"/>
            </w:tcBorders>
            <w:shd w:val="clear" w:color="auto" w:fill="auto"/>
            <w:vAlign w:val="center"/>
          </w:tcPr>
          <w:p>
            <w:pPr>
              <w:widowControl/>
              <w:numPr>
                <w:ilvl w:val="0"/>
                <w:numId w:val="7"/>
              </w:numPr>
              <w:ind w:firstLine="42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音箱：</w:t>
            </w:r>
          </w:p>
          <w:p>
            <w:pPr>
              <w:widowControl/>
              <w:numPr>
                <w:ilvl w:val="0"/>
                <w:numId w:val="8"/>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采用功放与有源音箱一体化设计，内置麦克风无线接收模块。</w:t>
            </w:r>
          </w:p>
          <w:p>
            <w:pPr>
              <w:widowControl/>
              <w:numPr>
                <w:ilvl w:val="0"/>
                <w:numId w:val="8"/>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输出额定功率≥2*15W，喇叭单元尺寸≥5寸；端口：电源开关≥1、Line in≥1、USB≥1；USB接口可外接U盘设备对音箱固件进行升级；距离音箱10米处声压级≥75dB。</w:t>
            </w:r>
          </w:p>
          <w:p>
            <w:pPr>
              <w:widowControl/>
              <w:numPr>
                <w:ilvl w:val="0"/>
                <w:numId w:val="8"/>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麦克风和功放音箱之间采用数字Wi-Fi传输技术；配置独立音频数字信号处理芯片，支持啸叫抑制功能。</w:t>
            </w:r>
          </w:p>
          <w:p>
            <w:pPr>
              <w:widowControl/>
              <w:numPr>
                <w:ilvl w:val="0"/>
                <w:numId w:val="8"/>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教师扩声和输入音源叠加输出；支持蓝牙无线接收，可分享移动设备上的音频。支持密码模式，防止恶意连接；支持安卓手机通过蓝牙无线连接音箱，实现控制有源音箱的音量、设置蓝牙名称、设置蓝牙密码等功能。</w:t>
            </w:r>
          </w:p>
          <w:p>
            <w:pPr>
              <w:widowControl/>
              <w:numPr>
                <w:ilvl w:val="0"/>
                <w:numId w:val="8"/>
              </w:numPr>
              <w:ind w:firstLineChars="0"/>
              <w:jc w:val="left"/>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支持教室内大屏显示设备通过蓝牙无线连接音箱，实现快速控制有源音箱音量的功能。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二、麦克风：</w:t>
            </w:r>
          </w:p>
          <w:p>
            <w:pPr>
              <w:widowControl/>
              <w:numPr>
                <w:ilvl w:val="0"/>
                <w:numId w:val="9"/>
              </w:numPr>
              <w:ind w:firstLineChars="0"/>
              <w:jc w:val="left"/>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无线麦克风集音频发射处理器、天线、电池、拾音麦克风于一体，配合一体化有源音箱，可在5S内快速完成与教学扩声音箱对码，无需任何外接辅助设备即可实现本地扩声功能。</w:t>
            </w:r>
          </w:p>
          <w:p>
            <w:pPr>
              <w:widowControl/>
              <w:numPr>
                <w:ilvl w:val="0"/>
                <w:numId w:val="9"/>
              </w:numPr>
              <w:ind w:firstLineChars="0"/>
              <w:jc w:val="left"/>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用Wi-Fi射频频段传输，有效避免环境中运营商信号干扰；支持2.4GHz与5.0GHz双频段工作。</w:t>
            </w:r>
          </w:p>
          <w:p>
            <w:pPr>
              <w:widowControl/>
              <w:numPr>
                <w:ilvl w:val="0"/>
                <w:numId w:val="9"/>
              </w:numPr>
              <w:ind w:firstLineChars="0"/>
              <w:jc w:val="left"/>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电续航时间≥5小时，有效工作距离≥15米。</w:t>
            </w:r>
          </w:p>
          <w:p>
            <w:pPr>
              <w:widowControl/>
              <w:numPr>
                <w:ilvl w:val="0"/>
                <w:numId w:val="9"/>
              </w:numPr>
              <w:ind w:firstLineChars="0"/>
              <w:jc w:val="left"/>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支持两个无线麦克风同时配对一个音箱使用，实现两个麦克风混音输出进行扩音。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三、其他要求：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要求质保不低于三年，签订合同时提供原厂质保承诺函，提供国家认可的检测机构出具的相关检测报告。</w:t>
            </w:r>
          </w:p>
        </w:tc>
        <w:tc>
          <w:tcPr>
            <w:tcW w:w="340" w:type="pct"/>
            <w:tcBorders>
              <w:tl2br w:val="nil"/>
              <w:tr2bl w:val="nil"/>
            </w:tcBorders>
            <w:shd w:val="clear" w:color="auto" w:fill="auto"/>
            <w:noWrap/>
            <w:vAlign w:val="center"/>
          </w:tcPr>
          <w:p>
            <w:pPr>
              <w:widowControl/>
              <w:ind w:firstLine="0" w:firstLineChars="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20</w:t>
            </w:r>
          </w:p>
        </w:tc>
        <w:tc>
          <w:tcPr>
            <w:tcW w:w="260" w:type="pct"/>
            <w:tcBorders>
              <w:tl2br w:val="nil"/>
              <w:tr2bl w:val="nil"/>
            </w:tcBorders>
            <w:shd w:val="clear" w:color="auto" w:fill="auto"/>
            <w:noWrap/>
            <w:vAlign w:val="center"/>
          </w:tcPr>
          <w:p>
            <w:pPr>
              <w:widowControl/>
              <w:ind w:firstLine="0" w:firstLineChars="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3" w:hRule="atLeast"/>
        </w:trPr>
        <w:tc>
          <w:tcPr>
            <w:tcW w:w="215" w:type="pct"/>
            <w:tcBorders>
              <w:tl2br w:val="nil"/>
              <w:tr2bl w:val="nil"/>
            </w:tcBorders>
            <w:shd w:val="clear" w:color="auto" w:fill="auto"/>
            <w:vAlign w:val="center"/>
          </w:tcPr>
          <w:p>
            <w:pPr>
              <w:widowControl/>
              <w:ind w:firstLine="210" w:firstLineChars="10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5</w:t>
            </w:r>
          </w:p>
        </w:tc>
        <w:tc>
          <w:tcPr>
            <w:tcW w:w="367" w:type="pct"/>
            <w:tcBorders>
              <w:tl2br w:val="nil"/>
              <w:tr2bl w:val="nil"/>
            </w:tcBorders>
            <w:shd w:val="clear" w:color="auto" w:fill="auto"/>
            <w:vAlign w:val="center"/>
          </w:tcPr>
          <w:p>
            <w:pPr>
              <w:widowControl/>
              <w:ind w:firstLine="0" w:firstLineChars="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校级教学管理平台</w:t>
            </w:r>
          </w:p>
        </w:tc>
        <w:tc>
          <w:tcPr>
            <w:tcW w:w="3815" w:type="pct"/>
            <w:tcBorders>
              <w:tl2br w:val="nil"/>
              <w:tr2bl w:val="nil"/>
            </w:tcBorders>
            <w:shd w:val="clear" w:color="auto" w:fill="auto"/>
            <w:vAlign w:val="center"/>
          </w:tcPr>
          <w:p>
            <w:pPr>
              <w:widowControl/>
              <w:numPr>
                <w:ilvl w:val="0"/>
                <w:numId w:val="10"/>
              </w:numPr>
              <w:ind w:firstLine="42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整体设计</w:t>
            </w:r>
          </w:p>
          <w:p>
            <w:pPr>
              <w:widowControl/>
              <w:numPr>
                <w:ilvl w:val="0"/>
                <w:numId w:val="11"/>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系统采用模块化的架构设计B/S架构，通过浏览器打开即可使用教师空间中的各项功能模块，微信扫码登录/账号密码登录完成鉴权。</w:t>
            </w:r>
          </w:p>
          <w:p>
            <w:pPr>
              <w:widowControl/>
              <w:numPr>
                <w:ilvl w:val="0"/>
                <w:numId w:val="11"/>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平台需采用一体化设计，集管理与教学模块于一体，包括设备管理、教学教研、应用工具及其他基础信息模块，满足用户一站式教学教研管理体验。</w:t>
            </w:r>
          </w:p>
          <w:p>
            <w:pPr>
              <w:widowControl/>
              <w:numPr>
                <w:ilvl w:val="0"/>
                <w:numId w:val="11"/>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支持管理员手动添加教职工；支持导出，查询，删除教职工；教职工支持设置部门组织架构。</w:t>
            </w:r>
          </w:p>
          <w:p>
            <w:pPr>
              <w:widowControl/>
              <w:numPr>
                <w:ilvl w:val="0"/>
                <w:numId w:val="11"/>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支持自定义角色组，针对不同角色设置不同功能权限，支持自定义角色的管理范围。</w:t>
            </w:r>
          </w:p>
          <w:p>
            <w:pPr>
              <w:pStyle w:val="29"/>
              <w:widowControl/>
              <w:numPr>
                <w:ilvl w:val="0"/>
                <w:numId w:val="12"/>
              </w:numPr>
              <w:spacing w:line="240" w:lineRule="auto"/>
              <w:ind w:firstLine="0" w:firstLineChars="0"/>
              <w:rPr>
                <w:rFonts w:asciiTheme="minorEastAsia" w:hAnsiTheme="minorEastAsia" w:eastAsiaTheme="minorEastAsia" w:cstheme="minorEastAsia"/>
                <w:kern w:val="0"/>
                <w:sz w:val="21"/>
                <w:szCs w:val="21"/>
                <w:shd w:val="clear" w:color="auto" w:fill="FFFFFF" w:themeFill="background1"/>
              </w:rPr>
            </w:pPr>
            <w:r>
              <w:rPr>
                <w:rFonts w:hint="eastAsia" w:asciiTheme="minorEastAsia" w:hAnsiTheme="minorEastAsia" w:eastAsiaTheme="minorEastAsia" w:cstheme="minorEastAsia"/>
                <w:kern w:val="0"/>
                <w:sz w:val="21"/>
                <w:szCs w:val="21"/>
              </w:rPr>
              <w:t>支持展示学校绑定的教育装备，支持实时查看在线的教育装备（智慧黑板、交互智能平板等），点击可进入巡视界面。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二、设备管理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（1）本次设备管理需共包含20个授权点位（共2所学校）。</w:t>
            </w:r>
          </w:p>
          <w:p>
            <w:pPr>
              <w:widowControl/>
              <w:ind w:firstLine="0"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（2）电教工作台：</w:t>
            </w:r>
          </w:p>
          <w:p>
            <w:pPr>
              <w:widowControl/>
              <w:numPr>
                <w:ilvl w:val="0"/>
                <w:numId w:val="13"/>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支持老师自行根据管理需要设置显隐组件，来定制专属工作台。</w:t>
            </w:r>
          </w:p>
          <w:p>
            <w:pPr>
              <w:widowControl/>
              <w:numPr>
                <w:ilvl w:val="0"/>
                <w:numId w:val="13"/>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支持通过设备总览组件快捷查看学校所有设备实时状态及达标情况，以掌握设备应用于教学过程的流畅状态。</w:t>
            </w:r>
          </w:p>
          <w:p>
            <w:pPr>
              <w:widowControl/>
              <w:numPr>
                <w:ilvl w:val="0"/>
                <w:numId w:val="13"/>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支持通过设备巡视组件实时了解教室和设备的情况，满足纪律监管、教研评课等场景。</w:t>
            </w:r>
          </w:p>
          <w:p>
            <w:pPr>
              <w:widowControl/>
              <w:numPr>
                <w:ilvl w:val="0"/>
                <w:numId w:val="13"/>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支持实时展示≥20台设备的运行画面，并支持切换画面模式/列表模式；支持根据设备类型、设备所属年级/场地/自定义分组、设备开关机状态进行分组管理；支持文字检索设备名称。</w:t>
            </w:r>
          </w:p>
          <w:p>
            <w:pPr>
              <w:widowControl/>
              <w:numPr>
                <w:ilvl w:val="0"/>
                <w:numId w:val="13"/>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支持通过设备使用情况组件了解设备活跃分布及长时间未使用的设备情况，设置智能策略来达到减缓设备寿命衰减的目的。</w:t>
            </w:r>
          </w:p>
          <w:p>
            <w:pPr>
              <w:widowControl/>
              <w:numPr>
                <w:ilvl w:val="0"/>
                <w:numId w:val="13"/>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支持通过软件使用情况组件掌握学校教师常用的教学软件，快速拦截风险应用以保障教学顺利开展。</w:t>
            </w:r>
          </w:p>
          <w:p>
            <w:pPr>
              <w:widowControl/>
              <w:numPr>
                <w:ilvl w:val="0"/>
                <w:numId w:val="13"/>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支持通过老师使用情况了解教师对信息化设备的使用率，以辅助了解老师信息化水平。</w:t>
            </w:r>
          </w:p>
          <w:p>
            <w:pPr>
              <w:widowControl/>
              <w:numPr>
                <w:ilvl w:val="0"/>
                <w:numId w:val="13"/>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支持通过网站访问情况了解设备上使用的常用网址，并可快速设置黑名单来禁止设备上的违规访问行为。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（3）设备巡视：</w:t>
            </w:r>
          </w:p>
          <w:p>
            <w:pPr>
              <w:widowControl/>
              <w:numPr>
                <w:ilvl w:val="0"/>
                <w:numId w:val="14"/>
              </w:numPr>
              <w:ind w:firstLine="400"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同时最多查看≥9个教室的实时摄像头画面、设备屏幕画面；支持在一个显示界面同时查看单个教室内所有屏幕、所有摄像头的实时画面，以及所有麦克风的声音，其中摄像头画面可直接使用班班通自带摄像头；支持批量将学校已有网络摄像头导入系统内；单台设备巡视时，支持远程发送文本消息、语音消息，支持记录备注、听课评价；支持巡视日志功能，可以回溯管理员的巡视记录。</w:t>
            </w:r>
          </w:p>
          <w:p>
            <w:pPr>
              <w:widowControl/>
              <w:numPr>
                <w:ilvl w:val="0"/>
                <w:numId w:val="14"/>
              </w:numPr>
              <w:ind w:firstLine="400"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支持自定义巡视水印类型、水印内容及水印颜色等设置，设置水印后，巡视过程中的摄像头画面和设备屏幕画面都会增加水印信息。</w:t>
            </w:r>
          </w:p>
          <w:p>
            <w:pPr>
              <w:widowControl/>
              <w:numPr>
                <w:ilvl w:val="0"/>
                <w:numId w:val="14"/>
              </w:numPr>
              <w:ind w:firstLine="400"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通过移动端快捷访问设备所处班级的教室情况，并可针对设备做基础管控操作；支持管理者为老师分配掌上看班的设备权限；支持通过设备维度快速了解拥有该班实时画面查看权限的老师列表，更方便管理；所有权限调整均配备操作日志，便于出现问题后回溯原因。</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（4）设备安全及管控：</w:t>
            </w:r>
          </w:p>
          <w:p>
            <w:pPr>
              <w:widowControl/>
              <w:numPr>
                <w:ilvl w:val="0"/>
                <w:numId w:val="15"/>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支持一键开启弹窗拦截，支持查看学校当前已上报的所有疑似风险窗口和上报次数，并支持拦截某个应用所有窗口、某个具体窗口；同时支持将某个应用、某个具体窗口加入白名单，不对软件进行拦截。</w:t>
            </w:r>
          </w:p>
          <w:p>
            <w:pPr>
              <w:widowControl/>
              <w:numPr>
                <w:ilvl w:val="0"/>
                <w:numId w:val="15"/>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支持设置网址访问黑名单、白名单，限制所有设备的网址访问。</w:t>
            </w:r>
          </w:p>
          <w:p>
            <w:pPr>
              <w:widowControl/>
              <w:numPr>
                <w:ilvl w:val="0"/>
                <w:numId w:val="15"/>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支持查看校内当日班班通设备流量使用的具体情况、带宽利用率；支持对设备进行限速设置。</w:t>
            </w:r>
          </w:p>
          <w:p>
            <w:pPr>
              <w:widowControl/>
              <w:numPr>
                <w:ilvl w:val="0"/>
                <w:numId w:val="15"/>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支持远程批量清理设备磁盘；支持清理指定磁盘的指定文件夹；支持清理系统盘备份、缓存、日志等垃圾文件；支持迁移系统盘视频、图片、音乐、文档文件；支持格式化非系统盘磁盘。</w:t>
            </w:r>
          </w:p>
          <w:p>
            <w:pPr>
              <w:widowControl/>
              <w:numPr>
                <w:ilvl w:val="0"/>
                <w:numId w:val="15"/>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支持远程批量设置设备的冰冻状态；支持远程向已冰冻的设备发送指令、安装软件、在设备正常关机时触发穿透动作，穿透完成后即可使用已安装软件、执行已接收指令，穿透过程中无需人为解冻。</w:t>
            </w:r>
          </w:p>
          <w:p>
            <w:pPr>
              <w:widowControl/>
              <w:numPr>
                <w:ilvl w:val="0"/>
                <w:numId w:val="15"/>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支持查看设备当前使用老师信息，以及最近一次设备解锁时间、解锁方式、解锁老师。</w:t>
            </w:r>
          </w:p>
          <w:p>
            <w:pPr>
              <w:widowControl/>
              <w:numPr>
                <w:ilvl w:val="0"/>
                <w:numId w:val="15"/>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设置即时、定时、循环模式的关机、重启、打铃、锁屏/解锁指令。其中打铃指令支持上传自定义铃声、设置播放时长；支持查看、编辑和撤销待执行指令；支持查看已执行指令情况、指令执行实时状态；支持查看设备操作日志，记录设备每次解锁方式、解锁时间、解锁人信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（5）设备治理：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支持设备盘点功能：快速筛选全校所有设备各项指标的达标率，快速定位和识别问题设备；支持单设备查看详情，掌握设备的基础参数，以及各项指标的明细数据；支持快速导出全校所有设备的网络状态、硬件参数、流畅度、安全防护服务开启情况，方便学校盘点设备使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（6）校园宣传：</w:t>
            </w:r>
          </w:p>
          <w:p>
            <w:pPr>
              <w:widowControl/>
              <w:numPr>
                <w:ilvl w:val="0"/>
                <w:numId w:val="16"/>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系统内置图片宣传资源、视频宣传资源、海报模板，可直接选择进行发布，宣传内容包含但不限于劳动教育、卫生健康、心理健康教育、安全教育、理想信念教育、生态文明教育、名校介绍、党建文化主题内容。</w:t>
            </w:r>
          </w:p>
          <w:p>
            <w:pPr>
              <w:widowControl/>
              <w:numPr>
                <w:ilvl w:val="0"/>
                <w:numId w:val="16"/>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面向班班通设备、班牌设备、校园屏显设备发送节目单指令；支持实时预览内容，支持设置按照每周循环播放、指定日期播放、自定义日期播放三种节目播放机制；支持播完即结束、指定时间循环播两种循环模式；支持同时添加5个以上的不同播放周期，进行定时播放。</w:t>
            </w:r>
          </w:p>
          <w:p>
            <w:pPr>
              <w:widowControl/>
              <w:numPr>
                <w:ilvl w:val="0"/>
                <w:numId w:val="16"/>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系统支持多位老师同时向不同设备发起直播，直播方式包含纯桌面直播、视频直播、音频直播、桌面+视频直播方式；直播过程中支持增、删接收直播观看的班班通设备；支持实时查看收看端教室画面；支持切换直播画质清晰度；支持实时查看直播源码率、FPS数据。</w:t>
            </w:r>
          </w:p>
          <w:p>
            <w:pPr>
              <w:widowControl/>
              <w:numPr>
                <w:ilvl w:val="0"/>
                <w:numId w:val="10"/>
              </w:numPr>
              <w:ind w:firstLine="0"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教学教研：</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（1）数据看板：</w:t>
            </w:r>
          </w:p>
          <w:p>
            <w:pPr>
              <w:widowControl/>
              <w:numPr>
                <w:ilvl w:val="0"/>
                <w:numId w:val="17"/>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支持管理者通过可视化看板，查看学校云课件教案数、累计校本研修次数等情况，掌握学校教研关键数据。</w:t>
            </w:r>
          </w:p>
          <w:p>
            <w:pPr>
              <w:widowControl/>
              <w:numPr>
                <w:ilvl w:val="0"/>
                <w:numId w:val="17"/>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支持展示学校资源建设情况，如云课件、云教案数量，及校本资源库建设情况，通过榜单呈现教师产出的课件/教案被获取数，提供教师评价根源。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（2）行政管理：</w:t>
            </w:r>
          </w:p>
          <w:p>
            <w:pPr>
              <w:widowControl/>
              <w:numPr>
                <w:ilvl w:val="0"/>
                <w:numId w:val="18"/>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管理员自定义构建部门，通过多种方式邀请教师入校，包含直接导入教师、链接邀请入校、二维码邀请入校，支持以姓名、手机尾号快速搜索教师；支持修改管理员、教师的账号信息，包括学段学科，部门及权限设置。</w:t>
            </w:r>
          </w:p>
          <w:p>
            <w:pPr>
              <w:widowControl/>
              <w:numPr>
                <w:ilvl w:val="0"/>
                <w:numId w:val="18"/>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支持管理者按照学段-学科-年级创建教师的教研组织结构，对教师做分组管理；支持设置教研组组长，并在教研组下设置多个备课组，添加对应的备课组成员，支持对教研组/备课组进行重命名和解散等操作。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（3）教研管理中心：</w:t>
            </w:r>
          </w:p>
          <w:p>
            <w:pPr>
              <w:widowControl/>
              <w:numPr>
                <w:ilvl w:val="0"/>
                <w:numId w:val="19"/>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集体备课管理：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①集体备课查看：可查看集备的开展统计情况及老师参与集备的记录；支持以时间、学科进行筛选，支持输入集备名称/主备人名称，进行全局搜索。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②集体备课记录：支持查看集备名称，主备人、所属学科、年级、参备老师数、稿数、浏览数、评论数、批注数、评论点赞数、集备状态和创建时间等数据；管理员可随时查看学校集备详情，查看集备的详细内容并给予指导评论，同时支持管理员删除集备活动和导出集体备课记录数据表格。</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③教师集备记录：支持查看以老师维度统计的集备记录，查看老师所属学段学科、发起次数、参备次数、评论数、批注数、最近集备时间等数据；支持管理员导出教师集备记录数据表格。</w:t>
            </w:r>
          </w:p>
          <w:p>
            <w:pPr>
              <w:widowControl/>
              <w:numPr>
                <w:ilvl w:val="0"/>
                <w:numId w:val="19"/>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听课评课管理：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①听课评课查看：可查看课程的评价统计情况及教师对课程的评价记录。支持以时间、评课表、学科进行筛选，支持输入课程名称/老师名称，进行全局搜索。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②课程评价记录：支持查看以课程维度的评价记录，包括课件名称、授课老师、所属学科、本节课的评课人数、总评价平均分及授课时间，通过点击操作“详情”可查看具体评价情况，支持管理员删除评价记录和导出课程评价记录数据表格。</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③评课报告：点击课程详情可以查看评课报告，可以查看该课程的总分和各板块得分，支持导出为PDF文件。</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④老师评课明细：支持查看课程下所有老师的评课表，可以批量导出为Word文件。</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⑥教师评课记录：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⑦评课表管理：支持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（4）教研数据中心：</w:t>
            </w:r>
          </w:p>
          <w:p>
            <w:pPr>
              <w:widowControl/>
              <w:numPr>
                <w:ilvl w:val="0"/>
                <w:numId w:val="20"/>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备课数据：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pPr>
              <w:widowControl/>
              <w:numPr>
                <w:ilvl w:val="0"/>
                <w:numId w:val="21"/>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听课评课数据：支持全校听评课数据统一汇总，数据包含全校本月评课节数，本月评课次数，累计评课节数和累计评课次数，了解听评课教研活动的开展情况；支持对不同评课维度得分进行统计，计算平均分并找出评分薄弱项，同时支持查看全校的课程评价记录和得分详情、教师评价记录，并可一键导出Excel表格。</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（5）资源中心：</w:t>
            </w:r>
          </w:p>
          <w:p>
            <w:pPr>
              <w:widowControl/>
              <w:numPr>
                <w:ilvl w:val="0"/>
                <w:numId w:val="22"/>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目录框架搭建：校本资源库提供学科目录模板/教材目录模板，管理者可搭建校本资源目录框架，以文件夹的形式进行分组，进行各年级学科的资源管理。</w:t>
            </w:r>
          </w:p>
          <w:p>
            <w:pPr>
              <w:widowControl/>
              <w:numPr>
                <w:ilvl w:val="0"/>
                <w:numId w:val="22"/>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权限设置：支持以文件夹的维度进行权限设置，设置某个文件夹仅有权限的部门或者老师可见，同时支持按文件夹的维度进行课件的批量移动、删除。</w:t>
            </w:r>
          </w:p>
          <w:p>
            <w:pPr>
              <w:widowControl/>
              <w:numPr>
                <w:ilvl w:val="0"/>
                <w:numId w:val="22"/>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资源搜索：支持树形结构目录，进行资源分类及查找，支持全局资源搜索，按年级、学科筛选资源，支持查找资源后定位到当前资源文件夹。</w:t>
            </w:r>
          </w:p>
          <w:p>
            <w:pPr>
              <w:widowControl/>
              <w:numPr>
                <w:ilvl w:val="0"/>
                <w:numId w:val="22"/>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查看及预览：支持查看资源文件夹的创建者，资源的上传作者，更新时间、校本容量等数据。校本资源支持在线预览。</w:t>
            </w:r>
          </w:p>
          <w:p>
            <w:pPr>
              <w:widowControl/>
              <w:numPr>
                <w:ilvl w:val="0"/>
                <w:numId w:val="22"/>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资源管理：管理员可对校本资源进行分类移动，删除或重命名，资源目录在编辑的界面支持同级拖拽移动。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（6）教师空间：</w:t>
            </w:r>
          </w:p>
          <w:p>
            <w:pPr>
              <w:widowControl/>
              <w:numPr>
                <w:ilvl w:val="0"/>
                <w:numId w:val="23"/>
              </w:numPr>
              <w:ind w:firstLine="400"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教师可对个人云空间进行管理，支持输入课件名称进行搜索及图片、音视频、文档等的上传，并支持将任意资源分享至校本资源库。</w:t>
            </w:r>
          </w:p>
          <w:p>
            <w:pPr>
              <w:widowControl/>
              <w:numPr>
                <w:ilvl w:val="0"/>
                <w:numId w:val="23"/>
              </w:numPr>
              <w:ind w:firstLine="400"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支持对空间中课件等资源进行分享至校本资料夹，也可以加入资源包进行备授课调用。</w:t>
            </w:r>
          </w:p>
          <w:p>
            <w:pPr>
              <w:widowControl/>
              <w:numPr>
                <w:ilvl w:val="0"/>
                <w:numId w:val="23"/>
              </w:numPr>
              <w:ind w:firstLine="400"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支持教师在空间中直接访问校本资源库，对校本资源库的资源进行保存至个人空间进行调用。</w:t>
            </w:r>
          </w:p>
          <w:p>
            <w:pPr>
              <w:widowControl/>
              <w:numPr>
                <w:ilvl w:val="0"/>
                <w:numId w:val="23"/>
              </w:numPr>
              <w:ind w:firstLine="400" w:firstLineChars="0"/>
              <w:jc w:val="left"/>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支持教师在资源中心课件库中点击所需课件进行预览，并可直接在预览时体验课件交互，包括体验课件动画、学科工具、思维导图、课堂活动等功能。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四、其他要求：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提供软件著作权登记证书复印件、提供国家认可的检测机构出具的相关检测报告，要求质保及服务至少三年。</w:t>
            </w:r>
          </w:p>
        </w:tc>
        <w:tc>
          <w:tcPr>
            <w:tcW w:w="340" w:type="pct"/>
            <w:tcBorders>
              <w:tl2br w:val="nil"/>
              <w:tr2bl w:val="nil"/>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w:t>
            </w:r>
          </w:p>
        </w:tc>
        <w:tc>
          <w:tcPr>
            <w:tcW w:w="260" w:type="pct"/>
            <w:tcBorders>
              <w:tl2br w:val="nil"/>
              <w:tr2bl w:val="nil"/>
            </w:tcBorders>
            <w:shd w:val="clear" w:color="auto" w:fill="auto"/>
            <w:vAlign w:val="center"/>
          </w:tcPr>
          <w:p>
            <w:pPr>
              <w:widowControl/>
              <w:ind w:firstLine="420"/>
              <w:jc w:val="center"/>
              <w:textAlignment w:val="center"/>
              <w:rPr>
                <w:rFonts w:asciiTheme="minorEastAsia" w:hAnsiTheme="minorEastAsia" w:eastAsiaTheme="minorEastAsia" w:cstheme="minorEastAsia"/>
                <w:kern w:val="0"/>
                <w:sz w:val="21"/>
                <w:szCs w:val="21"/>
              </w:rPr>
            </w:pPr>
          </w:p>
          <w:p>
            <w:pPr>
              <w:widowControl/>
              <w:ind w:firstLine="210" w:firstLineChars="100"/>
              <w:jc w:val="center"/>
              <w:textAlignment w:val="center"/>
              <w:rPr>
                <w:rFonts w:asciiTheme="minorEastAsia" w:hAnsiTheme="minorEastAsia" w:eastAsiaTheme="minorEastAsia" w:cstheme="minorEastAsia"/>
                <w:kern w:val="0"/>
                <w:sz w:val="21"/>
                <w:szCs w:val="21"/>
              </w:rPr>
            </w:pPr>
          </w:p>
          <w:p>
            <w:pPr>
              <w:widowControl/>
              <w:ind w:firstLine="0" w:firstLineChars="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套</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br w:type="textWrapp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2" w:hRule="atLeast"/>
        </w:trPr>
        <w:tc>
          <w:tcPr>
            <w:tcW w:w="215" w:type="pct"/>
            <w:tcBorders>
              <w:tl2br w:val="nil"/>
              <w:tr2bl w:val="nil"/>
            </w:tcBorders>
            <w:shd w:val="clear" w:color="auto" w:fill="FFFFFF" w:themeFill="background1"/>
            <w:vAlign w:val="center"/>
          </w:tcPr>
          <w:p>
            <w:pPr>
              <w:widowControl/>
              <w:spacing w:line="260" w:lineRule="exact"/>
              <w:ind w:firstLine="420"/>
              <w:jc w:val="center"/>
              <w:textAlignment w:val="center"/>
              <w:rPr>
                <w:rFonts w:asciiTheme="minorEastAsia" w:hAnsiTheme="minorEastAsia" w:eastAsiaTheme="minorEastAsia" w:cstheme="minorEastAsia"/>
                <w:kern w:val="0"/>
                <w:sz w:val="21"/>
                <w:szCs w:val="21"/>
                <w:highlight w:val="yellow"/>
                <w:lang w:bidi="ar"/>
              </w:rPr>
            </w:pPr>
          </w:p>
          <w:p>
            <w:pPr>
              <w:widowControl/>
              <w:spacing w:line="260" w:lineRule="exact"/>
              <w:ind w:firstLine="420"/>
              <w:jc w:val="center"/>
              <w:textAlignment w:val="center"/>
              <w:rPr>
                <w:rFonts w:asciiTheme="minorEastAsia" w:hAnsiTheme="minorEastAsia" w:eastAsiaTheme="minorEastAsia" w:cstheme="minorEastAsia"/>
                <w:kern w:val="0"/>
                <w:sz w:val="21"/>
                <w:szCs w:val="21"/>
                <w:highlight w:val="yellow"/>
                <w:lang w:bidi="ar"/>
              </w:rPr>
            </w:pPr>
          </w:p>
          <w:p>
            <w:pPr>
              <w:widowControl/>
              <w:spacing w:line="260" w:lineRule="exact"/>
              <w:ind w:firstLine="420"/>
              <w:jc w:val="center"/>
              <w:textAlignment w:val="center"/>
              <w:rPr>
                <w:rFonts w:asciiTheme="minorEastAsia" w:hAnsiTheme="minorEastAsia" w:eastAsiaTheme="minorEastAsia" w:cstheme="minorEastAsia"/>
                <w:kern w:val="0"/>
                <w:sz w:val="21"/>
                <w:szCs w:val="21"/>
                <w:highlight w:val="yellow"/>
                <w:lang w:bidi="ar"/>
              </w:rPr>
            </w:pPr>
          </w:p>
          <w:p>
            <w:pPr>
              <w:widowControl/>
              <w:spacing w:line="260" w:lineRule="exact"/>
              <w:ind w:firstLine="420"/>
              <w:jc w:val="center"/>
              <w:textAlignment w:val="center"/>
              <w:rPr>
                <w:rFonts w:asciiTheme="minorEastAsia" w:hAnsiTheme="minorEastAsia" w:eastAsiaTheme="minorEastAsia" w:cstheme="minorEastAsia"/>
                <w:kern w:val="0"/>
                <w:sz w:val="21"/>
                <w:szCs w:val="21"/>
                <w:highlight w:val="yellow"/>
                <w:lang w:bidi="ar"/>
              </w:rPr>
            </w:pPr>
          </w:p>
          <w:p>
            <w:pPr>
              <w:widowControl/>
              <w:spacing w:line="260" w:lineRule="exact"/>
              <w:ind w:firstLine="420"/>
              <w:jc w:val="center"/>
              <w:textAlignment w:val="center"/>
              <w:rPr>
                <w:rFonts w:asciiTheme="minorEastAsia" w:hAnsiTheme="minorEastAsia" w:eastAsiaTheme="minorEastAsia" w:cstheme="minorEastAsia"/>
                <w:kern w:val="0"/>
                <w:sz w:val="21"/>
                <w:szCs w:val="21"/>
                <w:highlight w:val="yellow"/>
                <w:lang w:bidi="ar"/>
              </w:rPr>
            </w:pPr>
          </w:p>
          <w:p>
            <w:pPr>
              <w:widowControl/>
              <w:spacing w:line="260" w:lineRule="exact"/>
              <w:ind w:firstLine="420"/>
              <w:jc w:val="center"/>
              <w:textAlignment w:val="center"/>
              <w:rPr>
                <w:rFonts w:asciiTheme="minorEastAsia" w:hAnsiTheme="minorEastAsia" w:eastAsiaTheme="minorEastAsia" w:cstheme="minorEastAsia"/>
                <w:kern w:val="0"/>
                <w:sz w:val="21"/>
                <w:szCs w:val="21"/>
                <w:highlight w:val="yellow"/>
                <w:lang w:bidi="ar"/>
              </w:rPr>
            </w:pPr>
          </w:p>
          <w:p>
            <w:pPr>
              <w:widowControl/>
              <w:spacing w:line="260" w:lineRule="exact"/>
              <w:ind w:firstLine="420"/>
              <w:jc w:val="center"/>
              <w:textAlignment w:val="center"/>
              <w:rPr>
                <w:rFonts w:asciiTheme="minorEastAsia" w:hAnsiTheme="minorEastAsia" w:eastAsiaTheme="minorEastAsia" w:cstheme="minorEastAsia"/>
                <w:kern w:val="0"/>
                <w:sz w:val="21"/>
                <w:szCs w:val="21"/>
                <w:highlight w:val="yellow"/>
                <w:lang w:bidi="ar"/>
              </w:rPr>
            </w:pPr>
          </w:p>
          <w:p>
            <w:pPr>
              <w:widowControl/>
              <w:spacing w:line="260" w:lineRule="exact"/>
              <w:ind w:firstLine="420"/>
              <w:jc w:val="center"/>
              <w:textAlignment w:val="center"/>
              <w:rPr>
                <w:rFonts w:asciiTheme="minorEastAsia" w:hAnsiTheme="minorEastAsia" w:eastAsiaTheme="minorEastAsia" w:cstheme="minorEastAsia"/>
                <w:kern w:val="0"/>
                <w:sz w:val="21"/>
                <w:szCs w:val="21"/>
                <w:highlight w:val="yellow"/>
                <w:lang w:bidi="ar"/>
              </w:rPr>
            </w:pPr>
          </w:p>
          <w:p>
            <w:pPr>
              <w:widowControl/>
              <w:spacing w:line="260" w:lineRule="exact"/>
              <w:ind w:firstLine="210" w:firstLineChars="100"/>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sz w:val="21"/>
                <w:szCs w:val="21"/>
              </w:rPr>
              <w:t>6</w:t>
            </w:r>
          </w:p>
        </w:tc>
        <w:tc>
          <w:tcPr>
            <w:tcW w:w="367" w:type="pct"/>
            <w:tcBorders>
              <w:tl2br w:val="nil"/>
              <w:tr2bl w:val="nil"/>
            </w:tcBorders>
            <w:shd w:val="clear" w:color="auto" w:fill="FFFFFF" w:themeFill="background1"/>
            <w:vAlign w:val="center"/>
          </w:tcPr>
          <w:p>
            <w:pPr>
              <w:spacing w:before="120" w:line="260" w:lineRule="exact"/>
              <w:ind w:firstLine="420"/>
              <w:jc w:val="left"/>
              <w:rPr>
                <w:rFonts w:asciiTheme="minorEastAsia" w:hAnsiTheme="minorEastAsia" w:eastAsiaTheme="minorEastAsia" w:cstheme="minorEastAsia"/>
                <w:sz w:val="21"/>
                <w:szCs w:val="21"/>
                <w:highlight w:val="yellow"/>
              </w:rPr>
            </w:pPr>
          </w:p>
          <w:p>
            <w:pPr>
              <w:spacing w:before="120" w:line="260" w:lineRule="exact"/>
              <w:ind w:firstLine="420"/>
              <w:jc w:val="left"/>
              <w:rPr>
                <w:rFonts w:asciiTheme="minorEastAsia" w:hAnsiTheme="minorEastAsia" w:eastAsiaTheme="minorEastAsia" w:cstheme="minorEastAsia"/>
                <w:sz w:val="21"/>
                <w:szCs w:val="21"/>
                <w:highlight w:val="yellow"/>
              </w:rPr>
            </w:pPr>
          </w:p>
          <w:p>
            <w:pPr>
              <w:spacing w:before="120" w:line="260" w:lineRule="exact"/>
              <w:ind w:firstLine="420"/>
              <w:jc w:val="left"/>
              <w:rPr>
                <w:rFonts w:asciiTheme="minorEastAsia" w:hAnsiTheme="minorEastAsia" w:eastAsiaTheme="minorEastAsia" w:cstheme="minorEastAsia"/>
                <w:sz w:val="21"/>
                <w:szCs w:val="21"/>
                <w:highlight w:val="yellow"/>
              </w:rPr>
            </w:pPr>
          </w:p>
          <w:p>
            <w:pPr>
              <w:spacing w:before="120" w:line="260" w:lineRule="exact"/>
              <w:ind w:firstLine="420"/>
              <w:jc w:val="left"/>
              <w:rPr>
                <w:rFonts w:asciiTheme="minorEastAsia" w:hAnsiTheme="minorEastAsia" w:eastAsiaTheme="minorEastAsia" w:cstheme="minorEastAsia"/>
                <w:sz w:val="21"/>
                <w:szCs w:val="21"/>
                <w:highlight w:val="yellow"/>
              </w:rPr>
            </w:pPr>
          </w:p>
          <w:p>
            <w:pPr>
              <w:spacing w:before="120" w:line="260" w:lineRule="exact"/>
              <w:ind w:firstLine="0" w:firstLineChars="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sz w:val="21"/>
                <w:szCs w:val="21"/>
              </w:rPr>
              <w:t>课堂质量分析系统</w:t>
            </w:r>
          </w:p>
        </w:tc>
        <w:tc>
          <w:tcPr>
            <w:tcW w:w="3815" w:type="pct"/>
            <w:tcBorders>
              <w:tl2br w:val="nil"/>
              <w:tr2bl w:val="nil"/>
            </w:tcBorders>
            <w:shd w:val="clear" w:color="auto" w:fill="FFFFFF" w:themeFill="background1"/>
          </w:tcPr>
          <w:p>
            <w:pPr>
              <w:widowControl/>
              <w:ind w:firstLine="0"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一、算力模块：</w:t>
            </w:r>
          </w:p>
          <w:p>
            <w:pPr>
              <w:widowControl/>
              <w:numPr>
                <w:ilvl w:val="0"/>
                <w:numId w:val="24"/>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整机接口非外接拓展，≥2路千兆以太网交换接口，一路连接外网（学校网络），一路连接多媒体教学设备（一体机/智慧黑板）；</w:t>
            </w:r>
          </w:p>
          <w:p>
            <w:pPr>
              <w:widowControl/>
              <w:numPr>
                <w:ilvl w:val="0"/>
                <w:numId w:val="24"/>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支持工作状态LED指示灯，通过不同颜色显示“正常工作”、“故障”及“系统处于升级过程”状态；</w:t>
            </w:r>
          </w:p>
          <w:p>
            <w:pPr>
              <w:widowControl/>
              <w:numPr>
                <w:ilvl w:val="0"/>
                <w:numId w:val="24"/>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内置网卡，支持2路网口连接以太网，实现有线上网功能，内置独立千兆网络交换机，满足外接的多媒体教学设备（一体机/智慧黑板），实现与AI算力模块单元之间通信；</w:t>
            </w:r>
          </w:p>
          <w:p>
            <w:pPr>
              <w:widowControl/>
              <w:numPr>
                <w:ilvl w:val="0"/>
                <w:numId w:val="24"/>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整机处理器内核不低于8核A53内核芯片，主频≥2.3GHz，系统支持不低于linux 5.4，采用LPDDR4内存，内存容量</w:t>
            </w:r>
            <w:r>
              <w:rPr>
                <w:rFonts w:hint="eastAsia" w:asciiTheme="majorEastAsia" w:hAnsiTheme="majorEastAsia" w:eastAsiaTheme="majorEastAsia" w:cstheme="majorEastAsia"/>
                <w:kern w:val="0"/>
                <w:sz w:val="21"/>
                <w:szCs w:val="21"/>
                <w:lang w:bidi="ar"/>
              </w:rPr>
              <w:t>≥</w:t>
            </w:r>
            <w:r>
              <w:rPr>
                <w:rFonts w:hint="eastAsia" w:asciiTheme="minorEastAsia" w:hAnsiTheme="minorEastAsia" w:eastAsiaTheme="minorEastAsia" w:cstheme="minorEastAsia"/>
                <w:kern w:val="0"/>
                <w:sz w:val="21"/>
                <w:szCs w:val="21"/>
              </w:rPr>
              <w:t>16GB；采用SSD存储，支持TCG-OPAL 2.0硬件加密功能，存储容量</w:t>
            </w:r>
            <w:r>
              <w:rPr>
                <w:rFonts w:hint="eastAsia" w:asciiTheme="majorEastAsia" w:hAnsiTheme="majorEastAsia" w:eastAsiaTheme="majorEastAsia" w:cstheme="majorEastAsia"/>
                <w:kern w:val="0"/>
                <w:sz w:val="21"/>
                <w:szCs w:val="21"/>
                <w:lang w:bidi="ar"/>
              </w:rPr>
              <w:t>≥</w:t>
            </w:r>
            <w:r>
              <w:rPr>
                <w:rFonts w:hint="eastAsia" w:asciiTheme="minorEastAsia" w:hAnsiTheme="minorEastAsia" w:eastAsiaTheme="minorEastAsia" w:cstheme="minorEastAsia"/>
                <w:kern w:val="0"/>
                <w:sz w:val="21"/>
                <w:szCs w:val="21"/>
              </w:rPr>
              <w:t>256GB；</w:t>
            </w:r>
          </w:p>
          <w:p>
            <w:pPr>
              <w:widowControl/>
              <w:numPr>
                <w:ilvl w:val="0"/>
                <w:numId w:val="24"/>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整机采用国产AI算力芯片，支持H.264&amp;H.265解码格式，解码能力支持32x1080P@25fps，8x4K@25fps，不低于8K ；编码能力不低于12x1080P@25fps, 不低于3x4K@25fps，不低于8K。支持JPEG图片编解码：1080P@600fps，不低于32768*32768。</w:t>
            </w:r>
          </w:p>
          <w:p>
            <w:pPr>
              <w:widowControl/>
              <w:ind w:firstLine="0"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二、教师观察摄像机：</w:t>
            </w:r>
          </w:p>
          <w:p>
            <w:pPr>
              <w:widowControl/>
              <w:numPr>
                <w:ilvl w:val="0"/>
                <w:numId w:val="25"/>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一体化设计，内置4k摄像头和麦克风，摄像头拍摄的有效像素≥800万，支持4K超高清影像输出。产品内置8阵列麦克风，采用4核音频处理芯片，拾音角度0~180°，麦克风拾音距离≥12m。</w:t>
            </w:r>
          </w:p>
          <w:p>
            <w:pPr>
              <w:widowControl/>
              <w:numPr>
                <w:ilvl w:val="0"/>
                <w:numId w:val="25"/>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在无外网情况下，产品支持老师在书写的板书内容和老师遮挡分层处理，输出视频中老师身体遮挡板书内容实现透视可见，实现教学过程板书可视化。</w:t>
            </w:r>
          </w:p>
          <w:p>
            <w:pPr>
              <w:widowControl/>
              <w:numPr>
                <w:ilvl w:val="0"/>
                <w:numId w:val="25"/>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在无外网情况下，产品支持老师书写板书的图像识别，可对画面内板书内容和人物进行分层，支持人物的隐藏和透明度调整设置。</w:t>
            </w:r>
          </w:p>
          <w:p>
            <w:pPr>
              <w:widowControl/>
              <w:numPr>
                <w:ilvl w:val="0"/>
                <w:numId w:val="25"/>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产品支持POE有线网络供电，只需要1路网线，即可实现供电及网络信号传输。</w:t>
            </w:r>
          </w:p>
          <w:p>
            <w:pPr>
              <w:widowControl/>
              <w:ind w:firstLine="0"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三、学生观察摄像机：</w:t>
            </w:r>
          </w:p>
          <w:p>
            <w:pPr>
              <w:widowControl/>
              <w:numPr>
                <w:ilvl w:val="0"/>
                <w:numId w:val="26"/>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一体化设计，内置四个摄像头，像素值均不低于800万； 均支持 3D 降噪算法和数字宽动态范围成像WDR 技术，支持输出 MJPG、 H.264 视频格式，具备8阵列麦克风，拾音距离≥12m时，信噪比不低于15dB。</w:t>
            </w:r>
          </w:p>
          <w:p>
            <w:pPr>
              <w:widowControl/>
              <w:numPr>
                <w:ilvl w:val="0"/>
                <w:numId w:val="26"/>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支持PoE和DC12V直流供电；≥2路RJ45接口；≥1路3.5mm audio in 音频输入接口；≥1路Type-C接口；≥1路DC12V电源输入接口；整机RJ45接口支持PoE功能，≥2级PoE功能阵列麦克风级联；3.5mm Audio in音频输入接口，支持对远端音频信号与本地音频进行混音，以消除混响。</w:t>
            </w:r>
          </w:p>
          <w:p>
            <w:pPr>
              <w:widowControl/>
              <w:numPr>
                <w:ilvl w:val="0"/>
                <w:numId w:val="26"/>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具备独立音频CPU处理器，采集音频拆分2路信号，一路用于课堂回放音频，一路用于AI语音分析；支持音频3A算法（自动增益控制（AGC）、自动抑制噪声（ANC）、自动回声消除（AEC）），提升麦克风拾音效果；</w:t>
            </w:r>
          </w:p>
          <w:p>
            <w:pPr>
              <w:widowControl/>
              <w:numPr>
                <w:ilvl w:val="0"/>
                <w:numId w:val="26"/>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整机支持距离摄像头位置≥10米距离的AI识别人脸。</w:t>
            </w:r>
          </w:p>
          <w:p>
            <w:pPr>
              <w:widowControl/>
              <w:ind w:firstLine="0"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四、拾音麦克风：</w:t>
            </w:r>
          </w:p>
          <w:p>
            <w:pPr>
              <w:widowControl/>
              <w:numPr>
                <w:ilvl w:val="0"/>
                <w:numId w:val="27"/>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内置≥6个传感器单元，组成环形阵列，360°全向拾音，拾音距离≥4m。</w:t>
            </w:r>
          </w:p>
          <w:p>
            <w:pPr>
              <w:widowControl/>
              <w:numPr>
                <w:ilvl w:val="0"/>
                <w:numId w:val="27"/>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产品音频处理器采用4核国产音频处理芯片，支持智能3A音频算法，具备智能降噪、回音消除、自动增益、去混响等技术。</w:t>
            </w:r>
          </w:p>
          <w:p>
            <w:pPr>
              <w:widowControl/>
              <w:numPr>
                <w:ilvl w:val="0"/>
                <w:numId w:val="27"/>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产品支持数字音频传输，含≥2路RJ45级联接口，Down支持RJ45音频输入，Up支持网络级联和信息输出≥1路USB音频接口；≥2路3.5mm AUX接口进行音频输入输出；≥1个指示灯。</w:t>
            </w:r>
          </w:p>
          <w:p>
            <w:pPr>
              <w:widowControl/>
              <w:numPr>
                <w:ilvl w:val="0"/>
                <w:numId w:val="27"/>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产品需支持POE有线网络供电。</w:t>
            </w:r>
          </w:p>
          <w:p>
            <w:pPr>
              <w:widowControl/>
              <w:ind w:firstLine="0"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五、教学质量分析系统：</w:t>
            </w:r>
          </w:p>
          <w:p>
            <w:pPr>
              <w:widowControl/>
              <w:numPr>
                <w:ilvl w:val="0"/>
                <w:numId w:val="28"/>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系统支持对教室环境的3D还原重建，形成桌椅、讲台、一体机的真实环境建模，采集到的师生互动行为自动对应到具体课桌位置；支持正前方、左前方、右前方、左后方、右后方5种视角转换。在2D/3D课堂孪生界面中，通过颜色深浅表示学生参与互动的活跃程度，基于学生上台次数、举手次数、问答次数计算学生活跃程度，颜色越深则代表越活跃。支持点击课堂活跃热力图中的学生头像，查看该学生的师生互动视频片段，统计该学生在本节课的上台互动、举手次数、问答次数。支持在地面上显示教师的巡堂轨迹，颜色越深代表停留时间越长。</w:t>
            </w:r>
          </w:p>
          <w:p>
            <w:pPr>
              <w:widowControl/>
              <w:numPr>
                <w:ilvl w:val="0"/>
                <w:numId w:val="28"/>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系统依据采集到的音视频数据，自动生成课程总览、师生对话、课堂互动三个维度的课堂反馈建议，可查看课程知识点、符合知识性目标的提问、不合适的提问、提问优化建议、所有提问、课堂互动评价、课堂互动建议。</w:t>
            </w:r>
          </w:p>
          <w:p>
            <w:pPr>
              <w:widowControl/>
              <w:numPr>
                <w:ilvl w:val="0"/>
                <w:numId w:val="28"/>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系统根据教学内容，基于教学环节、教学任务、教学行为三个特征，形成用户教学流程分布执行情况，支持以进度样式展示，展示不同课堂行为环节的开展情况，支持统计课程时长、课堂中教师讲授时长、教师讲授字数、教师授课平均语速。自动统计教师授课、师生互动、小组讨论、课堂练习的时间分布情况，支持按照时序图样式、和饼图样式展示，展示不同课堂行为发生的顺序、时长。将课堂中老师和学生的声音转写为文字，按照前后文自动切割为不同的片段；片段支持展开查看详细文字，支持跳转到文字段落对应的视频片段。</w:t>
            </w:r>
          </w:p>
          <w:p>
            <w:pPr>
              <w:widowControl/>
              <w:numPr>
                <w:ilvl w:val="0"/>
                <w:numId w:val="28"/>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系统支持对语音转写中的师生问答进行自动识别，所有的提问自动高亮显示，支持将识别出的问答实录一键导出为云文档系统支持对课堂提问总数、核心提问、学生应答、教师理答数量进行统计，通过圆环图呈现，支持对识别出的文字进行手动校准，支持修改说话人角色，新增或删除对话内容。支持自动识别问题分类。点击各个类型会自动打开到相应的课堂实录视频片段窗口，显示对应文字明细，文字明细会按师生角色区分，并自动进行分段分句。</w:t>
            </w:r>
          </w:p>
          <w:p>
            <w:pPr>
              <w:widowControl/>
              <w:numPr>
                <w:ilvl w:val="0"/>
                <w:numId w:val="28"/>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系统自动对课堂按照教学内容进行切片划分，支持显示片段的标题和内容小结，支持查看不同片段的视频和课堂对话文字明细，文字明细会按师生角色区分，并自动进行分段分句。</w:t>
            </w:r>
          </w:p>
          <w:p>
            <w:pPr>
              <w:widowControl/>
              <w:numPr>
                <w:ilvl w:val="0"/>
                <w:numId w:val="28"/>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系统支持以海报、二维码的方式分享给他人。支持在移动端查看报告。支持将听评课记录关联，通过听课记录快速跳转课堂实录片段，并能抽象出评课摘要，呈现本节课人工评价各维度的评分。</w:t>
            </w:r>
          </w:p>
          <w:p>
            <w:pPr>
              <w:widowControl/>
              <w:numPr>
                <w:ilvl w:val="0"/>
                <w:numId w:val="28"/>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系统支持学校、老师下载报告所录制的视频，以mp4形式进行保存。</w:t>
            </w:r>
          </w:p>
          <w:p>
            <w:pPr>
              <w:widowControl/>
              <w:ind w:firstLine="0"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六、其他要求</w:t>
            </w:r>
          </w:p>
          <w:p>
            <w:pPr>
              <w:widowControl/>
              <w:numPr>
                <w:ilvl w:val="0"/>
                <w:numId w:val="29"/>
              </w:numPr>
              <w:ind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签订合同时提供至少三年质保及服务。</w:t>
            </w:r>
          </w:p>
          <w:p>
            <w:pPr>
              <w:widowControl/>
              <w:ind w:left="400" w:firstLine="0" w:firstLineChars="0"/>
              <w:jc w:val="left"/>
              <w:textAlignment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2.提供国家认可的检测机构出具的相关检测报告。</w:t>
            </w:r>
          </w:p>
        </w:tc>
        <w:tc>
          <w:tcPr>
            <w:tcW w:w="340" w:type="pct"/>
            <w:tcBorders>
              <w:tl2br w:val="nil"/>
              <w:tr2bl w:val="nil"/>
            </w:tcBorders>
            <w:shd w:val="clear" w:color="auto" w:fill="FFFFFF" w:themeFill="background1"/>
            <w:noWrap/>
            <w:vAlign w:val="center"/>
          </w:tcPr>
          <w:p>
            <w:pPr>
              <w:widowControl/>
              <w:spacing w:line="260" w:lineRule="exact"/>
              <w:ind w:firstLine="420"/>
              <w:jc w:val="center"/>
              <w:textAlignment w:val="center"/>
              <w:rPr>
                <w:rFonts w:asciiTheme="minorEastAsia" w:hAnsiTheme="minorEastAsia" w:eastAsiaTheme="minorEastAsia" w:cstheme="minorEastAsia"/>
                <w:kern w:val="0"/>
                <w:sz w:val="21"/>
                <w:szCs w:val="21"/>
                <w:highlight w:val="yellow"/>
                <w:lang w:bidi="ar"/>
              </w:rPr>
            </w:pPr>
          </w:p>
          <w:p>
            <w:pPr>
              <w:widowControl/>
              <w:spacing w:line="260" w:lineRule="exact"/>
              <w:ind w:firstLine="420"/>
              <w:jc w:val="center"/>
              <w:textAlignment w:val="center"/>
              <w:rPr>
                <w:rFonts w:asciiTheme="minorEastAsia" w:hAnsiTheme="minorEastAsia" w:eastAsiaTheme="minorEastAsia" w:cstheme="minorEastAsia"/>
                <w:kern w:val="0"/>
                <w:sz w:val="21"/>
                <w:szCs w:val="21"/>
                <w:highlight w:val="yellow"/>
                <w:lang w:bidi="ar"/>
              </w:rPr>
            </w:pPr>
          </w:p>
          <w:p>
            <w:pPr>
              <w:widowControl/>
              <w:spacing w:line="260" w:lineRule="exact"/>
              <w:ind w:firstLine="420"/>
              <w:jc w:val="center"/>
              <w:textAlignment w:val="center"/>
              <w:rPr>
                <w:rFonts w:asciiTheme="minorEastAsia" w:hAnsiTheme="minorEastAsia" w:eastAsiaTheme="minorEastAsia" w:cstheme="minorEastAsia"/>
                <w:kern w:val="0"/>
                <w:sz w:val="21"/>
                <w:szCs w:val="21"/>
                <w:highlight w:val="yellow"/>
                <w:lang w:bidi="ar"/>
              </w:rPr>
            </w:pPr>
          </w:p>
          <w:p>
            <w:pPr>
              <w:widowControl/>
              <w:spacing w:line="260" w:lineRule="exact"/>
              <w:ind w:firstLine="420"/>
              <w:jc w:val="center"/>
              <w:textAlignment w:val="center"/>
              <w:rPr>
                <w:rFonts w:asciiTheme="minorEastAsia" w:hAnsiTheme="minorEastAsia" w:eastAsiaTheme="minorEastAsia" w:cstheme="minorEastAsia"/>
                <w:kern w:val="0"/>
                <w:sz w:val="21"/>
                <w:szCs w:val="21"/>
                <w:highlight w:val="yellow"/>
                <w:lang w:bidi="ar"/>
              </w:rPr>
            </w:pPr>
          </w:p>
          <w:p>
            <w:pPr>
              <w:widowControl/>
              <w:spacing w:line="260" w:lineRule="exact"/>
              <w:ind w:firstLine="420"/>
              <w:jc w:val="center"/>
              <w:textAlignment w:val="center"/>
              <w:rPr>
                <w:rFonts w:asciiTheme="minorEastAsia" w:hAnsiTheme="minorEastAsia" w:eastAsiaTheme="minorEastAsia" w:cstheme="minorEastAsia"/>
                <w:kern w:val="0"/>
                <w:sz w:val="21"/>
                <w:szCs w:val="21"/>
                <w:highlight w:val="yellow"/>
                <w:lang w:bidi="ar"/>
              </w:rPr>
            </w:pPr>
          </w:p>
          <w:p>
            <w:pPr>
              <w:widowControl/>
              <w:spacing w:line="260" w:lineRule="exact"/>
              <w:ind w:firstLine="420"/>
              <w:jc w:val="center"/>
              <w:textAlignment w:val="center"/>
              <w:rPr>
                <w:rFonts w:asciiTheme="minorEastAsia" w:hAnsiTheme="minorEastAsia" w:eastAsiaTheme="minorEastAsia" w:cstheme="minorEastAsia"/>
                <w:kern w:val="0"/>
                <w:sz w:val="21"/>
                <w:szCs w:val="21"/>
                <w:highlight w:val="yellow"/>
                <w:lang w:bidi="ar"/>
              </w:rPr>
            </w:pPr>
          </w:p>
          <w:p>
            <w:pPr>
              <w:widowControl/>
              <w:spacing w:line="260" w:lineRule="exact"/>
              <w:ind w:firstLine="420"/>
              <w:jc w:val="center"/>
              <w:textAlignment w:val="center"/>
              <w:rPr>
                <w:rFonts w:asciiTheme="minorEastAsia" w:hAnsiTheme="minorEastAsia" w:eastAsiaTheme="minorEastAsia" w:cstheme="minorEastAsia"/>
                <w:kern w:val="0"/>
                <w:sz w:val="21"/>
                <w:szCs w:val="21"/>
                <w:highlight w:val="yellow"/>
                <w:lang w:bidi="ar"/>
              </w:rPr>
            </w:pPr>
          </w:p>
          <w:p>
            <w:pPr>
              <w:widowControl/>
              <w:spacing w:line="260" w:lineRule="exact"/>
              <w:ind w:firstLine="420"/>
              <w:jc w:val="center"/>
              <w:textAlignment w:val="center"/>
              <w:rPr>
                <w:rFonts w:asciiTheme="minorEastAsia" w:hAnsiTheme="minorEastAsia" w:eastAsiaTheme="minorEastAsia" w:cstheme="minorEastAsia"/>
                <w:kern w:val="0"/>
                <w:sz w:val="21"/>
                <w:szCs w:val="21"/>
                <w:highlight w:val="yellow"/>
                <w:lang w:bidi="ar"/>
              </w:rPr>
            </w:pPr>
          </w:p>
          <w:p>
            <w:pPr>
              <w:pStyle w:val="2"/>
              <w:spacing w:line="260" w:lineRule="exact"/>
              <w:rPr>
                <w:rFonts w:asciiTheme="minorEastAsia" w:hAnsiTheme="minorEastAsia" w:eastAsiaTheme="minorEastAsia" w:cstheme="minorEastAsia"/>
                <w:kern w:val="0"/>
                <w:sz w:val="21"/>
                <w:szCs w:val="21"/>
                <w:lang w:bidi="ar"/>
              </w:rPr>
            </w:pPr>
          </w:p>
          <w:p>
            <w:pPr>
              <w:pStyle w:val="2"/>
              <w:spacing w:line="260" w:lineRule="exact"/>
              <w:ind w:firstLine="210" w:firstLineChars="100"/>
              <w:rPr>
                <w:rFonts w:asciiTheme="minorEastAsia" w:hAnsiTheme="minorEastAsia" w:eastAsiaTheme="minorEastAsia" w:cstheme="minorEastAsia"/>
                <w:kern w:val="0"/>
                <w:sz w:val="21"/>
                <w:szCs w:val="21"/>
                <w:lang w:bidi="ar"/>
              </w:rPr>
            </w:pPr>
          </w:p>
          <w:p>
            <w:pPr>
              <w:pStyle w:val="2"/>
              <w:spacing w:line="260" w:lineRule="exact"/>
              <w:ind w:firstLine="210" w:firstLineChars="100"/>
              <w:rPr>
                <w:rFonts w:asciiTheme="minorEastAsia" w:hAnsiTheme="minorEastAsia" w:eastAsiaTheme="minorEastAsia" w:cstheme="minorEastAsia"/>
                <w:kern w:val="0"/>
                <w:sz w:val="21"/>
                <w:szCs w:val="21"/>
                <w:highlight w:val="yellow"/>
                <w:lang w:bidi="ar"/>
              </w:rPr>
            </w:pPr>
            <w:r>
              <w:rPr>
                <w:rFonts w:hint="eastAsia" w:asciiTheme="minorEastAsia" w:hAnsiTheme="minorEastAsia" w:eastAsiaTheme="minorEastAsia" w:cstheme="minorEastAsia"/>
                <w:kern w:val="0"/>
                <w:sz w:val="21"/>
                <w:szCs w:val="21"/>
                <w:lang w:bidi="ar"/>
              </w:rPr>
              <w:t>2</w:t>
            </w:r>
          </w:p>
          <w:p>
            <w:pPr>
              <w:pStyle w:val="2"/>
              <w:spacing w:line="260" w:lineRule="exact"/>
              <w:rPr>
                <w:rFonts w:asciiTheme="minorEastAsia" w:hAnsiTheme="minorEastAsia" w:eastAsiaTheme="minorEastAsia" w:cstheme="minorEastAsia"/>
                <w:kern w:val="0"/>
                <w:sz w:val="21"/>
                <w:szCs w:val="21"/>
                <w:highlight w:val="yellow"/>
                <w:lang w:bidi="ar"/>
              </w:rPr>
            </w:pPr>
          </w:p>
          <w:p>
            <w:pPr>
              <w:pStyle w:val="2"/>
              <w:spacing w:line="260" w:lineRule="exact"/>
              <w:rPr>
                <w:rFonts w:asciiTheme="minorEastAsia" w:hAnsiTheme="minorEastAsia" w:eastAsiaTheme="minorEastAsia" w:cstheme="minorEastAsia"/>
                <w:kern w:val="0"/>
                <w:sz w:val="21"/>
                <w:szCs w:val="21"/>
                <w:highlight w:val="yellow"/>
                <w:lang w:bidi="ar"/>
              </w:rPr>
            </w:pPr>
          </w:p>
          <w:p>
            <w:pPr>
              <w:pStyle w:val="2"/>
              <w:spacing w:line="260" w:lineRule="exact"/>
              <w:rPr>
                <w:rFonts w:asciiTheme="minorEastAsia" w:hAnsiTheme="minorEastAsia" w:eastAsiaTheme="minorEastAsia" w:cstheme="minorEastAsia"/>
                <w:kern w:val="0"/>
                <w:sz w:val="21"/>
                <w:szCs w:val="21"/>
                <w:highlight w:val="yellow"/>
                <w:lang w:bidi="ar"/>
              </w:rPr>
            </w:pPr>
          </w:p>
          <w:p>
            <w:pPr>
              <w:pStyle w:val="2"/>
              <w:spacing w:line="260" w:lineRule="exact"/>
              <w:rPr>
                <w:rFonts w:asciiTheme="minorEastAsia" w:hAnsiTheme="minorEastAsia" w:eastAsiaTheme="minorEastAsia" w:cstheme="minorEastAsia"/>
                <w:kern w:val="0"/>
                <w:sz w:val="21"/>
                <w:szCs w:val="21"/>
                <w:highlight w:val="yellow"/>
                <w:lang w:bidi="ar"/>
              </w:rPr>
            </w:pPr>
          </w:p>
          <w:p>
            <w:pPr>
              <w:pStyle w:val="2"/>
              <w:spacing w:line="260" w:lineRule="exact"/>
              <w:ind w:firstLineChars="0"/>
              <w:rPr>
                <w:rFonts w:asciiTheme="minorEastAsia" w:hAnsiTheme="minorEastAsia" w:eastAsiaTheme="minorEastAsia" w:cstheme="minorEastAsia"/>
                <w:kern w:val="0"/>
                <w:sz w:val="21"/>
                <w:szCs w:val="21"/>
                <w:highlight w:val="yellow"/>
              </w:rPr>
            </w:pPr>
          </w:p>
        </w:tc>
        <w:tc>
          <w:tcPr>
            <w:tcW w:w="260" w:type="pct"/>
            <w:tcBorders>
              <w:tl2br w:val="nil"/>
              <w:tr2bl w:val="nil"/>
            </w:tcBorders>
            <w:shd w:val="clear" w:color="auto" w:fill="FFFFFF" w:themeFill="background1"/>
            <w:vAlign w:val="center"/>
          </w:tcPr>
          <w:p>
            <w:pPr>
              <w:widowControl/>
              <w:spacing w:line="260" w:lineRule="exact"/>
              <w:ind w:firstLine="420"/>
              <w:jc w:val="center"/>
              <w:textAlignment w:val="center"/>
              <w:rPr>
                <w:rFonts w:asciiTheme="minorEastAsia" w:hAnsiTheme="minorEastAsia" w:eastAsiaTheme="minorEastAsia" w:cstheme="minorEastAsia"/>
                <w:kern w:val="0"/>
                <w:sz w:val="21"/>
                <w:szCs w:val="21"/>
                <w:highlight w:val="yellow"/>
                <w:lang w:bidi="ar"/>
              </w:rPr>
            </w:pPr>
          </w:p>
          <w:p>
            <w:pPr>
              <w:widowControl/>
              <w:spacing w:line="260" w:lineRule="exact"/>
              <w:ind w:firstLine="420"/>
              <w:jc w:val="center"/>
              <w:textAlignment w:val="center"/>
              <w:rPr>
                <w:rFonts w:asciiTheme="minorEastAsia" w:hAnsiTheme="minorEastAsia" w:eastAsiaTheme="minorEastAsia" w:cstheme="minorEastAsia"/>
                <w:kern w:val="0"/>
                <w:sz w:val="21"/>
                <w:szCs w:val="21"/>
                <w:highlight w:val="yellow"/>
                <w:lang w:bidi="ar"/>
              </w:rPr>
            </w:pPr>
          </w:p>
          <w:p>
            <w:pPr>
              <w:widowControl/>
              <w:spacing w:line="260" w:lineRule="exact"/>
              <w:ind w:firstLine="420"/>
              <w:jc w:val="center"/>
              <w:textAlignment w:val="center"/>
              <w:rPr>
                <w:rFonts w:asciiTheme="minorEastAsia" w:hAnsiTheme="minorEastAsia" w:eastAsiaTheme="minorEastAsia" w:cstheme="minorEastAsia"/>
                <w:kern w:val="0"/>
                <w:sz w:val="21"/>
                <w:szCs w:val="21"/>
                <w:highlight w:val="yellow"/>
                <w:lang w:bidi="ar"/>
              </w:rPr>
            </w:pPr>
          </w:p>
          <w:p>
            <w:pPr>
              <w:widowControl/>
              <w:spacing w:line="260" w:lineRule="exact"/>
              <w:ind w:firstLine="420"/>
              <w:jc w:val="center"/>
              <w:textAlignment w:val="center"/>
              <w:rPr>
                <w:rFonts w:asciiTheme="minorEastAsia" w:hAnsiTheme="minorEastAsia" w:eastAsiaTheme="minorEastAsia" w:cstheme="minorEastAsia"/>
                <w:kern w:val="0"/>
                <w:sz w:val="21"/>
                <w:szCs w:val="21"/>
                <w:highlight w:val="yellow"/>
                <w:lang w:bidi="ar"/>
              </w:rPr>
            </w:pPr>
          </w:p>
          <w:p>
            <w:pPr>
              <w:widowControl/>
              <w:spacing w:line="260" w:lineRule="exact"/>
              <w:ind w:firstLine="420"/>
              <w:jc w:val="center"/>
              <w:textAlignment w:val="center"/>
              <w:rPr>
                <w:rFonts w:asciiTheme="minorEastAsia" w:hAnsiTheme="minorEastAsia" w:eastAsiaTheme="minorEastAsia" w:cstheme="minorEastAsia"/>
                <w:kern w:val="0"/>
                <w:sz w:val="21"/>
                <w:szCs w:val="21"/>
                <w:highlight w:val="yellow"/>
                <w:lang w:bidi="ar"/>
              </w:rPr>
            </w:pPr>
          </w:p>
          <w:p>
            <w:pPr>
              <w:widowControl/>
              <w:spacing w:line="260" w:lineRule="exact"/>
              <w:ind w:firstLine="420"/>
              <w:jc w:val="center"/>
              <w:textAlignment w:val="center"/>
              <w:rPr>
                <w:rFonts w:asciiTheme="minorEastAsia" w:hAnsiTheme="minorEastAsia" w:eastAsiaTheme="minorEastAsia" w:cstheme="minorEastAsia"/>
                <w:kern w:val="0"/>
                <w:sz w:val="21"/>
                <w:szCs w:val="21"/>
                <w:highlight w:val="yellow"/>
                <w:lang w:bidi="ar"/>
              </w:rPr>
            </w:pPr>
          </w:p>
          <w:p>
            <w:pPr>
              <w:widowControl/>
              <w:spacing w:line="260" w:lineRule="exact"/>
              <w:ind w:firstLine="420"/>
              <w:textAlignment w:val="center"/>
              <w:rPr>
                <w:rFonts w:asciiTheme="minorEastAsia" w:hAnsiTheme="minorEastAsia" w:eastAsiaTheme="minorEastAsia" w:cstheme="minorEastAsia"/>
                <w:kern w:val="0"/>
                <w:sz w:val="21"/>
                <w:szCs w:val="21"/>
                <w:highlight w:val="yellow"/>
                <w:lang w:bidi="ar"/>
              </w:rPr>
            </w:pPr>
          </w:p>
          <w:p>
            <w:pPr>
              <w:widowControl/>
              <w:spacing w:line="260" w:lineRule="exact"/>
              <w:ind w:firstLine="420"/>
              <w:textAlignment w:val="center"/>
              <w:rPr>
                <w:rFonts w:asciiTheme="minorEastAsia" w:hAnsiTheme="minorEastAsia" w:eastAsiaTheme="minorEastAsia" w:cstheme="minorEastAsia"/>
                <w:kern w:val="0"/>
                <w:sz w:val="21"/>
                <w:szCs w:val="21"/>
                <w:highlight w:val="yellow"/>
                <w:lang w:bidi="ar"/>
              </w:rPr>
            </w:pPr>
          </w:p>
          <w:p>
            <w:pPr>
              <w:widowControl/>
              <w:spacing w:line="260" w:lineRule="exact"/>
              <w:ind w:firstLine="420"/>
              <w:textAlignment w:val="center"/>
              <w:rPr>
                <w:rFonts w:asciiTheme="minorEastAsia" w:hAnsiTheme="minorEastAsia" w:eastAsiaTheme="minorEastAsia" w:cstheme="minorEastAsia"/>
                <w:kern w:val="0"/>
                <w:sz w:val="21"/>
                <w:szCs w:val="21"/>
                <w:highlight w:val="yellow"/>
                <w:lang w:bidi="ar"/>
              </w:rPr>
            </w:pPr>
          </w:p>
          <w:p>
            <w:pPr>
              <w:pStyle w:val="2"/>
              <w:spacing w:line="260" w:lineRule="exact"/>
              <w:ind w:firstLine="0" w:firstLineChars="0"/>
              <w:rPr>
                <w:rFonts w:asciiTheme="minorEastAsia" w:hAnsiTheme="minorEastAsia" w:eastAsiaTheme="minorEastAsia" w:cstheme="minorEastAsia"/>
                <w:kern w:val="0"/>
                <w:sz w:val="21"/>
                <w:szCs w:val="21"/>
                <w:highlight w:val="yellow"/>
                <w:lang w:bidi="ar"/>
              </w:rPr>
            </w:pPr>
            <w:r>
              <w:rPr>
                <w:rFonts w:hint="eastAsia" w:asciiTheme="minorEastAsia" w:hAnsiTheme="minorEastAsia" w:eastAsiaTheme="minorEastAsia" w:cstheme="minorEastAsia"/>
                <w:bCs/>
                <w:sz w:val="21"/>
                <w:szCs w:val="21"/>
              </w:rPr>
              <w:t>套</w:t>
            </w:r>
          </w:p>
          <w:p>
            <w:pPr>
              <w:pStyle w:val="2"/>
              <w:spacing w:line="260" w:lineRule="exact"/>
              <w:rPr>
                <w:rFonts w:asciiTheme="minorEastAsia" w:hAnsiTheme="minorEastAsia" w:eastAsiaTheme="minorEastAsia" w:cstheme="minorEastAsia"/>
                <w:kern w:val="0"/>
                <w:sz w:val="21"/>
                <w:szCs w:val="21"/>
                <w:highlight w:val="yellow"/>
                <w:lang w:bidi="ar"/>
              </w:rPr>
            </w:pPr>
          </w:p>
          <w:p>
            <w:pPr>
              <w:pStyle w:val="2"/>
              <w:spacing w:line="260" w:lineRule="exact"/>
              <w:rPr>
                <w:rFonts w:asciiTheme="minorEastAsia" w:hAnsiTheme="minorEastAsia" w:eastAsiaTheme="minorEastAsia" w:cstheme="minorEastAsia"/>
                <w:kern w:val="0"/>
                <w:sz w:val="21"/>
                <w:szCs w:val="21"/>
                <w:highlight w:val="yellow"/>
                <w:lang w:bidi="ar"/>
              </w:rPr>
            </w:pPr>
          </w:p>
          <w:p>
            <w:pPr>
              <w:pStyle w:val="2"/>
              <w:spacing w:line="260" w:lineRule="exact"/>
              <w:rPr>
                <w:rFonts w:asciiTheme="minorEastAsia" w:hAnsiTheme="minorEastAsia" w:eastAsiaTheme="minorEastAsia" w:cstheme="minorEastAsia"/>
                <w:kern w:val="0"/>
                <w:sz w:val="21"/>
                <w:szCs w:val="21"/>
                <w:highlight w:val="yellow"/>
                <w:lang w:bidi="ar"/>
              </w:rPr>
            </w:pPr>
          </w:p>
          <w:p>
            <w:pPr>
              <w:pStyle w:val="2"/>
              <w:spacing w:line="260" w:lineRule="exact"/>
              <w:rPr>
                <w:rFonts w:asciiTheme="minorEastAsia" w:hAnsiTheme="minorEastAsia" w:eastAsiaTheme="minorEastAsia" w:cs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3" w:hRule="atLeast"/>
        </w:trPr>
        <w:tc>
          <w:tcPr>
            <w:tcW w:w="215" w:type="pct"/>
            <w:tcBorders>
              <w:tl2br w:val="nil"/>
              <w:tr2bl w:val="nil"/>
            </w:tcBorders>
            <w:shd w:val="clear" w:color="auto" w:fill="auto"/>
            <w:noWrap/>
            <w:vAlign w:val="center"/>
          </w:tcPr>
          <w:p>
            <w:pPr>
              <w:widowControl/>
              <w:ind w:firstLine="210" w:firstLineChars="10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7</w:t>
            </w:r>
          </w:p>
        </w:tc>
        <w:tc>
          <w:tcPr>
            <w:tcW w:w="367" w:type="pct"/>
            <w:tcBorders>
              <w:tl2br w:val="nil"/>
              <w:tr2bl w:val="nil"/>
            </w:tcBorders>
            <w:shd w:val="clear" w:color="auto" w:fill="auto"/>
            <w:vAlign w:val="center"/>
          </w:tcPr>
          <w:p>
            <w:pPr>
              <w:widowControl/>
              <w:ind w:firstLine="0" w:firstLineChars="0"/>
              <w:jc w:val="left"/>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其他要求</w:t>
            </w:r>
          </w:p>
        </w:tc>
        <w:tc>
          <w:tcPr>
            <w:tcW w:w="3815" w:type="pct"/>
            <w:tcBorders>
              <w:tl2br w:val="nil"/>
              <w:tr2bl w:val="nil"/>
            </w:tcBorders>
            <w:shd w:val="clear" w:color="auto" w:fill="auto"/>
            <w:noWrap/>
            <w:vAlign w:val="center"/>
          </w:tcPr>
          <w:p>
            <w:pPr>
              <w:widowControl/>
              <w:ind w:firstLine="420"/>
              <w:jc w:val="left"/>
              <w:textAlignment w:val="center"/>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要求根据甲方所有项目学校实际，拆除旧白板及附属设备，将新设备全部安装到位。含品牌线缆、辅材等，含培训。</w:t>
            </w:r>
          </w:p>
          <w:p>
            <w:pPr>
              <w:widowControl/>
              <w:ind w:firstLine="420"/>
              <w:jc w:val="left"/>
              <w:textAlignment w:val="center"/>
              <w:rPr>
                <w:rFonts w:asciiTheme="minorEastAsia" w:hAnsiTheme="minorEastAsia" w:eastAsiaTheme="minorEastAsia" w:cstheme="minorEastAsia"/>
                <w:kern w:val="0"/>
                <w:sz w:val="21"/>
                <w:szCs w:val="21"/>
                <w:lang w:bidi="ar"/>
              </w:rPr>
            </w:pPr>
          </w:p>
        </w:tc>
        <w:tc>
          <w:tcPr>
            <w:tcW w:w="340" w:type="pct"/>
            <w:tcBorders>
              <w:tl2br w:val="nil"/>
              <w:tr2bl w:val="nil"/>
            </w:tcBorders>
            <w:shd w:val="clear" w:color="auto" w:fill="auto"/>
            <w:noWrap/>
            <w:vAlign w:val="center"/>
          </w:tcPr>
          <w:p>
            <w:pPr>
              <w:widowControl/>
              <w:ind w:firstLine="210" w:firstLineChars="10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w:t>
            </w:r>
          </w:p>
        </w:tc>
        <w:tc>
          <w:tcPr>
            <w:tcW w:w="260" w:type="pct"/>
            <w:tcBorders>
              <w:tl2br w:val="nil"/>
              <w:tr2bl w:val="nil"/>
            </w:tcBorders>
            <w:shd w:val="clear" w:color="auto" w:fill="auto"/>
            <w:noWrap/>
            <w:vAlign w:val="center"/>
          </w:tcPr>
          <w:p>
            <w:pPr>
              <w:widowControl/>
              <w:ind w:firstLine="210" w:firstLineChars="10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批</w:t>
            </w:r>
          </w:p>
        </w:tc>
      </w:tr>
    </w:tbl>
    <w:p>
      <w:pPr>
        <w:ind w:firstLine="0" w:firstLineChars="0"/>
        <w:rPr>
          <w:b/>
          <w:bCs/>
          <w:sz w:val="32"/>
          <w:szCs w:val="32"/>
        </w:rPr>
      </w:pPr>
    </w:p>
    <w:p>
      <w:pPr>
        <w:ind w:firstLine="0" w:firstLineChars="0"/>
        <w:rPr>
          <w:b/>
          <w:bCs/>
          <w:sz w:val="32"/>
          <w:szCs w:val="32"/>
        </w:rPr>
      </w:pPr>
    </w:p>
    <w:p>
      <w:pPr>
        <w:pStyle w:val="2"/>
        <w:ind w:firstLine="480"/>
      </w:pPr>
    </w:p>
    <w:p>
      <w:pPr>
        <w:pStyle w:val="2"/>
        <w:ind w:firstLine="480"/>
      </w:pPr>
    </w:p>
    <w:p>
      <w:pPr>
        <w:pStyle w:val="2"/>
        <w:ind w:firstLine="0" w:firstLineChars="0"/>
        <w:rPr>
          <w:rFonts w:hint="eastAsia"/>
          <w:b/>
          <w:bCs/>
          <w:sz w:val="32"/>
          <w:szCs w:val="32"/>
        </w:rPr>
      </w:pPr>
    </w:p>
    <w:p>
      <w:pPr>
        <w:pStyle w:val="2"/>
        <w:ind w:firstLine="0" w:firstLineChars="0"/>
        <w:rPr>
          <w:rFonts w:hint="eastAsia"/>
          <w:b/>
          <w:bCs/>
          <w:sz w:val="32"/>
          <w:szCs w:val="32"/>
        </w:rPr>
      </w:pPr>
    </w:p>
    <w:p>
      <w:pPr>
        <w:ind w:firstLine="0" w:firstLineChars="0"/>
        <w:rPr>
          <w:rFonts w:hint="eastAsia"/>
          <w:b/>
          <w:bCs/>
          <w:sz w:val="32"/>
          <w:szCs w:val="32"/>
        </w:rPr>
      </w:pPr>
    </w:p>
    <w:p>
      <w:pPr>
        <w:pStyle w:val="2"/>
        <w:rPr>
          <w:rFonts w:hint="eastAsia"/>
          <w:b/>
          <w:bCs/>
          <w:sz w:val="32"/>
          <w:szCs w:val="32"/>
        </w:rPr>
      </w:pPr>
    </w:p>
    <w:p>
      <w:pPr>
        <w:pStyle w:val="2"/>
        <w:rPr>
          <w:rFonts w:hint="eastAsia"/>
          <w:b/>
          <w:bCs/>
          <w:sz w:val="32"/>
          <w:szCs w:val="32"/>
        </w:rPr>
      </w:pPr>
    </w:p>
    <w:p>
      <w:pPr>
        <w:pStyle w:val="2"/>
        <w:rPr>
          <w:rFonts w:hint="eastAsia"/>
          <w:b/>
          <w:bCs/>
          <w:sz w:val="32"/>
          <w:szCs w:val="32"/>
        </w:rPr>
      </w:pPr>
    </w:p>
    <w:p>
      <w:pPr>
        <w:pStyle w:val="2"/>
        <w:rPr>
          <w:rFonts w:hint="eastAsia"/>
          <w:b/>
          <w:bCs/>
          <w:sz w:val="32"/>
          <w:szCs w:val="32"/>
        </w:rPr>
      </w:pPr>
    </w:p>
    <w:p>
      <w:pPr>
        <w:pStyle w:val="2"/>
        <w:rPr>
          <w:rFonts w:hint="eastAsia"/>
          <w:b/>
          <w:bCs/>
          <w:sz w:val="32"/>
          <w:szCs w:val="32"/>
        </w:rPr>
      </w:pPr>
    </w:p>
    <w:p>
      <w:pPr>
        <w:pStyle w:val="2"/>
        <w:rPr>
          <w:rFonts w:hint="eastAsia"/>
          <w:b/>
          <w:bCs/>
          <w:sz w:val="32"/>
          <w:szCs w:val="32"/>
        </w:rPr>
      </w:pPr>
    </w:p>
    <w:p>
      <w:pPr>
        <w:pStyle w:val="2"/>
        <w:rPr>
          <w:rFonts w:hint="eastAsia"/>
          <w:b/>
          <w:bCs/>
          <w:sz w:val="32"/>
          <w:szCs w:val="32"/>
        </w:rPr>
      </w:pPr>
    </w:p>
    <w:p>
      <w:pPr>
        <w:pStyle w:val="2"/>
        <w:rPr>
          <w:rFonts w:hint="eastAsia"/>
          <w:b/>
          <w:bCs/>
          <w:sz w:val="32"/>
          <w:szCs w:val="32"/>
        </w:rPr>
      </w:pPr>
    </w:p>
    <w:p>
      <w:pPr>
        <w:pStyle w:val="2"/>
        <w:rPr>
          <w:rFonts w:hint="eastAsia"/>
          <w:b/>
          <w:bCs/>
          <w:sz w:val="32"/>
          <w:szCs w:val="32"/>
        </w:rPr>
      </w:pPr>
    </w:p>
    <w:p>
      <w:pPr>
        <w:pStyle w:val="2"/>
        <w:rPr>
          <w:rFonts w:hint="eastAsia"/>
          <w:b/>
          <w:bCs/>
          <w:sz w:val="32"/>
          <w:szCs w:val="32"/>
        </w:rPr>
      </w:pPr>
    </w:p>
    <w:p>
      <w:pPr>
        <w:pStyle w:val="2"/>
        <w:ind w:left="0" w:leftChars="0" w:firstLine="0" w:firstLineChars="0"/>
        <w:rPr>
          <w:rFonts w:hint="eastAsia"/>
          <w:b/>
          <w:bCs/>
          <w:sz w:val="32"/>
          <w:szCs w:val="32"/>
        </w:rPr>
      </w:pPr>
    </w:p>
    <w:p>
      <w:pPr>
        <w:numPr>
          <w:ilvl w:val="0"/>
          <w:numId w:val="0"/>
        </w:numPr>
        <w:ind w:leftChars="0"/>
        <w:rPr>
          <w:rFonts w:hint="eastAsia"/>
          <w:b/>
          <w:bCs/>
          <w:sz w:val="32"/>
          <w:szCs w:val="32"/>
        </w:rPr>
      </w:pPr>
      <w:r>
        <w:rPr>
          <w:rFonts w:hint="eastAsia"/>
          <w:b/>
          <w:bCs/>
          <w:sz w:val="32"/>
          <w:szCs w:val="32"/>
          <w:lang w:val="en-US" w:eastAsia="zh-CN"/>
        </w:rPr>
        <w:t>二、</w:t>
      </w:r>
      <w:r>
        <w:rPr>
          <w:rFonts w:hint="eastAsia"/>
          <w:b/>
          <w:bCs/>
          <w:sz w:val="32"/>
          <w:szCs w:val="32"/>
        </w:rPr>
        <w:t>计算机教室</w:t>
      </w:r>
    </w:p>
    <w:p>
      <w:pPr>
        <w:pStyle w:val="2"/>
        <w:numPr>
          <w:ilvl w:val="0"/>
          <w:numId w:val="0"/>
        </w:numPr>
        <w:ind w:leftChars="0"/>
      </w:pPr>
    </w:p>
    <w:tbl>
      <w:tblPr>
        <w:tblStyle w:val="21"/>
        <w:tblpPr w:leftFromText="180" w:rightFromText="180" w:vertAnchor="text" w:horzAnchor="page" w:tblpX="1450" w:tblpY="135"/>
        <w:tblOverlap w:val="never"/>
        <w:tblW w:w="4953" w:type="pct"/>
        <w:tblInd w:w="0" w:type="dxa"/>
        <w:tblLayout w:type="fixed"/>
        <w:tblCellMar>
          <w:top w:w="0" w:type="dxa"/>
          <w:left w:w="108" w:type="dxa"/>
          <w:bottom w:w="0" w:type="dxa"/>
          <w:right w:w="108" w:type="dxa"/>
        </w:tblCellMar>
      </w:tblPr>
      <w:tblGrid>
        <w:gridCol w:w="600"/>
        <w:gridCol w:w="1627"/>
        <w:gridCol w:w="10166"/>
        <w:gridCol w:w="784"/>
        <w:gridCol w:w="866"/>
      </w:tblGrid>
      <w:tr>
        <w:tblPrEx>
          <w:tblCellMar>
            <w:top w:w="0" w:type="dxa"/>
            <w:left w:w="108" w:type="dxa"/>
            <w:bottom w:w="0" w:type="dxa"/>
            <w:right w:w="108" w:type="dxa"/>
          </w:tblCellMar>
        </w:tblPrEx>
        <w:trPr>
          <w:trHeight w:val="1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textAlignment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lang w:bidi="ar"/>
              </w:rPr>
              <w:t>序号</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lang w:bidi="ar"/>
              </w:rPr>
              <w:t>设备名称</w:t>
            </w:r>
          </w:p>
        </w:tc>
        <w:tc>
          <w:tcPr>
            <w:tcW w:w="3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2"/>
              <w:jc w:val="center"/>
              <w:textAlignment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lang w:bidi="ar"/>
              </w:rPr>
              <w:t>设备参数</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textAlignment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lang w:bidi="ar"/>
              </w:rPr>
              <w:t>数量</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textAlignment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lang w:bidi="ar"/>
              </w:rPr>
              <w:t>单位</w:t>
            </w:r>
          </w:p>
        </w:tc>
      </w:tr>
      <w:tr>
        <w:tblPrEx>
          <w:tblCellMar>
            <w:top w:w="0" w:type="dxa"/>
            <w:left w:w="108" w:type="dxa"/>
            <w:bottom w:w="0" w:type="dxa"/>
            <w:right w:w="108" w:type="dxa"/>
          </w:tblCellMar>
        </w:tblPrEx>
        <w:trPr>
          <w:trHeight w:val="1485" w:hRule="atLeast"/>
        </w:trPr>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center" w:pos="205"/>
              </w:tabs>
              <w:ind w:left="209" w:leftChars="87" w:firstLine="210" w:firstLineChars="100"/>
              <w:jc w:val="both"/>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eastAsia="zh-CN" w:bidi="ar"/>
              </w:rPr>
              <w:tab/>
            </w:r>
            <w:r>
              <w:rPr>
                <w:rFonts w:hint="eastAsia" w:asciiTheme="minorEastAsia" w:hAnsiTheme="minorEastAsia" w:eastAsiaTheme="minorEastAsia" w:cstheme="minorEastAsia"/>
                <w:color w:val="000000"/>
                <w:kern w:val="0"/>
                <w:sz w:val="21"/>
                <w:szCs w:val="21"/>
                <w:lang w:bidi="ar"/>
              </w:rPr>
              <w:t>1</w:t>
            </w:r>
          </w:p>
        </w:tc>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管理服务器</w:t>
            </w:r>
          </w:p>
        </w:tc>
        <w:tc>
          <w:tcPr>
            <w:tcW w:w="3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0" w:leftChars="0" w:firstLine="0" w:firstLineChars="0"/>
              <w:jc w:val="left"/>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1、整机和CPU核心部件为国产化品牌自主可控产品</w:t>
            </w:r>
            <w:r>
              <w:rPr>
                <w:rFonts w:hint="eastAsia" w:asciiTheme="minorEastAsia" w:hAnsiTheme="minorEastAsia" w:eastAsiaTheme="minorEastAsia" w:cstheme="minorEastAsia"/>
                <w:color w:val="000000"/>
                <w:kern w:val="0"/>
                <w:sz w:val="21"/>
                <w:szCs w:val="21"/>
                <w:lang w:eastAsia="zh-CN" w:bidi="ar"/>
              </w:rPr>
              <w:t>。</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2、配置≥国产化八核处理器（C86架构，处理器主频≥3.0GHz）。</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3、配置内存容量≥16GB；本地存储≥512 GB（NVME SSD）。</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4、整机自带USB3.0接口≥6个，USB2.0≥4个，千兆网口≥1个，VGA接口≥1个，HDMI接口≥1</w:t>
            </w:r>
            <w:r>
              <w:rPr>
                <w:rFonts w:hint="eastAsia" w:asciiTheme="minorEastAsia" w:hAnsiTheme="minorEastAsia" w:eastAsiaTheme="minorEastAsia" w:cstheme="minorEastAsia"/>
                <w:kern w:val="0"/>
                <w:sz w:val="21"/>
                <w:szCs w:val="21"/>
                <w:lang w:bidi="ar"/>
              </w:rPr>
              <w:t>个</w:t>
            </w:r>
            <w:r>
              <w:rPr>
                <w:rStyle w:val="71"/>
                <w:rFonts w:hint="default" w:asciiTheme="minorEastAsia" w:hAnsiTheme="minorEastAsia" w:eastAsiaTheme="minorEastAsia" w:cstheme="minorEastAsia"/>
                <w:color w:val="auto"/>
                <w:sz w:val="21"/>
                <w:szCs w:val="21"/>
                <w:lang w:bidi="ar"/>
              </w:rPr>
              <w:t>。</w:t>
            </w:r>
            <w:r>
              <w:rPr>
                <w:rStyle w:val="68"/>
                <w:rFonts w:hint="default" w:asciiTheme="minorEastAsia" w:hAnsiTheme="minorEastAsia" w:eastAsiaTheme="minorEastAsia" w:cstheme="minorEastAsia"/>
                <w:sz w:val="21"/>
                <w:szCs w:val="21"/>
                <w:lang w:bidi="ar"/>
              </w:rPr>
              <w:br w:type="textWrapping"/>
            </w:r>
            <w:r>
              <w:rPr>
                <w:rStyle w:val="68"/>
                <w:rFonts w:hint="default" w:asciiTheme="minorEastAsia" w:hAnsiTheme="minorEastAsia" w:eastAsiaTheme="minorEastAsia" w:cstheme="minorEastAsia"/>
                <w:sz w:val="21"/>
                <w:szCs w:val="21"/>
                <w:lang w:bidi="ar"/>
              </w:rPr>
              <w:t>5、外设扩展能力强，需要配置多个PCIE插槽，PCIEx16≥1个、PCIEx8≥1个、PCIEx1≥1个。</w:t>
            </w:r>
            <w:r>
              <w:rPr>
                <w:rStyle w:val="68"/>
                <w:rFonts w:hint="default" w:asciiTheme="minorEastAsia" w:hAnsiTheme="minorEastAsia" w:eastAsiaTheme="minorEastAsia" w:cstheme="minorEastAsia"/>
                <w:sz w:val="21"/>
                <w:szCs w:val="21"/>
                <w:lang w:bidi="ar"/>
              </w:rPr>
              <w:br w:type="textWrapping"/>
            </w:r>
            <w:r>
              <w:rPr>
                <w:rStyle w:val="68"/>
                <w:rFonts w:hint="default" w:asciiTheme="minorEastAsia" w:hAnsiTheme="minorEastAsia" w:eastAsiaTheme="minorEastAsia" w:cstheme="minorEastAsia"/>
                <w:sz w:val="21"/>
                <w:szCs w:val="21"/>
                <w:lang w:bidi="ar"/>
              </w:rPr>
              <w:t>6、支持SATA硬盘接口≥2个进行扩展</w:t>
            </w:r>
            <w:r>
              <w:rPr>
                <w:rStyle w:val="68"/>
                <w:rFonts w:hint="default" w:asciiTheme="minorEastAsia" w:hAnsiTheme="minorEastAsia" w:eastAsiaTheme="minorEastAsia" w:cstheme="minorEastAsia"/>
                <w:color w:val="auto"/>
                <w:sz w:val="21"/>
                <w:szCs w:val="21"/>
                <w:lang w:bidi="ar"/>
              </w:rPr>
              <w:t>，支持内存扩展槽位≥3个。</w:t>
            </w:r>
            <w:r>
              <w:rPr>
                <w:rStyle w:val="68"/>
                <w:rFonts w:hint="default" w:asciiTheme="minorEastAsia" w:hAnsiTheme="minorEastAsia" w:eastAsiaTheme="minorEastAsia" w:cstheme="minorEastAsia"/>
                <w:color w:val="auto"/>
                <w:sz w:val="21"/>
                <w:szCs w:val="21"/>
                <w:lang w:bidi="ar"/>
              </w:rPr>
              <w:br w:type="textWrapping"/>
            </w:r>
            <w:r>
              <w:rPr>
                <w:rStyle w:val="68"/>
                <w:rFonts w:hint="default" w:asciiTheme="minorEastAsia" w:hAnsiTheme="minorEastAsia" w:eastAsiaTheme="minorEastAsia" w:cstheme="minorEastAsia"/>
                <w:color w:val="auto"/>
                <w:sz w:val="21"/>
                <w:szCs w:val="21"/>
                <w:lang w:bidi="ar"/>
              </w:rPr>
              <w:t>7、具备基本3D显示性能，配置显存≥2GB独立显卡。</w:t>
            </w:r>
            <w:r>
              <w:rPr>
                <w:rStyle w:val="68"/>
                <w:rFonts w:hint="default" w:asciiTheme="minorEastAsia" w:hAnsiTheme="minorEastAsia" w:eastAsiaTheme="minorEastAsia" w:cstheme="minorEastAsia"/>
                <w:color w:val="auto"/>
                <w:sz w:val="21"/>
                <w:szCs w:val="21"/>
                <w:lang w:bidi="ar"/>
              </w:rPr>
              <w:br w:type="textWrapping"/>
            </w:r>
            <w:r>
              <w:rPr>
                <w:rStyle w:val="68"/>
                <w:rFonts w:hint="default" w:asciiTheme="minorEastAsia" w:hAnsiTheme="minorEastAsia" w:eastAsiaTheme="minorEastAsia" w:cstheme="minorEastAsia"/>
                <w:color w:val="auto"/>
                <w:sz w:val="21"/>
                <w:szCs w:val="21"/>
                <w:lang w:bidi="ar"/>
              </w:rPr>
              <w:t>8、设备平均故障间隔时间（MTBF）≥300000小时</w:t>
            </w:r>
            <w:r>
              <w:rPr>
                <w:rStyle w:val="71"/>
                <w:rFonts w:hint="default" w:asciiTheme="minorEastAsia" w:hAnsiTheme="minorEastAsia" w:eastAsiaTheme="minorEastAsia" w:cstheme="minorEastAsia"/>
                <w:color w:val="auto"/>
                <w:sz w:val="21"/>
                <w:szCs w:val="21"/>
                <w:lang w:bidi="ar"/>
              </w:rPr>
              <w:t>。</w:t>
            </w:r>
            <w:r>
              <w:rPr>
                <w:rStyle w:val="68"/>
                <w:rFonts w:hint="default" w:asciiTheme="minorEastAsia" w:hAnsiTheme="minorEastAsia" w:eastAsiaTheme="minorEastAsia" w:cstheme="minorEastAsia"/>
                <w:color w:val="auto"/>
                <w:sz w:val="21"/>
                <w:szCs w:val="21"/>
                <w:lang w:bidi="ar"/>
              </w:rPr>
              <w:br w:type="textWrapping"/>
            </w:r>
            <w:r>
              <w:rPr>
                <w:rStyle w:val="68"/>
                <w:rFonts w:hint="default" w:asciiTheme="minorEastAsia" w:hAnsiTheme="minorEastAsia" w:eastAsiaTheme="minorEastAsia" w:cstheme="minorEastAsia"/>
                <w:color w:val="auto"/>
                <w:sz w:val="21"/>
                <w:szCs w:val="21"/>
                <w:lang w:bidi="ar"/>
              </w:rPr>
              <w:t>9、整机设备满载噪声指标≤32dB</w:t>
            </w:r>
            <w:r>
              <w:rPr>
                <w:rStyle w:val="71"/>
                <w:rFonts w:hint="default" w:asciiTheme="minorEastAsia" w:hAnsiTheme="minorEastAsia" w:eastAsiaTheme="minorEastAsia" w:cstheme="minorEastAsia"/>
                <w:color w:val="auto"/>
                <w:sz w:val="21"/>
                <w:szCs w:val="21"/>
                <w:lang w:bidi="ar"/>
              </w:rPr>
              <w:t>。</w:t>
            </w:r>
            <w:r>
              <w:rPr>
                <w:rStyle w:val="68"/>
                <w:rFonts w:hint="default" w:asciiTheme="minorEastAsia" w:hAnsiTheme="minorEastAsia" w:eastAsiaTheme="minorEastAsia" w:cstheme="minorEastAsia"/>
                <w:color w:val="auto"/>
                <w:sz w:val="21"/>
                <w:szCs w:val="21"/>
                <w:lang w:bidi="ar"/>
              </w:rPr>
              <w:br w:type="textWrapping"/>
            </w:r>
            <w:r>
              <w:rPr>
                <w:rStyle w:val="68"/>
                <w:rFonts w:hint="default" w:asciiTheme="minorEastAsia" w:hAnsiTheme="minorEastAsia" w:eastAsiaTheme="minorEastAsia" w:cstheme="minorEastAsia"/>
                <w:color w:val="auto"/>
                <w:sz w:val="21"/>
                <w:szCs w:val="21"/>
                <w:lang w:bidi="ar"/>
              </w:rPr>
              <w:t>10、超融合基础架构，在同一管理平台内至少包含计算资源、存储资源、网络资源等功能管理模块，各模块需要通过一个厂</w:t>
            </w:r>
            <w:r>
              <w:rPr>
                <w:rStyle w:val="68"/>
                <w:rFonts w:hint="default" w:asciiTheme="minorEastAsia" w:hAnsiTheme="minorEastAsia" w:eastAsiaTheme="minorEastAsia" w:cstheme="minorEastAsia"/>
                <w:sz w:val="21"/>
                <w:szCs w:val="21"/>
                <w:lang w:bidi="ar"/>
              </w:rPr>
              <w:t>家的一套软件实现超融合部署。</w:t>
            </w:r>
            <w:r>
              <w:rPr>
                <w:rStyle w:val="68"/>
                <w:rFonts w:hint="default" w:asciiTheme="minorEastAsia" w:hAnsiTheme="minorEastAsia" w:eastAsiaTheme="minorEastAsia" w:cstheme="minorEastAsia"/>
                <w:sz w:val="21"/>
                <w:szCs w:val="21"/>
                <w:lang w:bidi="ar"/>
              </w:rPr>
              <w:br w:type="textWrapping"/>
            </w:r>
            <w:r>
              <w:rPr>
                <w:rStyle w:val="68"/>
                <w:rFonts w:hint="default" w:asciiTheme="minorEastAsia" w:hAnsiTheme="minorEastAsia" w:eastAsiaTheme="minorEastAsia" w:cstheme="minorEastAsia"/>
                <w:sz w:val="21"/>
                <w:szCs w:val="21"/>
                <w:lang w:bidi="ar"/>
              </w:rPr>
              <w:t>11、管理平台采用B/S（Broswer/Server）架构，支持中文图形化操作界面，同一管理界面中可实现对计算、存储、网络等功能的配置和操作。</w:t>
            </w:r>
            <w:r>
              <w:rPr>
                <w:rStyle w:val="68"/>
                <w:rFonts w:hint="default" w:asciiTheme="minorEastAsia" w:hAnsiTheme="minorEastAsia" w:eastAsiaTheme="minorEastAsia" w:cstheme="minorEastAsia"/>
                <w:sz w:val="21"/>
                <w:szCs w:val="21"/>
                <w:lang w:bidi="ar"/>
              </w:rPr>
              <w:br w:type="textWrapping"/>
            </w:r>
            <w:r>
              <w:rPr>
                <w:rStyle w:val="68"/>
                <w:rFonts w:hint="default" w:asciiTheme="minorEastAsia" w:hAnsiTheme="minorEastAsia" w:eastAsiaTheme="minorEastAsia" w:cstheme="minorEastAsia"/>
                <w:sz w:val="21"/>
                <w:szCs w:val="21"/>
                <w:lang w:bidi="ar"/>
              </w:rPr>
              <w:t>12、采用分布式存储架构，可以将服务器集群中多个节点的本地磁盘融合为统一存储资源空间；具备在线横向扩展能力，任一节点故障，都不会影响数据的正常访问。</w:t>
            </w:r>
            <w:r>
              <w:rPr>
                <w:rStyle w:val="68"/>
                <w:rFonts w:hint="default" w:asciiTheme="minorEastAsia" w:hAnsiTheme="minorEastAsia" w:eastAsiaTheme="minorEastAsia" w:cstheme="minorEastAsia"/>
                <w:sz w:val="21"/>
                <w:szCs w:val="21"/>
                <w:lang w:bidi="ar"/>
              </w:rPr>
              <w:br w:type="textWrapping"/>
            </w:r>
            <w:r>
              <w:rPr>
                <w:rStyle w:val="68"/>
                <w:rFonts w:hint="default" w:asciiTheme="minorEastAsia" w:hAnsiTheme="minorEastAsia" w:eastAsiaTheme="minorEastAsia" w:cstheme="minorEastAsia"/>
                <w:sz w:val="21"/>
                <w:szCs w:val="21"/>
                <w:lang w:bidi="ar"/>
              </w:rPr>
              <w:t>13、存储池可以设置的冗余策略至少包括：单副本、2副本、3副本、纠删码等冗余策略，纠删码可以按照2数据1校验的方案部署并实际使用，磁盘空间的利用率≥66%。</w:t>
            </w:r>
            <w:r>
              <w:rPr>
                <w:rStyle w:val="68"/>
                <w:rFonts w:hint="default" w:asciiTheme="minorEastAsia" w:hAnsiTheme="minorEastAsia" w:eastAsiaTheme="minorEastAsia" w:cstheme="minorEastAsia"/>
                <w:sz w:val="21"/>
                <w:szCs w:val="21"/>
                <w:lang w:bidi="ar"/>
              </w:rPr>
              <w:br w:type="textWrapping"/>
            </w:r>
            <w:r>
              <w:rPr>
                <w:rStyle w:val="68"/>
                <w:rFonts w:hint="default" w:asciiTheme="minorEastAsia" w:hAnsiTheme="minorEastAsia" w:eastAsiaTheme="minorEastAsia" w:cstheme="minorEastAsia"/>
                <w:sz w:val="21"/>
                <w:szCs w:val="21"/>
                <w:lang w:bidi="ar"/>
              </w:rPr>
              <w:t>14、硬盘故障后，数据可以快速重构，在分布式存储的方案下，1T数据重构时间≤15分钟。</w:t>
            </w:r>
            <w:r>
              <w:rPr>
                <w:rStyle w:val="68"/>
                <w:rFonts w:hint="default" w:asciiTheme="minorEastAsia" w:hAnsiTheme="minorEastAsia" w:eastAsiaTheme="minorEastAsia" w:cstheme="minorEastAsia"/>
                <w:sz w:val="21"/>
                <w:szCs w:val="21"/>
                <w:lang w:bidi="ar"/>
              </w:rPr>
              <w:br w:type="textWrapping"/>
            </w:r>
            <w:r>
              <w:rPr>
                <w:rStyle w:val="68"/>
                <w:rFonts w:hint="default" w:asciiTheme="minorEastAsia" w:hAnsiTheme="minorEastAsia" w:eastAsiaTheme="minorEastAsia" w:cstheme="minorEastAsia"/>
                <w:sz w:val="21"/>
                <w:szCs w:val="21"/>
                <w:lang w:bidi="ar"/>
              </w:rPr>
              <w:t>15、具备≥200台云终端的管理维护能力；</w:t>
            </w:r>
            <w:r>
              <w:rPr>
                <w:rStyle w:val="68"/>
                <w:rFonts w:hint="default" w:asciiTheme="minorEastAsia" w:hAnsiTheme="minorEastAsia" w:eastAsiaTheme="minorEastAsia" w:cstheme="minorEastAsia"/>
                <w:sz w:val="21"/>
                <w:szCs w:val="21"/>
                <w:lang w:bidi="ar"/>
              </w:rPr>
              <w:br w:type="textWrapping"/>
            </w:r>
            <w:r>
              <w:rPr>
                <w:rStyle w:val="68"/>
                <w:rFonts w:hint="default" w:asciiTheme="minorEastAsia" w:hAnsiTheme="minorEastAsia" w:eastAsiaTheme="minorEastAsia" w:cstheme="minorEastAsia"/>
                <w:sz w:val="21"/>
                <w:szCs w:val="21"/>
                <w:lang w:bidi="ar"/>
              </w:rPr>
              <w:t>提供第三方检测报告。</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10" w:firstLineChars="100"/>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bidi="ar"/>
              </w:rPr>
              <w:t>6</w:t>
            </w:r>
          </w:p>
        </w:tc>
        <w:tc>
          <w:tcPr>
            <w:tcW w:w="308" w:type="pct"/>
            <w:tcBorders>
              <w:top w:val="single" w:color="000000" w:sz="4" w:space="0"/>
              <w:left w:val="single" w:color="000000" w:sz="4" w:space="0"/>
              <w:bottom w:val="nil"/>
              <w:right w:val="single" w:color="000000" w:sz="4" w:space="0"/>
            </w:tcBorders>
            <w:shd w:val="clear" w:color="auto" w:fill="auto"/>
            <w:vAlign w:val="center"/>
          </w:tcPr>
          <w:p>
            <w:pPr>
              <w:ind w:firstLine="420"/>
              <w:jc w:val="center"/>
              <w:rPr>
                <w:rFonts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90"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jc w:val="center"/>
              <w:rPr>
                <w:rFonts w:asciiTheme="minorEastAsia" w:hAnsiTheme="minorEastAsia" w:eastAsiaTheme="minorEastAsia" w:cstheme="minorEastAsia"/>
                <w:color w:val="000000"/>
                <w:sz w:val="21"/>
                <w:szCs w:val="21"/>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jc w:val="center"/>
              <w:rPr>
                <w:rFonts w:asciiTheme="minorEastAsia" w:hAnsiTheme="minorEastAsia" w:eastAsiaTheme="minorEastAsia" w:cstheme="minorEastAsia"/>
                <w:color w:val="000000"/>
                <w:sz w:val="21"/>
                <w:szCs w:val="21"/>
              </w:rPr>
            </w:pPr>
          </w:p>
        </w:tc>
        <w:tc>
          <w:tcPr>
            <w:tcW w:w="3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jc w:val="left"/>
              <w:rPr>
                <w:rFonts w:asciiTheme="minorEastAsia" w:hAnsiTheme="minorEastAsia" w:eastAsiaTheme="minorEastAsia" w:cstheme="minorEastAsia"/>
                <w:color w:val="000000"/>
                <w:sz w:val="21"/>
                <w:szCs w:val="21"/>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jc w:val="center"/>
              <w:rPr>
                <w:rFonts w:asciiTheme="minorEastAsia" w:hAnsiTheme="minorEastAsia" w:eastAsiaTheme="minorEastAsia" w:cstheme="minorEastAsia"/>
                <w:color w:val="000000"/>
                <w:sz w:val="21"/>
                <w:szCs w:val="21"/>
              </w:rPr>
            </w:pPr>
          </w:p>
        </w:tc>
        <w:tc>
          <w:tcPr>
            <w:tcW w:w="308" w:type="pct"/>
            <w:tcBorders>
              <w:top w:val="nil"/>
              <w:left w:val="single" w:color="000000" w:sz="4" w:space="0"/>
              <w:bottom w:val="single" w:color="000000" w:sz="4" w:space="0"/>
              <w:right w:val="single" w:color="000000" w:sz="4" w:space="0"/>
            </w:tcBorders>
            <w:shd w:val="clear" w:color="auto" w:fill="auto"/>
            <w:vAlign w:val="center"/>
          </w:tcPr>
          <w:p>
            <w:pPr>
              <w:ind w:firstLine="0" w:firstLineChars="0"/>
              <w:rPr>
                <w:rFonts w:asciiTheme="minorEastAsia" w:hAnsiTheme="minorEastAsia" w:eastAsiaTheme="minorEastAsia" w:cstheme="minorEastAsia"/>
                <w:color w:val="000000"/>
                <w:sz w:val="21"/>
                <w:szCs w:val="21"/>
              </w:rPr>
            </w:pPr>
          </w:p>
          <w:p>
            <w:pPr>
              <w:ind w:firstLine="0" w:firstLineChars="0"/>
              <w:rPr>
                <w:rFonts w:asciiTheme="minorEastAsia" w:hAnsiTheme="minorEastAsia" w:eastAsiaTheme="minorEastAsia" w:cstheme="minorEastAsia"/>
                <w:color w:val="000000"/>
                <w:sz w:val="21"/>
                <w:szCs w:val="21"/>
              </w:rPr>
            </w:pPr>
          </w:p>
          <w:p>
            <w:pPr>
              <w:ind w:firstLine="0" w:firstLineChars="0"/>
              <w:rPr>
                <w:rFonts w:asciiTheme="minorEastAsia" w:hAnsiTheme="minorEastAsia" w:eastAsiaTheme="minorEastAsia" w:cstheme="minorEastAsia"/>
                <w:color w:val="000000"/>
                <w:sz w:val="21"/>
                <w:szCs w:val="21"/>
              </w:rPr>
            </w:pPr>
          </w:p>
          <w:p>
            <w:pPr>
              <w:ind w:firstLine="0" w:firstLineChars="0"/>
              <w:rPr>
                <w:rFonts w:asciiTheme="minorEastAsia" w:hAnsiTheme="minorEastAsia" w:eastAsiaTheme="minorEastAsia" w:cstheme="minorEastAsia"/>
                <w:color w:val="000000"/>
                <w:sz w:val="21"/>
                <w:szCs w:val="21"/>
              </w:rPr>
            </w:pPr>
          </w:p>
          <w:p>
            <w:pPr>
              <w:ind w:firstLine="0" w:firstLineChars="0"/>
              <w:rPr>
                <w:rFonts w:asciiTheme="minorEastAsia" w:hAnsiTheme="minorEastAsia" w:eastAsiaTheme="minorEastAsia" w:cstheme="minorEastAsia"/>
                <w:color w:val="000000"/>
                <w:sz w:val="21"/>
                <w:szCs w:val="21"/>
              </w:rPr>
            </w:pPr>
          </w:p>
          <w:p>
            <w:pPr>
              <w:ind w:firstLine="0" w:firstLineChars="0"/>
              <w:rPr>
                <w:rFonts w:asciiTheme="minorEastAsia" w:hAnsiTheme="minorEastAsia" w:eastAsiaTheme="minorEastAsia" w:cstheme="minorEastAsia"/>
                <w:color w:val="000000"/>
                <w:sz w:val="21"/>
                <w:szCs w:val="21"/>
              </w:rPr>
            </w:pPr>
          </w:p>
          <w:p>
            <w:pPr>
              <w:ind w:firstLine="0" w:firstLineChars="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p>
            <w:pPr>
              <w:ind w:firstLine="0" w:firstLineChars="0"/>
              <w:rPr>
                <w:rFonts w:asciiTheme="minorEastAsia" w:hAnsiTheme="minorEastAsia" w:eastAsiaTheme="minorEastAsia" w:cstheme="minorEastAsia"/>
                <w:color w:val="000000"/>
                <w:sz w:val="21"/>
                <w:szCs w:val="21"/>
              </w:rPr>
            </w:pPr>
          </w:p>
          <w:p>
            <w:pPr>
              <w:ind w:firstLine="0" w:firstLineChars="0"/>
              <w:rPr>
                <w:rFonts w:asciiTheme="minorEastAsia" w:hAnsiTheme="minorEastAsia" w:eastAsiaTheme="minorEastAsia" w:cstheme="minorEastAsia"/>
                <w:color w:val="000000"/>
                <w:sz w:val="21"/>
                <w:szCs w:val="21"/>
              </w:rPr>
            </w:pPr>
          </w:p>
          <w:p>
            <w:pPr>
              <w:ind w:firstLine="0" w:firstLineChars="0"/>
              <w:rPr>
                <w:rFonts w:asciiTheme="minorEastAsia" w:hAnsiTheme="minorEastAsia" w:eastAsiaTheme="minorEastAsia" w:cstheme="minorEastAsia"/>
                <w:color w:val="000000"/>
                <w:sz w:val="21"/>
                <w:szCs w:val="21"/>
              </w:rPr>
            </w:pPr>
          </w:p>
          <w:p>
            <w:pPr>
              <w:ind w:firstLine="0" w:firstLineChars="0"/>
              <w:rPr>
                <w:rFonts w:asciiTheme="minorEastAsia" w:hAnsiTheme="minorEastAsia" w:eastAsiaTheme="minorEastAsia" w:cstheme="minorEastAsia"/>
                <w:color w:val="000000"/>
                <w:sz w:val="21"/>
                <w:szCs w:val="21"/>
              </w:rPr>
            </w:pPr>
          </w:p>
          <w:p>
            <w:pPr>
              <w:ind w:firstLine="0" w:firstLineChars="0"/>
              <w:rPr>
                <w:rFonts w:asciiTheme="minorEastAsia" w:hAnsiTheme="minorEastAsia" w:eastAsiaTheme="minorEastAsia" w:cstheme="minorEastAsia"/>
                <w:color w:val="000000"/>
                <w:sz w:val="21"/>
                <w:szCs w:val="21"/>
              </w:rPr>
            </w:pPr>
          </w:p>
          <w:p>
            <w:pPr>
              <w:ind w:firstLine="0" w:firstLineChars="0"/>
              <w:rPr>
                <w:rFonts w:asciiTheme="minorEastAsia" w:hAnsiTheme="minorEastAsia" w:eastAsiaTheme="minorEastAsia" w:cstheme="minorEastAsia"/>
                <w:color w:val="000000"/>
                <w:sz w:val="21"/>
                <w:szCs w:val="21"/>
              </w:rPr>
            </w:pPr>
          </w:p>
          <w:p>
            <w:pPr>
              <w:ind w:firstLine="0" w:firstLineChars="0"/>
              <w:rPr>
                <w:rFonts w:asciiTheme="minorEastAsia" w:hAnsiTheme="minorEastAsia" w:eastAsiaTheme="minorEastAsia" w:cstheme="minorEastAsia"/>
                <w:color w:val="000000"/>
                <w:sz w:val="21"/>
                <w:szCs w:val="21"/>
              </w:rPr>
            </w:pPr>
          </w:p>
          <w:p>
            <w:pPr>
              <w:ind w:firstLine="0" w:firstLineChars="0"/>
              <w:rPr>
                <w:rFonts w:asciiTheme="minorEastAsia" w:hAnsiTheme="minorEastAsia" w:eastAsiaTheme="minorEastAsia" w:cstheme="minorEastAsia"/>
                <w:color w:val="000000"/>
                <w:sz w:val="21"/>
                <w:szCs w:val="21"/>
              </w:rPr>
            </w:pPr>
          </w:p>
          <w:p>
            <w:pPr>
              <w:ind w:firstLine="0" w:firstLineChars="0"/>
              <w:rPr>
                <w:rFonts w:asciiTheme="minorEastAsia" w:hAnsiTheme="minorEastAsia" w:eastAsiaTheme="minorEastAsia" w:cstheme="minorEastAsia"/>
                <w:color w:val="000000"/>
                <w:sz w:val="21"/>
                <w:szCs w:val="21"/>
              </w:rPr>
            </w:pPr>
          </w:p>
          <w:p>
            <w:pPr>
              <w:ind w:firstLine="0" w:firstLineChars="0"/>
              <w:rPr>
                <w:rFonts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486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0" w:leftChars="0" w:firstLine="210" w:firstLineChars="100"/>
              <w:jc w:val="left"/>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2</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教学管理软件</w:t>
            </w: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jc w:val="left"/>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1、提供多种教学模式以匹配不同的教学需求，支持老师通过教学管理软件对学生一键切换教学镜像；切换镜像时，云终端硬件无需重新启动。</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2、支持通</w:t>
            </w:r>
            <w:r>
              <w:rPr>
                <w:rFonts w:hint="eastAsia" w:asciiTheme="minorEastAsia" w:hAnsiTheme="minorEastAsia" w:eastAsiaTheme="minorEastAsia" w:cstheme="minorEastAsia"/>
                <w:kern w:val="0"/>
                <w:sz w:val="21"/>
                <w:szCs w:val="21"/>
                <w:lang w:bidi="ar"/>
              </w:rPr>
              <w:t>过教学管理软件一键开启所有云终端，终端启动后进入对应的课程镜像桌面</w:t>
            </w:r>
            <w:r>
              <w:rPr>
                <w:rStyle w:val="71"/>
                <w:rFonts w:hint="default" w:asciiTheme="minorEastAsia" w:hAnsiTheme="minorEastAsia" w:eastAsiaTheme="minorEastAsia" w:cstheme="minorEastAsia"/>
                <w:color w:val="auto"/>
                <w:sz w:val="21"/>
                <w:szCs w:val="21"/>
                <w:lang w:bidi="ar"/>
              </w:rPr>
              <w:t>。</w:t>
            </w:r>
            <w:r>
              <w:rPr>
                <w:rStyle w:val="68"/>
                <w:rFonts w:hint="default" w:asciiTheme="minorEastAsia" w:hAnsiTheme="minorEastAsia" w:eastAsiaTheme="minorEastAsia" w:cstheme="minorEastAsia"/>
                <w:color w:val="auto"/>
                <w:sz w:val="21"/>
                <w:szCs w:val="21"/>
                <w:lang w:bidi="ar"/>
              </w:rPr>
              <w:br w:type="textWrapping"/>
            </w:r>
            <w:r>
              <w:rPr>
                <w:rStyle w:val="68"/>
                <w:rFonts w:hint="default" w:asciiTheme="minorEastAsia" w:hAnsiTheme="minorEastAsia" w:eastAsiaTheme="minorEastAsia" w:cstheme="minorEastAsia"/>
                <w:sz w:val="21"/>
                <w:szCs w:val="21"/>
                <w:lang w:bidi="ar"/>
              </w:rPr>
              <w:t>3、为保证正常教学使用，在教师机可以实现屏幕广播；学生可以调整老师广播屏幕大小；老师可以选择是否广播声音给学生</w:t>
            </w:r>
            <w:r>
              <w:rPr>
                <w:rStyle w:val="71"/>
                <w:rFonts w:hint="default" w:asciiTheme="minorEastAsia" w:hAnsiTheme="minorEastAsia" w:eastAsiaTheme="minorEastAsia" w:cstheme="minorEastAsia"/>
                <w:sz w:val="21"/>
                <w:szCs w:val="21"/>
                <w:lang w:bidi="ar"/>
              </w:rPr>
              <w:t>。</w:t>
            </w:r>
            <w:r>
              <w:rPr>
                <w:rStyle w:val="68"/>
                <w:rFonts w:hint="default" w:asciiTheme="minorEastAsia" w:hAnsiTheme="minorEastAsia" w:eastAsiaTheme="minorEastAsia" w:cstheme="minorEastAsia"/>
                <w:sz w:val="21"/>
                <w:szCs w:val="21"/>
                <w:lang w:bidi="ar"/>
              </w:rPr>
              <w:br w:type="textWrapping"/>
            </w:r>
            <w:r>
              <w:rPr>
                <w:rStyle w:val="68"/>
                <w:rFonts w:hint="default" w:asciiTheme="minorEastAsia" w:hAnsiTheme="minorEastAsia" w:eastAsiaTheme="minorEastAsia" w:cstheme="minorEastAsia"/>
                <w:sz w:val="21"/>
                <w:szCs w:val="21"/>
                <w:lang w:bidi="ar"/>
              </w:rPr>
              <w:t>4、支持老师在线打开学生作业；支持txt、图片等学生作业格式。在线查看学生作业后，可以在个人空间中打分。</w:t>
            </w:r>
            <w:r>
              <w:rPr>
                <w:rStyle w:val="68"/>
                <w:rFonts w:hint="default" w:asciiTheme="minorEastAsia" w:hAnsiTheme="minorEastAsia" w:eastAsiaTheme="minorEastAsia" w:cstheme="minorEastAsia"/>
                <w:sz w:val="21"/>
                <w:szCs w:val="21"/>
                <w:lang w:bidi="ar"/>
              </w:rPr>
              <w:br w:type="textWrapping"/>
            </w:r>
            <w:r>
              <w:rPr>
                <w:rStyle w:val="68"/>
                <w:rFonts w:hint="default" w:asciiTheme="minorEastAsia" w:hAnsiTheme="minorEastAsia" w:eastAsiaTheme="minorEastAsia" w:cstheme="minorEastAsia"/>
                <w:sz w:val="21"/>
                <w:szCs w:val="21"/>
                <w:lang w:bidi="ar"/>
              </w:rPr>
              <w:t>5、支持老师将学生作业标记为公开作业；支持学生通过学生端软件查看本年级所有老师标记的公开作业。</w:t>
            </w:r>
            <w:r>
              <w:rPr>
                <w:rStyle w:val="68"/>
                <w:rFonts w:hint="default" w:asciiTheme="minorEastAsia" w:hAnsiTheme="minorEastAsia" w:eastAsiaTheme="minorEastAsia" w:cstheme="minorEastAsia"/>
                <w:sz w:val="21"/>
                <w:szCs w:val="21"/>
                <w:lang w:bidi="ar"/>
              </w:rPr>
              <w:br w:type="textWrapping"/>
            </w:r>
            <w:r>
              <w:rPr>
                <w:rStyle w:val="68"/>
                <w:rFonts w:hint="default" w:asciiTheme="minorEastAsia" w:hAnsiTheme="minorEastAsia" w:eastAsiaTheme="minorEastAsia" w:cstheme="minorEastAsia"/>
                <w:sz w:val="21"/>
                <w:szCs w:val="21"/>
                <w:lang w:bidi="ar"/>
              </w:rPr>
              <w:t>6、支持自主注册账号、支持管理员统一账号导入；老师账号仅支持密码登陆个人空间；学生账号支持密码登陆和无密码登陆。</w:t>
            </w:r>
            <w:r>
              <w:rPr>
                <w:rStyle w:val="68"/>
                <w:rFonts w:hint="default" w:asciiTheme="minorEastAsia" w:hAnsiTheme="minorEastAsia" w:eastAsiaTheme="minorEastAsia" w:cstheme="minorEastAsia"/>
                <w:sz w:val="21"/>
                <w:szCs w:val="21"/>
                <w:lang w:bidi="ar"/>
              </w:rPr>
              <w:br w:type="textWrapping"/>
            </w:r>
            <w:r>
              <w:rPr>
                <w:rStyle w:val="68"/>
                <w:rFonts w:hint="default" w:asciiTheme="minorEastAsia" w:hAnsiTheme="minorEastAsia" w:eastAsiaTheme="minorEastAsia" w:cstheme="minorEastAsia"/>
                <w:sz w:val="21"/>
                <w:szCs w:val="21"/>
                <w:lang w:bidi="ar"/>
              </w:rPr>
              <w:t>7、支持老师对选中文件的分发和回收；支持老师对文件分发学生范围设置，支持老师根据姓名、小组、班级、年级或全员进行分发；支持考试对单独文件或文件夹形式分发；支持老师设置文件回收截至时间；支持老师设置回收后的文件存储位置；支持学生一键文件提交。</w:t>
            </w:r>
            <w:r>
              <w:rPr>
                <w:rStyle w:val="68"/>
                <w:rFonts w:hint="default" w:asciiTheme="minorEastAsia" w:hAnsiTheme="minorEastAsia" w:eastAsiaTheme="minorEastAsia" w:cstheme="minorEastAsia"/>
                <w:sz w:val="21"/>
                <w:szCs w:val="21"/>
                <w:lang w:bidi="ar"/>
              </w:rPr>
              <w:br w:type="textWrapping"/>
            </w:r>
            <w:r>
              <w:rPr>
                <w:rStyle w:val="68"/>
                <w:rFonts w:hint="default" w:asciiTheme="minorEastAsia" w:hAnsiTheme="minorEastAsia" w:eastAsiaTheme="minorEastAsia" w:cstheme="minorEastAsia"/>
                <w:sz w:val="21"/>
                <w:szCs w:val="21"/>
                <w:lang w:bidi="ar"/>
              </w:rPr>
              <w:t>8、为简化班级管理维护工作，支持通过标识码邀请方式来创建班级，即老师通过唯一的标识码邀请学生加入。</w:t>
            </w:r>
            <w:r>
              <w:rPr>
                <w:rStyle w:val="68"/>
                <w:rFonts w:hint="default" w:asciiTheme="minorEastAsia" w:hAnsiTheme="minorEastAsia" w:eastAsiaTheme="minorEastAsia" w:cstheme="minorEastAsia"/>
                <w:sz w:val="21"/>
                <w:szCs w:val="21"/>
                <w:lang w:bidi="ar"/>
              </w:rPr>
              <w:br w:type="textWrapping"/>
            </w:r>
            <w:r>
              <w:rPr>
                <w:rStyle w:val="68"/>
                <w:rFonts w:hint="default" w:asciiTheme="minorEastAsia" w:hAnsiTheme="minorEastAsia" w:eastAsiaTheme="minorEastAsia" w:cstheme="minorEastAsia"/>
                <w:sz w:val="21"/>
                <w:szCs w:val="21"/>
                <w:lang w:bidi="ar"/>
              </w:rPr>
              <w:t>9、随堂测试：为方便老师快速出题，支持老师通过教师端导入word、pdf、txt等题库文件，也可以通过截屏方式快速出题。老师可以通过全班答题、抢答、随机答题多种方式发起测试，发起测试时为防止作弊老师可选择全屏答题或窗口答题。</w:t>
            </w:r>
            <w:r>
              <w:rPr>
                <w:rStyle w:val="68"/>
                <w:rFonts w:hint="default" w:asciiTheme="minorEastAsia" w:hAnsiTheme="minorEastAsia" w:eastAsiaTheme="minorEastAsia" w:cstheme="minorEastAsia"/>
                <w:sz w:val="21"/>
                <w:szCs w:val="21"/>
                <w:lang w:bidi="ar"/>
              </w:rPr>
              <w:br w:type="textWrapping"/>
            </w:r>
            <w:r>
              <w:rPr>
                <w:rStyle w:val="68"/>
                <w:rFonts w:hint="default" w:asciiTheme="minorEastAsia" w:hAnsiTheme="minorEastAsia" w:eastAsiaTheme="minorEastAsia" w:cstheme="minorEastAsia"/>
                <w:sz w:val="21"/>
                <w:szCs w:val="21"/>
                <w:lang w:bidi="ar"/>
              </w:rPr>
              <w:t>10、要求云服务器、云终端、显示器、键盘鼠标、教学管理软件、网络连通设备同一品牌，以保证平台联动时的兼容性和可靠性。</w:t>
            </w:r>
            <w:r>
              <w:rPr>
                <w:rStyle w:val="68"/>
                <w:rFonts w:hint="default" w:asciiTheme="minorEastAsia" w:hAnsiTheme="minorEastAsia" w:eastAsiaTheme="minorEastAsia" w:cstheme="minorEastAsia"/>
                <w:sz w:val="21"/>
                <w:szCs w:val="21"/>
                <w:lang w:bidi="ar"/>
              </w:rPr>
              <w:br w:type="textWrapping"/>
            </w:r>
            <w:r>
              <w:rPr>
                <w:rStyle w:val="68"/>
                <w:rFonts w:hint="default" w:asciiTheme="minorEastAsia" w:hAnsiTheme="minorEastAsia" w:eastAsiaTheme="minorEastAsia" w:cstheme="minorEastAsia"/>
                <w:sz w:val="21"/>
                <w:szCs w:val="21"/>
                <w:lang w:bidi="ar"/>
              </w:rPr>
              <w:t>11、单套管理授权≥70个</w:t>
            </w:r>
            <w:r>
              <w:rPr>
                <w:rStyle w:val="68"/>
                <w:rFonts w:hint="default" w:asciiTheme="minorEastAsia" w:hAnsiTheme="minorEastAsia" w:eastAsiaTheme="minorEastAsia" w:cstheme="minorEastAsia"/>
                <w:sz w:val="21"/>
                <w:szCs w:val="21"/>
                <w:lang w:bidi="ar"/>
              </w:rPr>
              <w:br w:type="textWrapping"/>
            </w:r>
            <w:r>
              <w:rPr>
                <w:rStyle w:val="68"/>
                <w:rFonts w:hint="default" w:asciiTheme="minorEastAsia" w:hAnsiTheme="minorEastAsia" w:eastAsiaTheme="minorEastAsia" w:cstheme="minorEastAsia"/>
                <w:sz w:val="21"/>
                <w:szCs w:val="21"/>
                <w:lang w:bidi="ar"/>
              </w:rPr>
              <w:t>提供第三方检测报告。</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bidi="ar"/>
              </w:rPr>
              <w:t>6</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r>
      <w:tr>
        <w:tblPrEx>
          <w:tblCellMar>
            <w:top w:w="0" w:type="dxa"/>
            <w:left w:w="108" w:type="dxa"/>
            <w:bottom w:w="0" w:type="dxa"/>
            <w:right w:w="108" w:type="dxa"/>
          </w:tblCellMar>
        </w:tblPrEx>
        <w:trPr>
          <w:trHeight w:val="2140" w:hRule="atLeast"/>
        </w:trPr>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210" w:firstLineChars="100"/>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教师机终端</w:t>
            </w:r>
          </w:p>
        </w:tc>
        <w:tc>
          <w:tcPr>
            <w:tcW w:w="3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0"/>
              </w:numPr>
              <w:ind w:left="0" w:leftChars="0" w:firstLine="0" w:firstLineChars="0"/>
              <w:jc w:val="left"/>
              <w:textAlignment w:val="center"/>
            </w:pPr>
            <w:r>
              <w:rPr>
                <w:rFonts w:hint="eastAsia" w:asciiTheme="minorEastAsia" w:hAnsiTheme="minorEastAsia" w:eastAsiaTheme="minorEastAsia" w:cstheme="minorEastAsia"/>
                <w:color w:val="000000"/>
                <w:kern w:val="0"/>
                <w:sz w:val="21"/>
                <w:szCs w:val="21"/>
                <w:lang w:bidi="ar"/>
              </w:rPr>
              <w:t>满足教学、测试、实验等需要，设备为国产自主可控产品，整机和CPU核心部件为国产化品牌。</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2、配置≥国产化八核处理器（处理器主频≥3.0GHz）。</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3、配置内存容量≥16GB；本地存储≥512GB（NVME SSD） ；</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4、终端的主体尺寸≤10L。</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5、USB3.0接口≥8个，USB2.0接口≥2个，TYPEC接口≥1个，千兆网口≥1个，VGA接口≥1个，HDMI接口≥1个。</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6、为了</w:t>
            </w:r>
            <w:r>
              <w:rPr>
                <w:rStyle w:val="68"/>
                <w:rFonts w:hint="default" w:asciiTheme="minorEastAsia" w:hAnsiTheme="minorEastAsia" w:eastAsiaTheme="minorEastAsia" w:cstheme="minorEastAsia"/>
                <w:sz w:val="21"/>
                <w:szCs w:val="21"/>
                <w:lang w:bidi="ar"/>
              </w:rPr>
              <w:t>远程不同网段的终端，中间无需使用跳板机转发。</w:t>
            </w:r>
            <w:r>
              <w:rPr>
                <w:rStyle w:val="68"/>
                <w:rFonts w:hint="default" w:asciiTheme="minorEastAsia" w:hAnsiTheme="minorEastAsia" w:eastAsiaTheme="minorEastAsia" w:cstheme="minorEastAsia"/>
                <w:sz w:val="21"/>
                <w:szCs w:val="21"/>
                <w:lang w:bidi="ar"/>
              </w:rPr>
              <w:br w:type="textWrapping"/>
            </w:r>
            <w:r>
              <w:rPr>
                <w:rStyle w:val="68"/>
                <w:rFonts w:hint="default" w:asciiTheme="minorEastAsia" w:hAnsiTheme="minorEastAsia" w:eastAsiaTheme="minorEastAsia" w:cstheme="minorEastAsia"/>
                <w:sz w:val="21"/>
                <w:szCs w:val="21"/>
                <w:lang w:bidi="ar"/>
              </w:rPr>
              <w:t>15、平台支持对镜像进行瘦身操作来减少镜像占用空</w:t>
            </w:r>
            <w:r>
              <w:rPr>
                <w:rFonts w:hint="eastAsia" w:asciiTheme="minorEastAsia" w:hAnsiTheme="minorEastAsia" w:eastAsiaTheme="minorEastAsia" w:cstheme="minorEastAsia"/>
                <w:kern w:val="0"/>
                <w:sz w:val="21"/>
                <w:szCs w:val="21"/>
                <w:lang w:bidi="ar"/>
              </w:rPr>
              <w:t>外设扩展要求，除独立显卡占用之外，还需要具备多个PCIE插槽，PCIEx1≥1个、PCIEx8≥1个</w:t>
            </w:r>
            <w:r>
              <w:rPr>
                <w:rStyle w:val="68"/>
                <w:rFonts w:hint="default" w:asciiTheme="minorEastAsia" w:hAnsiTheme="minorEastAsia" w:eastAsiaTheme="minorEastAsia" w:cstheme="minorEastAsia"/>
                <w:color w:val="auto"/>
                <w:sz w:val="21"/>
                <w:szCs w:val="21"/>
                <w:lang w:bidi="ar"/>
              </w:rPr>
              <w:br w:type="textWrapping"/>
            </w:r>
            <w:r>
              <w:rPr>
                <w:rStyle w:val="68"/>
                <w:rFonts w:hint="default" w:asciiTheme="minorEastAsia" w:hAnsiTheme="minorEastAsia" w:eastAsiaTheme="minorEastAsia" w:cstheme="minorEastAsia"/>
                <w:color w:val="auto"/>
                <w:sz w:val="21"/>
                <w:szCs w:val="21"/>
                <w:lang w:bidi="ar"/>
              </w:rPr>
              <w:t>7、为确保原有数据有足够空间进行迁移，支持SATA硬盘接口≥1个进行扩展，.M2插槽≥1个，支持内存扩展槽位≥1个</w:t>
            </w:r>
            <w:r>
              <w:rPr>
                <w:rStyle w:val="71"/>
                <w:rFonts w:hint="default" w:asciiTheme="minorEastAsia" w:hAnsiTheme="minorEastAsia" w:eastAsiaTheme="minorEastAsia" w:cstheme="minorEastAsia"/>
                <w:color w:val="auto"/>
                <w:sz w:val="21"/>
                <w:szCs w:val="21"/>
                <w:lang w:bidi="ar"/>
              </w:rPr>
              <w:t>。</w:t>
            </w:r>
            <w:r>
              <w:rPr>
                <w:rStyle w:val="68"/>
                <w:rFonts w:hint="default" w:asciiTheme="minorEastAsia" w:hAnsiTheme="minorEastAsia" w:eastAsiaTheme="minorEastAsia" w:cstheme="minorEastAsia"/>
                <w:color w:val="auto"/>
                <w:sz w:val="21"/>
                <w:szCs w:val="21"/>
                <w:lang w:bidi="ar"/>
              </w:rPr>
              <w:br w:type="textWrapping"/>
            </w:r>
            <w:r>
              <w:rPr>
                <w:rStyle w:val="68"/>
                <w:rFonts w:hint="default" w:asciiTheme="minorEastAsia" w:hAnsiTheme="minorEastAsia" w:eastAsiaTheme="minorEastAsia" w:cstheme="minorEastAsia"/>
                <w:color w:val="auto"/>
                <w:sz w:val="21"/>
                <w:szCs w:val="21"/>
                <w:lang w:bidi="ar"/>
              </w:rPr>
              <w:t>8、独立显卡，显存≥2GB。</w:t>
            </w:r>
            <w:r>
              <w:rPr>
                <w:rStyle w:val="68"/>
                <w:rFonts w:hint="default" w:asciiTheme="minorEastAsia" w:hAnsiTheme="minorEastAsia" w:eastAsiaTheme="minorEastAsia" w:cstheme="minorEastAsia"/>
                <w:color w:val="auto"/>
                <w:sz w:val="21"/>
                <w:szCs w:val="21"/>
                <w:lang w:bidi="ar"/>
              </w:rPr>
              <w:br w:type="textWrapping"/>
            </w:r>
            <w:r>
              <w:rPr>
                <w:rStyle w:val="68"/>
                <w:rFonts w:hint="default" w:asciiTheme="minorEastAsia" w:hAnsiTheme="minorEastAsia" w:eastAsiaTheme="minorEastAsia" w:cstheme="minorEastAsia"/>
                <w:color w:val="auto"/>
                <w:sz w:val="21"/>
                <w:szCs w:val="21"/>
                <w:lang w:bidi="ar"/>
              </w:rPr>
              <w:t>9、设备平均故障间隔时间（MTBF）≥300000小时。</w:t>
            </w:r>
            <w:r>
              <w:rPr>
                <w:rStyle w:val="68"/>
                <w:rFonts w:hint="default" w:asciiTheme="minorEastAsia" w:hAnsiTheme="minorEastAsia" w:eastAsiaTheme="minorEastAsia" w:cstheme="minorEastAsia"/>
                <w:color w:val="auto"/>
                <w:sz w:val="21"/>
                <w:szCs w:val="21"/>
                <w:lang w:bidi="ar"/>
              </w:rPr>
              <w:br w:type="textWrapping"/>
            </w:r>
            <w:r>
              <w:rPr>
                <w:rStyle w:val="68"/>
                <w:rFonts w:hint="default" w:asciiTheme="minorEastAsia" w:hAnsiTheme="minorEastAsia" w:eastAsiaTheme="minorEastAsia" w:cstheme="minorEastAsia"/>
                <w:color w:val="auto"/>
                <w:sz w:val="21"/>
                <w:szCs w:val="21"/>
                <w:lang w:bidi="ar"/>
              </w:rPr>
              <w:t>10、要求设备噪声指标≤33dB。</w:t>
            </w:r>
            <w:r>
              <w:rPr>
                <w:rStyle w:val="68"/>
                <w:rFonts w:hint="default" w:asciiTheme="minorEastAsia" w:hAnsiTheme="minorEastAsia" w:eastAsiaTheme="minorEastAsia" w:cstheme="minorEastAsia"/>
                <w:color w:val="auto"/>
                <w:sz w:val="21"/>
                <w:szCs w:val="21"/>
                <w:lang w:bidi="ar"/>
              </w:rPr>
              <w:br w:type="textWrapping"/>
            </w:r>
            <w:r>
              <w:rPr>
                <w:rStyle w:val="68"/>
                <w:rFonts w:hint="default" w:asciiTheme="minorEastAsia" w:hAnsiTheme="minorEastAsia" w:eastAsiaTheme="minorEastAsia" w:cstheme="minorEastAsia"/>
                <w:color w:val="auto"/>
                <w:sz w:val="21"/>
                <w:szCs w:val="21"/>
                <w:lang w:bidi="ar"/>
              </w:rPr>
              <w:t>11、支持镜像模版链接分享功能，管理员可将编辑镜像模板的链接分享给任课老师，在浏览器中直接输入链接地址即可对镜像模板进行编辑，支持分享链接的失效期、分享验证码设置。</w:t>
            </w:r>
            <w:r>
              <w:rPr>
                <w:rStyle w:val="68"/>
                <w:rFonts w:hint="default" w:asciiTheme="minorEastAsia" w:hAnsiTheme="minorEastAsia" w:eastAsiaTheme="minorEastAsia" w:cstheme="minorEastAsia"/>
                <w:color w:val="auto"/>
                <w:sz w:val="21"/>
                <w:szCs w:val="21"/>
                <w:lang w:bidi="ar"/>
              </w:rPr>
              <w:br w:type="textWrapping"/>
            </w:r>
            <w:r>
              <w:rPr>
                <w:rStyle w:val="68"/>
                <w:rFonts w:hint="default" w:asciiTheme="minorEastAsia" w:hAnsiTheme="minorEastAsia" w:eastAsiaTheme="minorEastAsia" w:cstheme="minorEastAsia"/>
                <w:color w:val="auto"/>
                <w:sz w:val="21"/>
                <w:szCs w:val="21"/>
                <w:lang w:bidi="ar"/>
              </w:rPr>
              <w:t>12、提高重要镜像安全性：支持教学镜像对学生隐藏或可见。</w:t>
            </w:r>
            <w:r>
              <w:rPr>
                <w:rStyle w:val="68"/>
                <w:rFonts w:hint="default" w:asciiTheme="minorEastAsia" w:hAnsiTheme="minorEastAsia" w:eastAsiaTheme="minorEastAsia" w:cstheme="minorEastAsia"/>
                <w:color w:val="auto"/>
                <w:sz w:val="21"/>
                <w:szCs w:val="21"/>
                <w:lang w:bidi="ar"/>
              </w:rPr>
              <w:br w:type="textWrapping"/>
            </w:r>
            <w:r>
              <w:rPr>
                <w:rStyle w:val="68"/>
                <w:rFonts w:hint="default" w:asciiTheme="minorEastAsia" w:hAnsiTheme="minorEastAsia" w:eastAsiaTheme="minorEastAsia" w:cstheme="minorEastAsia"/>
                <w:color w:val="auto"/>
                <w:sz w:val="21"/>
                <w:szCs w:val="21"/>
                <w:lang w:bidi="ar"/>
              </w:rPr>
              <w:t>13、支持嵌套虚拟化功能，可与在VDI、IDV、TCI桌面上均可以正常使用VMware、android studio等需要运行虚拟机的软件</w:t>
            </w:r>
            <w:r>
              <w:rPr>
                <w:rStyle w:val="71"/>
                <w:rFonts w:hint="default" w:asciiTheme="minorEastAsia" w:hAnsiTheme="minorEastAsia" w:eastAsiaTheme="minorEastAsia" w:cstheme="minorEastAsia"/>
                <w:color w:val="auto"/>
                <w:sz w:val="21"/>
                <w:szCs w:val="21"/>
                <w:lang w:bidi="ar"/>
              </w:rPr>
              <w:t>。</w:t>
            </w:r>
            <w:r>
              <w:rPr>
                <w:rStyle w:val="68"/>
                <w:rFonts w:hint="default" w:asciiTheme="minorEastAsia" w:hAnsiTheme="minorEastAsia" w:eastAsiaTheme="minorEastAsia" w:cstheme="minorEastAsia"/>
                <w:color w:val="auto"/>
                <w:sz w:val="21"/>
                <w:szCs w:val="21"/>
                <w:lang w:bidi="ar"/>
              </w:rPr>
              <w:br w:type="textWrapping"/>
            </w:r>
            <w:r>
              <w:rPr>
                <w:rStyle w:val="68"/>
                <w:rFonts w:hint="default" w:asciiTheme="minorEastAsia" w:hAnsiTheme="minorEastAsia" w:eastAsiaTheme="minorEastAsia" w:cstheme="minorEastAsia"/>
                <w:color w:val="auto"/>
                <w:sz w:val="21"/>
                <w:szCs w:val="21"/>
                <w:lang w:bidi="ar"/>
              </w:rPr>
              <w:t>14、支持管理员通过服务器集群的web管理平台唤醒</w:t>
            </w:r>
            <w:r>
              <w:rPr>
                <w:rStyle w:val="68"/>
                <w:rFonts w:hint="default" w:asciiTheme="minorEastAsia" w:hAnsiTheme="minorEastAsia" w:eastAsiaTheme="minorEastAsia" w:cstheme="minorEastAsia"/>
                <w:sz w:val="21"/>
                <w:szCs w:val="21"/>
                <w:lang w:bidi="ar"/>
              </w:rPr>
              <w:t>间，提升镜像部署效率，瘦身操作包含标准瘦身和深度瘦身。</w:t>
            </w:r>
            <w:r>
              <w:rPr>
                <w:rStyle w:val="68"/>
                <w:rFonts w:hint="default" w:asciiTheme="minorEastAsia" w:hAnsiTheme="minorEastAsia" w:eastAsiaTheme="minorEastAsia" w:cstheme="minorEastAsia"/>
                <w:sz w:val="21"/>
                <w:szCs w:val="21"/>
                <w:lang w:bidi="ar"/>
              </w:rPr>
              <w:br w:type="textWrapping"/>
            </w:r>
            <w:r>
              <w:rPr>
                <w:rStyle w:val="68"/>
                <w:rFonts w:hint="default" w:asciiTheme="minorEastAsia" w:hAnsiTheme="minorEastAsia" w:eastAsiaTheme="minorEastAsia" w:cstheme="minorEastAsia"/>
                <w:sz w:val="21"/>
                <w:szCs w:val="21"/>
                <w:lang w:bidi="ar"/>
              </w:rPr>
              <w:t>16、支持软件安装包以文件、文件夹等形式上传。</w:t>
            </w:r>
            <w:r>
              <w:rPr>
                <w:rStyle w:val="68"/>
                <w:rFonts w:hint="default" w:asciiTheme="minorEastAsia" w:hAnsiTheme="minorEastAsia" w:eastAsiaTheme="minorEastAsia" w:cstheme="minorEastAsia"/>
                <w:sz w:val="21"/>
                <w:szCs w:val="21"/>
                <w:lang w:bidi="ar"/>
              </w:rPr>
              <w:br w:type="textWrapping"/>
            </w:r>
            <w:r>
              <w:rPr>
                <w:rStyle w:val="68"/>
                <w:rFonts w:hint="default" w:asciiTheme="minorEastAsia" w:hAnsiTheme="minorEastAsia" w:eastAsiaTheme="minorEastAsia" w:cstheme="minorEastAsia"/>
                <w:sz w:val="21"/>
                <w:szCs w:val="21"/>
                <w:lang w:bidi="ar"/>
              </w:rPr>
              <w:t>17、提供和市面主流语音听说市场厂家互测认证报告（至少包括讯飞启明、中科卓软等厂家）。</w:t>
            </w:r>
            <w:r>
              <w:rPr>
                <w:rStyle w:val="68"/>
                <w:rFonts w:hint="default" w:asciiTheme="minorEastAsia" w:hAnsiTheme="minorEastAsia" w:eastAsiaTheme="minorEastAsia" w:cstheme="minorEastAsia"/>
                <w:sz w:val="21"/>
                <w:szCs w:val="21"/>
                <w:lang w:bidi="ar"/>
              </w:rPr>
              <w:br w:type="textWrapping"/>
            </w:r>
            <w:r>
              <w:rPr>
                <w:rStyle w:val="68"/>
                <w:rFonts w:hint="default" w:asciiTheme="minorEastAsia" w:hAnsiTheme="minorEastAsia" w:eastAsiaTheme="minorEastAsia" w:cstheme="minorEastAsia"/>
                <w:sz w:val="21"/>
                <w:szCs w:val="21"/>
                <w:lang w:bidi="ar"/>
              </w:rPr>
              <w:t>18、包含1个云终端授权。</w:t>
            </w:r>
            <w:r>
              <w:rPr>
                <w:rStyle w:val="68"/>
                <w:rFonts w:hint="default" w:asciiTheme="minorEastAsia" w:hAnsiTheme="minorEastAsia" w:eastAsiaTheme="minorEastAsia" w:cstheme="minorEastAsia"/>
                <w:sz w:val="21"/>
                <w:szCs w:val="21"/>
                <w:lang w:bidi="ar"/>
              </w:rPr>
              <w:br w:type="textWrapping"/>
            </w:r>
            <w:r>
              <w:rPr>
                <w:rStyle w:val="68"/>
                <w:rFonts w:hint="default" w:asciiTheme="minorEastAsia" w:hAnsiTheme="minorEastAsia" w:eastAsiaTheme="minorEastAsia" w:cstheme="minorEastAsia"/>
                <w:sz w:val="21"/>
                <w:szCs w:val="21"/>
                <w:lang w:bidi="ar"/>
              </w:rPr>
              <w:t>19、配置WLED尺寸≥23.8英寸，分辨率≥1920×1080，刷新率≥100Hz(HDMI)，VGA接口≥1个，HDMI接口≥1个，IPS屏，窄边框设计，水平及垂直可视角度≥178°，亮度≥250 cd/m²，对比度≥1,000:1，原生8bit色深。</w:t>
            </w:r>
            <w:r>
              <w:rPr>
                <w:rStyle w:val="68"/>
                <w:rFonts w:hint="default" w:asciiTheme="minorEastAsia" w:hAnsiTheme="minorEastAsia" w:eastAsiaTheme="minorEastAsia" w:cstheme="minorEastAsia"/>
                <w:sz w:val="21"/>
                <w:szCs w:val="21"/>
                <w:lang w:bidi="ar"/>
              </w:rPr>
              <w:br w:type="textWrapping"/>
            </w:r>
            <w:r>
              <w:rPr>
                <w:rStyle w:val="68"/>
                <w:rFonts w:hint="default" w:asciiTheme="minorEastAsia" w:hAnsiTheme="minorEastAsia" w:eastAsiaTheme="minorEastAsia" w:cstheme="minorEastAsia"/>
                <w:sz w:val="21"/>
                <w:szCs w:val="21"/>
                <w:lang w:bidi="ar"/>
              </w:rPr>
              <w:t>20、配套同品牌USB有线键盘鼠标，键盘：人体工学104键，；鼠标分辨率：≥1200dpi，3键，左右键+滚轮，≥1.5米线长。</w:t>
            </w:r>
          </w:p>
          <w:p>
            <w:pPr>
              <w:pStyle w:val="2"/>
              <w:ind w:left="0" w:leftChars="0" w:firstLine="0" w:firstLineChars="0"/>
            </w:pPr>
            <w:r>
              <w:rPr>
                <w:rStyle w:val="68"/>
                <w:rFonts w:hint="default" w:asciiTheme="minorEastAsia" w:hAnsiTheme="minorEastAsia" w:eastAsiaTheme="minorEastAsia" w:cstheme="minorEastAsia"/>
                <w:sz w:val="21"/>
                <w:szCs w:val="21"/>
                <w:lang w:bidi="ar"/>
              </w:rPr>
              <w:t>提供第三方检测报告。</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bidi="ar"/>
              </w:rPr>
              <w:t>6</w:t>
            </w:r>
          </w:p>
        </w:tc>
        <w:tc>
          <w:tcPr>
            <w:tcW w:w="308" w:type="pct"/>
            <w:tcBorders>
              <w:top w:val="single" w:color="000000" w:sz="4" w:space="0"/>
              <w:left w:val="single" w:color="000000" w:sz="4" w:space="0"/>
              <w:bottom w:val="nil"/>
              <w:right w:val="single" w:color="000000" w:sz="4" w:space="0"/>
            </w:tcBorders>
            <w:shd w:val="clear" w:color="auto" w:fill="auto"/>
            <w:vAlign w:val="center"/>
          </w:tcPr>
          <w:p>
            <w:pPr>
              <w:ind w:firstLine="0" w:firstLineChars="0"/>
              <w:rPr>
                <w:rFonts w:asciiTheme="minorEastAsia" w:hAnsiTheme="minorEastAsia" w:eastAsiaTheme="minorEastAsia" w:cstheme="minorEastAsia"/>
                <w:color w:val="000000"/>
                <w:sz w:val="21"/>
                <w:szCs w:val="21"/>
              </w:rPr>
            </w:pPr>
          </w:p>
          <w:p>
            <w:pPr>
              <w:ind w:firstLine="0" w:firstLineChars="0"/>
              <w:rPr>
                <w:rFonts w:hint="eastAsia" w:asciiTheme="minorEastAsia" w:hAnsiTheme="minorEastAsia" w:eastAsiaTheme="minorEastAsia" w:cstheme="minorEastAsia"/>
                <w:color w:val="000000"/>
                <w:sz w:val="21"/>
                <w:szCs w:val="21"/>
              </w:rPr>
            </w:pPr>
          </w:p>
          <w:p>
            <w:pPr>
              <w:ind w:firstLine="0" w:firstLineChars="0"/>
              <w:rPr>
                <w:rFonts w:hint="eastAsia" w:asciiTheme="minorEastAsia" w:hAnsiTheme="minorEastAsia" w:eastAsiaTheme="minorEastAsia" w:cstheme="minorEastAsia"/>
                <w:color w:val="000000"/>
                <w:sz w:val="21"/>
                <w:szCs w:val="21"/>
              </w:rPr>
            </w:pPr>
          </w:p>
          <w:p>
            <w:pPr>
              <w:ind w:firstLine="0" w:firstLineChars="0"/>
              <w:rPr>
                <w:rFonts w:hint="eastAsia" w:asciiTheme="minorEastAsia" w:hAnsiTheme="minorEastAsia" w:eastAsiaTheme="minorEastAsia" w:cstheme="minorEastAsia"/>
                <w:color w:val="000000"/>
                <w:sz w:val="21"/>
                <w:szCs w:val="21"/>
              </w:rPr>
            </w:pPr>
          </w:p>
          <w:p>
            <w:pPr>
              <w:ind w:firstLine="0" w:firstLineChars="0"/>
              <w:rPr>
                <w:rFonts w:hint="eastAsia" w:asciiTheme="minorEastAsia" w:hAnsiTheme="minorEastAsia" w:eastAsiaTheme="minorEastAsia" w:cstheme="minorEastAsia"/>
                <w:color w:val="000000"/>
                <w:sz w:val="21"/>
                <w:szCs w:val="21"/>
              </w:rPr>
            </w:pPr>
          </w:p>
          <w:p>
            <w:pPr>
              <w:ind w:firstLine="0" w:firstLineChars="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台 </w:t>
            </w:r>
          </w:p>
        </w:tc>
      </w:tr>
      <w:tr>
        <w:tblPrEx>
          <w:tblCellMar>
            <w:top w:w="0" w:type="dxa"/>
            <w:left w:w="108" w:type="dxa"/>
            <w:bottom w:w="0" w:type="dxa"/>
            <w:right w:w="108" w:type="dxa"/>
          </w:tblCellMar>
        </w:tblPrEx>
        <w:trPr>
          <w:trHeight w:val="2134"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jc w:val="center"/>
              <w:rPr>
                <w:rFonts w:asciiTheme="minorEastAsia" w:hAnsiTheme="minorEastAsia" w:eastAsiaTheme="minorEastAsia" w:cstheme="minorEastAsia"/>
                <w:color w:val="000000"/>
                <w:sz w:val="21"/>
                <w:szCs w:val="21"/>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jc w:val="center"/>
              <w:rPr>
                <w:rFonts w:asciiTheme="minorEastAsia" w:hAnsiTheme="minorEastAsia" w:eastAsiaTheme="minorEastAsia" w:cstheme="minorEastAsia"/>
                <w:color w:val="000000"/>
                <w:sz w:val="21"/>
                <w:szCs w:val="21"/>
              </w:rPr>
            </w:pPr>
          </w:p>
        </w:tc>
        <w:tc>
          <w:tcPr>
            <w:tcW w:w="3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jc w:val="left"/>
              <w:rPr>
                <w:rFonts w:asciiTheme="minorEastAsia" w:hAnsiTheme="minorEastAsia" w:eastAsiaTheme="minorEastAsia" w:cstheme="minorEastAsia"/>
                <w:color w:val="000000"/>
                <w:sz w:val="21"/>
                <w:szCs w:val="21"/>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jc w:val="center"/>
              <w:rPr>
                <w:rFonts w:asciiTheme="minorEastAsia" w:hAnsiTheme="minorEastAsia" w:eastAsiaTheme="minorEastAsia" w:cstheme="minorEastAsia"/>
                <w:color w:val="000000"/>
                <w:sz w:val="21"/>
                <w:szCs w:val="21"/>
              </w:rPr>
            </w:pPr>
          </w:p>
        </w:tc>
        <w:tc>
          <w:tcPr>
            <w:tcW w:w="308" w:type="pct"/>
            <w:tcBorders>
              <w:top w:val="nil"/>
              <w:left w:val="single" w:color="000000" w:sz="4" w:space="0"/>
              <w:bottom w:val="nil"/>
              <w:right w:val="single" w:color="000000" w:sz="4" w:space="0"/>
            </w:tcBorders>
            <w:shd w:val="clear" w:color="auto" w:fill="auto"/>
            <w:vAlign w:val="center"/>
          </w:tcPr>
          <w:p>
            <w:pPr>
              <w:ind w:firstLine="420"/>
              <w:jc w:val="center"/>
              <w:rPr>
                <w:rFonts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4546"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jc w:val="center"/>
              <w:rPr>
                <w:rFonts w:asciiTheme="minorEastAsia" w:hAnsiTheme="minorEastAsia" w:eastAsiaTheme="minorEastAsia" w:cstheme="minorEastAsia"/>
                <w:color w:val="000000"/>
                <w:sz w:val="21"/>
                <w:szCs w:val="21"/>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jc w:val="center"/>
              <w:rPr>
                <w:rFonts w:asciiTheme="minorEastAsia" w:hAnsiTheme="minorEastAsia" w:eastAsiaTheme="minorEastAsia" w:cstheme="minorEastAsia"/>
                <w:color w:val="000000"/>
                <w:sz w:val="21"/>
                <w:szCs w:val="21"/>
              </w:rPr>
            </w:pPr>
          </w:p>
        </w:tc>
        <w:tc>
          <w:tcPr>
            <w:tcW w:w="3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jc w:val="left"/>
              <w:rPr>
                <w:rFonts w:asciiTheme="minorEastAsia" w:hAnsiTheme="minorEastAsia" w:eastAsiaTheme="minorEastAsia" w:cstheme="minorEastAsia"/>
                <w:color w:val="000000"/>
                <w:sz w:val="21"/>
                <w:szCs w:val="21"/>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jc w:val="center"/>
              <w:rPr>
                <w:rFonts w:asciiTheme="minorEastAsia" w:hAnsiTheme="minorEastAsia" w:eastAsiaTheme="minorEastAsia" w:cstheme="minorEastAsia"/>
                <w:color w:val="000000"/>
                <w:sz w:val="21"/>
                <w:szCs w:val="21"/>
              </w:rPr>
            </w:pPr>
          </w:p>
        </w:tc>
        <w:tc>
          <w:tcPr>
            <w:tcW w:w="308" w:type="pct"/>
            <w:tcBorders>
              <w:top w:val="nil"/>
              <w:left w:val="single" w:color="000000" w:sz="4" w:space="0"/>
              <w:bottom w:val="nil"/>
              <w:right w:val="single" w:color="000000" w:sz="4" w:space="0"/>
            </w:tcBorders>
            <w:shd w:val="clear" w:color="auto" w:fill="auto"/>
            <w:vAlign w:val="center"/>
          </w:tcPr>
          <w:p>
            <w:pPr>
              <w:ind w:firstLine="420"/>
              <w:jc w:val="center"/>
              <w:rPr>
                <w:rFonts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90"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jc w:val="center"/>
              <w:rPr>
                <w:rFonts w:asciiTheme="minorEastAsia" w:hAnsiTheme="minorEastAsia" w:eastAsiaTheme="minorEastAsia" w:cstheme="minorEastAsia"/>
                <w:color w:val="000000"/>
                <w:sz w:val="21"/>
                <w:szCs w:val="21"/>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jc w:val="center"/>
              <w:rPr>
                <w:rFonts w:asciiTheme="minorEastAsia" w:hAnsiTheme="minorEastAsia" w:eastAsiaTheme="minorEastAsia" w:cstheme="minorEastAsia"/>
                <w:color w:val="000000"/>
                <w:sz w:val="21"/>
                <w:szCs w:val="21"/>
              </w:rPr>
            </w:pPr>
          </w:p>
        </w:tc>
        <w:tc>
          <w:tcPr>
            <w:tcW w:w="3619"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ind w:firstLine="420"/>
              <w:jc w:val="left"/>
              <w:rPr>
                <w:rFonts w:asciiTheme="minorEastAsia" w:hAnsiTheme="minorEastAsia" w:eastAsiaTheme="minorEastAsia" w:cstheme="minorEastAsia"/>
                <w:color w:val="000000"/>
                <w:sz w:val="21"/>
                <w:szCs w:val="21"/>
              </w:rPr>
            </w:pPr>
          </w:p>
        </w:tc>
        <w:tc>
          <w:tcPr>
            <w:tcW w:w="279"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ind w:firstLine="420"/>
              <w:jc w:val="center"/>
              <w:rPr>
                <w:rFonts w:asciiTheme="minorEastAsia" w:hAnsiTheme="minorEastAsia" w:eastAsiaTheme="minorEastAsia" w:cstheme="minorEastAsia"/>
                <w:color w:val="000000"/>
                <w:sz w:val="21"/>
                <w:szCs w:val="21"/>
              </w:rPr>
            </w:pPr>
          </w:p>
        </w:tc>
        <w:tc>
          <w:tcPr>
            <w:tcW w:w="308" w:type="pct"/>
            <w:tcBorders>
              <w:top w:val="nil"/>
              <w:left w:val="single" w:color="000000" w:sz="4" w:space="0"/>
              <w:bottom w:val="single" w:color="auto" w:sz="4" w:space="0"/>
              <w:right w:val="single" w:color="000000" w:sz="4" w:space="0"/>
            </w:tcBorders>
            <w:shd w:val="clear" w:color="auto" w:fill="auto"/>
            <w:vAlign w:val="center"/>
          </w:tcPr>
          <w:p>
            <w:pPr>
              <w:ind w:firstLine="420"/>
              <w:jc w:val="center"/>
              <w:rPr>
                <w:rFonts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2020" w:hRule="atLeast"/>
        </w:trPr>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210" w:firstLineChars="100"/>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579" w:type="pct"/>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ind w:firstLine="0" w:firstLineChars="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学生机终端</w:t>
            </w:r>
          </w:p>
        </w:tc>
        <w:tc>
          <w:tcPr>
            <w:tcW w:w="36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1、国产自主可控产品，整机和CPU核心部件为国产化品牌。</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2、配置≥国产化八核处理器（处理器主频≥3.0GHz）。</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3、配置内存容量≥8GB；本地存储≥256GB（NVME SSD） ；</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4、终端的主体尺寸≤10L。</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5、USB3.0接口≥8个，USB2.0接口≥2个，TYPEC接口≥1个，千兆网口≥1个，VGA接口≥1个，HDMI接口≥1个。</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6、为了外设扩展要求，除</w:t>
            </w:r>
            <w:r>
              <w:rPr>
                <w:rFonts w:hint="eastAsia" w:asciiTheme="minorEastAsia" w:hAnsiTheme="minorEastAsia" w:eastAsiaTheme="minorEastAsia" w:cstheme="minorEastAsia"/>
                <w:kern w:val="0"/>
                <w:sz w:val="21"/>
                <w:szCs w:val="21"/>
                <w:lang w:bidi="ar"/>
              </w:rPr>
              <w:t>独立显卡占用之外，还需要具备多个PCIE插槽，PCIEx1≥1个、PCIEx8≥1个</w:t>
            </w:r>
            <w:r>
              <w:rPr>
                <w:rStyle w:val="71"/>
                <w:rFonts w:hint="default" w:asciiTheme="minorEastAsia" w:hAnsiTheme="minorEastAsia" w:eastAsiaTheme="minorEastAsia" w:cstheme="minorEastAsia"/>
                <w:color w:val="auto"/>
                <w:sz w:val="21"/>
                <w:szCs w:val="21"/>
                <w:lang w:bidi="ar"/>
              </w:rPr>
              <w:t>。</w:t>
            </w:r>
            <w:r>
              <w:rPr>
                <w:rStyle w:val="68"/>
                <w:rFonts w:hint="default" w:asciiTheme="minorEastAsia" w:hAnsiTheme="minorEastAsia" w:eastAsiaTheme="minorEastAsia" w:cstheme="minorEastAsia"/>
                <w:color w:val="auto"/>
                <w:sz w:val="21"/>
                <w:szCs w:val="21"/>
                <w:lang w:bidi="ar"/>
              </w:rPr>
              <w:br w:type="textWrapping"/>
            </w:r>
            <w:r>
              <w:rPr>
                <w:rStyle w:val="68"/>
                <w:rFonts w:hint="default" w:asciiTheme="minorEastAsia" w:hAnsiTheme="minorEastAsia" w:eastAsiaTheme="minorEastAsia" w:cstheme="minorEastAsia"/>
                <w:color w:val="auto"/>
                <w:sz w:val="21"/>
                <w:szCs w:val="21"/>
                <w:lang w:bidi="ar"/>
              </w:rPr>
              <w:t>7、为确保原有数据有足够空间进行迁移，支持SATA硬盘接口≥1个进行扩展，.M2插槽≥1个，支持内存扩展槽位≥1个</w:t>
            </w:r>
            <w:r>
              <w:rPr>
                <w:rStyle w:val="71"/>
                <w:rFonts w:hint="default" w:asciiTheme="minorEastAsia" w:hAnsiTheme="minorEastAsia" w:eastAsiaTheme="minorEastAsia" w:cstheme="minorEastAsia"/>
                <w:color w:val="auto"/>
                <w:sz w:val="21"/>
                <w:szCs w:val="21"/>
                <w:lang w:bidi="ar"/>
              </w:rPr>
              <w:t>。</w:t>
            </w:r>
            <w:r>
              <w:rPr>
                <w:rStyle w:val="68"/>
                <w:rFonts w:hint="default" w:asciiTheme="minorEastAsia" w:hAnsiTheme="minorEastAsia" w:eastAsiaTheme="minorEastAsia" w:cstheme="minorEastAsia"/>
                <w:color w:val="auto"/>
                <w:sz w:val="21"/>
                <w:szCs w:val="21"/>
                <w:lang w:bidi="ar"/>
              </w:rPr>
              <w:br w:type="textWrapping"/>
            </w:r>
            <w:r>
              <w:rPr>
                <w:rStyle w:val="68"/>
                <w:rFonts w:hint="default" w:asciiTheme="minorEastAsia" w:hAnsiTheme="minorEastAsia" w:eastAsiaTheme="minorEastAsia" w:cstheme="minorEastAsia"/>
                <w:color w:val="auto"/>
                <w:sz w:val="21"/>
                <w:szCs w:val="21"/>
                <w:lang w:bidi="ar"/>
              </w:rPr>
              <w:t>8、独立显卡，显存≥2GB。</w:t>
            </w:r>
            <w:r>
              <w:rPr>
                <w:rStyle w:val="68"/>
                <w:rFonts w:hint="default" w:asciiTheme="minorEastAsia" w:hAnsiTheme="minorEastAsia" w:eastAsiaTheme="minorEastAsia" w:cstheme="minorEastAsia"/>
                <w:color w:val="auto"/>
                <w:sz w:val="21"/>
                <w:szCs w:val="21"/>
                <w:lang w:bidi="ar"/>
              </w:rPr>
              <w:br w:type="textWrapping"/>
            </w:r>
            <w:r>
              <w:rPr>
                <w:rStyle w:val="68"/>
                <w:rFonts w:hint="default" w:asciiTheme="minorEastAsia" w:hAnsiTheme="minorEastAsia" w:eastAsiaTheme="minorEastAsia" w:cstheme="minorEastAsia"/>
                <w:color w:val="auto"/>
                <w:sz w:val="21"/>
                <w:szCs w:val="21"/>
                <w:lang w:bidi="ar"/>
              </w:rPr>
              <w:t>9、设备平均故障间隔时间（MTBF）≥300000小时</w:t>
            </w:r>
            <w:r>
              <w:rPr>
                <w:rStyle w:val="71"/>
                <w:rFonts w:hint="default" w:asciiTheme="minorEastAsia" w:hAnsiTheme="minorEastAsia" w:eastAsiaTheme="minorEastAsia" w:cstheme="minorEastAsia"/>
                <w:color w:val="auto"/>
                <w:sz w:val="21"/>
                <w:szCs w:val="21"/>
                <w:lang w:bidi="ar"/>
              </w:rPr>
              <w:t>。</w:t>
            </w:r>
            <w:r>
              <w:rPr>
                <w:rStyle w:val="68"/>
                <w:rFonts w:hint="default" w:asciiTheme="minorEastAsia" w:hAnsiTheme="minorEastAsia" w:eastAsiaTheme="minorEastAsia" w:cstheme="minorEastAsia"/>
                <w:color w:val="auto"/>
                <w:sz w:val="21"/>
                <w:szCs w:val="21"/>
                <w:lang w:bidi="ar"/>
              </w:rPr>
              <w:br w:type="textWrapping"/>
            </w:r>
            <w:r>
              <w:rPr>
                <w:rStyle w:val="68"/>
                <w:rFonts w:hint="default" w:asciiTheme="minorEastAsia" w:hAnsiTheme="minorEastAsia" w:eastAsiaTheme="minorEastAsia" w:cstheme="minorEastAsia"/>
                <w:color w:val="auto"/>
                <w:sz w:val="21"/>
                <w:szCs w:val="21"/>
                <w:lang w:bidi="ar"/>
              </w:rPr>
              <w:t>10、要求设备噪声指标≤33dB。</w:t>
            </w:r>
            <w:r>
              <w:rPr>
                <w:rStyle w:val="68"/>
                <w:rFonts w:hint="default" w:asciiTheme="minorEastAsia" w:hAnsiTheme="minorEastAsia" w:eastAsiaTheme="minorEastAsia" w:cstheme="minorEastAsia"/>
                <w:color w:val="auto"/>
                <w:sz w:val="21"/>
                <w:szCs w:val="21"/>
                <w:lang w:bidi="ar"/>
              </w:rPr>
              <w:br w:type="textWrapping"/>
            </w:r>
            <w:r>
              <w:rPr>
                <w:rStyle w:val="68"/>
                <w:rFonts w:hint="default" w:asciiTheme="minorEastAsia" w:hAnsiTheme="minorEastAsia" w:eastAsiaTheme="minorEastAsia" w:cstheme="minorEastAsia"/>
                <w:sz w:val="21"/>
                <w:szCs w:val="21"/>
                <w:lang w:bidi="ar"/>
              </w:rPr>
              <w:t>11、支持镜像模版链接分享功能，管理员可将编辑镜像模板的链接分享给任课老师，在浏览器中直接输入链接地址即可对镜像模板进行编辑，支持分享链接的失效期、分</w:t>
            </w:r>
            <w:r>
              <w:rPr>
                <w:rStyle w:val="68"/>
                <w:rFonts w:hint="default" w:asciiTheme="minorEastAsia" w:hAnsiTheme="minorEastAsia" w:eastAsiaTheme="minorEastAsia" w:cstheme="minorEastAsia"/>
                <w:color w:val="auto"/>
                <w:sz w:val="21"/>
                <w:szCs w:val="21"/>
                <w:lang w:bidi="ar"/>
              </w:rPr>
              <w:t>享验证码设置。</w:t>
            </w:r>
            <w:r>
              <w:rPr>
                <w:rStyle w:val="68"/>
                <w:rFonts w:hint="default" w:asciiTheme="minorEastAsia" w:hAnsiTheme="minorEastAsia" w:eastAsiaTheme="minorEastAsia" w:cstheme="minorEastAsia"/>
                <w:color w:val="auto"/>
                <w:sz w:val="21"/>
                <w:szCs w:val="21"/>
                <w:lang w:bidi="ar"/>
              </w:rPr>
              <w:br w:type="textWrapping"/>
            </w:r>
            <w:r>
              <w:rPr>
                <w:rStyle w:val="68"/>
                <w:rFonts w:hint="default" w:asciiTheme="minorEastAsia" w:hAnsiTheme="minorEastAsia" w:eastAsiaTheme="minorEastAsia" w:cstheme="minorEastAsia"/>
                <w:color w:val="auto"/>
                <w:sz w:val="21"/>
                <w:szCs w:val="21"/>
                <w:lang w:bidi="ar"/>
              </w:rPr>
              <w:t>12、提高要镜像安全性：支持教学镜像对学生隐藏或可见</w:t>
            </w:r>
            <w:r>
              <w:rPr>
                <w:rStyle w:val="71"/>
                <w:rFonts w:hint="default" w:asciiTheme="minorEastAsia" w:hAnsiTheme="minorEastAsia" w:eastAsiaTheme="minorEastAsia" w:cstheme="minorEastAsia"/>
                <w:color w:val="auto"/>
                <w:sz w:val="21"/>
                <w:szCs w:val="21"/>
                <w:lang w:bidi="ar"/>
              </w:rPr>
              <w:t>。</w:t>
            </w:r>
            <w:r>
              <w:rPr>
                <w:rStyle w:val="68"/>
                <w:rFonts w:hint="default" w:asciiTheme="minorEastAsia" w:hAnsiTheme="minorEastAsia" w:eastAsiaTheme="minorEastAsia" w:cstheme="minorEastAsia"/>
                <w:color w:val="auto"/>
                <w:sz w:val="21"/>
                <w:szCs w:val="21"/>
                <w:lang w:bidi="ar"/>
              </w:rPr>
              <w:br w:type="textWrapping"/>
            </w:r>
            <w:r>
              <w:rPr>
                <w:rStyle w:val="68"/>
                <w:rFonts w:hint="default" w:asciiTheme="minorEastAsia" w:hAnsiTheme="minorEastAsia" w:eastAsiaTheme="minorEastAsia" w:cstheme="minorEastAsia"/>
                <w:color w:val="auto"/>
                <w:sz w:val="21"/>
                <w:szCs w:val="21"/>
                <w:lang w:bidi="ar"/>
              </w:rPr>
              <w:t>13、支持嵌套虚拟化功能，可与在VDI、IDV、TCI桌面上均可以正常使用VMware、android studio等需要运行虚拟机的软件</w:t>
            </w:r>
            <w:r>
              <w:rPr>
                <w:rStyle w:val="71"/>
                <w:rFonts w:hint="default" w:asciiTheme="minorEastAsia" w:hAnsiTheme="minorEastAsia" w:eastAsiaTheme="minorEastAsia" w:cstheme="minorEastAsia"/>
                <w:color w:val="auto"/>
                <w:sz w:val="21"/>
                <w:szCs w:val="21"/>
                <w:lang w:bidi="ar"/>
              </w:rPr>
              <w:t>。</w:t>
            </w:r>
            <w:r>
              <w:rPr>
                <w:rStyle w:val="68"/>
                <w:rFonts w:hint="default" w:asciiTheme="minorEastAsia" w:hAnsiTheme="minorEastAsia" w:eastAsiaTheme="minorEastAsia" w:cstheme="minorEastAsia"/>
                <w:color w:val="auto"/>
                <w:sz w:val="21"/>
                <w:szCs w:val="21"/>
                <w:lang w:bidi="ar"/>
              </w:rPr>
              <w:br w:type="textWrapping"/>
            </w:r>
            <w:r>
              <w:rPr>
                <w:rStyle w:val="68"/>
                <w:rFonts w:hint="default" w:asciiTheme="minorEastAsia" w:hAnsiTheme="minorEastAsia" w:eastAsiaTheme="minorEastAsia" w:cstheme="minorEastAsia"/>
                <w:color w:val="auto"/>
                <w:sz w:val="21"/>
                <w:szCs w:val="21"/>
                <w:lang w:bidi="ar"/>
              </w:rPr>
              <w:t>14、支持管理员通过服务器集群的web管理平台唤醒远程不同网段的终端，中间无需使用跳板机转发。</w:t>
            </w:r>
            <w:r>
              <w:rPr>
                <w:rStyle w:val="68"/>
                <w:rFonts w:hint="default" w:asciiTheme="minorEastAsia" w:hAnsiTheme="minorEastAsia" w:eastAsiaTheme="minorEastAsia" w:cstheme="minorEastAsia"/>
                <w:color w:val="auto"/>
                <w:sz w:val="21"/>
                <w:szCs w:val="21"/>
                <w:lang w:bidi="ar"/>
              </w:rPr>
              <w:br w:type="textWrapping"/>
            </w:r>
            <w:r>
              <w:rPr>
                <w:rStyle w:val="68"/>
                <w:rFonts w:hint="default" w:asciiTheme="minorEastAsia" w:hAnsiTheme="minorEastAsia" w:eastAsiaTheme="minorEastAsia" w:cstheme="minorEastAsia"/>
                <w:color w:val="auto"/>
                <w:sz w:val="21"/>
                <w:szCs w:val="21"/>
                <w:lang w:bidi="ar"/>
              </w:rPr>
              <w:t>15、平台支持对镜像进行瘦身操作来减少镜像占用空间，提升镜像部署效率，瘦身操作包含标准瘦身和深度瘦身。</w:t>
            </w:r>
            <w:r>
              <w:rPr>
                <w:rStyle w:val="68"/>
                <w:rFonts w:hint="default" w:asciiTheme="minorEastAsia" w:hAnsiTheme="minorEastAsia" w:eastAsiaTheme="minorEastAsia" w:cstheme="minorEastAsia"/>
                <w:color w:val="auto"/>
                <w:sz w:val="21"/>
                <w:szCs w:val="21"/>
                <w:lang w:bidi="ar"/>
              </w:rPr>
              <w:br w:type="textWrapping"/>
            </w:r>
            <w:r>
              <w:rPr>
                <w:rStyle w:val="68"/>
                <w:rFonts w:hint="default" w:asciiTheme="minorEastAsia" w:hAnsiTheme="minorEastAsia" w:eastAsiaTheme="minorEastAsia" w:cstheme="minorEastAsia"/>
                <w:color w:val="auto"/>
                <w:sz w:val="21"/>
                <w:szCs w:val="21"/>
                <w:lang w:bidi="ar"/>
              </w:rPr>
              <w:t>16、支持软件安装包以文件、文件夹等形式上传。</w:t>
            </w:r>
            <w:r>
              <w:rPr>
                <w:rStyle w:val="68"/>
                <w:rFonts w:hint="default" w:asciiTheme="minorEastAsia" w:hAnsiTheme="minorEastAsia" w:eastAsiaTheme="minorEastAsia" w:cstheme="minorEastAsia"/>
                <w:color w:val="auto"/>
                <w:sz w:val="21"/>
                <w:szCs w:val="21"/>
                <w:lang w:bidi="ar"/>
              </w:rPr>
              <w:br w:type="textWrapping"/>
            </w:r>
            <w:r>
              <w:rPr>
                <w:rStyle w:val="68"/>
                <w:rFonts w:hint="default" w:asciiTheme="minorEastAsia" w:hAnsiTheme="minorEastAsia" w:eastAsiaTheme="minorEastAsia" w:cstheme="minorEastAsia"/>
                <w:color w:val="auto"/>
                <w:sz w:val="21"/>
                <w:szCs w:val="21"/>
                <w:lang w:bidi="ar"/>
              </w:rPr>
              <w:t>17、提供和市面主流语音听说市场厂家互测认证报告（至</w:t>
            </w:r>
            <w:r>
              <w:rPr>
                <w:rStyle w:val="68"/>
                <w:rFonts w:hint="default" w:asciiTheme="minorEastAsia" w:hAnsiTheme="minorEastAsia" w:eastAsiaTheme="minorEastAsia" w:cstheme="minorEastAsia"/>
                <w:sz w:val="21"/>
                <w:szCs w:val="21"/>
                <w:lang w:bidi="ar"/>
              </w:rPr>
              <w:t>少包括讯飞启明、中科卓软等厂家）。</w:t>
            </w:r>
            <w:r>
              <w:rPr>
                <w:rStyle w:val="68"/>
                <w:rFonts w:hint="default" w:asciiTheme="minorEastAsia" w:hAnsiTheme="minorEastAsia" w:eastAsiaTheme="minorEastAsia" w:cstheme="minorEastAsia"/>
                <w:sz w:val="21"/>
                <w:szCs w:val="21"/>
                <w:lang w:bidi="ar"/>
              </w:rPr>
              <w:br w:type="textWrapping"/>
            </w:r>
            <w:r>
              <w:rPr>
                <w:rStyle w:val="68"/>
                <w:rFonts w:hint="default" w:asciiTheme="minorEastAsia" w:hAnsiTheme="minorEastAsia" w:eastAsiaTheme="minorEastAsia" w:cstheme="minorEastAsia"/>
                <w:sz w:val="21"/>
                <w:szCs w:val="21"/>
                <w:lang w:bidi="ar"/>
              </w:rPr>
              <w:t>18、包含1个云终端授权。</w:t>
            </w:r>
            <w:r>
              <w:rPr>
                <w:rStyle w:val="68"/>
                <w:rFonts w:hint="default" w:asciiTheme="minorEastAsia" w:hAnsiTheme="minorEastAsia" w:eastAsiaTheme="minorEastAsia" w:cstheme="minorEastAsia"/>
                <w:sz w:val="21"/>
                <w:szCs w:val="21"/>
                <w:lang w:bidi="ar"/>
              </w:rPr>
              <w:br w:type="textWrapping"/>
            </w:r>
            <w:r>
              <w:rPr>
                <w:rStyle w:val="68"/>
                <w:rFonts w:hint="default" w:asciiTheme="minorEastAsia" w:hAnsiTheme="minorEastAsia" w:eastAsiaTheme="minorEastAsia" w:cstheme="minorEastAsia"/>
                <w:sz w:val="21"/>
                <w:szCs w:val="21"/>
                <w:lang w:bidi="ar"/>
              </w:rPr>
              <w:t>19、配置WLED尺寸≥23.8英寸，分辨率≥1920×1080，刷新率≥100Hz(HDMI)，VGA接口≥1个，HDMI接口≥1个， IPS屏，窄边框设计，水平及垂直可视角度≥178°，亮度≥250 cd/m²，对比度≥1,000:1，原生8bit色深。</w:t>
            </w:r>
            <w:r>
              <w:rPr>
                <w:rStyle w:val="68"/>
                <w:rFonts w:hint="default" w:asciiTheme="minorEastAsia" w:hAnsiTheme="minorEastAsia" w:eastAsiaTheme="minorEastAsia" w:cstheme="minorEastAsia"/>
                <w:sz w:val="21"/>
                <w:szCs w:val="21"/>
                <w:lang w:bidi="ar"/>
              </w:rPr>
              <w:br w:type="textWrapping"/>
            </w:r>
            <w:r>
              <w:rPr>
                <w:rStyle w:val="68"/>
                <w:rFonts w:hint="default" w:asciiTheme="minorEastAsia" w:hAnsiTheme="minorEastAsia" w:eastAsiaTheme="minorEastAsia" w:cstheme="minorEastAsia"/>
                <w:sz w:val="21"/>
                <w:szCs w:val="21"/>
                <w:lang w:bidi="ar"/>
              </w:rPr>
              <w:t>20、配套同品牌USB有线键盘鼠标，键盘：人体工学104键，鼠标分辨率：≥1200dpi，3键，左右键+滚轮，≥1.5米线长。</w:t>
            </w:r>
            <w:r>
              <w:rPr>
                <w:rStyle w:val="68"/>
                <w:rFonts w:hint="default" w:asciiTheme="minorEastAsia" w:hAnsiTheme="minorEastAsia" w:eastAsiaTheme="minorEastAsia" w:cstheme="minorEastAsia"/>
                <w:sz w:val="21"/>
                <w:szCs w:val="21"/>
                <w:lang w:bidi="ar"/>
              </w:rPr>
              <w:br w:type="textWrapping"/>
            </w:r>
            <w:r>
              <w:rPr>
                <w:rStyle w:val="68"/>
                <w:rFonts w:hint="eastAsia" w:asciiTheme="minorEastAsia" w:hAnsiTheme="minorEastAsia" w:eastAsiaTheme="minorEastAsia" w:cstheme="minorEastAsia"/>
                <w:sz w:val="21"/>
                <w:szCs w:val="21"/>
                <w:lang w:val="en-US" w:eastAsia="zh-CN" w:bidi="ar"/>
              </w:rPr>
              <w:t xml:space="preserve">  </w:t>
            </w:r>
            <w:r>
              <w:rPr>
                <w:rStyle w:val="68"/>
                <w:rFonts w:hint="default" w:asciiTheme="minorEastAsia" w:hAnsiTheme="minorEastAsia" w:eastAsiaTheme="minorEastAsia" w:cstheme="minorEastAsia"/>
                <w:sz w:val="21"/>
                <w:szCs w:val="21"/>
                <w:lang w:bidi="ar"/>
              </w:rPr>
              <w:t>提供第三方检测报告。</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300</w:t>
            </w:r>
          </w:p>
        </w:tc>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Theme="minorEastAsia" w:hAnsiTheme="minorEastAsia" w:eastAsiaTheme="minorEastAsia" w:cstheme="minorEastAsia"/>
                <w:color w:val="000000"/>
                <w:sz w:val="21"/>
                <w:szCs w:val="21"/>
              </w:rPr>
            </w:pPr>
          </w:p>
          <w:p>
            <w:pPr>
              <w:ind w:firstLine="0" w:firstLineChars="0"/>
              <w:jc w:val="center"/>
              <w:rPr>
                <w:rFonts w:hint="eastAsia" w:asciiTheme="minorEastAsia" w:hAnsiTheme="minorEastAsia" w:eastAsiaTheme="minorEastAsia" w:cstheme="minorEastAsia"/>
                <w:color w:val="000000"/>
                <w:sz w:val="21"/>
                <w:szCs w:val="21"/>
              </w:rPr>
            </w:pPr>
          </w:p>
          <w:p>
            <w:pPr>
              <w:ind w:firstLine="0" w:firstLineChars="0"/>
              <w:jc w:val="center"/>
              <w:rPr>
                <w:rFonts w:hint="eastAsia" w:asciiTheme="minorEastAsia" w:hAnsiTheme="minorEastAsia" w:eastAsiaTheme="minorEastAsia" w:cstheme="minorEastAsia"/>
                <w:color w:val="000000"/>
                <w:sz w:val="21"/>
                <w:szCs w:val="21"/>
              </w:rPr>
            </w:pPr>
          </w:p>
          <w:p>
            <w:pPr>
              <w:ind w:firstLine="0" w:firstLineChars="0"/>
              <w:jc w:val="center"/>
              <w:rPr>
                <w:rFonts w:hint="eastAsia" w:asciiTheme="minorEastAsia" w:hAnsiTheme="minorEastAsia" w:eastAsiaTheme="minorEastAsia" w:cstheme="minorEastAsia"/>
                <w:color w:val="000000"/>
                <w:sz w:val="21"/>
                <w:szCs w:val="21"/>
              </w:rPr>
            </w:pPr>
          </w:p>
          <w:p>
            <w:pPr>
              <w:ind w:firstLine="0" w:firstLineChars="0"/>
              <w:jc w:val="center"/>
              <w:rPr>
                <w:rFonts w:hint="eastAsia" w:asciiTheme="minorEastAsia" w:hAnsiTheme="minorEastAsia" w:eastAsiaTheme="minorEastAsia" w:cstheme="minorEastAsia"/>
                <w:color w:val="000000"/>
                <w:sz w:val="21"/>
                <w:szCs w:val="21"/>
              </w:rPr>
            </w:pPr>
          </w:p>
          <w:p>
            <w:pPr>
              <w:ind w:firstLine="0" w:firstLineChars="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台</w:t>
            </w:r>
          </w:p>
        </w:tc>
      </w:tr>
      <w:tr>
        <w:tblPrEx>
          <w:tblCellMar>
            <w:top w:w="0" w:type="dxa"/>
            <w:left w:w="108" w:type="dxa"/>
            <w:bottom w:w="0" w:type="dxa"/>
            <w:right w:w="108" w:type="dxa"/>
          </w:tblCellMar>
        </w:tblPrEx>
        <w:trPr>
          <w:trHeight w:val="2020" w:hRule="atLeast"/>
        </w:trPr>
        <w:tc>
          <w:tcPr>
            <w:tcW w:w="213" w:type="pct"/>
            <w:vMerge w:val="continue"/>
            <w:tcBorders>
              <w:left w:val="single" w:color="000000" w:sz="4" w:space="0"/>
              <w:right w:val="single" w:color="000000" w:sz="4" w:space="0"/>
            </w:tcBorders>
            <w:shd w:val="clear" w:color="auto" w:fill="auto"/>
            <w:vAlign w:val="center"/>
          </w:tcPr>
          <w:p>
            <w:pPr>
              <w:ind w:left="0" w:leftChars="0" w:firstLine="210" w:firstLineChars="100"/>
              <w:jc w:val="both"/>
              <w:rPr>
                <w:rFonts w:hint="eastAsia" w:asciiTheme="minorEastAsia" w:hAnsiTheme="minorEastAsia" w:eastAsiaTheme="minorEastAsia" w:cstheme="minorEastAsia"/>
                <w:color w:val="000000"/>
                <w:sz w:val="21"/>
                <w:szCs w:val="21"/>
              </w:rPr>
            </w:pPr>
          </w:p>
        </w:tc>
        <w:tc>
          <w:tcPr>
            <w:tcW w:w="579" w:type="pct"/>
            <w:vMerge w:val="continue"/>
            <w:tcBorders>
              <w:left w:val="single" w:color="000000" w:sz="4" w:space="0"/>
              <w:right w:val="single" w:color="auto" w:sz="4" w:space="0"/>
            </w:tcBorders>
            <w:shd w:val="clear" w:color="auto" w:fill="auto"/>
            <w:vAlign w:val="center"/>
          </w:tcPr>
          <w:p>
            <w:pPr>
              <w:widowControl/>
              <w:ind w:firstLine="0" w:firstLineChars="0"/>
              <w:textAlignment w:val="center"/>
              <w:rPr>
                <w:rFonts w:hint="eastAsia" w:asciiTheme="minorEastAsia" w:hAnsiTheme="minorEastAsia" w:eastAsiaTheme="minorEastAsia" w:cstheme="minorEastAsia"/>
                <w:color w:val="000000"/>
                <w:kern w:val="0"/>
                <w:sz w:val="21"/>
                <w:szCs w:val="21"/>
                <w:lang w:bidi="ar"/>
              </w:rPr>
            </w:pPr>
          </w:p>
        </w:tc>
        <w:tc>
          <w:tcPr>
            <w:tcW w:w="36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textAlignment w:val="center"/>
              <w:rPr>
                <w:rFonts w:hint="eastAsia" w:asciiTheme="minorEastAsia" w:hAnsiTheme="minorEastAsia" w:eastAsiaTheme="minorEastAsia" w:cstheme="minorEastAsia"/>
                <w:color w:val="000000"/>
                <w:kern w:val="0"/>
                <w:sz w:val="21"/>
                <w:szCs w:val="21"/>
                <w:lang w:bidi="ar"/>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hint="eastAsia" w:asciiTheme="minorEastAsia" w:hAnsiTheme="minorEastAsia" w:eastAsiaTheme="minorEastAsia" w:cstheme="minorEastAsia"/>
                <w:color w:val="000000"/>
                <w:kern w:val="0"/>
                <w:sz w:val="21"/>
                <w:szCs w:val="21"/>
                <w:lang w:bidi="ar"/>
              </w:rPr>
            </w:pPr>
          </w:p>
        </w:tc>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90"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jc w:val="center"/>
              <w:rPr>
                <w:rFonts w:asciiTheme="minorEastAsia" w:hAnsiTheme="minorEastAsia" w:eastAsiaTheme="minorEastAsia" w:cstheme="minorEastAsia"/>
                <w:color w:val="000000"/>
                <w:sz w:val="21"/>
                <w:szCs w:val="21"/>
              </w:rPr>
            </w:pPr>
          </w:p>
        </w:tc>
        <w:tc>
          <w:tcPr>
            <w:tcW w:w="579"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ind w:firstLine="420"/>
              <w:jc w:val="center"/>
              <w:rPr>
                <w:rFonts w:asciiTheme="minorEastAsia" w:hAnsiTheme="minorEastAsia" w:eastAsiaTheme="minorEastAsia" w:cstheme="minorEastAsia"/>
                <w:color w:val="000000"/>
                <w:sz w:val="21"/>
                <w:szCs w:val="21"/>
              </w:rPr>
            </w:pPr>
          </w:p>
        </w:tc>
        <w:tc>
          <w:tcPr>
            <w:tcW w:w="36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20"/>
              <w:jc w:val="left"/>
              <w:rPr>
                <w:rFonts w:asciiTheme="minorEastAsia" w:hAnsiTheme="minorEastAsia" w:eastAsiaTheme="minorEastAsia" w:cstheme="minorEastAsia"/>
                <w:color w:val="000000"/>
                <w:sz w:val="21"/>
                <w:szCs w:val="21"/>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20"/>
              <w:jc w:val="center"/>
              <w:rPr>
                <w:rFonts w:asciiTheme="minorEastAsia" w:hAnsiTheme="minorEastAsia" w:eastAsiaTheme="minorEastAsia" w:cstheme="minorEastAsia"/>
                <w:color w:val="000000"/>
                <w:sz w:val="21"/>
                <w:szCs w:val="21"/>
              </w:rPr>
            </w:pPr>
          </w:p>
        </w:tc>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420"/>
              <w:jc w:val="center"/>
              <w:rPr>
                <w:rFonts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9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center" w:pos="115"/>
              </w:tabs>
              <w:ind w:firstLine="0" w:firstLineChar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国产化操作系统</w:t>
            </w:r>
          </w:p>
        </w:tc>
        <w:tc>
          <w:tcPr>
            <w:tcW w:w="3619"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Style w:val="68"/>
                <w:rFonts w:hint="eastAsia" w:asciiTheme="minorEastAsia" w:hAnsiTheme="minorEastAsia" w:eastAsiaTheme="minorEastAsia" w:cstheme="minorEastAsia"/>
                <w:color w:val="auto"/>
                <w:sz w:val="21"/>
                <w:szCs w:val="21"/>
                <w:lang w:val="en-US" w:eastAsia="zh-CN" w:bidi="ar"/>
              </w:rPr>
            </w:pPr>
            <w:r>
              <w:rPr>
                <w:rStyle w:val="68"/>
                <w:rFonts w:hint="eastAsia" w:asciiTheme="minorEastAsia" w:hAnsiTheme="minorEastAsia" w:eastAsiaTheme="minorEastAsia" w:cstheme="minorEastAsia"/>
                <w:color w:val="auto"/>
                <w:sz w:val="21"/>
                <w:szCs w:val="21"/>
                <w:lang w:val="en-US" w:eastAsia="zh-CN" w:bidi="ar"/>
              </w:rPr>
              <w:t>1.内核版本：不低于Kernel 4.19。</w:t>
            </w:r>
          </w:p>
          <w:p>
            <w:pPr>
              <w:widowControl/>
              <w:ind w:firstLine="0" w:firstLineChars="0"/>
              <w:jc w:val="left"/>
              <w:textAlignment w:val="center"/>
              <w:rPr>
                <w:rStyle w:val="68"/>
                <w:rFonts w:hint="eastAsia" w:asciiTheme="minorEastAsia" w:hAnsiTheme="minorEastAsia" w:eastAsiaTheme="minorEastAsia" w:cstheme="minorEastAsia"/>
                <w:color w:val="auto"/>
                <w:sz w:val="21"/>
                <w:szCs w:val="21"/>
                <w:lang w:val="en-US" w:eastAsia="zh-CN" w:bidi="ar"/>
              </w:rPr>
            </w:pPr>
            <w:r>
              <w:rPr>
                <w:rStyle w:val="68"/>
                <w:rFonts w:hint="eastAsia" w:asciiTheme="minorEastAsia" w:hAnsiTheme="minorEastAsia" w:eastAsiaTheme="minorEastAsia" w:cstheme="minorEastAsia"/>
                <w:color w:val="auto"/>
                <w:sz w:val="21"/>
                <w:szCs w:val="21"/>
                <w:lang w:val="en-US" w:eastAsia="zh-CN" w:bidi="ar"/>
              </w:rPr>
              <w:t>2.系统支持CPU架构：支持AMD64、ARM64、Mips64、LoongArch等CPU架构;支持海光、兆芯、鲲鹏、海思麒麟、飞腾、龙芯等CPU型号。</w:t>
            </w:r>
          </w:p>
          <w:p>
            <w:pPr>
              <w:widowControl/>
              <w:ind w:firstLine="0" w:firstLineChars="0"/>
              <w:jc w:val="left"/>
              <w:textAlignment w:val="center"/>
              <w:rPr>
                <w:rStyle w:val="68"/>
                <w:rFonts w:hint="eastAsia" w:asciiTheme="minorEastAsia" w:hAnsiTheme="minorEastAsia" w:eastAsiaTheme="minorEastAsia" w:cstheme="minorEastAsia"/>
                <w:color w:val="auto"/>
                <w:sz w:val="21"/>
                <w:szCs w:val="21"/>
                <w:lang w:val="en-US" w:eastAsia="zh-CN" w:bidi="ar"/>
              </w:rPr>
            </w:pPr>
            <w:r>
              <w:rPr>
                <w:rStyle w:val="68"/>
                <w:rFonts w:hint="eastAsia" w:asciiTheme="minorEastAsia" w:hAnsiTheme="minorEastAsia" w:eastAsiaTheme="minorEastAsia" w:cstheme="minorEastAsia"/>
                <w:color w:val="auto"/>
                <w:sz w:val="21"/>
                <w:szCs w:val="21"/>
                <w:lang w:val="en-US" w:eastAsia="zh-CN" w:bidi="ar"/>
              </w:rPr>
              <w:t>3.产品操作系统在不同硬件平台提供自主研发的统一桌面环境，保障用户体验的一致性，桌面环境满足最新国家标准GB18030—2022《信息技术 中文编码字符集》字符集认证要求，提供自研桌面环境软著和字符集认证证书。</w:t>
            </w:r>
          </w:p>
          <w:p>
            <w:pPr>
              <w:widowControl/>
              <w:ind w:firstLine="0" w:firstLineChars="0"/>
              <w:jc w:val="left"/>
              <w:textAlignment w:val="center"/>
              <w:rPr>
                <w:rStyle w:val="68"/>
                <w:rFonts w:hint="eastAsia" w:asciiTheme="minorEastAsia" w:hAnsiTheme="minorEastAsia" w:eastAsiaTheme="minorEastAsia" w:cstheme="minorEastAsia"/>
                <w:color w:val="auto"/>
                <w:sz w:val="21"/>
                <w:szCs w:val="21"/>
                <w:lang w:val="en-US" w:eastAsia="zh-CN" w:bidi="ar"/>
              </w:rPr>
            </w:pPr>
            <w:r>
              <w:rPr>
                <w:rStyle w:val="68"/>
                <w:rFonts w:hint="eastAsia" w:asciiTheme="minorEastAsia" w:hAnsiTheme="minorEastAsia" w:eastAsiaTheme="minorEastAsia" w:cstheme="minorEastAsia"/>
                <w:color w:val="auto"/>
                <w:sz w:val="21"/>
                <w:szCs w:val="21"/>
                <w:lang w:val="en-US" w:eastAsia="zh-CN" w:bidi="ar"/>
              </w:rPr>
              <w:t>4.应用商店：操作系统产品具有应用商店，应用商店可针对教育行业提供教育专属应用，并可以提供各地方的智慧教育云平台应用。</w:t>
            </w:r>
          </w:p>
          <w:p>
            <w:pPr>
              <w:widowControl/>
              <w:ind w:firstLine="0" w:firstLineChars="0"/>
              <w:jc w:val="left"/>
              <w:textAlignment w:val="center"/>
              <w:rPr>
                <w:rStyle w:val="68"/>
                <w:rFonts w:hint="eastAsia" w:asciiTheme="minorEastAsia" w:hAnsiTheme="minorEastAsia" w:eastAsiaTheme="minorEastAsia" w:cstheme="minorEastAsia"/>
                <w:color w:val="auto"/>
                <w:sz w:val="21"/>
                <w:szCs w:val="21"/>
                <w:lang w:val="en-US" w:eastAsia="zh-CN" w:bidi="ar"/>
              </w:rPr>
            </w:pPr>
            <w:r>
              <w:rPr>
                <w:rStyle w:val="68"/>
                <w:rFonts w:hint="eastAsia" w:asciiTheme="minorEastAsia" w:hAnsiTheme="minorEastAsia" w:eastAsiaTheme="minorEastAsia" w:cstheme="minorEastAsia"/>
                <w:color w:val="auto"/>
                <w:sz w:val="21"/>
                <w:szCs w:val="21"/>
                <w:lang w:val="en-US" w:eastAsia="zh-CN" w:bidi="ar"/>
              </w:rPr>
              <w:t>5.浏览器支持：操作系统预装同品牌自研浏览器，同时支持360安全浏览器、奇安信可信浏览器、红莲花安全浏览器等浏览器等，提供同品牌浏览器软件著作权。</w:t>
            </w:r>
          </w:p>
          <w:p>
            <w:pPr>
              <w:widowControl/>
              <w:ind w:firstLine="0" w:firstLineChars="0"/>
              <w:jc w:val="left"/>
              <w:textAlignment w:val="center"/>
              <w:rPr>
                <w:rStyle w:val="68"/>
                <w:rFonts w:hint="eastAsia" w:asciiTheme="minorEastAsia" w:hAnsiTheme="minorEastAsia" w:eastAsiaTheme="minorEastAsia" w:cstheme="minorEastAsia"/>
                <w:color w:val="auto"/>
                <w:sz w:val="21"/>
                <w:szCs w:val="21"/>
                <w:lang w:val="en-US" w:eastAsia="zh-CN" w:bidi="ar"/>
              </w:rPr>
            </w:pPr>
            <w:r>
              <w:rPr>
                <w:rStyle w:val="68"/>
                <w:rFonts w:hint="eastAsia" w:asciiTheme="minorEastAsia" w:hAnsiTheme="minorEastAsia" w:eastAsiaTheme="minorEastAsia" w:cstheme="minorEastAsia"/>
                <w:color w:val="auto"/>
                <w:sz w:val="21"/>
                <w:szCs w:val="21"/>
                <w:lang w:val="en-US" w:eastAsia="zh-CN" w:bidi="ar"/>
              </w:rPr>
              <w:t>6.开发者模式：为保障系统不被误操作损坏，保障系统安全，操作系统产品需支持开发者模式的用户鉴权能力，用以限制root、sudo等高级权限和安装未签名的软件。</w:t>
            </w:r>
          </w:p>
          <w:p>
            <w:pPr>
              <w:widowControl/>
              <w:ind w:firstLine="0" w:firstLineChars="0"/>
              <w:jc w:val="left"/>
              <w:textAlignment w:val="center"/>
              <w:rPr>
                <w:rStyle w:val="68"/>
                <w:rFonts w:hint="eastAsia" w:asciiTheme="minorEastAsia" w:hAnsiTheme="minorEastAsia" w:eastAsiaTheme="minorEastAsia" w:cstheme="minorEastAsia"/>
                <w:color w:val="auto"/>
                <w:sz w:val="21"/>
                <w:szCs w:val="21"/>
                <w:lang w:val="en-US" w:eastAsia="zh-CN" w:bidi="ar"/>
              </w:rPr>
            </w:pPr>
            <w:r>
              <w:rPr>
                <w:rStyle w:val="68"/>
                <w:rFonts w:hint="eastAsia" w:asciiTheme="minorEastAsia" w:hAnsiTheme="minorEastAsia" w:eastAsiaTheme="minorEastAsia" w:cstheme="minorEastAsia"/>
                <w:color w:val="auto"/>
                <w:sz w:val="21"/>
                <w:szCs w:val="21"/>
                <w:lang w:val="en-US" w:eastAsia="zh-CN" w:bidi="ar"/>
              </w:rPr>
              <w:t>7.备份与恢复：系统支持保障安全升级的自动主备双根分区以及备份分区，并且在系统中有双根分区和备份分区标识（如：RootA和RootB、Recovery/Backup标识符），在系统升级后支持回滚、备份还原，并保留用户个人数据。</w:t>
            </w:r>
          </w:p>
          <w:p>
            <w:pPr>
              <w:widowControl/>
              <w:ind w:firstLine="0" w:firstLineChars="0"/>
              <w:jc w:val="left"/>
              <w:textAlignment w:val="center"/>
              <w:rPr>
                <w:rStyle w:val="68"/>
                <w:rFonts w:hint="eastAsia" w:asciiTheme="minorEastAsia" w:hAnsiTheme="minorEastAsia" w:eastAsiaTheme="minorEastAsia" w:cstheme="minorEastAsia"/>
                <w:color w:val="auto"/>
                <w:sz w:val="21"/>
                <w:szCs w:val="21"/>
                <w:lang w:val="en-US" w:eastAsia="zh-CN" w:bidi="ar"/>
              </w:rPr>
            </w:pPr>
            <w:r>
              <w:rPr>
                <w:rStyle w:val="68"/>
                <w:rFonts w:hint="eastAsia" w:asciiTheme="minorEastAsia" w:hAnsiTheme="minorEastAsia" w:eastAsiaTheme="minorEastAsia" w:cstheme="minorEastAsia"/>
                <w:color w:val="auto"/>
                <w:sz w:val="21"/>
                <w:szCs w:val="21"/>
                <w:lang w:val="en-US" w:eastAsia="zh-CN" w:bidi="ar"/>
              </w:rPr>
              <w:t>8.系统安全中心深度集成杀毒引擎，用户无需单独下载，至少提供两个杀毒库供用户自行选择。</w:t>
            </w:r>
          </w:p>
          <w:p>
            <w:pPr>
              <w:widowControl/>
              <w:ind w:firstLine="0" w:firstLineChars="0"/>
              <w:jc w:val="left"/>
              <w:textAlignment w:val="center"/>
              <w:rPr>
                <w:rStyle w:val="68"/>
                <w:rFonts w:hint="eastAsia" w:asciiTheme="minorEastAsia" w:hAnsiTheme="minorEastAsia" w:eastAsiaTheme="minorEastAsia" w:cstheme="minorEastAsia"/>
                <w:color w:val="auto"/>
                <w:sz w:val="21"/>
                <w:szCs w:val="21"/>
                <w:lang w:val="en-US" w:eastAsia="zh-CN" w:bidi="ar"/>
              </w:rPr>
            </w:pPr>
            <w:r>
              <w:rPr>
                <w:rStyle w:val="68"/>
                <w:rFonts w:hint="eastAsia" w:asciiTheme="minorEastAsia" w:hAnsiTheme="minorEastAsia" w:eastAsiaTheme="minorEastAsia" w:cstheme="minorEastAsia"/>
                <w:color w:val="auto"/>
                <w:sz w:val="21"/>
                <w:szCs w:val="21"/>
                <w:lang w:val="en-US" w:eastAsia="zh-CN" w:bidi="ar"/>
              </w:rPr>
              <w:t>9.云账号同步：支持网络、壁纸、电源和浏览器等本地配置同步到云端，在不同设备上登录云帐号时，可以自动同步云端配置；支持通过云帐号在线修改系统登录密码。</w:t>
            </w:r>
          </w:p>
          <w:p>
            <w:pPr>
              <w:widowControl/>
              <w:ind w:firstLine="0" w:firstLineChars="0"/>
              <w:jc w:val="left"/>
              <w:textAlignment w:val="center"/>
              <w:rPr>
                <w:rStyle w:val="68"/>
                <w:rFonts w:hint="eastAsia" w:asciiTheme="minorEastAsia" w:hAnsiTheme="minorEastAsia" w:eastAsiaTheme="minorEastAsia" w:cstheme="minorEastAsia"/>
                <w:color w:val="auto"/>
                <w:sz w:val="21"/>
                <w:szCs w:val="21"/>
                <w:lang w:val="en-US" w:eastAsia="zh-CN" w:bidi="ar"/>
              </w:rPr>
            </w:pPr>
            <w:r>
              <w:rPr>
                <w:rStyle w:val="68"/>
                <w:rFonts w:hint="eastAsia" w:asciiTheme="minorEastAsia" w:hAnsiTheme="minorEastAsia" w:eastAsiaTheme="minorEastAsia" w:cstheme="minorEastAsia"/>
                <w:color w:val="auto"/>
                <w:sz w:val="21"/>
                <w:szCs w:val="21"/>
                <w:lang w:val="en-US" w:eastAsia="zh-CN" w:bidi="ar"/>
              </w:rPr>
              <w:t>10.光盘刻录：系统支持UDF的刻录方式。</w:t>
            </w:r>
          </w:p>
          <w:p>
            <w:pPr>
              <w:widowControl/>
              <w:ind w:firstLine="0" w:firstLineChars="0"/>
              <w:jc w:val="left"/>
              <w:textAlignment w:val="center"/>
              <w:rPr>
                <w:rStyle w:val="68"/>
                <w:rFonts w:hint="eastAsia" w:asciiTheme="minorEastAsia" w:hAnsiTheme="minorEastAsia" w:eastAsiaTheme="minorEastAsia" w:cstheme="minorEastAsia"/>
                <w:color w:val="auto"/>
                <w:sz w:val="21"/>
                <w:szCs w:val="21"/>
                <w:lang w:val="en-US" w:eastAsia="zh-CN" w:bidi="ar"/>
              </w:rPr>
            </w:pPr>
            <w:r>
              <w:rPr>
                <w:rStyle w:val="68"/>
                <w:rFonts w:hint="eastAsia" w:asciiTheme="minorEastAsia" w:hAnsiTheme="minorEastAsia" w:eastAsiaTheme="minorEastAsia" w:cstheme="minorEastAsia"/>
                <w:color w:val="auto"/>
                <w:sz w:val="21"/>
                <w:szCs w:val="21"/>
                <w:lang w:val="en-US" w:eastAsia="zh-CN" w:bidi="ar"/>
              </w:rPr>
              <w:t>11.输入法支持：系统集成自研输入法支持五笔、拼音和双拼，支持搜狗、讯飞、华宇等主流输入法。</w:t>
            </w:r>
          </w:p>
          <w:p>
            <w:pPr>
              <w:widowControl/>
              <w:ind w:firstLine="0" w:firstLineChars="0"/>
              <w:jc w:val="left"/>
              <w:textAlignment w:val="center"/>
              <w:rPr>
                <w:rFonts w:hint="eastAsia"/>
                <w:lang w:val="en-US" w:eastAsia="zh-CN"/>
              </w:rPr>
            </w:pPr>
            <w:r>
              <w:rPr>
                <w:rStyle w:val="68"/>
                <w:rFonts w:hint="eastAsia" w:asciiTheme="minorEastAsia" w:hAnsiTheme="minorEastAsia" w:eastAsiaTheme="minorEastAsia" w:cstheme="minorEastAsia"/>
                <w:color w:val="auto"/>
                <w:sz w:val="21"/>
                <w:szCs w:val="21"/>
                <w:lang w:val="en-US" w:eastAsia="zh-CN" w:bidi="ar"/>
              </w:rPr>
              <w:t>12.青少年上网保护：支持通过自研浏览器上网，拦截网页中恶意弹窗，诱导点击跳转至不良内容、低俗庸俗等有害页面的行为，在线查阅拦截报表统计、用户举报。并提供同一相关软件著作权。</w:t>
            </w:r>
          </w:p>
        </w:tc>
        <w:tc>
          <w:tcPr>
            <w:tcW w:w="279"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ind w:left="0" w:leftChars="0" w:firstLine="0" w:firstLineChars="0"/>
              <w:jc w:val="both"/>
              <w:textAlignment w:val="center"/>
              <w:rPr>
                <w:rFonts w:hint="default"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306</w:t>
            </w:r>
          </w:p>
        </w:tc>
        <w:tc>
          <w:tcPr>
            <w:tcW w:w="308" w:type="pct"/>
            <w:tcBorders>
              <w:top w:val="single" w:color="auto"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套</w:t>
            </w:r>
          </w:p>
        </w:tc>
      </w:tr>
      <w:tr>
        <w:tblPrEx>
          <w:tblCellMar>
            <w:top w:w="0" w:type="dxa"/>
            <w:left w:w="108" w:type="dxa"/>
            <w:bottom w:w="0" w:type="dxa"/>
            <w:right w:w="108" w:type="dxa"/>
          </w:tblCellMar>
        </w:tblPrEx>
        <w:trPr>
          <w:trHeight w:val="9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center" w:pos="115"/>
              </w:tabs>
              <w:ind w:firstLine="0" w:firstLineChar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国产化杀毒软件</w:t>
            </w:r>
          </w:p>
        </w:tc>
        <w:tc>
          <w:tcPr>
            <w:tcW w:w="3619"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Style w:val="68"/>
                <w:rFonts w:hint="eastAsia" w:asciiTheme="minorEastAsia" w:hAnsiTheme="minorEastAsia" w:eastAsiaTheme="minorEastAsia" w:cstheme="minorEastAsia"/>
                <w:color w:val="auto"/>
                <w:sz w:val="21"/>
                <w:szCs w:val="21"/>
                <w:lang w:val="en-US" w:eastAsia="zh-CN" w:bidi="ar"/>
              </w:rPr>
            </w:pPr>
            <w:r>
              <w:rPr>
                <w:rStyle w:val="68"/>
                <w:rFonts w:hint="eastAsia" w:asciiTheme="minorEastAsia" w:hAnsiTheme="minorEastAsia" w:eastAsiaTheme="minorEastAsia" w:cstheme="minorEastAsia"/>
                <w:color w:val="auto"/>
                <w:sz w:val="21"/>
                <w:szCs w:val="21"/>
                <w:lang w:val="en-US" w:eastAsia="zh-CN" w:bidi="ar"/>
              </w:rPr>
              <w:t>1、采用纯软件交付，包含管理控制中心软件及终端客户端软件，其中管理控制中心可云化部署；单一管理控制中心可统一管理分别部署在Windows PC，Win服务器以及Linux服务器的客户端软件；</w:t>
            </w:r>
          </w:p>
          <w:p>
            <w:pPr>
              <w:widowControl/>
              <w:ind w:firstLine="0" w:firstLineChars="0"/>
              <w:jc w:val="left"/>
              <w:textAlignment w:val="center"/>
              <w:rPr>
                <w:rStyle w:val="68"/>
                <w:rFonts w:hint="eastAsia" w:asciiTheme="minorEastAsia" w:hAnsiTheme="minorEastAsia" w:eastAsiaTheme="minorEastAsia" w:cstheme="minorEastAsia"/>
                <w:color w:val="auto"/>
                <w:sz w:val="21"/>
                <w:szCs w:val="21"/>
                <w:lang w:val="en-US" w:eastAsia="zh-CN" w:bidi="ar"/>
              </w:rPr>
            </w:pPr>
            <w:r>
              <w:rPr>
                <w:rStyle w:val="68"/>
                <w:rFonts w:hint="eastAsia" w:asciiTheme="minorEastAsia" w:hAnsiTheme="minorEastAsia" w:eastAsiaTheme="minorEastAsia" w:cstheme="minorEastAsia"/>
                <w:color w:val="auto"/>
                <w:sz w:val="21"/>
                <w:szCs w:val="21"/>
                <w:lang w:val="en-US" w:eastAsia="zh-CN" w:bidi="ar"/>
              </w:rPr>
              <w:t>2、支持全网风险展示，包括但不限于未处理的勒索病毒数量、暴力破解数量、WebShell后门数量、高危漏洞及其各自影响的终端数量；</w:t>
            </w:r>
          </w:p>
          <w:p>
            <w:pPr>
              <w:widowControl/>
              <w:ind w:firstLine="0" w:firstLineChars="0"/>
              <w:jc w:val="left"/>
              <w:textAlignment w:val="center"/>
              <w:rPr>
                <w:rStyle w:val="68"/>
                <w:rFonts w:hint="eastAsia" w:asciiTheme="minorEastAsia" w:hAnsiTheme="minorEastAsia" w:eastAsiaTheme="minorEastAsia" w:cstheme="minorEastAsia"/>
                <w:color w:val="auto"/>
                <w:sz w:val="21"/>
                <w:szCs w:val="21"/>
                <w:lang w:val="en-US" w:eastAsia="zh-CN" w:bidi="ar"/>
              </w:rPr>
            </w:pPr>
            <w:r>
              <w:rPr>
                <w:rStyle w:val="68"/>
                <w:rFonts w:hint="eastAsia" w:asciiTheme="minorEastAsia" w:hAnsiTheme="minorEastAsia" w:eastAsiaTheme="minorEastAsia" w:cstheme="minorEastAsia"/>
                <w:color w:val="auto"/>
                <w:sz w:val="21"/>
                <w:szCs w:val="21"/>
                <w:lang w:val="en-US" w:eastAsia="zh-CN" w:bidi="ar"/>
              </w:rPr>
              <w:t>3、支持跳转链接至云端安全威胁响应系统，针对已发生的病毒的基本信息，影响分析（客户情况、影响行业、区域分布）、威胁分析和处理建议（提供产品截图证明 ）；</w:t>
            </w:r>
          </w:p>
          <w:p>
            <w:pPr>
              <w:widowControl/>
              <w:ind w:firstLine="0" w:firstLineChars="0"/>
              <w:jc w:val="left"/>
              <w:textAlignment w:val="center"/>
              <w:rPr>
                <w:rStyle w:val="68"/>
                <w:rFonts w:hint="eastAsia" w:asciiTheme="minorEastAsia" w:hAnsiTheme="minorEastAsia" w:eastAsiaTheme="minorEastAsia" w:cstheme="minorEastAsia"/>
                <w:color w:val="auto"/>
                <w:sz w:val="21"/>
                <w:szCs w:val="21"/>
                <w:lang w:val="en-US" w:eastAsia="zh-CN" w:bidi="ar"/>
              </w:rPr>
            </w:pPr>
            <w:r>
              <w:rPr>
                <w:rStyle w:val="68"/>
                <w:rFonts w:hint="eastAsia" w:asciiTheme="minorEastAsia" w:hAnsiTheme="minorEastAsia" w:eastAsiaTheme="minorEastAsia" w:cstheme="minorEastAsia"/>
                <w:color w:val="auto"/>
                <w:sz w:val="21"/>
                <w:szCs w:val="21"/>
                <w:lang w:val="en-US" w:eastAsia="zh-CN" w:bidi="ar"/>
              </w:rPr>
              <w:t>4、具备基于人工智能的检测引擎，支持无特征检测技术，有效应对恶意代码及其变种，提供第三方权威证明材料或检测报告；</w:t>
            </w:r>
          </w:p>
          <w:p>
            <w:pPr>
              <w:widowControl/>
              <w:ind w:firstLine="0" w:firstLineChars="0"/>
              <w:jc w:val="left"/>
              <w:textAlignment w:val="center"/>
              <w:rPr>
                <w:rStyle w:val="68"/>
                <w:rFonts w:hint="eastAsia" w:asciiTheme="minorEastAsia" w:hAnsiTheme="minorEastAsia" w:eastAsiaTheme="minorEastAsia" w:cstheme="minorEastAsia"/>
                <w:color w:val="auto"/>
                <w:sz w:val="21"/>
                <w:szCs w:val="21"/>
                <w:lang w:val="en-US" w:eastAsia="zh-CN" w:bidi="ar"/>
              </w:rPr>
            </w:pPr>
            <w:r>
              <w:rPr>
                <w:rStyle w:val="68"/>
                <w:rFonts w:hint="eastAsia" w:asciiTheme="minorEastAsia" w:hAnsiTheme="minorEastAsia" w:eastAsiaTheme="minorEastAsia" w:cstheme="minorEastAsia"/>
                <w:color w:val="auto"/>
                <w:sz w:val="21"/>
                <w:szCs w:val="21"/>
                <w:lang w:val="en-US" w:eastAsia="zh-CN" w:bidi="ar"/>
              </w:rPr>
              <w:t>5、提供勒索病毒整体防护体系入口，直观展示最近七天勒索病毒防护效果，包括已处置的勒索病毒数量、已阻止的勒索病毒行为次数、已阻止的未知进程操作次数、已阻止的暴力破解攻击次数；</w:t>
            </w:r>
          </w:p>
          <w:p>
            <w:pPr>
              <w:widowControl/>
              <w:ind w:firstLine="0" w:firstLineChars="0"/>
              <w:jc w:val="left"/>
              <w:textAlignment w:val="center"/>
              <w:rPr>
                <w:rStyle w:val="68"/>
                <w:rFonts w:hint="eastAsia" w:asciiTheme="minorEastAsia" w:hAnsiTheme="minorEastAsia" w:eastAsiaTheme="minorEastAsia" w:cstheme="minorEastAsia"/>
                <w:color w:val="auto"/>
                <w:sz w:val="21"/>
                <w:szCs w:val="21"/>
                <w:lang w:val="en-US" w:eastAsia="zh-CN" w:bidi="ar"/>
              </w:rPr>
            </w:pPr>
            <w:r>
              <w:rPr>
                <w:rStyle w:val="68"/>
                <w:rFonts w:hint="eastAsia" w:asciiTheme="minorEastAsia" w:hAnsiTheme="minorEastAsia" w:eastAsiaTheme="minorEastAsia" w:cstheme="minorEastAsia"/>
                <w:color w:val="auto"/>
                <w:sz w:val="21"/>
                <w:szCs w:val="21"/>
                <w:lang w:val="en-US" w:eastAsia="zh-CN" w:bidi="ar"/>
              </w:rPr>
              <w:t>6、支持终端客户端软件的启用禁用，重启，支持在管理平台直接卸载客户端软件；</w:t>
            </w:r>
          </w:p>
          <w:p>
            <w:pPr>
              <w:widowControl/>
              <w:ind w:firstLine="0" w:firstLineChars="0"/>
              <w:jc w:val="left"/>
              <w:textAlignment w:val="center"/>
              <w:rPr>
                <w:rStyle w:val="68"/>
                <w:rFonts w:hint="eastAsia" w:asciiTheme="minorEastAsia" w:hAnsiTheme="minorEastAsia" w:eastAsiaTheme="minorEastAsia" w:cstheme="minorEastAsia"/>
                <w:color w:val="auto"/>
                <w:sz w:val="21"/>
                <w:szCs w:val="21"/>
                <w:lang w:val="en-US" w:eastAsia="zh-CN" w:bidi="ar"/>
              </w:rPr>
            </w:pPr>
            <w:r>
              <w:rPr>
                <w:rStyle w:val="68"/>
                <w:rFonts w:hint="eastAsia" w:asciiTheme="minorEastAsia" w:hAnsiTheme="minorEastAsia" w:eastAsiaTheme="minorEastAsia" w:cstheme="minorEastAsia"/>
                <w:color w:val="auto"/>
                <w:sz w:val="21"/>
                <w:szCs w:val="21"/>
                <w:lang w:val="en-US" w:eastAsia="zh-CN" w:bidi="ar"/>
              </w:rPr>
              <w:t>7、支持客户端的错峰升级或灰度升级，可根据实际情况控制客户端同时升级的最大数量，避免大量终端程序同时更新造成网络拥堵或I/O风暴；</w:t>
            </w:r>
          </w:p>
          <w:p>
            <w:pPr>
              <w:widowControl/>
              <w:ind w:firstLine="0" w:firstLineChars="0"/>
              <w:jc w:val="left"/>
              <w:textAlignment w:val="center"/>
              <w:rPr>
                <w:rStyle w:val="68"/>
                <w:rFonts w:hint="eastAsia" w:asciiTheme="minorEastAsia" w:hAnsiTheme="minorEastAsia" w:eastAsiaTheme="minorEastAsia" w:cstheme="minorEastAsia"/>
                <w:color w:val="auto"/>
                <w:sz w:val="21"/>
                <w:szCs w:val="21"/>
                <w:lang w:val="en-US" w:eastAsia="zh-CN" w:bidi="ar"/>
              </w:rPr>
            </w:pPr>
            <w:r>
              <w:rPr>
                <w:rStyle w:val="68"/>
                <w:rFonts w:hint="eastAsia" w:asciiTheme="minorEastAsia" w:hAnsiTheme="minorEastAsia" w:eastAsiaTheme="minorEastAsia" w:cstheme="minorEastAsia"/>
                <w:color w:val="auto"/>
                <w:sz w:val="21"/>
                <w:szCs w:val="21"/>
                <w:lang w:val="en-US" w:eastAsia="zh-CN" w:bidi="ar"/>
              </w:rPr>
              <w:t>8、支持展示终端检测到的WebShell事件及事件详情，包括：恶意文件名称，威胁等级，受感染的文件，发现时间，检测引擎，文件类型，文件名，文件Hash值，文件大小，文件创建时间；可配置WebShell实时扫描，一旦发现WebShell文件，可自动隔离或仅上报不隔离；</w:t>
            </w:r>
          </w:p>
          <w:p>
            <w:pPr>
              <w:widowControl/>
              <w:ind w:firstLine="0" w:firstLineChars="0"/>
              <w:jc w:val="left"/>
              <w:textAlignment w:val="center"/>
              <w:rPr>
                <w:rStyle w:val="68"/>
                <w:rFonts w:hint="eastAsia" w:asciiTheme="minorEastAsia" w:hAnsiTheme="minorEastAsia" w:eastAsiaTheme="minorEastAsia" w:cstheme="minorEastAsia"/>
                <w:color w:val="auto"/>
                <w:sz w:val="21"/>
                <w:szCs w:val="21"/>
                <w:lang w:val="en-US" w:eastAsia="zh-CN" w:bidi="ar"/>
              </w:rPr>
            </w:pPr>
            <w:r>
              <w:rPr>
                <w:rStyle w:val="68"/>
                <w:rFonts w:hint="eastAsia" w:asciiTheme="minorEastAsia" w:hAnsiTheme="minorEastAsia" w:eastAsiaTheme="minorEastAsia" w:cstheme="minorEastAsia"/>
                <w:color w:val="auto"/>
                <w:sz w:val="21"/>
                <w:szCs w:val="21"/>
                <w:lang w:val="en-US" w:eastAsia="zh-CN" w:bidi="ar"/>
              </w:rPr>
              <w:t>9、提供基于可信鉴定方式的进程防护方式，通过人工智能自学习建立可信进程名单，阻断非可信进程的运行并提供配置指引；</w:t>
            </w:r>
          </w:p>
          <w:p>
            <w:pPr>
              <w:widowControl/>
              <w:ind w:firstLine="0" w:firstLineChars="0"/>
              <w:jc w:val="left"/>
              <w:textAlignment w:val="center"/>
              <w:rPr>
                <w:rStyle w:val="68"/>
                <w:rFonts w:hint="eastAsia" w:asciiTheme="minorEastAsia" w:hAnsiTheme="minorEastAsia" w:eastAsiaTheme="minorEastAsia" w:cstheme="minorEastAsia"/>
                <w:color w:val="auto"/>
                <w:sz w:val="21"/>
                <w:szCs w:val="21"/>
                <w:lang w:val="en-US" w:eastAsia="zh-CN" w:bidi="ar"/>
              </w:rPr>
            </w:pPr>
            <w:r>
              <w:rPr>
                <w:rStyle w:val="68"/>
                <w:rFonts w:hint="eastAsia" w:asciiTheme="minorEastAsia" w:hAnsiTheme="minorEastAsia" w:eastAsiaTheme="minorEastAsia" w:cstheme="minorEastAsia"/>
                <w:color w:val="auto"/>
                <w:sz w:val="21"/>
                <w:szCs w:val="21"/>
                <w:lang w:val="en-US" w:eastAsia="zh-CN" w:bidi="ar"/>
              </w:rPr>
              <w:t>10、支持展示全球热点风险事件在网内终端的爆发情况，及时了解、处置网内终端的热点风险事件，并显示影响终端数量；</w:t>
            </w:r>
          </w:p>
          <w:p>
            <w:pPr>
              <w:widowControl/>
              <w:ind w:firstLine="0" w:firstLineChars="0"/>
              <w:jc w:val="left"/>
              <w:textAlignment w:val="center"/>
              <w:rPr>
                <w:rStyle w:val="68"/>
                <w:rFonts w:hint="eastAsia" w:asciiTheme="minorEastAsia" w:hAnsiTheme="minorEastAsia" w:eastAsiaTheme="minorEastAsia" w:cstheme="minorEastAsia"/>
                <w:color w:val="auto"/>
                <w:sz w:val="21"/>
                <w:szCs w:val="21"/>
                <w:lang w:val="en-US" w:eastAsia="zh-CN" w:bidi="ar"/>
              </w:rPr>
            </w:pPr>
            <w:r>
              <w:rPr>
                <w:rStyle w:val="68"/>
                <w:rFonts w:hint="eastAsia" w:asciiTheme="minorEastAsia" w:hAnsiTheme="minorEastAsia" w:eastAsiaTheme="minorEastAsia" w:cstheme="minorEastAsia"/>
                <w:color w:val="auto"/>
                <w:sz w:val="21"/>
                <w:szCs w:val="21"/>
                <w:lang w:val="en-US" w:eastAsia="zh-CN" w:bidi="ar"/>
              </w:rPr>
              <w:t>11、支持安全策略一体化配置，通过单一策略即可实现不同安全功能的配置，包括：终端病毒查杀的文件扫描配置、文件实时监控的参数配置、WebShell检测和威胁处置方式、暴力破解的威胁处置方式和Windows白名单信任目录</w:t>
            </w:r>
          </w:p>
          <w:p>
            <w:pPr>
              <w:widowControl/>
              <w:ind w:firstLine="0" w:firstLineChars="0"/>
              <w:jc w:val="left"/>
              <w:textAlignment w:val="center"/>
              <w:rPr>
                <w:rStyle w:val="68"/>
                <w:rFonts w:hint="eastAsia" w:asciiTheme="minorEastAsia" w:hAnsiTheme="minorEastAsia" w:eastAsiaTheme="minorEastAsia" w:cstheme="minorEastAsia"/>
                <w:color w:val="auto"/>
                <w:sz w:val="21"/>
                <w:szCs w:val="21"/>
                <w:lang w:val="en-US" w:eastAsia="zh-CN" w:bidi="ar"/>
              </w:rPr>
            </w:pPr>
            <w:r>
              <w:rPr>
                <w:rStyle w:val="68"/>
                <w:rFonts w:hint="eastAsia" w:asciiTheme="minorEastAsia" w:hAnsiTheme="minorEastAsia" w:eastAsiaTheme="minorEastAsia" w:cstheme="minorEastAsia"/>
                <w:color w:val="auto"/>
                <w:sz w:val="21"/>
                <w:szCs w:val="21"/>
                <w:lang w:val="en-US" w:eastAsia="zh-CN" w:bidi="ar"/>
              </w:rPr>
              <w:t>12、为保障云对于云平台内部虚机的安全防护能力，厂商应具备CS-CMMI5认证资质；</w:t>
            </w:r>
          </w:p>
          <w:p>
            <w:pPr>
              <w:widowControl/>
              <w:ind w:firstLine="0" w:firstLineChars="0"/>
              <w:jc w:val="left"/>
              <w:textAlignment w:val="center"/>
              <w:rPr>
                <w:rStyle w:val="68"/>
                <w:rFonts w:hint="eastAsia" w:asciiTheme="minorEastAsia" w:hAnsiTheme="minorEastAsia" w:eastAsiaTheme="minorEastAsia" w:cstheme="minorEastAsia"/>
                <w:color w:val="auto"/>
                <w:sz w:val="21"/>
                <w:szCs w:val="21"/>
                <w:lang w:val="en-US" w:eastAsia="zh-CN" w:bidi="ar"/>
              </w:rPr>
            </w:pPr>
            <w:r>
              <w:rPr>
                <w:rStyle w:val="68"/>
                <w:rFonts w:hint="eastAsia" w:asciiTheme="minorEastAsia" w:hAnsiTheme="minorEastAsia" w:eastAsiaTheme="minorEastAsia" w:cstheme="minorEastAsia"/>
                <w:color w:val="auto"/>
                <w:sz w:val="21"/>
                <w:szCs w:val="21"/>
                <w:lang w:val="en-US" w:eastAsia="zh-CN" w:bidi="ar"/>
              </w:rPr>
              <w:t>13、支持对系统账号信息进行梳理，了解账号权限分布概况以及风险账号分布情况，可按照隐藏账号、弱密码账号、可疑root权限账号、长期未使用账号、夜间登录、多IP登录进行账号分类查看，支持统计最近一年未修改密码的账户；</w:t>
            </w:r>
          </w:p>
          <w:p>
            <w:pPr>
              <w:widowControl/>
              <w:ind w:firstLine="0" w:firstLineChars="0"/>
              <w:jc w:val="left"/>
              <w:textAlignment w:val="center"/>
              <w:rPr>
                <w:rStyle w:val="68"/>
                <w:rFonts w:hint="eastAsia" w:asciiTheme="minorEastAsia" w:hAnsiTheme="minorEastAsia" w:eastAsiaTheme="minorEastAsia" w:cstheme="minorEastAsia"/>
                <w:color w:val="auto"/>
                <w:sz w:val="21"/>
                <w:szCs w:val="21"/>
                <w:lang w:val="en-US" w:eastAsia="zh-CN" w:bidi="ar"/>
              </w:rPr>
            </w:pPr>
            <w:r>
              <w:rPr>
                <w:rStyle w:val="68"/>
                <w:rFonts w:hint="eastAsia" w:asciiTheme="minorEastAsia" w:hAnsiTheme="minorEastAsia" w:eastAsiaTheme="minorEastAsia" w:cstheme="minorEastAsia"/>
                <w:color w:val="auto"/>
                <w:sz w:val="21"/>
                <w:szCs w:val="21"/>
                <w:lang w:val="en-US" w:eastAsia="zh-CN" w:bidi="ar"/>
              </w:rPr>
              <w:t>14、产品需提供网络版防病毒产品（一级品）资质证书、《计算机软件著作权登记证书》；为保障产品的研发和技术的成熟型，设备生产厂商的软件研发实力需通过CMMI L5认证、是国家互联网应急响应中心网络安全应急服务甲级（国家级）支撑单位、国家信息安全漏洞共享平台(CNVD)技术组成员、国家信息安全漏洞库CNNVD技术支撑单位。</w:t>
            </w:r>
          </w:p>
          <w:p>
            <w:pPr>
              <w:widowControl/>
              <w:ind w:firstLine="0" w:firstLineChars="0"/>
              <w:jc w:val="left"/>
              <w:textAlignment w:val="center"/>
              <w:rPr>
                <w:rStyle w:val="68"/>
                <w:rFonts w:hint="eastAsia" w:asciiTheme="minorEastAsia" w:hAnsiTheme="minorEastAsia" w:eastAsiaTheme="minorEastAsia" w:cstheme="minorEastAsia"/>
                <w:color w:val="auto"/>
                <w:sz w:val="21"/>
                <w:szCs w:val="21"/>
                <w:lang w:val="en-US" w:eastAsia="zh-CN" w:bidi="ar"/>
              </w:rPr>
            </w:pPr>
            <w:r>
              <w:rPr>
                <w:rStyle w:val="68"/>
                <w:rFonts w:hint="eastAsia" w:asciiTheme="minorEastAsia" w:hAnsiTheme="minorEastAsia" w:eastAsiaTheme="minorEastAsia" w:cstheme="minorEastAsia"/>
                <w:color w:val="auto"/>
                <w:sz w:val="21"/>
                <w:szCs w:val="21"/>
                <w:lang w:val="en-US" w:eastAsia="zh-CN" w:bidi="ar"/>
              </w:rPr>
              <w:t>15、提供3年软件升级服务；</w:t>
            </w:r>
          </w:p>
          <w:p>
            <w:pPr>
              <w:widowControl/>
              <w:ind w:firstLine="0" w:firstLineChars="0"/>
              <w:jc w:val="left"/>
              <w:textAlignment w:val="center"/>
              <w:rPr>
                <w:rFonts w:hint="eastAsia"/>
                <w:lang w:val="en-US" w:eastAsia="zh-CN"/>
              </w:rPr>
            </w:pPr>
          </w:p>
        </w:tc>
        <w:tc>
          <w:tcPr>
            <w:tcW w:w="279"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ind w:left="0" w:leftChars="0" w:firstLine="0" w:firstLineChars="0"/>
              <w:jc w:val="both"/>
              <w:textAlignment w:val="center"/>
              <w:rPr>
                <w:rFonts w:hint="default"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306</w:t>
            </w:r>
          </w:p>
        </w:tc>
        <w:tc>
          <w:tcPr>
            <w:tcW w:w="308" w:type="pct"/>
            <w:tcBorders>
              <w:top w:val="single" w:color="auto"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套</w:t>
            </w:r>
          </w:p>
        </w:tc>
      </w:tr>
      <w:tr>
        <w:tblPrEx>
          <w:tblCellMar>
            <w:top w:w="0" w:type="dxa"/>
            <w:left w:w="108" w:type="dxa"/>
            <w:bottom w:w="0" w:type="dxa"/>
            <w:right w:w="108" w:type="dxa"/>
          </w:tblCellMar>
        </w:tblPrEx>
        <w:trPr>
          <w:trHeight w:val="9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center" w:pos="115"/>
              </w:tabs>
              <w:ind w:firstLine="0" w:firstLineChars="0"/>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7</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48口接入交换机</w:t>
            </w:r>
          </w:p>
        </w:tc>
        <w:tc>
          <w:tcPr>
            <w:tcW w:w="3619"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1.固化100/1000M以太网电口≥48，1000M/2.5G SFP千兆光接口≥4个</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2.交换容量≥333Gbps</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3.包转发率≥85Mpps</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4.整机最大功耗≤30W，</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5.设备静音无风扇节能设计，</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val="en-US" w:eastAsia="zh-CN" w:bidi="ar"/>
              </w:rPr>
              <w:t>6</w:t>
            </w:r>
            <w:r>
              <w:rPr>
                <w:rFonts w:hint="eastAsia" w:asciiTheme="minorEastAsia" w:hAnsiTheme="minorEastAsia" w:eastAsiaTheme="minorEastAsia" w:cstheme="minorEastAsia"/>
                <w:color w:val="000000"/>
                <w:kern w:val="0"/>
                <w:sz w:val="21"/>
                <w:szCs w:val="21"/>
                <w:lang w:bidi="ar"/>
              </w:rPr>
              <w:t>.整机最大噪声≤37.5dB。</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val="en-US" w:eastAsia="zh-CN" w:bidi="ar"/>
              </w:rPr>
              <w:t>7</w:t>
            </w:r>
            <w:r>
              <w:rPr>
                <w:rFonts w:hint="eastAsia" w:asciiTheme="minorEastAsia" w:hAnsiTheme="minorEastAsia" w:eastAsiaTheme="minorEastAsia" w:cstheme="minorEastAsia"/>
                <w:color w:val="000000"/>
                <w:kern w:val="0"/>
                <w:sz w:val="21"/>
                <w:szCs w:val="21"/>
                <w:lang w:bidi="ar"/>
              </w:rPr>
              <w:t>.设备端口浪涌抗扰度≥10KV（即具备10KV的防雷能力）。</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val="en-US" w:eastAsia="zh-CN" w:bidi="ar"/>
              </w:rPr>
              <w:t>8</w:t>
            </w:r>
            <w:r>
              <w:rPr>
                <w:rFonts w:hint="eastAsia" w:asciiTheme="minorEastAsia" w:hAnsiTheme="minorEastAsia" w:eastAsiaTheme="minorEastAsia" w:cstheme="minorEastAsia"/>
                <w:color w:val="000000"/>
                <w:kern w:val="0"/>
                <w:sz w:val="21"/>
                <w:szCs w:val="21"/>
                <w:lang w:bidi="ar"/>
              </w:rPr>
              <w:t>.设备能够针对发往CPU处理的各种报文进行流区分和优先级队列分级处理</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val="en-US" w:eastAsia="zh-CN" w:bidi="ar"/>
              </w:rPr>
              <w:t>9</w:t>
            </w:r>
            <w:r>
              <w:rPr>
                <w:rFonts w:hint="eastAsia" w:asciiTheme="minorEastAsia" w:hAnsiTheme="minorEastAsia" w:eastAsiaTheme="minorEastAsia" w:cstheme="minorEastAsia"/>
                <w:color w:val="000000"/>
                <w:kern w:val="0"/>
                <w:sz w:val="21"/>
                <w:szCs w:val="21"/>
                <w:lang w:bidi="ar"/>
              </w:rPr>
              <w:t>.设备支持基础网络保护策略，能够限制用户向网络中发送ARP报文、ICMP请求报文、DHCP请求报文等数据包的数率，对超过限速阈值的报文进行丢弃处理，甚至能够识别攻击行为，对有攻击行为的用户进行隔离。</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1</w:t>
            </w:r>
            <w:r>
              <w:rPr>
                <w:rFonts w:hint="eastAsia" w:asciiTheme="minorEastAsia" w:hAnsiTheme="minorEastAsia" w:eastAsiaTheme="minorEastAsia" w:cstheme="minorEastAsia"/>
                <w:color w:val="000000"/>
                <w:kern w:val="0"/>
                <w:sz w:val="21"/>
                <w:szCs w:val="21"/>
                <w:lang w:val="en-US" w:eastAsia="zh-CN" w:bidi="ar"/>
              </w:rPr>
              <w:t>0</w:t>
            </w:r>
            <w:r>
              <w:rPr>
                <w:rFonts w:hint="eastAsia" w:asciiTheme="minorEastAsia" w:hAnsiTheme="minorEastAsia" w:eastAsiaTheme="minorEastAsia" w:cstheme="minorEastAsia"/>
                <w:color w:val="000000"/>
                <w:kern w:val="0"/>
                <w:sz w:val="21"/>
                <w:szCs w:val="21"/>
                <w:lang w:bidi="ar"/>
              </w:rPr>
              <w:t>.支持IPV4/IPV6静态路由协议</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1</w:t>
            </w:r>
            <w:r>
              <w:rPr>
                <w:rFonts w:hint="eastAsia" w:asciiTheme="minorEastAsia" w:hAnsiTheme="minorEastAsia" w:eastAsiaTheme="minorEastAsia" w:cstheme="minorEastAsia"/>
                <w:color w:val="000000"/>
                <w:kern w:val="0"/>
                <w:sz w:val="21"/>
                <w:szCs w:val="21"/>
                <w:lang w:val="en-US" w:eastAsia="zh-CN" w:bidi="ar"/>
              </w:rPr>
              <w:t>1</w:t>
            </w:r>
            <w:r>
              <w:rPr>
                <w:rFonts w:hint="eastAsia" w:asciiTheme="minorEastAsia" w:hAnsiTheme="minorEastAsia" w:eastAsiaTheme="minorEastAsia" w:cstheme="minorEastAsia"/>
                <w:color w:val="000000"/>
                <w:kern w:val="0"/>
                <w:sz w:val="21"/>
                <w:szCs w:val="21"/>
                <w:lang w:bidi="ar"/>
              </w:rPr>
              <w:t>.支持生成树协议STP(IEEE 802.1d)，RSTP(IEEE 802.1w)和MSTP(IEEE 802.1s)。</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1</w:t>
            </w:r>
            <w:r>
              <w:rPr>
                <w:rFonts w:hint="eastAsia" w:asciiTheme="minorEastAsia" w:hAnsiTheme="minorEastAsia" w:eastAsiaTheme="minorEastAsia" w:cstheme="minorEastAsia"/>
                <w:color w:val="000000"/>
                <w:kern w:val="0"/>
                <w:sz w:val="21"/>
                <w:szCs w:val="21"/>
                <w:lang w:val="en-US" w:eastAsia="zh-CN" w:bidi="ar"/>
              </w:rPr>
              <w:t>2</w:t>
            </w:r>
            <w:r>
              <w:rPr>
                <w:rFonts w:hint="eastAsia" w:asciiTheme="minorEastAsia" w:hAnsiTheme="minorEastAsia" w:eastAsiaTheme="minorEastAsia" w:cstheme="minorEastAsia"/>
                <w:color w:val="000000"/>
                <w:kern w:val="0"/>
                <w:sz w:val="21"/>
                <w:szCs w:val="21"/>
                <w:lang w:bidi="ar"/>
              </w:rPr>
              <w:t>.设备可以配合云管平台支持基于网关的网络拓扑自动发现、且是以图形化形式呈现，支持基于云的工具箱功能（配置下发、软件版本升级、配置备份、配置恢复、命令调试、访问eWeb、访问Telnet、访问SSH、重启）；</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1</w:t>
            </w:r>
            <w:r>
              <w:rPr>
                <w:rFonts w:hint="eastAsia" w:asciiTheme="minorEastAsia" w:hAnsiTheme="minorEastAsia" w:eastAsiaTheme="minorEastAsia" w:cstheme="minorEastAsia"/>
                <w:color w:val="000000"/>
                <w:kern w:val="0"/>
                <w:sz w:val="21"/>
                <w:szCs w:val="21"/>
                <w:lang w:val="en-US" w:eastAsia="zh-CN" w:bidi="ar"/>
              </w:rPr>
              <w:t>3</w:t>
            </w:r>
            <w:r>
              <w:rPr>
                <w:rFonts w:hint="eastAsia" w:asciiTheme="minorEastAsia" w:hAnsiTheme="minorEastAsia" w:eastAsiaTheme="minorEastAsia" w:cstheme="minorEastAsia"/>
                <w:color w:val="000000"/>
                <w:kern w:val="0"/>
                <w:sz w:val="21"/>
                <w:szCs w:val="21"/>
                <w:lang w:bidi="ar"/>
              </w:rPr>
              <w:t>.配合云管平台，告警可以通过微信公众号，邮件；微信，企业钉钉发送提醒。</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1</w:t>
            </w:r>
            <w:r>
              <w:rPr>
                <w:rFonts w:hint="eastAsia" w:asciiTheme="minorEastAsia" w:hAnsiTheme="minorEastAsia" w:eastAsiaTheme="minorEastAsia" w:cstheme="minorEastAsia"/>
                <w:color w:val="000000"/>
                <w:kern w:val="0"/>
                <w:sz w:val="21"/>
                <w:szCs w:val="21"/>
                <w:lang w:val="en-US" w:eastAsia="zh-CN" w:bidi="ar"/>
              </w:rPr>
              <w:t>4</w:t>
            </w:r>
            <w:r>
              <w:rPr>
                <w:rFonts w:hint="eastAsia" w:asciiTheme="minorEastAsia" w:hAnsiTheme="minorEastAsia" w:eastAsiaTheme="minorEastAsia" w:cstheme="minorEastAsia"/>
                <w:color w:val="000000"/>
                <w:kern w:val="0"/>
                <w:sz w:val="21"/>
                <w:szCs w:val="21"/>
                <w:lang w:bidi="ar"/>
              </w:rPr>
              <w:t>.支持快速以太网链路检测协议，可快速检测链路的通断和光纤链路的单向性、可支持端口下的环路检测功能，防止端口下因私接交换机等设备形成的环路而导致网络故障的现象。</w:t>
            </w:r>
          </w:p>
        </w:tc>
        <w:tc>
          <w:tcPr>
            <w:tcW w:w="279"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ind w:firstLine="210" w:firstLineChars="10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bidi="ar"/>
              </w:rPr>
              <w:t>6</w:t>
            </w:r>
          </w:p>
        </w:tc>
        <w:tc>
          <w:tcPr>
            <w:tcW w:w="308" w:type="pct"/>
            <w:tcBorders>
              <w:top w:val="single" w:color="auto"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台</w:t>
            </w:r>
          </w:p>
        </w:tc>
      </w:tr>
      <w:tr>
        <w:tblPrEx>
          <w:tblCellMar>
            <w:top w:w="0" w:type="dxa"/>
            <w:left w:w="108" w:type="dxa"/>
            <w:bottom w:w="0" w:type="dxa"/>
            <w:right w:w="108" w:type="dxa"/>
          </w:tblCellMar>
        </w:tblPrEx>
        <w:trPr>
          <w:trHeight w:val="9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210" w:firstLineChars="10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8</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10口接入交换机</w:t>
            </w: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0" w:leftChars="0" w:firstLine="0" w:firstLineChars="0"/>
              <w:jc w:val="left"/>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1.固化100/1000M以太网电口≥10，1000M/2.5G SFP千兆光接口≥2个</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2.交换容量≥333Gbps</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3.包转发率≥30Mpps</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4.端口如果在连续一段时间之内空闲，该端口被设置为节能模式，当有报文收发时会通过定时发送的监听码流唤醒端口恢复业务。</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5. 6.整机最大功耗≤16.5W</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7.端口浪涌抗扰度≥10KV</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8.支持针对发往CPU处理的各种报文进行流区分和优先级队列分级处理，保护交换机在各种环境下稳定工作</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9.支持基础网络保护策略，能够限制用户向网络中发送ARP报文、ICMP请求报文、DHCP请求报文等数据包的数率，对超过限速阈值的报文进行丢弃处理，甚至能够识别攻击行为，对有攻击行为的用户进行隔离。</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10.配合云管平台支持基于网关的网络拓扑自动发现，能够用图形化形式呈现；支持基于云的工具箱功能（配置文件的下发备份恢复、配置、命令调试、访问eWeb、访问Telnet、访问SSH、重启、软件升级）；</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11.配合云管平台，告警可以通过微信公众号，邮件；微信，企业钉钉发送提醒</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12.支持IPV4/IPV6静态路由协议</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13.支持生成树协议STP(IEEE 802.1d)，RSTP(IEEE 802.1w)和MSTP(IEEE 802.1s)。</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14.支持快速以太网链路检测协议，可快速检测链路的通断和光纤链路的单向性，并支持端口下的环路检测功能，防止端口下因私接小交换机等设备形成的环路而导致网络故障的现象</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bidi="ar"/>
              </w:rPr>
              <w:t>6</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台</w:t>
            </w:r>
          </w:p>
        </w:tc>
      </w:tr>
      <w:tr>
        <w:tblPrEx>
          <w:tblCellMar>
            <w:top w:w="0" w:type="dxa"/>
            <w:left w:w="108" w:type="dxa"/>
            <w:bottom w:w="0" w:type="dxa"/>
            <w:right w:w="108" w:type="dxa"/>
          </w:tblCellMar>
        </w:tblPrEx>
        <w:trPr>
          <w:trHeight w:val="1407"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9</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教师桌椅</w:t>
            </w: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jc w:val="left"/>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钢木结构，尺寸不小于1200×600×750，桌面厚度为不小于16mmE1级三聚氰胺饰面板；下部钢制异性管，表面经磷化处理后静电喷涂，桌面具有穿线孔。椅子环保海绵，优质布麻面。</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0" w:leftChars="0" w:firstLine="210" w:firstLineChars="100"/>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bidi="ar"/>
              </w:rPr>
              <w:t>6</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r>
      <w:tr>
        <w:tblPrEx>
          <w:tblCellMar>
            <w:top w:w="0" w:type="dxa"/>
            <w:left w:w="108" w:type="dxa"/>
            <w:bottom w:w="0" w:type="dxa"/>
            <w:right w:w="108" w:type="dxa"/>
          </w:tblCellMar>
        </w:tblPrEx>
        <w:trPr>
          <w:trHeight w:val="178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210" w:firstLineChars="100"/>
              <w:jc w:val="left"/>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学生桌椅</w:t>
            </w: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jc w:val="left"/>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学生桌：钢木结构，尺寸不小于1200×600×750，桌面厚度为不小于16mmE1级三聚氰胺饰面板；下部钢制异性管 表面经磷化处理后静电喷涂，桌面具有穿线孔。</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凳子：尺寸约340×235×420。凳面厚度为不小于16mmE1级三聚氰胺饰面板，凳面颜色与桌子同色，螺钉与凳面平整，螺钉后背平，静电喷涂。</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150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r>
      <w:tr>
        <w:tblPrEx>
          <w:tblCellMar>
            <w:top w:w="0" w:type="dxa"/>
            <w:left w:w="108" w:type="dxa"/>
            <w:bottom w:w="0" w:type="dxa"/>
            <w:right w:w="108" w:type="dxa"/>
          </w:tblCellMar>
        </w:tblPrEx>
        <w:trPr>
          <w:trHeight w:val="9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综合布线</w:t>
            </w: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jc w:val="left"/>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网线：品牌六类非屏蔽双绞线十字骨架电缆对数4对导体材料无氧圆铜(纯度99.99%)线规23AWG电缆外径6.3±0.3mm绝缘材料HDPE外护套材料 PVC、LSZH、PE</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多功能插座：品牌/10A 250V多功能双排电源插座，3孔4插线 板。</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22U网络机柜其他辅材及施工：辅材(电源线≥6平方铜蕊线、网线线槽、PVC管</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电源明盒及面板、六类品牌水晶头等),要求走道明线采用金属线槽覆盖，金属线槽(厚度≥1.2mm),电源线、网线悬空，从桌内走线，使布线整洁美观便于清理。</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施工安装包含所有的施工辅材及配套计算机及软件安装调试培训及垃圾清运。</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bidi="ar"/>
              </w:rPr>
              <w:t>6</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间</w:t>
            </w:r>
          </w:p>
        </w:tc>
      </w:tr>
      <w:tr>
        <w:tblPrEx>
          <w:tblCellMar>
            <w:top w:w="0" w:type="dxa"/>
            <w:left w:w="108" w:type="dxa"/>
            <w:bottom w:w="0" w:type="dxa"/>
            <w:right w:w="108" w:type="dxa"/>
          </w:tblCellMar>
        </w:tblPrEx>
        <w:trPr>
          <w:trHeight w:val="2736"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2</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防静电地板</w:t>
            </w:r>
          </w:p>
        </w:tc>
        <w:tc>
          <w:tcPr>
            <w:tcW w:w="36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产品参数：≥600x600x400mm</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导电性能：表面电阻105-109欧姆</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体积电阻107-1010欧姆</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 xml:space="preserve">承载性能：极限集中载荷&gt;1000公斤   </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均布载荷&gt;1500公斤</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防火性能：≥A级</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耐烟火性：不小于1600℃</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耐磨性：0.1g/1000转</w:t>
            </w:r>
            <w:r>
              <w:rPr>
                <w:rFonts w:hint="eastAsia" w:asciiTheme="minorEastAsia" w:hAnsiTheme="minorEastAsia" w:eastAsiaTheme="minorEastAsia" w:cstheme="minorEastAsia"/>
                <w:color w:val="000000"/>
                <w:kern w:val="0"/>
                <w:sz w:val="21"/>
                <w:szCs w:val="21"/>
                <w:lang w:bidi="ar"/>
              </w:rPr>
              <w:br w:type="textWrapping"/>
            </w:r>
            <w:r>
              <w:rPr>
                <w:rFonts w:hint="eastAsia" w:asciiTheme="minorEastAsia" w:hAnsiTheme="minorEastAsia" w:eastAsiaTheme="minorEastAsia" w:cstheme="minorEastAsia"/>
                <w:color w:val="000000"/>
                <w:kern w:val="0"/>
                <w:sz w:val="21"/>
                <w:szCs w:val="21"/>
                <w:lang w:bidi="ar"/>
              </w:rPr>
              <w:t>吸水性：&lt;0.5%</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kern w:val="0"/>
                <w:sz w:val="21"/>
                <w:szCs w:val="21"/>
                <w:lang w:val="en-US" w:eastAsia="zh-CN" w:bidi="ar"/>
              </w:rPr>
              <w:t>6</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间</w:t>
            </w:r>
          </w:p>
        </w:tc>
      </w:tr>
    </w:tbl>
    <w:p>
      <w:pPr>
        <w:rPr>
          <w:rFonts w:hint="eastAsia" w:asciiTheme="majorEastAsia" w:hAnsiTheme="majorEastAsia" w:eastAsiaTheme="majorEastAsia" w:cstheme="majorEastAsia"/>
          <w:sz w:val="18"/>
          <w:szCs w:val="18"/>
          <w:lang w:val="en-US" w:eastAsia="zh-CN"/>
        </w:rPr>
      </w:pPr>
    </w:p>
    <w:sectPr>
      <w:pgSz w:w="16840" w:h="11907" w:orient="landscape"/>
      <w:pgMar w:top="1689" w:right="1440" w:bottom="1633" w:left="1440" w:header="851" w:footer="992" w:gutter="0"/>
      <w:cols w:space="0" w:num="1"/>
      <w:titlePg/>
      <w:rtlGutter w:val="0"/>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0000000000000000000"/>
    <w:charset w:val="00"/>
    <w:family w:val="auto"/>
    <w:pitch w:val="default"/>
    <w:sig w:usb0="00000000" w:usb1="00000000" w:usb2="00000010" w:usb3="00000000" w:csb0="00000000" w:csb1="00000000"/>
  </w:font>
  <w:font w:name="pingfang sc">
    <w:altName w:val="宋体"/>
    <w:panose1 w:val="00000000000000000000"/>
    <w:charset w:val="86"/>
    <w:family w:val="auto"/>
    <w:pitch w:val="default"/>
    <w:sig w:usb0="00000000" w:usb1="00000000" w:usb2="00000017" w:usb3="00000000" w:csb0="00040001" w:csb1="00000000"/>
  </w:font>
  <w:font w:name="方正行楷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4" o:spid="_x0000_s3074"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pStyle w:val="14"/>
                </w:pPr>
                <w:r>
                  <w:rPr>
                    <w:rFonts w:hint="eastAsia"/>
                  </w:rPr>
                  <w:t>第</w:t>
                </w:r>
                <w:r>
                  <w:fldChar w:fldCharType="begin"/>
                </w:r>
                <w:r>
                  <w:instrText xml:space="preserve"> PAGE  \* MERGEFORMAT </w:instrText>
                </w:r>
                <w:r>
                  <w:fldChar w:fldCharType="separate"/>
                </w:r>
                <w:r>
                  <w:t>74</w:t>
                </w:r>
                <w:r>
                  <w:fldChar w:fldCharType="end"/>
                </w:r>
                <w:r>
                  <w:rPr>
                    <w:rFonts w:hint="eastAsia"/>
                  </w:rPr>
                  <w:t>页共</w:t>
                </w:r>
                <w:r>
                  <w:fldChar w:fldCharType="begin"/>
                </w:r>
                <w:r>
                  <w:instrText xml:space="preserve"> NUMPAGES  \* MERGEFORMAT </w:instrText>
                </w:r>
                <w:r>
                  <w:fldChar w:fldCharType="separate"/>
                </w:r>
                <w:r>
                  <w:t>84</w:t>
                </w:r>
                <w:r>
                  <w:fldChar w:fldCharType="end"/>
                </w:r>
                <w:r>
                  <w:rPr>
                    <w:rFonts w:hint="eastAsia"/>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hint="eastAsia" w:ascii="仿宋_GB2312" w:eastAsia="仿宋_GB2312"/>
        <w:b/>
        <w:i/>
        <w:sz w:val="24"/>
        <w:szCs w:val="24"/>
        <w:u w:val="single"/>
        <w:lang w:eastAsia="zh-CN"/>
      </w:rPr>
    </w:pPr>
    <w:r>
      <w:rPr>
        <w:rFonts w:hint="eastAsia" w:ascii="仿宋_GB2312" w:eastAsia="仿宋_GB2312"/>
        <w:b/>
        <w:i/>
        <w:sz w:val="24"/>
        <w:szCs w:val="24"/>
        <w:u w:val="single"/>
      </w:rPr>
      <w:t xml:space="preserve">大通县政府采购竞争性磋商文件       </w:t>
    </w:r>
    <w:r>
      <w:rPr>
        <w:rFonts w:hint="eastAsia" w:ascii="仿宋_GB2312" w:eastAsia="仿宋_GB2312"/>
        <w:b/>
        <w:i/>
        <w:sz w:val="24"/>
        <w:szCs w:val="24"/>
        <w:u w:val="single"/>
        <w:lang w:eastAsia="zh-CN"/>
      </w:rPr>
      <w:t>大政采竞磋（货物）2025-14号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28E50"/>
    <w:multiLevelType w:val="singleLevel"/>
    <w:tmpl w:val="82D28E50"/>
    <w:lvl w:ilvl="0" w:tentative="0">
      <w:start w:val="1"/>
      <w:numFmt w:val="decimal"/>
      <w:suff w:val="nothing"/>
      <w:lvlText w:val="%1、"/>
      <w:lvlJc w:val="left"/>
    </w:lvl>
  </w:abstractNum>
  <w:abstractNum w:abstractNumId="1">
    <w:nsid w:val="8B6B8C38"/>
    <w:multiLevelType w:val="singleLevel"/>
    <w:tmpl w:val="8B6B8C38"/>
    <w:lvl w:ilvl="0" w:tentative="0">
      <w:start w:val="1"/>
      <w:numFmt w:val="decimal"/>
      <w:suff w:val="nothing"/>
      <w:lvlText w:val="%1．"/>
      <w:lvlJc w:val="left"/>
      <w:pPr>
        <w:ind w:left="0" w:firstLine="400"/>
      </w:pPr>
      <w:rPr>
        <w:rFonts w:hint="default"/>
      </w:rPr>
    </w:lvl>
  </w:abstractNum>
  <w:abstractNum w:abstractNumId="2">
    <w:nsid w:val="977F7F4D"/>
    <w:multiLevelType w:val="singleLevel"/>
    <w:tmpl w:val="977F7F4D"/>
    <w:lvl w:ilvl="0" w:tentative="0">
      <w:start w:val="1"/>
      <w:numFmt w:val="decimal"/>
      <w:suff w:val="nothing"/>
      <w:lvlText w:val="%1．"/>
      <w:lvlJc w:val="left"/>
      <w:pPr>
        <w:ind w:left="0" w:firstLine="400"/>
      </w:pPr>
      <w:rPr>
        <w:rFonts w:hint="default"/>
      </w:rPr>
    </w:lvl>
  </w:abstractNum>
  <w:abstractNum w:abstractNumId="3">
    <w:nsid w:val="EC34A242"/>
    <w:multiLevelType w:val="singleLevel"/>
    <w:tmpl w:val="EC34A242"/>
    <w:lvl w:ilvl="0" w:tentative="0">
      <w:start w:val="1"/>
      <w:numFmt w:val="decimal"/>
      <w:suff w:val="nothing"/>
      <w:lvlText w:val="%1．"/>
      <w:lvlJc w:val="left"/>
      <w:pPr>
        <w:ind w:left="0" w:firstLine="400"/>
      </w:pPr>
      <w:rPr>
        <w:rFonts w:hint="default"/>
      </w:rPr>
    </w:lvl>
  </w:abstractNum>
  <w:abstractNum w:abstractNumId="4">
    <w:nsid w:val="00000002"/>
    <w:multiLevelType w:val="singleLevel"/>
    <w:tmpl w:val="00000002"/>
    <w:lvl w:ilvl="0" w:tentative="0">
      <w:start w:val="1"/>
      <w:numFmt w:val="decimal"/>
      <w:suff w:val="nothing"/>
      <w:lvlText w:val="（%1）"/>
      <w:lvlJc w:val="left"/>
      <w:pPr>
        <w:ind w:left="0"/>
      </w:pPr>
      <w:rPr>
        <w:rFonts w:hint="default"/>
        <w:sz w:val="21"/>
        <w:szCs w:val="21"/>
      </w:rPr>
    </w:lvl>
  </w:abstractNum>
  <w:abstractNum w:abstractNumId="5">
    <w:nsid w:val="00000003"/>
    <w:multiLevelType w:val="singleLevel"/>
    <w:tmpl w:val="00000003"/>
    <w:lvl w:ilvl="0" w:tentative="0">
      <w:start w:val="1"/>
      <w:numFmt w:val="decimal"/>
      <w:suff w:val="nothing"/>
      <w:lvlText w:val="%1．"/>
      <w:lvlJc w:val="left"/>
      <w:pPr>
        <w:ind w:left="0" w:firstLine="400"/>
      </w:pPr>
      <w:rPr>
        <w:rFonts w:hint="default"/>
      </w:rPr>
    </w:lvl>
  </w:abstractNum>
  <w:abstractNum w:abstractNumId="6">
    <w:nsid w:val="00000006"/>
    <w:multiLevelType w:val="singleLevel"/>
    <w:tmpl w:val="00000006"/>
    <w:lvl w:ilvl="0" w:tentative="0">
      <w:start w:val="1"/>
      <w:numFmt w:val="chineseCounting"/>
      <w:suff w:val="nothing"/>
      <w:lvlText w:val="%1、"/>
      <w:lvlJc w:val="left"/>
      <w:rPr>
        <w:rFonts w:hint="eastAsia"/>
      </w:rPr>
    </w:lvl>
  </w:abstractNum>
  <w:abstractNum w:abstractNumId="7">
    <w:nsid w:val="00000007"/>
    <w:multiLevelType w:val="singleLevel"/>
    <w:tmpl w:val="00000007"/>
    <w:lvl w:ilvl="0" w:tentative="0">
      <w:start w:val="1"/>
      <w:numFmt w:val="decimal"/>
      <w:suff w:val="nothing"/>
      <w:lvlText w:val="%1．"/>
      <w:lvlJc w:val="left"/>
      <w:pPr>
        <w:ind w:left="0" w:firstLine="400"/>
      </w:pPr>
      <w:rPr>
        <w:rFonts w:hint="default"/>
      </w:rPr>
    </w:lvl>
  </w:abstractNum>
  <w:abstractNum w:abstractNumId="8">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9">
    <w:nsid w:val="00000009"/>
    <w:multiLevelType w:val="singleLevel"/>
    <w:tmpl w:val="00000009"/>
    <w:lvl w:ilvl="0" w:tentative="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tentative="0">
      <w:start w:val="1"/>
      <w:numFmt w:val="chineseCounting"/>
      <w:suff w:val="nothing"/>
      <w:lvlText w:val="%1、"/>
      <w:lvlJc w:val="left"/>
      <w:rPr>
        <w:rFonts w:hint="eastAsia"/>
      </w:rPr>
    </w:lvl>
  </w:abstractNum>
  <w:abstractNum w:abstractNumId="11">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12">
    <w:nsid w:val="0000000D"/>
    <w:multiLevelType w:val="singleLevel"/>
    <w:tmpl w:val="0000000D"/>
    <w:lvl w:ilvl="0" w:tentative="0">
      <w:start w:val="1"/>
      <w:numFmt w:val="decimal"/>
      <w:suff w:val="nothing"/>
      <w:lvlText w:val="%1．"/>
      <w:lvlJc w:val="left"/>
      <w:pPr>
        <w:ind w:left="0" w:firstLine="400"/>
      </w:pPr>
      <w:rPr>
        <w:rFonts w:hint="default"/>
      </w:rPr>
    </w:lvl>
  </w:abstractNum>
  <w:abstractNum w:abstractNumId="13">
    <w:nsid w:val="0000000E"/>
    <w:multiLevelType w:val="singleLevel"/>
    <w:tmpl w:val="0000000E"/>
    <w:lvl w:ilvl="0" w:tentative="0">
      <w:start w:val="1"/>
      <w:numFmt w:val="decimal"/>
      <w:suff w:val="nothing"/>
      <w:lvlText w:val="%1．"/>
      <w:lvlJc w:val="left"/>
      <w:pPr>
        <w:ind w:left="0" w:firstLine="400"/>
      </w:pPr>
      <w:rPr>
        <w:rFonts w:hint="default"/>
      </w:rPr>
    </w:lvl>
  </w:abstractNum>
  <w:abstractNum w:abstractNumId="14">
    <w:nsid w:val="0000000F"/>
    <w:multiLevelType w:val="singleLevel"/>
    <w:tmpl w:val="0000000F"/>
    <w:lvl w:ilvl="0" w:tentative="0">
      <w:start w:val="1"/>
      <w:numFmt w:val="decimal"/>
      <w:suff w:val="nothing"/>
      <w:lvlText w:val="%1．"/>
      <w:lvlJc w:val="left"/>
      <w:pPr>
        <w:ind w:left="0" w:firstLine="400"/>
      </w:pPr>
      <w:rPr>
        <w:rFonts w:hint="default"/>
      </w:rPr>
    </w:lvl>
  </w:abstractNum>
  <w:abstractNum w:abstractNumId="15">
    <w:nsid w:val="00000010"/>
    <w:multiLevelType w:val="singleLevel"/>
    <w:tmpl w:val="00000010"/>
    <w:lvl w:ilvl="0" w:tentative="0">
      <w:start w:val="1"/>
      <w:numFmt w:val="decimal"/>
      <w:suff w:val="nothing"/>
      <w:lvlText w:val="%1．"/>
      <w:lvlJc w:val="left"/>
      <w:pPr>
        <w:ind w:left="20" w:firstLine="400"/>
      </w:pPr>
      <w:rPr>
        <w:rFonts w:hint="default"/>
      </w:rPr>
    </w:lvl>
  </w:abstractNum>
  <w:abstractNum w:abstractNumId="16">
    <w:nsid w:val="00000011"/>
    <w:multiLevelType w:val="singleLevel"/>
    <w:tmpl w:val="00000011"/>
    <w:lvl w:ilvl="0" w:tentative="0">
      <w:start w:val="1"/>
      <w:numFmt w:val="decimal"/>
      <w:suff w:val="nothing"/>
      <w:lvlText w:val="%1．"/>
      <w:lvlJc w:val="left"/>
      <w:pPr>
        <w:ind w:left="0" w:firstLine="400"/>
      </w:pPr>
      <w:rPr>
        <w:rFonts w:hint="default"/>
      </w:rPr>
    </w:lvl>
  </w:abstractNum>
  <w:abstractNum w:abstractNumId="17">
    <w:nsid w:val="00000012"/>
    <w:multiLevelType w:val="singleLevel"/>
    <w:tmpl w:val="00000012"/>
    <w:lvl w:ilvl="0" w:tentative="0">
      <w:start w:val="1"/>
      <w:numFmt w:val="decimal"/>
      <w:suff w:val="nothing"/>
      <w:lvlText w:val="%1．"/>
      <w:lvlJc w:val="left"/>
      <w:pPr>
        <w:ind w:left="0" w:firstLine="400"/>
      </w:pPr>
      <w:rPr>
        <w:rFonts w:hint="default"/>
      </w:rPr>
    </w:lvl>
  </w:abstractNum>
  <w:abstractNum w:abstractNumId="18">
    <w:nsid w:val="00000014"/>
    <w:multiLevelType w:val="singleLevel"/>
    <w:tmpl w:val="00000014"/>
    <w:lvl w:ilvl="0" w:tentative="0">
      <w:start w:val="1"/>
      <w:numFmt w:val="chineseCounting"/>
      <w:suff w:val="nothing"/>
      <w:lvlText w:val="%1、"/>
      <w:lvlJc w:val="left"/>
      <w:rPr>
        <w:rFonts w:hint="eastAsia"/>
      </w:rPr>
    </w:lvl>
  </w:abstractNum>
  <w:abstractNum w:abstractNumId="19">
    <w:nsid w:val="00000015"/>
    <w:multiLevelType w:val="singleLevel"/>
    <w:tmpl w:val="00000015"/>
    <w:lvl w:ilvl="0" w:tentative="0">
      <w:start w:val="1"/>
      <w:numFmt w:val="decimal"/>
      <w:suff w:val="nothing"/>
      <w:lvlText w:val="%1．"/>
      <w:lvlJc w:val="left"/>
      <w:pPr>
        <w:ind w:left="0" w:firstLine="400"/>
      </w:pPr>
      <w:rPr>
        <w:rFonts w:hint="default"/>
      </w:rPr>
    </w:lvl>
  </w:abstractNum>
  <w:abstractNum w:abstractNumId="20">
    <w:nsid w:val="00000016"/>
    <w:multiLevelType w:val="singleLevel"/>
    <w:tmpl w:val="00000016"/>
    <w:lvl w:ilvl="0" w:tentative="0">
      <w:start w:val="1"/>
      <w:numFmt w:val="decimal"/>
      <w:suff w:val="nothing"/>
      <w:lvlText w:val="%1．"/>
      <w:lvlJc w:val="left"/>
      <w:pPr>
        <w:ind w:left="0" w:firstLine="400"/>
      </w:pPr>
      <w:rPr>
        <w:rFonts w:hint="default"/>
      </w:rPr>
    </w:lvl>
  </w:abstractNum>
  <w:abstractNum w:abstractNumId="21">
    <w:nsid w:val="00000017"/>
    <w:multiLevelType w:val="singleLevel"/>
    <w:tmpl w:val="00000017"/>
    <w:lvl w:ilvl="0" w:tentative="0">
      <w:start w:val="1"/>
      <w:numFmt w:val="decimal"/>
      <w:suff w:val="nothing"/>
      <w:lvlText w:val="（%1）"/>
      <w:lvlJc w:val="left"/>
      <w:pPr>
        <w:ind w:left="0"/>
      </w:pPr>
      <w:rPr>
        <w:rFonts w:hint="default"/>
        <w:sz w:val="21"/>
        <w:szCs w:val="21"/>
      </w:rPr>
    </w:lvl>
  </w:abstractNum>
  <w:abstractNum w:abstractNumId="22">
    <w:nsid w:val="00000018"/>
    <w:multiLevelType w:val="singleLevel"/>
    <w:tmpl w:val="00000018"/>
    <w:lvl w:ilvl="0" w:tentative="0">
      <w:start w:val="1"/>
      <w:numFmt w:val="decimal"/>
      <w:suff w:val="nothing"/>
      <w:lvlText w:val="%1．"/>
      <w:lvlJc w:val="left"/>
      <w:pPr>
        <w:ind w:left="0" w:firstLine="400"/>
      </w:pPr>
      <w:rPr>
        <w:rFonts w:hint="default"/>
      </w:rPr>
    </w:lvl>
  </w:abstractNum>
  <w:abstractNum w:abstractNumId="23">
    <w:nsid w:val="0000001A"/>
    <w:multiLevelType w:val="singleLevel"/>
    <w:tmpl w:val="0000001A"/>
    <w:lvl w:ilvl="0" w:tentative="0">
      <w:start w:val="1"/>
      <w:numFmt w:val="decimal"/>
      <w:suff w:val="nothing"/>
      <w:lvlText w:val="%1．"/>
      <w:lvlJc w:val="left"/>
      <w:pPr>
        <w:ind w:left="0" w:firstLine="400"/>
      </w:pPr>
      <w:rPr>
        <w:rFonts w:hint="default"/>
      </w:rPr>
    </w:lvl>
  </w:abstractNum>
  <w:abstractNum w:abstractNumId="24">
    <w:nsid w:val="0AED8DA9"/>
    <w:multiLevelType w:val="singleLevel"/>
    <w:tmpl w:val="0AED8DA9"/>
    <w:lvl w:ilvl="0" w:tentative="0">
      <w:start w:val="1"/>
      <w:numFmt w:val="decimal"/>
      <w:suff w:val="nothing"/>
      <w:lvlText w:val="%1．"/>
      <w:lvlJc w:val="left"/>
      <w:pPr>
        <w:ind w:left="0" w:firstLine="400"/>
      </w:pPr>
      <w:rPr>
        <w:rFonts w:hint="default"/>
      </w:rPr>
    </w:lvl>
  </w:abstractNum>
  <w:abstractNum w:abstractNumId="25">
    <w:nsid w:val="1A6A9970"/>
    <w:multiLevelType w:val="singleLevel"/>
    <w:tmpl w:val="1A6A9970"/>
    <w:lvl w:ilvl="0" w:tentative="0">
      <w:start w:val="1"/>
      <w:numFmt w:val="decimal"/>
      <w:suff w:val="nothing"/>
      <w:lvlText w:val="%1．"/>
      <w:lvlJc w:val="left"/>
      <w:pPr>
        <w:ind w:left="0" w:firstLine="400"/>
      </w:pPr>
      <w:rPr>
        <w:rFonts w:hint="default"/>
      </w:rPr>
    </w:lvl>
  </w:abstractNum>
  <w:abstractNum w:abstractNumId="26">
    <w:nsid w:val="551E3062"/>
    <w:multiLevelType w:val="singleLevel"/>
    <w:tmpl w:val="551E3062"/>
    <w:lvl w:ilvl="0" w:tentative="0">
      <w:start w:val="1"/>
      <w:numFmt w:val="chineseCounting"/>
      <w:suff w:val="nothing"/>
      <w:lvlText w:val="%1、"/>
      <w:lvlJc w:val="left"/>
      <w:rPr>
        <w:rFonts w:hint="eastAsia"/>
      </w:rPr>
    </w:lvl>
  </w:abstractNum>
  <w:abstractNum w:abstractNumId="27">
    <w:nsid w:val="59FC3E95"/>
    <w:multiLevelType w:val="singleLevel"/>
    <w:tmpl w:val="59FC3E95"/>
    <w:lvl w:ilvl="0" w:tentative="0">
      <w:start w:val="1"/>
      <w:numFmt w:val="decimal"/>
      <w:lvlText w:val="(%1)"/>
      <w:lvlJc w:val="left"/>
      <w:pPr>
        <w:tabs>
          <w:tab w:val="left" w:pos="312"/>
        </w:tabs>
      </w:pPr>
      <w:rPr>
        <w:rFonts w:cs="Times New Roman"/>
      </w:rPr>
    </w:lvl>
  </w:abstractNum>
  <w:abstractNum w:abstractNumId="28">
    <w:nsid w:val="5B24E426"/>
    <w:multiLevelType w:val="singleLevel"/>
    <w:tmpl w:val="5B24E426"/>
    <w:lvl w:ilvl="0" w:tentative="0">
      <w:start w:val="1"/>
      <w:numFmt w:val="decimal"/>
      <w:suff w:val="nothing"/>
      <w:lvlText w:val="（%1）"/>
      <w:lvlJc w:val="left"/>
      <w:pPr>
        <w:ind w:left="0"/>
      </w:pPr>
      <w:rPr>
        <w:rFonts w:hint="default"/>
        <w:sz w:val="21"/>
        <w:szCs w:val="21"/>
      </w:rPr>
    </w:lvl>
  </w:abstractNum>
  <w:abstractNum w:abstractNumId="29">
    <w:nsid w:val="7E1AACF0"/>
    <w:multiLevelType w:val="singleLevel"/>
    <w:tmpl w:val="7E1AACF0"/>
    <w:lvl w:ilvl="0" w:tentative="0">
      <w:start w:val="1"/>
      <w:numFmt w:val="decimal"/>
      <w:suff w:val="nothing"/>
      <w:lvlText w:val="%1．"/>
      <w:lvlJc w:val="left"/>
      <w:pPr>
        <w:ind w:left="0" w:firstLine="400"/>
      </w:pPr>
      <w:rPr>
        <w:rFonts w:hint="default"/>
      </w:rPr>
    </w:lvl>
  </w:abstractNum>
  <w:num w:numId="1">
    <w:abstractNumId w:val="27"/>
  </w:num>
  <w:num w:numId="2">
    <w:abstractNumId w:val="16"/>
  </w:num>
  <w:num w:numId="3">
    <w:abstractNumId w:val="18"/>
  </w:num>
  <w:num w:numId="4">
    <w:abstractNumId w:val="5"/>
  </w:num>
  <w:num w:numId="5">
    <w:abstractNumId w:val="12"/>
  </w:num>
  <w:num w:numId="6">
    <w:abstractNumId w:val="26"/>
  </w:num>
  <w:num w:numId="7">
    <w:abstractNumId w:val="10"/>
  </w:num>
  <w:num w:numId="8">
    <w:abstractNumId w:val="23"/>
  </w:num>
  <w:num w:numId="9">
    <w:abstractNumId w:val="20"/>
  </w:num>
  <w:num w:numId="10">
    <w:abstractNumId w:val="6"/>
  </w:num>
  <w:num w:numId="11">
    <w:abstractNumId w:val="13"/>
  </w:num>
  <w:num w:numId="12">
    <w:abstractNumId w:val="28"/>
  </w:num>
  <w:num w:numId="13">
    <w:abstractNumId w:val="22"/>
  </w:num>
  <w:num w:numId="14">
    <w:abstractNumId w:val="21"/>
  </w:num>
  <w:num w:numId="15">
    <w:abstractNumId w:val="19"/>
  </w:num>
  <w:num w:numId="16">
    <w:abstractNumId w:val="14"/>
  </w:num>
  <w:num w:numId="17">
    <w:abstractNumId w:val="8"/>
  </w:num>
  <w:num w:numId="18">
    <w:abstractNumId w:val="9"/>
  </w:num>
  <w:num w:numId="19">
    <w:abstractNumId w:val="15"/>
  </w:num>
  <w:num w:numId="20">
    <w:abstractNumId w:val="7"/>
  </w:num>
  <w:num w:numId="21">
    <w:abstractNumId w:val="17"/>
  </w:num>
  <w:num w:numId="22">
    <w:abstractNumId w:val="11"/>
  </w:num>
  <w:num w:numId="23">
    <w:abstractNumId w:val="4"/>
  </w:num>
  <w:num w:numId="24">
    <w:abstractNumId w:val="2"/>
  </w:num>
  <w:num w:numId="25">
    <w:abstractNumId w:val="3"/>
  </w:num>
  <w:num w:numId="26">
    <w:abstractNumId w:val="29"/>
  </w:num>
  <w:num w:numId="27">
    <w:abstractNumId w:val="1"/>
  </w:num>
  <w:num w:numId="28">
    <w:abstractNumId w:val="25"/>
  </w:num>
  <w:num w:numId="29">
    <w:abstractNumId w:val="2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NotTrackMoves/>
  <w:documentProtection w:enforcement="0"/>
  <w:defaultTabStop w:val="420"/>
  <w:drawingGridHorizontalSpacing w:val="120"/>
  <w:drawingGridVerticalSpacing w:val="19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NiODVhMmIwNDc3YWNhMmYwNjMyZWYxYjMwYTk1YmIifQ=="/>
  </w:docVars>
  <w:rsids>
    <w:rsidRoot w:val="00B43A35"/>
    <w:rsid w:val="0005117E"/>
    <w:rsid w:val="000D2293"/>
    <w:rsid w:val="00107E8E"/>
    <w:rsid w:val="001616A8"/>
    <w:rsid w:val="0019110A"/>
    <w:rsid w:val="001E6EBD"/>
    <w:rsid w:val="00203EEF"/>
    <w:rsid w:val="002641C9"/>
    <w:rsid w:val="00292DD3"/>
    <w:rsid w:val="00297101"/>
    <w:rsid w:val="00297E81"/>
    <w:rsid w:val="002E22DF"/>
    <w:rsid w:val="002F64CA"/>
    <w:rsid w:val="00365D7D"/>
    <w:rsid w:val="00385FC3"/>
    <w:rsid w:val="003A22F5"/>
    <w:rsid w:val="003A656B"/>
    <w:rsid w:val="004C661A"/>
    <w:rsid w:val="004F7BE3"/>
    <w:rsid w:val="00516C7F"/>
    <w:rsid w:val="005858AA"/>
    <w:rsid w:val="00625682"/>
    <w:rsid w:val="00627FD7"/>
    <w:rsid w:val="00685742"/>
    <w:rsid w:val="006A3586"/>
    <w:rsid w:val="006D06F6"/>
    <w:rsid w:val="00702192"/>
    <w:rsid w:val="0074204E"/>
    <w:rsid w:val="00747283"/>
    <w:rsid w:val="00761AA5"/>
    <w:rsid w:val="007B0FA8"/>
    <w:rsid w:val="007B5983"/>
    <w:rsid w:val="008134CE"/>
    <w:rsid w:val="00851AAC"/>
    <w:rsid w:val="00851AE2"/>
    <w:rsid w:val="0088280E"/>
    <w:rsid w:val="00887EEC"/>
    <w:rsid w:val="00911572"/>
    <w:rsid w:val="00915EF8"/>
    <w:rsid w:val="009356EE"/>
    <w:rsid w:val="00A10809"/>
    <w:rsid w:val="00A219D5"/>
    <w:rsid w:val="00A62914"/>
    <w:rsid w:val="00AD5BAC"/>
    <w:rsid w:val="00B43A35"/>
    <w:rsid w:val="00B51E3E"/>
    <w:rsid w:val="00B53CF7"/>
    <w:rsid w:val="00B97EC1"/>
    <w:rsid w:val="00BD3E4E"/>
    <w:rsid w:val="00C05E73"/>
    <w:rsid w:val="00C470E5"/>
    <w:rsid w:val="00C555A6"/>
    <w:rsid w:val="00CF48FB"/>
    <w:rsid w:val="00CF735E"/>
    <w:rsid w:val="00DB06BB"/>
    <w:rsid w:val="00DE2887"/>
    <w:rsid w:val="00DE6AFE"/>
    <w:rsid w:val="00EA064C"/>
    <w:rsid w:val="00EA378B"/>
    <w:rsid w:val="00EB055E"/>
    <w:rsid w:val="00F1303D"/>
    <w:rsid w:val="00F31587"/>
    <w:rsid w:val="00FB4000"/>
    <w:rsid w:val="021077A2"/>
    <w:rsid w:val="02A13371"/>
    <w:rsid w:val="03582C48"/>
    <w:rsid w:val="03A26EFC"/>
    <w:rsid w:val="04176A8D"/>
    <w:rsid w:val="05093C1D"/>
    <w:rsid w:val="05C16DFD"/>
    <w:rsid w:val="0739649A"/>
    <w:rsid w:val="07720FFF"/>
    <w:rsid w:val="07992B3C"/>
    <w:rsid w:val="07B216D8"/>
    <w:rsid w:val="0870581B"/>
    <w:rsid w:val="08AD4285"/>
    <w:rsid w:val="092763AC"/>
    <w:rsid w:val="0B64718D"/>
    <w:rsid w:val="0B775619"/>
    <w:rsid w:val="0B9F1F73"/>
    <w:rsid w:val="0BD602BE"/>
    <w:rsid w:val="0BD954BA"/>
    <w:rsid w:val="0BF77C52"/>
    <w:rsid w:val="0C606EB6"/>
    <w:rsid w:val="0D0B5B12"/>
    <w:rsid w:val="0D2A1D10"/>
    <w:rsid w:val="102A2A1F"/>
    <w:rsid w:val="116B56A7"/>
    <w:rsid w:val="11AB339B"/>
    <w:rsid w:val="11EF6C58"/>
    <w:rsid w:val="11FC3C7B"/>
    <w:rsid w:val="12AE4C3D"/>
    <w:rsid w:val="12C53CA4"/>
    <w:rsid w:val="13CC318A"/>
    <w:rsid w:val="142420E4"/>
    <w:rsid w:val="151C0984"/>
    <w:rsid w:val="15A40F03"/>
    <w:rsid w:val="15C2342E"/>
    <w:rsid w:val="15D53161"/>
    <w:rsid w:val="16E24E1C"/>
    <w:rsid w:val="18B0167E"/>
    <w:rsid w:val="18E76BE1"/>
    <w:rsid w:val="1964337B"/>
    <w:rsid w:val="1B022F91"/>
    <w:rsid w:val="1B8F3DB2"/>
    <w:rsid w:val="1BAB036C"/>
    <w:rsid w:val="1D690690"/>
    <w:rsid w:val="1DF30C4E"/>
    <w:rsid w:val="1F106FB8"/>
    <w:rsid w:val="1F2A4228"/>
    <w:rsid w:val="1F34477D"/>
    <w:rsid w:val="1FA12306"/>
    <w:rsid w:val="2103011A"/>
    <w:rsid w:val="210A2EF3"/>
    <w:rsid w:val="216C0B7F"/>
    <w:rsid w:val="21BF0C6F"/>
    <w:rsid w:val="22723AE6"/>
    <w:rsid w:val="22FD7853"/>
    <w:rsid w:val="24E15E82"/>
    <w:rsid w:val="25B845F8"/>
    <w:rsid w:val="27C733F7"/>
    <w:rsid w:val="27E75D60"/>
    <w:rsid w:val="29445CCA"/>
    <w:rsid w:val="29491A44"/>
    <w:rsid w:val="2BF57129"/>
    <w:rsid w:val="2C670D75"/>
    <w:rsid w:val="2C676DD6"/>
    <w:rsid w:val="2CD95CCF"/>
    <w:rsid w:val="2D202ABC"/>
    <w:rsid w:val="2D88205F"/>
    <w:rsid w:val="2E06270D"/>
    <w:rsid w:val="2E9D638E"/>
    <w:rsid w:val="2EB671E0"/>
    <w:rsid w:val="2F4B7B98"/>
    <w:rsid w:val="2FC040E2"/>
    <w:rsid w:val="310B741A"/>
    <w:rsid w:val="33325775"/>
    <w:rsid w:val="35700B87"/>
    <w:rsid w:val="382D2531"/>
    <w:rsid w:val="389843C7"/>
    <w:rsid w:val="38BA7991"/>
    <w:rsid w:val="399860D0"/>
    <w:rsid w:val="3A4F6A7C"/>
    <w:rsid w:val="3A50219E"/>
    <w:rsid w:val="3A8D5480"/>
    <w:rsid w:val="3B895CD0"/>
    <w:rsid w:val="3CA844BB"/>
    <w:rsid w:val="3DE15179"/>
    <w:rsid w:val="3EFF02D5"/>
    <w:rsid w:val="3F1D3192"/>
    <w:rsid w:val="3FB1287E"/>
    <w:rsid w:val="401E5216"/>
    <w:rsid w:val="402406BD"/>
    <w:rsid w:val="40FB141E"/>
    <w:rsid w:val="411368F5"/>
    <w:rsid w:val="41A625C5"/>
    <w:rsid w:val="41BB295C"/>
    <w:rsid w:val="41EB72AE"/>
    <w:rsid w:val="434A0040"/>
    <w:rsid w:val="44E07C83"/>
    <w:rsid w:val="453B489C"/>
    <w:rsid w:val="47405F53"/>
    <w:rsid w:val="48497FAC"/>
    <w:rsid w:val="485F3913"/>
    <w:rsid w:val="487D0579"/>
    <w:rsid w:val="49B77EAC"/>
    <w:rsid w:val="4B076CD8"/>
    <w:rsid w:val="4B363451"/>
    <w:rsid w:val="4C3C3E4A"/>
    <w:rsid w:val="4C50465B"/>
    <w:rsid w:val="4D4203D5"/>
    <w:rsid w:val="4DE31E1E"/>
    <w:rsid w:val="4DEA0B7F"/>
    <w:rsid w:val="4DF610CD"/>
    <w:rsid w:val="4E65211B"/>
    <w:rsid w:val="501608DA"/>
    <w:rsid w:val="50344BAB"/>
    <w:rsid w:val="51D70EAA"/>
    <w:rsid w:val="52EF778C"/>
    <w:rsid w:val="5357208F"/>
    <w:rsid w:val="537A2677"/>
    <w:rsid w:val="537E6D8F"/>
    <w:rsid w:val="53E46182"/>
    <w:rsid w:val="56091FC4"/>
    <w:rsid w:val="56E61040"/>
    <w:rsid w:val="57EC6CDD"/>
    <w:rsid w:val="599417E9"/>
    <w:rsid w:val="59B12B6A"/>
    <w:rsid w:val="5A3E279F"/>
    <w:rsid w:val="5A61633E"/>
    <w:rsid w:val="5A915A48"/>
    <w:rsid w:val="5B26638B"/>
    <w:rsid w:val="5CCC38D1"/>
    <w:rsid w:val="5E71743E"/>
    <w:rsid w:val="5EE40D51"/>
    <w:rsid w:val="604B6C62"/>
    <w:rsid w:val="608816FB"/>
    <w:rsid w:val="60E455D3"/>
    <w:rsid w:val="61267FDA"/>
    <w:rsid w:val="61E93E62"/>
    <w:rsid w:val="63464B49"/>
    <w:rsid w:val="63483A56"/>
    <w:rsid w:val="634B73CA"/>
    <w:rsid w:val="65036A60"/>
    <w:rsid w:val="65CF5355"/>
    <w:rsid w:val="670D7BC5"/>
    <w:rsid w:val="67252404"/>
    <w:rsid w:val="67326CD1"/>
    <w:rsid w:val="675528B2"/>
    <w:rsid w:val="67AC7F3A"/>
    <w:rsid w:val="688E4077"/>
    <w:rsid w:val="694E0E8D"/>
    <w:rsid w:val="69806EDD"/>
    <w:rsid w:val="6A3824EC"/>
    <w:rsid w:val="6A656DC6"/>
    <w:rsid w:val="6ADF099F"/>
    <w:rsid w:val="6AF86836"/>
    <w:rsid w:val="6AFD6691"/>
    <w:rsid w:val="6C010FB0"/>
    <w:rsid w:val="6C2663C4"/>
    <w:rsid w:val="6C87074A"/>
    <w:rsid w:val="6D4523DF"/>
    <w:rsid w:val="6D7165A7"/>
    <w:rsid w:val="6EA108D7"/>
    <w:rsid w:val="6EFC7F8C"/>
    <w:rsid w:val="6F4831D1"/>
    <w:rsid w:val="6F6B69FD"/>
    <w:rsid w:val="6FD11F7C"/>
    <w:rsid w:val="71033854"/>
    <w:rsid w:val="718D5813"/>
    <w:rsid w:val="73827A0B"/>
    <w:rsid w:val="77E152E6"/>
    <w:rsid w:val="78210F5C"/>
    <w:rsid w:val="78FB3062"/>
    <w:rsid w:val="79963097"/>
    <w:rsid w:val="7A295071"/>
    <w:rsid w:val="7ADF17BB"/>
    <w:rsid w:val="7B18524F"/>
    <w:rsid w:val="7B8B5ABE"/>
    <w:rsid w:val="7C033073"/>
    <w:rsid w:val="7D881C0A"/>
    <w:rsid w:val="7E8D31CF"/>
    <w:rsid w:val="7EB76BAA"/>
    <w:rsid w:val="7F6965F9"/>
    <w:rsid w:val="7FA52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99" w:semiHidden="0" w:name="Title"/>
    <w:lsdException w:uiPriority="0" w:name="Closing" w:locked="1"/>
    <w:lsdException w:uiPriority="0"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0" w:name="Salutation" w:locked="1"/>
    <w:lsdException w:qFormat="1" w:unhideWhenUsed="0" w:uiPriority="99"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qFormat="1" w:unhideWhenUsed="0" w:uiPriority="99" w:name="Body Text Indent 3"/>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0"/>
    <w:qFormat/>
    <w:uiPriority w:val="99"/>
    <w:pPr>
      <w:keepNext/>
      <w:keepLines/>
      <w:spacing w:before="340" w:after="330" w:line="576" w:lineRule="auto"/>
      <w:outlineLvl w:val="0"/>
    </w:pPr>
    <w:rPr>
      <w:b/>
      <w:kern w:val="44"/>
      <w:sz w:val="44"/>
      <w:szCs w:val="20"/>
    </w:rPr>
  </w:style>
  <w:style w:type="paragraph" w:styleId="4">
    <w:name w:val="heading 2"/>
    <w:basedOn w:val="1"/>
    <w:next w:val="1"/>
    <w:link w:val="32"/>
    <w:qFormat/>
    <w:uiPriority w:val="99"/>
    <w:pPr>
      <w:keepNext/>
      <w:keepLines/>
      <w:spacing w:before="260" w:after="260" w:line="415" w:lineRule="auto"/>
      <w:outlineLvl w:val="1"/>
    </w:pPr>
    <w:rPr>
      <w:rFonts w:ascii="Cambria" w:hAnsi="Cambria"/>
      <w:b/>
      <w:sz w:val="32"/>
      <w:szCs w:val="20"/>
    </w:rPr>
  </w:style>
  <w:style w:type="paragraph" w:styleId="5">
    <w:name w:val="heading 4"/>
    <w:basedOn w:val="1"/>
    <w:next w:val="1"/>
    <w:link w:val="31"/>
    <w:semiHidden/>
    <w:unhideWhenUsed/>
    <w:qFormat/>
    <w:locked/>
    <w:uiPriority w:val="9"/>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6">
    <w:name w:val="Document Map"/>
    <w:basedOn w:val="1"/>
    <w:link w:val="42"/>
    <w:semiHidden/>
    <w:qFormat/>
    <w:uiPriority w:val="99"/>
    <w:pPr>
      <w:shd w:val="clear" w:color="auto" w:fill="000080"/>
    </w:pPr>
    <w:rPr>
      <w:kern w:val="0"/>
      <w:sz w:val="2"/>
      <w:szCs w:val="20"/>
    </w:rPr>
  </w:style>
  <w:style w:type="paragraph" w:styleId="7">
    <w:name w:val="annotation text"/>
    <w:basedOn w:val="1"/>
    <w:link w:val="43"/>
    <w:qFormat/>
    <w:uiPriority w:val="99"/>
    <w:pPr>
      <w:jc w:val="left"/>
    </w:pPr>
    <w:rPr>
      <w:kern w:val="0"/>
    </w:rPr>
  </w:style>
  <w:style w:type="paragraph" w:styleId="8">
    <w:name w:val="Body Text"/>
    <w:basedOn w:val="1"/>
    <w:next w:val="9"/>
    <w:link w:val="44"/>
    <w:qFormat/>
    <w:locked/>
    <w:uiPriority w:val="99"/>
    <w:pPr>
      <w:spacing w:after="120"/>
    </w:pPr>
    <w:rPr>
      <w:sz w:val="21"/>
      <w:szCs w:val="20"/>
    </w:rPr>
  </w:style>
  <w:style w:type="paragraph" w:styleId="9">
    <w:name w:val="Plain Text"/>
    <w:basedOn w:val="1"/>
    <w:link w:val="46"/>
    <w:qFormat/>
    <w:uiPriority w:val="99"/>
    <w:rPr>
      <w:rFonts w:ascii="宋体" w:hAnsi="Courier New"/>
      <w:sz w:val="21"/>
      <w:szCs w:val="20"/>
    </w:rPr>
  </w:style>
  <w:style w:type="paragraph" w:styleId="10">
    <w:name w:val="Body Text Indent"/>
    <w:basedOn w:val="1"/>
    <w:next w:val="1"/>
    <w:link w:val="45"/>
    <w:qFormat/>
    <w:uiPriority w:val="99"/>
    <w:pPr>
      <w:spacing w:after="120"/>
      <w:ind w:left="420" w:leftChars="200"/>
    </w:pPr>
    <w:rPr>
      <w:szCs w:val="20"/>
    </w:rPr>
  </w:style>
  <w:style w:type="paragraph" w:styleId="11">
    <w:name w:val="Block Text"/>
    <w:basedOn w:val="1"/>
    <w:qFormat/>
    <w:locked/>
    <w:uiPriority w:val="0"/>
    <w:pPr>
      <w:spacing w:after="120"/>
    </w:pPr>
    <w:rPr>
      <w:sz w:val="21"/>
    </w:rPr>
  </w:style>
  <w:style w:type="paragraph" w:styleId="12">
    <w:name w:val="Date"/>
    <w:basedOn w:val="1"/>
    <w:next w:val="1"/>
    <w:link w:val="47"/>
    <w:qFormat/>
    <w:uiPriority w:val="99"/>
    <w:pPr>
      <w:ind w:left="100" w:leftChars="2500"/>
    </w:pPr>
    <w:rPr>
      <w:kern w:val="0"/>
    </w:rPr>
  </w:style>
  <w:style w:type="paragraph" w:styleId="13">
    <w:name w:val="Balloon Text"/>
    <w:basedOn w:val="1"/>
    <w:link w:val="48"/>
    <w:qFormat/>
    <w:uiPriority w:val="99"/>
    <w:rPr>
      <w:kern w:val="0"/>
      <w:sz w:val="2"/>
      <w:szCs w:val="20"/>
    </w:rPr>
  </w:style>
  <w:style w:type="paragraph" w:styleId="14">
    <w:name w:val="footer"/>
    <w:basedOn w:val="1"/>
    <w:link w:val="49"/>
    <w:qFormat/>
    <w:uiPriority w:val="99"/>
    <w:pPr>
      <w:tabs>
        <w:tab w:val="center" w:pos="4153"/>
        <w:tab w:val="right" w:pos="8306"/>
      </w:tabs>
      <w:snapToGrid w:val="0"/>
      <w:jc w:val="left"/>
    </w:pPr>
    <w:rPr>
      <w:sz w:val="18"/>
      <w:szCs w:val="20"/>
    </w:rPr>
  </w:style>
  <w:style w:type="paragraph" w:styleId="15">
    <w:name w:val="header"/>
    <w:basedOn w:val="1"/>
    <w:link w:val="50"/>
    <w:qFormat/>
    <w:uiPriority w:val="99"/>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17">
    <w:name w:val="Subtitle"/>
    <w:basedOn w:val="1"/>
    <w:next w:val="1"/>
    <w:link w:val="51"/>
    <w:qFormat/>
    <w:uiPriority w:val="99"/>
    <w:pPr>
      <w:spacing w:before="240" w:after="60" w:line="312" w:lineRule="auto"/>
      <w:jc w:val="center"/>
      <w:outlineLvl w:val="1"/>
    </w:pPr>
    <w:rPr>
      <w:rFonts w:ascii="Cambria" w:hAnsi="Cambria"/>
      <w:b/>
      <w:kern w:val="28"/>
      <w:sz w:val="32"/>
      <w:szCs w:val="20"/>
    </w:rPr>
  </w:style>
  <w:style w:type="paragraph" w:styleId="18">
    <w:name w:val="Body Text Indent 3"/>
    <w:basedOn w:val="1"/>
    <w:link w:val="52"/>
    <w:semiHidden/>
    <w:qFormat/>
    <w:uiPriority w:val="99"/>
    <w:pPr>
      <w:spacing w:after="120"/>
      <w:ind w:left="420" w:leftChars="200"/>
    </w:pPr>
    <w:rPr>
      <w:sz w:val="16"/>
      <w:szCs w:val="16"/>
    </w:rPr>
  </w:style>
  <w:style w:type="paragraph" w:styleId="19">
    <w:name w:val="Normal (Web)"/>
    <w:basedOn w:val="1"/>
    <w:qFormat/>
    <w:uiPriority w:val="99"/>
    <w:pPr>
      <w:spacing w:before="100" w:beforeAutospacing="1" w:after="100" w:afterAutospacing="1"/>
      <w:jc w:val="left"/>
    </w:pPr>
    <w:rPr>
      <w:kern w:val="0"/>
    </w:rPr>
  </w:style>
  <w:style w:type="paragraph" w:styleId="20">
    <w:name w:val="Title"/>
    <w:basedOn w:val="1"/>
    <w:next w:val="1"/>
    <w:link w:val="53"/>
    <w:qFormat/>
    <w:uiPriority w:val="99"/>
    <w:pPr>
      <w:spacing w:before="240" w:after="60"/>
      <w:jc w:val="center"/>
      <w:outlineLvl w:val="0"/>
    </w:pPr>
    <w:rPr>
      <w:rFonts w:ascii="Cambria" w:hAnsi="Cambria"/>
      <w:b/>
      <w:sz w:val="32"/>
      <w:szCs w:val="20"/>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99"/>
    <w:rPr>
      <w:rFonts w:cs="Times New Roman"/>
      <w:b/>
    </w:rPr>
  </w:style>
  <w:style w:type="character" w:styleId="25">
    <w:name w:val="page number"/>
    <w:qFormat/>
    <w:uiPriority w:val="99"/>
    <w:rPr>
      <w:rFonts w:cs="Times New Roman"/>
    </w:rPr>
  </w:style>
  <w:style w:type="character" w:styleId="26">
    <w:name w:val="FollowedHyperlink"/>
    <w:qFormat/>
    <w:uiPriority w:val="99"/>
    <w:rPr>
      <w:rFonts w:cs="Times New Roman"/>
      <w:color w:val="000000"/>
      <w:u w:val="none"/>
    </w:rPr>
  </w:style>
  <w:style w:type="character" w:styleId="27">
    <w:name w:val="Emphasis"/>
    <w:qFormat/>
    <w:uiPriority w:val="99"/>
    <w:rPr>
      <w:rFonts w:cs="Times New Roman"/>
    </w:rPr>
  </w:style>
  <w:style w:type="character" w:styleId="28">
    <w:name w:val="Hyperlink"/>
    <w:qFormat/>
    <w:uiPriority w:val="99"/>
    <w:rPr>
      <w:rFonts w:cs="Times New Roman"/>
      <w:color w:val="000000"/>
      <w:u w:val="none"/>
    </w:rPr>
  </w:style>
  <w:style w:type="paragraph" w:styleId="29">
    <w:name w:val="List Paragraph"/>
    <w:basedOn w:val="1"/>
    <w:qFormat/>
    <w:uiPriority w:val="34"/>
    <w:pPr>
      <w:ind w:firstLine="420" w:firstLineChars="200"/>
    </w:pPr>
    <w:rPr>
      <w:rFonts w:ascii="Cambria" w:hAnsi="Cambria"/>
    </w:rPr>
  </w:style>
  <w:style w:type="character" w:customStyle="1" w:styleId="30">
    <w:name w:val="标题 1 Char"/>
    <w:link w:val="3"/>
    <w:qFormat/>
    <w:locked/>
    <w:uiPriority w:val="99"/>
    <w:rPr>
      <w:rFonts w:cs="Times New Roman"/>
      <w:b/>
      <w:kern w:val="44"/>
      <w:sz w:val="44"/>
    </w:rPr>
  </w:style>
  <w:style w:type="character" w:customStyle="1" w:styleId="31">
    <w:name w:val="标题 4 Char"/>
    <w:link w:val="5"/>
    <w:semiHidden/>
    <w:qFormat/>
    <w:uiPriority w:val="9"/>
    <w:rPr>
      <w:rFonts w:ascii="Cambria" w:hAnsi="Cambria" w:eastAsia="宋体"/>
      <w:b/>
      <w:bCs/>
      <w:kern w:val="2"/>
      <w:sz w:val="28"/>
      <w:szCs w:val="28"/>
    </w:rPr>
  </w:style>
  <w:style w:type="character" w:customStyle="1" w:styleId="32">
    <w:name w:val="标题 2 Char"/>
    <w:link w:val="4"/>
    <w:qFormat/>
    <w:locked/>
    <w:uiPriority w:val="99"/>
    <w:rPr>
      <w:rFonts w:ascii="Cambria" w:hAnsi="Cambria" w:cs="Times New Roman"/>
      <w:b/>
      <w:kern w:val="2"/>
      <w:sz w:val="32"/>
    </w:rPr>
  </w:style>
  <w:style w:type="paragraph" w:customStyle="1" w:styleId="33">
    <w:name w:val="_Style 31"/>
    <w:basedOn w:val="6"/>
    <w:qFormat/>
    <w:uiPriority w:val="99"/>
    <w:rPr>
      <w:shd w:val="clear" w:color="auto" w:fill="000080"/>
    </w:rPr>
  </w:style>
  <w:style w:type="paragraph" w:customStyle="1" w:styleId="34">
    <w:name w:val="Char"/>
    <w:basedOn w:val="1"/>
    <w:qFormat/>
    <w:uiPriority w:val="99"/>
    <w:rPr>
      <w:szCs w:val="21"/>
    </w:rPr>
  </w:style>
  <w:style w:type="paragraph" w:customStyle="1" w:styleId="35">
    <w:name w:val="样式2"/>
    <w:basedOn w:val="1"/>
    <w:qFormat/>
    <w:uiPriority w:val="99"/>
    <w:rPr>
      <w:rFonts w:eastAsia="华文中宋"/>
      <w:sz w:val="44"/>
    </w:rPr>
  </w:style>
  <w:style w:type="paragraph" w:customStyle="1" w:styleId="36">
    <w:name w:val="样式1"/>
    <w:basedOn w:val="1"/>
    <w:qFormat/>
    <w:uiPriority w:val="99"/>
    <w:rPr>
      <w:rFonts w:eastAsia="仿宋_GB2312"/>
      <w:sz w:val="32"/>
    </w:rPr>
  </w:style>
  <w:style w:type="paragraph" w:customStyle="1" w:styleId="37">
    <w:name w:val="样式3"/>
    <w:basedOn w:val="35"/>
    <w:qFormat/>
    <w:uiPriority w:val="99"/>
    <w:pPr>
      <w:jc w:val="center"/>
    </w:pPr>
  </w:style>
  <w:style w:type="paragraph" w:customStyle="1" w:styleId="38">
    <w:name w:val="列出段落1"/>
    <w:basedOn w:val="1"/>
    <w:link w:val="60"/>
    <w:qFormat/>
    <w:uiPriority w:val="99"/>
    <w:pPr>
      <w:ind w:firstLine="420" w:firstLineChars="200"/>
    </w:pPr>
    <w:rPr>
      <w:szCs w:val="20"/>
    </w:rPr>
  </w:style>
  <w:style w:type="paragraph" w:customStyle="1" w:styleId="39">
    <w:name w:val="正文缩进1"/>
    <w:basedOn w:val="1"/>
    <w:qFormat/>
    <w:uiPriority w:val="99"/>
    <w:pPr>
      <w:widowControl/>
      <w:spacing w:before="120" w:after="120" w:line="320" w:lineRule="atLeast"/>
      <w:ind w:left="2336" w:leftChars="200"/>
    </w:pPr>
    <w:rPr>
      <w:sz w:val="21"/>
      <w:szCs w:val="20"/>
    </w:rPr>
  </w:style>
  <w:style w:type="paragraph" w:customStyle="1" w:styleId="40">
    <w:name w:val="符号1.1（天云科技）"/>
    <w:basedOn w:val="1"/>
    <w:next w:val="38"/>
    <w:link w:val="62"/>
    <w:qFormat/>
    <w:uiPriority w:val="99"/>
    <w:pPr>
      <w:ind w:firstLine="420" w:firstLineChars="200"/>
    </w:pPr>
    <w:rPr>
      <w:szCs w:val="20"/>
    </w:rPr>
  </w:style>
  <w:style w:type="paragraph" w:customStyle="1" w:styleId="41">
    <w:name w:val="_Style 2"/>
    <w:basedOn w:val="1"/>
    <w:qFormat/>
    <w:uiPriority w:val="34"/>
    <w:pPr>
      <w:ind w:firstLine="420" w:firstLineChars="200"/>
    </w:pPr>
    <w:rPr>
      <w:sz w:val="21"/>
    </w:rPr>
  </w:style>
  <w:style w:type="character" w:customStyle="1" w:styleId="42">
    <w:name w:val="文档结构图 Char"/>
    <w:link w:val="6"/>
    <w:semiHidden/>
    <w:qFormat/>
    <w:locked/>
    <w:uiPriority w:val="99"/>
    <w:rPr>
      <w:rFonts w:cs="Times New Roman"/>
      <w:sz w:val="2"/>
    </w:rPr>
  </w:style>
  <w:style w:type="character" w:customStyle="1" w:styleId="43">
    <w:name w:val="批注文字 Char"/>
    <w:link w:val="7"/>
    <w:semiHidden/>
    <w:qFormat/>
    <w:locked/>
    <w:uiPriority w:val="99"/>
    <w:rPr>
      <w:rFonts w:cs="Times New Roman"/>
      <w:sz w:val="24"/>
    </w:rPr>
  </w:style>
  <w:style w:type="character" w:customStyle="1" w:styleId="44">
    <w:name w:val="正文文本 Char"/>
    <w:link w:val="8"/>
    <w:qFormat/>
    <w:locked/>
    <w:uiPriority w:val="99"/>
    <w:rPr>
      <w:rFonts w:cs="Times New Roman"/>
      <w:kern w:val="2"/>
      <w:sz w:val="21"/>
    </w:rPr>
  </w:style>
  <w:style w:type="character" w:customStyle="1" w:styleId="45">
    <w:name w:val="正文文本缩进 Char"/>
    <w:link w:val="10"/>
    <w:qFormat/>
    <w:locked/>
    <w:uiPriority w:val="99"/>
    <w:rPr>
      <w:rFonts w:cs="Times New Roman"/>
      <w:kern w:val="2"/>
      <w:sz w:val="24"/>
    </w:rPr>
  </w:style>
  <w:style w:type="character" w:customStyle="1" w:styleId="46">
    <w:name w:val="纯文本 Char"/>
    <w:link w:val="9"/>
    <w:qFormat/>
    <w:locked/>
    <w:uiPriority w:val="99"/>
    <w:rPr>
      <w:rFonts w:ascii="宋体" w:hAnsi="Courier New" w:cs="Times New Roman"/>
      <w:kern w:val="2"/>
      <w:sz w:val="21"/>
    </w:rPr>
  </w:style>
  <w:style w:type="character" w:customStyle="1" w:styleId="47">
    <w:name w:val="日期 Char"/>
    <w:link w:val="12"/>
    <w:semiHidden/>
    <w:qFormat/>
    <w:locked/>
    <w:uiPriority w:val="99"/>
    <w:rPr>
      <w:rFonts w:cs="Times New Roman"/>
      <w:sz w:val="24"/>
    </w:rPr>
  </w:style>
  <w:style w:type="character" w:customStyle="1" w:styleId="48">
    <w:name w:val="批注框文本 Char"/>
    <w:link w:val="13"/>
    <w:semiHidden/>
    <w:qFormat/>
    <w:locked/>
    <w:uiPriority w:val="99"/>
    <w:rPr>
      <w:rFonts w:cs="Times New Roman"/>
      <w:sz w:val="2"/>
    </w:rPr>
  </w:style>
  <w:style w:type="character" w:customStyle="1" w:styleId="49">
    <w:name w:val="页脚 Char"/>
    <w:link w:val="14"/>
    <w:qFormat/>
    <w:locked/>
    <w:uiPriority w:val="99"/>
    <w:rPr>
      <w:rFonts w:cs="Times New Roman"/>
      <w:kern w:val="2"/>
      <w:sz w:val="18"/>
    </w:rPr>
  </w:style>
  <w:style w:type="character" w:customStyle="1" w:styleId="50">
    <w:name w:val="页眉 Char"/>
    <w:link w:val="15"/>
    <w:qFormat/>
    <w:locked/>
    <w:uiPriority w:val="99"/>
    <w:rPr>
      <w:rFonts w:cs="Times New Roman"/>
      <w:kern w:val="2"/>
      <w:sz w:val="18"/>
    </w:rPr>
  </w:style>
  <w:style w:type="character" w:customStyle="1" w:styleId="51">
    <w:name w:val="副标题 Char"/>
    <w:link w:val="17"/>
    <w:qFormat/>
    <w:locked/>
    <w:uiPriority w:val="99"/>
    <w:rPr>
      <w:rFonts w:ascii="Cambria" w:hAnsi="Cambria" w:cs="Times New Roman"/>
      <w:b/>
      <w:kern w:val="28"/>
      <w:sz w:val="32"/>
    </w:rPr>
  </w:style>
  <w:style w:type="character" w:customStyle="1" w:styleId="52">
    <w:name w:val="正文文本缩进 3 Char"/>
    <w:link w:val="18"/>
    <w:qFormat/>
    <w:locked/>
    <w:uiPriority w:val="99"/>
    <w:rPr>
      <w:rFonts w:cs="Times New Roman"/>
      <w:kern w:val="2"/>
      <w:sz w:val="16"/>
    </w:rPr>
  </w:style>
  <w:style w:type="character" w:customStyle="1" w:styleId="53">
    <w:name w:val="标题 Char"/>
    <w:link w:val="20"/>
    <w:qFormat/>
    <w:locked/>
    <w:uiPriority w:val="99"/>
    <w:rPr>
      <w:rFonts w:ascii="Cambria" w:hAnsi="Cambria" w:cs="Times New Roman"/>
      <w:b/>
      <w:kern w:val="2"/>
      <w:sz w:val="32"/>
    </w:rPr>
  </w:style>
  <w:style w:type="character" w:customStyle="1" w:styleId="54">
    <w:name w:val="bg01"/>
    <w:qFormat/>
    <w:uiPriority w:val="99"/>
  </w:style>
  <w:style w:type="character" w:customStyle="1" w:styleId="55">
    <w:name w:val="more"/>
    <w:qFormat/>
    <w:uiPriority w:val="99"/>
    <w:rPr>
      <w:color w:val="666666"/>
      <w:sz w:val="18"/>
    </w:rPr>
  </w:style>
  <w:style w:type="character" w:customStyle="1" w:styleId="56">
    <w:name w:val="副标题 Char1"/>
    <w:qFormat/>
    <w:uiPriority w:val="99"/>
    <w:rPr>
      <w:rFonts w:ascii="Cambria" w:hAnsi="Cambria"/>
      <w:b/>
      <w:kern w:val="28"/>
      <w:sz w:val="32"/>
    </w:rPr>
  </w:style>
  <w:style w:type="character" w:customStyle="1" w:styleId="57">
    <w:name w:val="tabg"/>
    <w:qFormat/>
    <w:uiPriority w:val="99"/>
    <w:rPr>
      <w:rFonts w:ascii="微软雅黑" w:hAnsi="微软雅黑" w:eastAsia="微软雅黑"/>
      <w:color w:val="FFFFFF"/>
      <w:sz w:val="27"/>
    </w:rPr>
  </w:style>
  <w:style w:type="character" w:customStyle="1" w:styleId="58">
    <w:name w:val="bg02"/>
    <w:qFormat/>
    <w:uiPriority w:val="99"/>
  </w:style>
  <w:style w:type="character" w:customStyle="1" w:styleId="59">
    <w:name w:val="标题 Char1"/>
    <w:qFormat/>
    <w:uiPriority w:val="99"/>
    <w:rPr>
      <w:rFonts w:ascii="Cambria" w:hAnsi="Cambria"/>
      <w:b/>
      <w:kern w:val="2"/>
      <w:sz w:val="32"/>
    </w:rPr>
  </w:style>
  <w:style w:type="character" w:customStyle="1" w:styleId="60">
    <w:name w:val="列出段落 Char"/>
    <w:link w:val="38"/>
    <w:qFormat/>
    <w:locked/>
    <w:uiPriority w:val="99"/>
    <w:rPr>
      <w:kern w:val="2"/>
      <w:sz w:val="24"/>
    </w:rPr>
  </w:style>
  <w:style w:type="character" w:customStyle="1" w:styleId="61">
    <w:name w:val="纯文本 Char2"/>
    <w:qFormat/>
    <w:uiPriority w:val="99"/>
    <w:rPr>
      <w:rFonts w:ascii="宋体" w:hAnsi="Courier New"/>
      <w:kern w:val="2"/>
      <w:sz w:val="24"/>
    </w:rPr>
  </w:style>
  <w:style w:type="character" w:customStyle="1" w:styleId="62">
    <w:name w:val="列出段落 字符"/>
    <w:link w:val="40"/>
    <w:qFormat/>
    <w:locked/>
    <w:uiPriority w:val="99"/>
    <w:rPr>
      <w:rFonts w:eastAsia="宋体"/>
      <w:kern w:val="2"/>
      <w:sz w:val="24"/>
      <w:lang w:val="en-US" w:eastAsia="zh-CN"/>
    </w:rPr>
  </w:style>
  <w:style w:type="character" w:customStyle="1" w:styleId="63">
    <w:name w:val="font101"/>
    <w:qFormat/>
    <w:uiPriority w:val="0"/>
    <w:rPr>
      <w:rFonts w:hint="eastAsia" w:ascii="宋体" w:hAnsi="宋体" w:eastAsia="宋体" w:cs="宋体"/>
      <w:color w:val="auto"/>
      <w:sz w:val="20"/>
      <w:szCs w:val="20"/>
      <w:u w:val="none"/>
    </w:rPr>
  </w:style>
  <w:style w:type="character" w:customStyle="1" w:styleId="64">
    <w:name w:val="font71"/>
    <w:qFormat/>
    <w:uiPriority w:val="0"/>
    <w:rPr>
      <w:rFonts w:hint="eastAsia" w:ascii="宋体" w:hAnsi="宋体" w:eastAsia="宋体" w:cs="宋体"/>
      <w:color w:val="auto"/>
      <w:sz w:val="20"/>
      <w:szCs w:val="20"/>
      <w:u w:val="none"/>
    </w:rPr>
  </w:style>
  <w:style w:type="character" w:customStyle="1" w:styleId="65">
    <w:name w:val="font61"/>
    <w:qFormat/>
    <w:uiPriority w:val="0"/>
    <w:rPr>
      <w:rFonts w:hint="eastAsia" w:ascii="宋体" w:hAnsi="宋体" w:eastAsia="宋体" w:cs="宋体"/>
      <w:color w:val="auto"/>
      <w:sz w:val="20"/>
      <w:szCs w:val="20"/>
      <w:u w:val="none"/>
    </w:rPr>
  </w:style>
  <w:style w:type="character" w:customStyle="1" w:styleId="66">
    <w:name w:val="font121"/>
    <w:qFormat/>
    <w:uiPriority w:val="0"/>
    <w:rPr>
      <w:rFonts w:hint="eastAsia" w:ascii="宋体" w:hAnsi="宋体" w:eastAsia="宋体" w:cs="宋体"/>
      <w:b/>
      <w:color w:val="auto"/>
      <w:sz w:val="20"/>
      <w:szCs w:val="20"/>
      <w:u w:val="none"/>
    </w:rPr>
  </w:style>
  <w:style w:type="character" w:customStyle="1" w:styleId="67">
    <w:name w:val="font51"/>
    <w:qFormat/>
    <w:uiPriority w:val="0"/>
    <w:rPr>
      <w:rFonts w:hint="eastAsia" w:ascii="宋体" w:hAnsi="宋体" w:eastAsia="宋体" w:cs="宋体"/>
      <w:b/>
      <w:color w:val="auto"/>
      <w:sz w:val="20"/>
      <w:szCs w:val="20"/>
      <w:u w:val="none"/>
    </w:rPr>
  </w:style>
  <w:style w:type="character" w:customStyle="1" w:styleId="68">
    <w:name w:val="font11"/>
    <w:basedOn w:val="23"/>
    <w:qFormat/>
    <w:uiPriority w:val="0"/>
    <w:rPr>
      <w:rFonts w:hint="eastAsia" w:ascii="宋体" w:hAnsi="宋体" w:eastAsia="宋体" w:cs="宋体"/>
      <w:color w:val="000000"/>
      <w:sz w:val="20"/>
      <w:szCs w:val="20"/>
      <w:u w:val="none"/>
    </w:rPr>
  </w:style>
  <w:style w:type="character" w:customStyle="1" w:styleId="69">
    <w:name w:val="font21"/>
    <w:basedOn w:val="23"/>
    <w:qFormat/>
    <w:uiPriority w:val="0"/>
    <w:rPr>
      <w:rFonts w:hint="eastAsia" w:ascii="宋体" w:hAnsi="宋体" w:eastAsia="宋体" w:cs="宋体"/>
      <w:color w:val="000000"/>
      <w:sz w:val="20"/>
      <w:szCs w:val="20"/>
      <w:u w:val="none"/>
    </w:rPr>
  </w:style>
  <w:style w:type="paragraph" w:customStyle="1" w:styleId="70">
    <w:name w:val="表格文字"/>
    <w:basedOn w:val="1"/>
    <w:qFormat/>
    <w:uiPriority w:val="0"/>
    <w:pPr>
      <w:spacing w:before="25" w:after="25"/>
    </w:pPr>
    <w:rPr>
      <w:bCs/>
      <w:spacing w:val="10"/>
      <w:kern w:val="0"/>
    </w:rPr>
  </w:style>
  <w:style w:type="character" w:customStyle="1" w:styleId="71">
    <w:name w:val="font41"/>
    <w:basedOn w:val="23"/>
    <w:qFormat/>
    <w:uiPriority w:val="0"/>
    <w:rPr>
      <w:rFonts w:hint="eastAsia" w:ascii="宋体" w:hAnsi="宋体" w:eastAsia="宋体" w:cs="宋体"/>
      <w:b/>
      <w:bCs/>
      <w:color w:val="000000"/>
      <w:sz w:val="20"/>
      <w:szCs w:val="20"/>
      <w:u w:val="none"/>
    </w:rPr>
  </w:style>
  <w:style w:type="paragraph" w:styleId="7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73">
    <w:name w:val="p1"/>
    <w:basedOn w:val="1"/>
    <w:qFormat/>
    <w:uiPriority w:val="0"/>
    <w:pPr>
      <w:jc w:val="left"/>
    </w:pPr>
    <w:rPr>
      <w:rFonts w:ascii="Helvetica Neue" w:hAnsi="Helvetica Neue" w:eastAsia="Helvetica Neue" w:cs="Times New Roman"/>
      <w:kern w:val="0"/>
      <w:sz w:val="24"/>
    </w:rPr>
  </w:style>
  <w:style w:type="paragraph" w:customStyle="1" w:styleId="74">
    <w:name w:val="p3"/>
    <w:basedOn w:val="1"/>
    <w:qFormat/>
    <w:uiPriority w:val="0"/>
    <w:pPr>
      <w:jc w:val="left"/>
    </w:pPr>
    <w:rPr>
      <w:rFonts w:ascii="pingfang sc" w:hAnsi="pingfang sc" w:eastAsia="pingfang sc"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76</Pages>
  <Words>42504</Words>
  <Characters>45324</Characters>
  <Lines>439</Lines>
  <Paragraphs>123</Paragraphs>
  <TotalTime>34</TotalTime>
  <ScaleCrop>false</ScaleCrop>
  <LinksUpToDate>false</LinksUpToDate>
  <CharactersWithSpaces>45819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2020-12-10T01:33:00Z</dcterms:created>
  <dc:creator>太子弹琴</dc:creator>
  <cp:lastModifiedBy>陈登贵</cp:lastModifiedBy>
  <cp:lastPrinted>2020-12-10T02:26:00Z</cp:lastPrinted>
  <dcterms:modified xsi:type="dcterms:W3CDTF">2025-07-09T02:35:27Z</dcterms:modified>
  <dc:title>大通县政府采购中心</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C3C277D1944B4DDF86171A55F406EC10</vt:lpwstr>
  </property>
</Properties>
</file>